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4FD50" w14:textId="77777777" w:rsidR="008E7A6F" w:rsidRPr="00BB12FF" w:rsidRDefault="008E7A6F" w:rsidP="008E7A6F">
      <w:pPr>
        <w:spacing w:line="360" w:lineRule="auto"/>
        <w:rPr>
          <w:rFonts w:ascii="Arial" w:hAnsi="Arial"/>
          <w:sz w:val="24"/>
          <w:szCs w:val="24"/>
        </w:rPr>
      </w:pPr>
      <w:r w:rsidRPr="00BB12FF">
        <w:rPr>
          <w:rFonts w:ascii="Arial" w:hAnsi="Arial"/>
          <w:sz w:val="24"/>
          <w:szCs w:val="24"/>
        </w:rPr>
        <w:t>The defence of insanity, which Is also referred to as the ‘mental disorder defence’ is a defence that argued the person cannot be liable for their actions due to a psychiatric disorder. The defence argues the person could not be responsible for their crimes as they did not understand what they were doing, or that they were unlawful. While the principle of legal insanity was further developed in Hadfield in the late eighteenth century, the M'Naghten case established the basic test of criminal liability in relation to mentally disordered defendants in common law (Law Commission, 2021).</w:t>
      </w:r>
    </w:p>
    <w:p w14:paraId="28C69EDA" w14:textId="77777777" w:rsidR="008E7A6F" w:rsidRPr="00BB12FF" w:rsidRDefault="008E7A6F" w:rsidP="008E7A6F">
      <w:pPr>
        <w:spacing w:line="360" w:lineRule="auto"/>
        <w:rPr>
          <w:rFonts w:ascii="Arial" w:hAnsi="Arial"/>
          <w:sz w:val="24"/>
          <w:szCs w:val="24"/>
        </w:rPr>
      </w:pPr>
    </w:p>
    <w:p w14:paraId="66C8CFA4" w14:textId="77777777" w:rsidR="008E7A6F" w:rsidRPr="00BB12FF" w:rsidRDefault="008E7A6F" w:rsidP="008E7A6F">
      <w:pPr>
        <w:spacing w:line="360" w:lineRule="auto"/>
        <w:rPr>
          <w:rFonts w:ascii="Arial" w:hAnsi="Arial"/>
          <w:sz w:val="24"/>
          <w:szCs w:val="24"/>
        </w:rPr>
      </w:pPr>
      <w:r w:rsidRPr="00BB12FF">
        <w:rPr>
          <w:rFonts w:ascii="Arial" w:hAnsi="Arial"/>
          <w:sz w:val="24"/>
          <w:szCs w:val="24"/>
        </w:rPr>
        <w:t>An attempt was made by Daniel M'Naghten to assassinate Prime Minister Sir Robert Peel, but instead shot and killed Prime Minister's secretary Edward Drummond. At the time of the murder, M'Naghten was suffering from psychotic delusions. The M'Naghten rules were developed by the House of Lords to determine if an individual should be exempt from criminal liability due to insanity (</w:t>
      </w:r>
      <w:r w:rsidRPr="00BB12FF">
        <w:rPr>
          <w:rFonts w:ascii="Arial" w:hAnsi="Arial"/>
          <w:color w:val="000000"/>
          <w:spacing w:val="-5"/>
          <w:sz w:val="24"/>
          <w:szCs w:val="24"/>
          <w:shd w:val="clear" w:color="auto" w:fill="FFFFFF"/>
        </w:rPr>
        <w:t>Ward 1962).</w:t>
      </w:r>
      <w:r w:rsidRPr="00BB12FF">
        <w:rPr>
          <w:rFonts w:ascii="Arial" w:hAnsi="Arial"/>
          <w:sz w:val="24"/>
          <w:szCs w:val="24"/>
        </w:rPr>
        <w:t xml:space="preserve"> There are criticisms of the M'Naghten Rules, for example the second limb of the M'Naghten Rules, a criminal did not know ‘what he was doing what was wrong'  there are flaws in this as he only includes the word ‘wrong' in a legal sense and does not include or consider moral wrongdoing, which many claim makes the second limb inadequate. This issue was highlighted in the case law R v Windle (1952). Where a man killed his suicidal wife with one hundred aspirin tablets. Medical investigation proved that he was in fact suffering with mental illness at the time of committing the offence. However, at the time of his arrest he said the words “I suppose they will hang me for this” to the officer arresting him. The judge decided that even though he had a defect of reason, he can still be held accountable if he knew what he was doing was illegal. Despite the fact that one of the psychologists believed the defendant did not know his acts were morally wrong, a consideration that was ignored by the judge, the judge found that the defendant understood what he had done was illegal and therefore prosecuted him on those grounds (Mukhia, 2012). </w:t>
      </w:r>
    </w:p>
    <w:p w14:paraId="40D2A43D" w14:textId="77777777" w:rsidR="008E7A6F" w:rsidRPr="00BB12FF" w:rsidRDefault="008E7A6F" w:rsidP="008E7A6F">
      <w:pPr>
        <w:spacing w:line="360" w:lineRule="auto"/>
        <w:rPr>
          <w:rFonts w:ascii="Arial" w:hAnsi="Arial"/>
          <w:sz w:val="24"/>
          <w:szCs w:val="24"/>
        </w:rPr>
      </w:pPr>
    </w:p>
    <w:p w14:paraId="6BF393F2" w14:textId="77777777" w:rsidR="008E7A6F" w:rsidRPr="00BB12FF" w:rsidRDefault="008E7A6F" w:rsidP="008E7A6F">
      <w:pPr>
        <w:spacing w:line="360" w:lineRule="auto"/>
        <w:rPr>
          <w:rFonts w:ascii="Arial" w:hAnsi="Arial" w:cs="Segoe UI"/>
          <w:color w:val="212529"/>
          <w:sz w:val="24"/>
          <w:szCs w:val="24"/>
          <w:shd w:val="clear" w:color="auto" w:fill="FFFFFF"/>
        </w:rPr>
      </w:pPr>
      <w:r w:rsidRPr="00BB12FF">
        <w:rPr>
          <w:rFonts w:ascii="Arial" w:hAnsi="Arial"/>
          <w:sz w:val="24"/>
          <w:szCs w:val="24"/>
        </w:rPr>
        <w:t xml:space="preserve">Another Flaw in the defence of insanity is the lack of psychiatric understanding. The term ‘disease of the mind’. By definition, defence of inanity refers to ‘the premise that certain mental illnesses or defects can impair a person's capacity to shape the necessary mens rea’ (Feuerstein, 2005). However, the case law R v Kemp (1957) causes confusion amongst the exception of, and differentiation between physical and </w:t>
      </w:r>
      <w:r w:rsidRPr="00BB12FF">
        <w:rPr>
          <w:rFonts w:ascii="Arial" w:hAnsi="Arial"/>
          <w:sz w:val="24"/>
          <w:szCs w:val="24"/>
        </w:rPr>
        <w:lastRenderedPageBreak/>
        <w:t xml:space="preserve">mental illness. R v Kemp (1957) says that physical impairment is considers a ‘disease of the mind’, and this is where the confusion lies. A defendant used a hammer to assault his wife, yet his previous history didn’t consist of any account of violence. Under the Offences Against the Person Act 1861, the defendant was charged by the judge for causing grievous bodily harm (GBH). The defendant appealed the verdict on the grounds that he experienced a loss of consciousness related to </w:t>
      </w:r>
      <w:r w:rsidRPr="00BB12FF">
        <w:rPr>
          <w:rFonts w:ascii="Arial" w:hAnsi="Arial" w:cs="Segoe UI"/>
          <w:color w:val="212529"/>
          <w:sz w:val="24"/>
          <w:szCs w:val="24"/>
          <w:shd w:val="clear" w:color="auto" w:fill="FFFFFF"/>
        </w:rPr>
        <w:t>arteriosclerosis. He argued that he experienced congestion of the blood in his brain, caused by hardening of the arteries. The appeal court had to decide whether the trial judge correctly instructed the jury that insanity was the proper defence in this case, and whether the M'Naghten "disease of the mind" test should be applied to physical conditions too. Overall, the court claimed that due to the effect on a person’s ability to reason, that hardening of the arteries could in fact count as disease of the mind.  This has been heavily criticised, many argue that defence of insanity should only apply to mental health or psychiatric issues (Williams, 1954).</w:t>
      </w:r>
    </w:p>
    <w:p w14:paraId="7A7F984E" w14:textId="77777777" w:rsidR="008E7A6F" w:rsidRPr="00BB12FF" w:rsidRDefault="008E7A6F" w:rsidP="008E7A6F">
      <w:pPr>
        <w:spacing w:line="360" w:lineRule="auto"/>
        <w:rPr>
          <w:rFonts w:ascii="Arial" w:hAnsi="Arial" w:cs="Segoe UI"/>
          <w:color w:val="212529"/>
          <w:sz w:val="24"/>
          <w:szCs w:val="24"/>
          <w:shd w:val="clear" w:color="auto" w:fill="FFFFFF"/>
        </w:rPr>
      </w:pPr>
      <w:r w:rsidRPr="00BB12FF">
        <w:rPr>
          <w:rFonts w:ascii="Arial" w:hAnsi="Arial" w:cs="Segoe UI"/>
          <w:color w:val="212529"/>
          <w:sz w:val="24"/>
          <w:szCs w:val="24"/>
          <w:shd w:val="clear" w:color="auto" w:fill="FFFFFF"/>
        </w:rPr>
        <w:t>The defence of inanity can seem somewhat ambiguous at times, and difficult to interoperate. R v Clarke (1972) is an example of how it can be misinterpreted. A woman was arrested for shop lifting items, by placing them in her handbag. She was convicted under the Theft Act 1968, however her trial judge decided the most appropriate defence was defence of insanity on grounds that she was absent minded and had no recollection of stealing any items. Issues raised in this case was the uncertainty of whether defence of insanity was appropriate due to the fact the defendant only experienced depression, which came with slight and infrequent periods of forgetfulness. The defendant had not articulated an insanity defence, rather, he was simply trying to refute mens rea, and in either situation, a case of temporary absent mindedness is not of psychiatric severity from the requirement necessary to prevail in an insanity defence, according to the court. A significant deficiency of rationality on the part of the defendant is required for an insanity defence to proceed (House of Lords, 2008).</w:t>
      </w:r>
    </w:p>
    <w:p w14:paraId="0C02F009" w14:textId="77777777" w:rsidR="008E7A6F" w:rsidRPr="00BB12FF" w:rsidRDefault="008E7A6F" w:rsidP="008E7A6F">
      <w:pPr>
        <w:spacing w:line="360" w:lineRule="auto"/>
        <w:rPr>
          <w:rFonts w:ascii="Arial" w:hAnsi="Arial" w:cs="Segoe UI"/>
          <w:color w:val="212529"/>
          <w:sz w:val="24"/>
          <w:szCs w:val="24"/>
          <w:shd w:val="clear" w:color="auto" w:fill="FFFFFF"/>
        </w:rPr>
      </w:pPr>
    </w:p>
    <w:p w14:paraId="67BF3AF2" w14:textId="77777777" w:rsidR="008E7A6F" w:rsidRPr="00BB12FF" w:rsidRDefault="008E7A6F" w:rsidP="008E7A6F">
      <w:pPr>
        <w:spacing w:line="360" w:lineRule="auto"/>
        <w:rPr>
          <w:rFonts w:ascii="Arial" w:hAnsi="Arial" w:cs="Segoe UI"/>
          <w:color w:val="212529"/>
          <w:sz w:val="24"/>
          <w:szCs w:val="24"/>
          <w:shd w:val="clear" w:color="auto" w:fill="FFFFFF"/>
        </w:rPr>
      </w:pPr>
    </w:p>
    <w:p w14:paraId="2E45402A" w14:textId="77777777" w:rsidR="008E7A6F" w:rsidRPr="00BB12FF" w:rsidRDefault="008E7A6F" w:rsidP="008E7A6F">
      <w:pPr>
        <w:spacing w:line="360" w:lineRule="auto"/>
        <w:rPr>
          <w:rFonts w:ascii="Arial" w:hAnsi="Arial"/>
          <w:sz w:val="24"/>
          <w:szCs w:val="24"/>
        </w:rPr>
      </w:pPr>
      <w:r w:rsidRPr="00BB12FF">
        <w:rPr>
          <w:rFonts w:ascii="Arial" w:hAnsi="Arial" w:cs="Segoe UI"/>
          <w:color w:val="212529"/>
          <w:sz w:val="24"/>
          <w:szCs w:val="24"/>
          <w:shd w:val="clear" w:color="auto" w:fill="FFFFFF"/>
        </w:rPr>
        <w:t xml:space="preserve">Another reason that defence of insanity is desperate for reform is that the label ‘insane’ is significantly outdated, the word isn’t fitting for many reasons and is somewhat offensive. The term is simply incorrect in terms of learning difficulties, learning disabilities and epilepsy. It is an outdated description of mental illness and </w:t>
      </w:r>
      <w:r w:rsidRPr="00BB12FF">
        <w:rPr>
          <w:rFonts w:ascii="Arial" w:hAnsi="Arial" w:cs="Segoe UI"/>
          <w:color w:val="212529"/>
          <w:sz w:val="24"/>
          <w:szCs w:val="24"/>
          <w:shd w:val="clear" w:color="auto" w:fill="FFFFFF"/>
        </w:rPr>
        <w:lastRenderedPageBreak/>
        <w:t>being diagnosed with mental illness doesn’t strictly deem a person as ‘insane’ (Rix, 2018).</w:t>
      </w:r>
    </w:p>
    <w:p w14:paraId="31BB5477" w14:textId="77777777" w:rsidR="008E7A6F" w:rsidRPr="00BB12FF" w:rsidRDefault="008E7A6F" w:rsidP="008E7A6F">
      <w:pPr>
        <w:spacing w:line="360" w:lineRule="auto"/>
        <w:rPr>
          <w:rFonts w:ascii="Arial" w:hAnsi="Arial"/>
          <w:sz w:val="24"/>
          <w:szCs w:val="24"/>
        </w:rPr>
      </w:pPr>
    </w:p>
    <w:p w14:paraId="7AA41E76" w14:textId="77777777" w:rsidR="008E7A6F" w:rsidRPr="00BB12FF" w:rsidRDefault="008E7A6F" w:rsidP="008E7A6F">
      <w:pPr>
        <w:spacing w:line="360" w:lineRule="auto"/>
        <w:rPr>
          <w:rFonts w:ascii="Arial" w:hAnsi="Arial"/>
          <w:sz w:val="24"/>
          <w:szCs w:val="24"/>
        </w:rPr>
      </w:pPr>
      <w:r w:rsidRPr="00BB12FF">
        <w:rPr>
          <w:rFonts w:ascii="Arial" w:hAnsi="Arial"/>
          <w:sz w:val="24"/>
          <w:szCs w:val="24"/>
        </w:rPr>
        <w:t>However, The Law commission released a discussion report analysing insanity and automatism. In this paper they disclosed that they found no practical issues in terms of the insanity defence when used in practice. While academic critiques of the defences are warranted, legal and medical professionals claim that they operate quite easily around the issues (</w:t>
      </w:r>
      <w:r w:rsidRPr="00BB12FF">
        <w:rPr>
          <w:rFonts w:ascii="Arial" w:hAnsi="Arial" w:cs="Segoe UI"/>
          <w:color w:val="212529"/>
          <w:sz w:val="24"/>
          <w:szCs w:val="24"/>
          <w:shd w:val="clear" w:color="auto" w:fill="FFFFFF"/>
        </w:rPr>
        <w:t>Law Commission, 2013).</w:t>
      </w:r>
      <w:r w:rsidRPr="00BB12FF">
        <w:rPr>
          <w:rFonts w:ascii="Arial" w:hAnsi="Arial"/>
          <w:sz w:val="24"/>
          <w:szCs w:val="24"/>
        </w:rPr>
        <w:t xml:space="preserve"> They mentioned that there are other facets of the criminal justice system that should be addressed before the insanity and automatism defences. In conclusion, the defence of insanity has numerous flaws and would undoubtedly benefit from reform. Although, it seems as though it’s still effective in prosecution, and legal practitioners don’t experience any major issues when using it for prosecution and believe that it is not desperate for reform. </w:t>
      </w:r>
    </w:p>
    <w:p w14:paraId="671D97BC" w14:textId="77777777" w:rsidR="008E7A6F" w:rsidRPr="00651031" w:rsidRDefault="008E7A6F" w:rsidP="008E7A6F">
      <w:pPr>
        <w:rPr>
          <w:rFonts w:asciiTheme="minorHAnsi" w:hAnsiTheme="minorHAnsi"/>
          <w:b/>
          <w:bCs/>
          <w:sz w:val="22"/>
          <w:szCs w:val="22"/>
          <w:u w:val="single"/>
        </w:rPr>
      </w:pPr>
      <w:r w:rsidRPr="00651031">
        <w:rPr>
          <w:rFonts w:asciiTheme="minorHAnsi" w:hAnsiTheme="minorHAnsi"/>
          <w:b/>
          <w:bCs/>
          <w:sz w:val="22"/>
          <w:szCs w:val="22"/>
          <w:u w:val="single"/>
        </w:rPr>
        <w:t>Question 2</w:t>
      </w:r>
    </w:p>
    <w:p w14:paraId="7552FFA1" w14:textId="77777777" w:rsidR="008E7A6F" w:rsidRPr="00AE35AD" w:rsidRDefault="008E7A6F" w:rsidP="008E7A6F">
      <w:pPr>
        <w:spacing w:line="360" w:lineRule="auto"/>
        <w:rPr>
          <w:rFonts w:ascii="Arial" w:hAnsi="Arial"/>
          <w:sz w:val="24"/>
          <w:szCs w:val="24"/>
        </w:rPr>
      </w:pPr>
    </w:p>
    <w:p w14:paraId="0C25B8C1" w14:textId="77777777" w:rsidR="008E7A6F" w:rsidRDefault="008E7A6F" w:rsidP="008E7A6F">
      <w:pPr>
        <w:spacing w:line="360" w:lineRule="auto"/>
        <w:rPr>
          <w:rFonts w:ascii="Arial" w:hAnsi="Arial"/>
          <w:color w:val="000000"/>
          <w:sz w:val="24"/>
          <w:szCs w:val="24"/>
        </w:rPr>
      </w:pPr>
      <w:r w:rsidRPr="00AE35AD">
        <w:rPr>
          <w:rFonts w:ascii="Arial" w:hAnsi="Arial"/>
          <w:color w:val="000000"/>
          <w:sz w:val="24"/>
          <w:szCs w:val="24"/>
        </w:rPr>
        <w:t>In this scenario Ali, jenny’s ex-boyfriend started a fight due to the jealousy of seeing her new partner Colin. The doorman Lee asked Ali to leave which then led to Ali punching him in the face leaving Lee unconscious. Unfortunately, Lee died later that night. As a result of his actions, Ali would’ve been charged with Grievous Bodily Harm (GBH) and Manslaughter.</w:t>
      </w:r>
    </w:p>
    <w:p w14:paraId="1E2D81EE" w14:textId="77777777" w:rsidR="008E7A6F" w:rsidRDefault="008E7A6F" w:rsidP="008E7A6F">
      <w:pPr>
        <w:spacing w:line="360" w:lineRule="auto"/>
        <w:rPr>
          <w:rFonts w:ascii="Arial" w:hAnsi="Arial"/>
          <w:color w:val="000000"/>
          <w:sz w:val="24"/>
          <w:szCs w:val="24"/>
        </w:rPr>
      </w:pPr>
    </w:p>
    <w:p w14:paraId="52DE5BAE" w14:textId="77777777" w:rsidR="008E7A6F" w:rsidRDefault="008E7A6F" w:rsidP="008E7A6F">
      <w:pPr>
        <w:spacing w:line="360" w:lineRule="auto"/>
        <w:rPr>
          <w:rFonts w:ascii="Arial" w:hAnsi="Arial"/>
          <w:color w:val="000000"/>
          <w:sz w:val="24"/>
          <w:szCs w:val="24"/>
          <w:shd w:val="clear" w:color="auto" w:fill="FFFFFF"/>
        </w:rPr>
      </w:pPr>
      <w:r w:rsidRPr="00AE35AD">
        <w:rPr>
          <w:rFonts w:ascii="Arial" w:hAnsi="Arial"/>
          <w:color w:val="000000"/>
          <w:sz w:val="24"/>
          <w:szCs w:val="24"/>
        </w:rPr>
        <w:t xml:space="preserve"> Grievous bodily harm is under Section 18, also known as wounding with intent, it is the most severe form of assault. This is an indictable offense, meaning it can only be prosecuted in the Crown Court. The maximum punishment is life in jail. There are two types of assault, section 18 and section 20, the only difference between them both is intent. Ali did in fact punch Lee with intent to cause bodily harm, therefore comes under section 20. Offences against the person act 1861 defines GBH as </w:t>
      </w:r>
      <w:r w:rsidRPr="00AE35AD">
        <w:rPr>
          <w:rFonts w:ascii="Arial" w:hAnsi="Arial"/>
          <w:color w:val="000000"/>
          <w:sz w:val="24"/>
          <w:szCs w:val="24"/>
          <w:shd w:val="clear" w:color="auto" w:fill="FFFFFF"/>
        </w:rPr>
        <w:t>"whosoever shall unlawfully and maliciously wound or inflict any grievous bodily harm on any other person, either with or without a weapon or instrument, shall be guilty of a misdemeanour"</w:t>
      </w:r>
      <w:r>
        <w:rPr>
          <w:rFonts w:ascii="Arial" w:hAnsi="Arial"/>
          <w:color w:val="000000"/>
          <w:sz w:val="24"/>
          <w:szCs w:val="24"/>
          <w:shd w:val="clear" w:color="auto" w:fill="FFFFFF"/>
        </w:rPr>
        <w:t xml:space="preserve">. </w:t>
      </w:r>
    </w:p>
    <w:p w14:paraId="37700258" w14:textId="77777777" w:rsidR="008E7A6F" w:rsidRDefault="008E7A6F" w:rsidP="008E7A6F">
      <w:pPr>
        <w:spacing w:line="360" w:lineRule="auto"/>
        <w:rPr>
          <w:rFonts w:ascii="Arial" w:hAnsi="Arial"/>
          <w:color w:val="000000"/>
          <w:sz w:val="24"/>
          <w:szCs w:val="24"/>
          <w:shd w:val="clear" w:color="auto" w:fill="FFFFFF"/>
        </w:rPr>
      </w:pPr>
    </w:p>
    <w:p w14:paraId="5F16C588" w14:textId="77777777" w:rsidR="008E7A6F" w:rsidRPr="00A8618F" w:rsidRDefault="008E7A6F" w:rsidP="008E7A6F">
      <w:pPr>
        <w:spacing w:line="360" w:lineRule="auto"/>
        <w:rPr>
          <w:rFonts w:ascii="Arial" w:hAnsi="Arial"/>
          <w:b/>
          <w:bCs/>
          <w:color w:val="000000"/>
          <w:sz w:val="24"/>
          <w:szCs w:val="24"/>
          <w:shd w:val="clear" w:color="auto" w:fill="FFFFFF"/>
        </w:rPr>
      </w:pPr>
      <w:r w:rsidRPr="00A8618F">
        <w:rPr>
          <w:rFonts w:ascii="Arial" w:hAnsi="Arial"/>
          <w:b/>
          <w:bCs/>
          <w:color w:val="000000"/>
          <w:sz w:val="24"/>
          <w:szCs w:val="24"/>
          <w:shd w:val="clear" w:color="auto" w:fill="FFFFFF"/>
        </w:rPr>
        <w:t>Actus rea of GBH</w:t>
      </w:r>
    </w:p>
    <w:p w14:paraId="07A4CAE6" w14:textId="77777777" w:rsidR="008E7A6F" w:rsidRDefault="008E7A6F" w:rsidP="008E7A6F">
      <w:pPr>
        <w:spacing w:line="360" w:lineRule="auto"/>
        <w:rPr>
          <w:rFonts w:ascii="Arial" w:hAnsi="Arial"/>
          <w:color w:val="000000"/>
          <w:sz w:val="24"/>
          <w:szCs w:val="24"/>
          <w:shd w:val="clear" w:color="auto" w:fill="FFFFFF"/>
        </w:rPr>
      </w:pPr>
      <w:r>
        <w:rPr>
          <w:rFonts w:ascii="Arial" w:hAnsi="Arial"/>
          <w:color w:val="000000"/>
          <w:sz w:val="24"/>
          <w:szCs w:val="24"/>
          <w:shd w:val="clear" w:color="auto" w:fill="FFFFFF"/>
        </w:rPr>
        <w:lastRenderedPageBreak/>
        <w:t>T</w:t>
      </w:r>
      <w:r w:rsidRPr="00AE35AD">
        <w:rPr>
          <w:rFonts w:ascii="Arial" w:hAnsi="Arial"/>
          <w:color w:val="000000"/>
          <w:sz w:val="24"/>
          <w:szCs w:val="24"/>
          <w:shd w:val="clear" w:color="auto" w:fill="FFFFFF"/>
        </w:rPr>
        <w:t>he wounding or grievous bodily harm must be done "maliciously," but Cunningham (1957) clarified that this simply means that the defendant must cause the harm</w:t>
      </w:r>
      <w:r>
        <w:rPr>
          <w:rFonts w:ascii="Arial" w:hAnsi="Arial"/>
          <w:color w:val="000000"/>
          <w:sz w:val="24"/>
          <w:szCs w:val="24"/>
          <w:shd w:val="clear" w:color="auto" w:fill="FFFFFF"/>
        </w:rPr>
        <w:t xml:space="preserve"> with intent</w:t>
      </w:r>
      <w:r w:rsidRPr="00AE35AD">
        <w:rPr>
          <w:rFonts w:ascii="Arial" w:hAnsi="Arial"/>
          <w:color w:val="000000"/>
          <w:sz w:val="24"/>
          <w:szCs w:val="24"/>
          <w:shd w:val="clear" w:color="auto" w:fill="FFFFFF"/>
        </w:rPr>
        <w:t xml:space="preserve"> or be subjectively careless about whether such harm would occur. R v Mowatt (1976), provided the important principle that the prosecution does not have to show that the defendant intended or anticipated the damage.</w:t>
      </w:r>
    </w:p>
    <w:p w14:paraId="5808A0E3" w14:textId="77777777" w:rsidR="008E7A6F" w:rsidRDefault="008E7A6F" w:rsidP="008E7A6F">
      <w:pPr>
        <w:spacing w:line="360" w:lineRule="auto"/>
        <w:rPr>
          <w:rFonts w:ascii="Arial" w:hAnsi="Arial"/>
          <w:b/>
          <w:bCs/>
          <w:color w:val="000000"/>
          <w:sz w:val="24"/>
          <w:szCs w:val="24"/>
          <w:shd w:val="clear" w:color="auto" w:fill="FFFFFF"/>
        </w:rPr>
      </w:pPr>
      <w:r w:rsidRPr="00A8618F">
        <w:rPr>
          <w:rFonts w:ascii="Arial" w:hAnsi="Arial"/>
          <w:b/>
          <w:bCs/>
          <w:color w:val="000000"/>
          <w:sz w:val="24"/>
          <w:szCs w:val="24"/>
          <w:shd w:val="clear" w:color="auto" w:fill="FFFFFF"/>
        </w:rPr>
        <w:t>Mens Rea</w:t>
      </w:r>
    </w:p>
    <w:p w14:paraId="5E10FB4E" w14:textId="77777777" w:rsidR="008E7A6F" w:rsidRDefault="008E7A6F" w:rsidP="008E7A6F">
      <w:pPr>
        <w:spacing w:line="360" w:lineRule="auto"/>
        <w:rPr>
          <w:rFonts w:ascii="Arial" w:hAnsi="Arial"/>
          <w:sz w:val="24"/>
          <w:szCs w:val="24"/>
        </w:rPr>
      </w:pPr>
      <w:r w:rsidRPr="00A8618F">
        <w:rPr>
          <w:rFonts w:ascii="Arial" w:hAnsi="Arial"/>
          <w:sz w:val="24"/>
          <w:szCs w:val="24"/>
        </w:rPr>
        <w:t xml:space="preserve">According to R v Belfon 1976, the </w:t>
      </w:r>
      <w:r>
        <w:rPr>
          <w:rFonts w:ascii="Arial" w:hAnsi="Arial"/>
          <w:sz w:val="24"/>
          <w:szCs w:val="24"/>
        </w:rPr>
        <w:t>jury</w:t>
      </w:r>
      <w:r w:rsidRPr="00A8618F">
        <w:rPr>
          <w:rFonts w:ascii="Arial" w:hAnsi="Arial"/>
          <w:sz w:val="24"/>
          <w:szCs w:val="24"/>
        </w:rPr>
        <w:t xml:space="preserve"> must show that the </w:t>
      </w:r>
      <w:r>
        <w:rPr>
          <w:rFonts w:ascii="Arial" w:hAnsi="Arial"/>
          <w:sz w:val="24"/>
          <w:szCs w:val="24"/>
        </w:rPr>
        <w:t>Ali</w:t>
      </w:r>
      <w:r w:rsidRPr="00A8618F">
        <w:rPr>
          <w:rFonts w:ascii="Arial" w:hAnsi="Arial"/>
          <w:sz w:val="24"/>
          <w:szCs w:val="24"/>
        </w:rPr>
        <w:t xml:space="preserve"> had a clear intention to </w:t>
      </w:r>
      <w:r>
        <w:rPr>
          <w:rFonts w:ascii="Arial" w:hAnsi="Arial"/>
          <w:sz w:val="24"/>
          <w:szCs w:val="24"/>
        </w:rPr>
        <w:t>cause</w:t>
      </w:r>
      <w:r w:rsidRPr="00A8618F">
        <w:rPr>
          <w:rFonts w:ascii="Arial" w:hAnsi="Arial"/>
          <w:sz w:val="24"/>
          <w:szCs w:val="24"/>
        </w:rPr>
        <w:t xml:space="preserve"> GBH </w:t>
      </w:r>
      <w:r>
        <w:rPr>
          <w:rFonts w:ascii="Arial" w:hAnsi="Arial"/>
          <w:sz w:val="24"/>
          <w:szCs w:val="24"/>
        </w:rPr>
        <w:t>or</w:t>
      </w:r>
      <w:r w:rsidRPr="00A8618F">
        <w:rPr>
          <w:rFonts w:ascii="Arial" w:hAnsi="Arial"/>
          <w:sz w:val="24"/>
          <w:szCs w:val="24"/>
        </w:rPr>
        <w:t xml:space="preserve"> that the </w:t>
      </w:r>
      <w:r>
        <w:rPr>
          <w:rFonts w:ascii="Arial" w:hAnsi="Arial"/>
          <w:sz w:val="24"/>
          <w:szCs w:val="24"/>
        </w:rPr>
        <w:t>he</w:t>
      </w:r>
      <w:r w:rsidRPr="00A8618F">
        <w:rPr>
          <w:rFonts w:ascii="Arial" w:hAnsi="Arial"/>
          <w:sz w:val="24"/>
          <w:szCs w:val="24"/>
        </w:rPr>
        <w:t xml:space="preserve"> had an indirect intention to cause GBH</w:t>
      </w:r>
      <w:r>
        <w:rPr>
          <w:rFonts w:ascii="Arial" w:hAnsi="Arial"/>
          <w:sz w:val="24"/>
          <w:szCs w:val="24"/>
        </w:rPr>
        <w:t>.</w:t>
      </w:r>
    </w:p>
    <w:p w14:paraId="4C85CD2E" w14:textId="77777777" w:rsidR="008E7A6F" w:rsidRDefault="008E7A6F" w:rsidP="008E7A6F">
      <w:pPr>
        <w:spacing w:line="360" w:lineRule="auto"/>
        <w:rPr>
          <w:rFonts w:ascii="Arial" w:hAnsi="Arial"/>
          <w:sz w:val="24"/>
          <w:szCs w:val="24"/>
        </w:rPr>
      </w:pPr>
    </w:p>
    <w:p w14:paraId="441D427D" w14:textId="77777777" w:rsidR="008E7A6F" w:rsidRPr="00624AD1" w:rsidRDefault="008E7A6F" w:rsidP="008E7A6F">
      <w:pPr>
        <w:spacing w:line="360" w:lineRule="auto"/>
        <w:rPr>
          <w:rFonts w:ascii="Arial" w:hAnsi="Arial"/>
          <w:sz w:val="24"/>
          <w:szCs w:val="24"/>
        </w:rPr>
      </w:pPr>
      <w:r>
        <w:rPr>
          <w:rFonts w:ascii="Arial" w:hAnsi="Arial"/>
          <w:sz w:val="24"/>
          <w:szCs w:val="24"/>
        </w:rPr>
        <w:t>As a result of the GBH caused by Ali punching Lee, Lee died later that night. This would mean Ali is liable for manslaughter.</w:t>
      </w:r>
      <w:r w:rsidRPr="00FC7FCF">
        <w:t xml:space="preserve"> </w:t>
      </w:r>
      <w:r w:rsidRPr="00FC7FCF">
        <w:rPr>
          <w:rFonts w:ascii="Arial" w:hAnsi="Arial"/>
          <w:sz w:val="24"/>
          <w:szCs w:val="24"/>
        </w:rPr>
        <w:t xml:space="preserve">Since manslaughter always involves a fatality, it always involves the highest level of harm. Involuntary and voluntary manslaughter are the two types of manslaughter. Unlawful killing without the intent to kill or inflict very serious harm is known as involuntary manslaughter. </w:t>
      </w:r>
      <w:r>
        <w:rPr>
          <w:rFonts w:ascii="Arial" w:hAnsi="Arial"/>
          <w:sz w:val="24"/>
          <w:szCs w:val="24"/>
        </w:rPr>
        <w:t xml:space="preserve">Similar to Ali’s case, </w:t>
      </w:r>
      <w:r w:rsidRPr="00624AD1">
        <w:rPr>
          <w:rFonts w:ascii="Arial" w:hAnsi="Arial" w:cs="Segoe UI"/>
          <w:color w:val="212529"/>
          <w:sz w:val="24"/>
          <w:szCs w:val="24"/>
          <w:shd w:val="clear" w:color="auto" w:fill="FFFFFF"/>
        </w:rPr>
        <w:t>DPP v Newbury and Jones [1976]</w:t>
      </w:r>
      <w:r>
        <w:rPr>
          <w:rFonts w:ascii="Arial" w:hAnsi="Arial" w:cs="Segoe UI"/>
          <w:color w:val="212529"/>
          <w:sz w:val="24"/>
          <w:szCs w:val="24"/>
          <w:shd w:val="clear" w:color="auto" w:fill="FFFFFF"/>
        </w:rPr>
        <w:t xml:space="preserve"> where a</w:t>
      </w:r>
      <w:r w:rsidRPr="00624AD1">
        <w:rPr>
          <w:rFonts w:ascii="Arial" w:hAnsi="Arial" w:cs="Segoe UI"/>
          <w:color w:val="212529"/>
          <w:sz w:val="24"/>
          <w:szCs w:val="24"/>
          <w:shd w:val="clear" w:color="auto" w:fill="FFFFFF"/>
        </w:rPr>
        <w:t xml:space="preserve"> defendant was found guilty of manslaughter </w:t>
      </w:r>
      <w:r>
        <w:rPr>
          <w:rFonts w:ascii="Arial" w:hAnsi="Arial" w:cs="Segoe UI"/>
          <w:color w:val="212529"/>
          <w:sz w:val="24"/>
          <w:szCs w:val="24"/>
          <w:shd w:val="clear" w:color="auto" w:fill="FFFFFF"/>
        </w:rPr>
        <w:t>because it was</w:t>
      </w:r>
      <w:r w:rsidRPr="00624AD1">
        <w:rPr>
          <w:rFonts w:ascii="Arial" w:hAnsi="Arial" w:cs="Segoe UI"/>
          <w:color w:val="212529"/>
          <w:sz w:val="24"/>
          <w:szCs w:val="24"/>
          <w:shd w:val="clear" w:color="auto" w:fill="FFFFFF"/>
        </w:rPr>
        <w:t xml:space="preserve"> proven that he knowingly committed an unlawful and dangerous act that resulted in death, and that the defendant knew that the act was unlawful or dangerous.</w:t>
      </w:r>
    </w:p>
    <w:p w14:paraId="318C9B04" w14:textId="77777777" w:rsidR="008E7A6F" w:rsidRDefault="008E7A6F" w:rsidP="008E7A6F">
      <w:pPr>
        <w:spacing w:line="360" w:lineRule="auto"/>
        <w:rPr>
          <w:rFonts w:ascii="Arial" w:hAnsi="Arial"/>
          <w:sz w:val="24"/>
          <w:szCs w:val="24"/>
        </w:rPr>
      </w:pPr>
    </w:p>
    <w:p w14:paraId="7A23A79D" w14:textId="77777777" w:rsidR="008E7A6F" w:rsidRPr="00FC7FCF" w:rsidRDefault="008E7A6F" w:rsidP="008E7A6F">
      <w:pPr>
        <w:spacing w:line="360" w:lineRule="auto"/>
        <w:rPr>
          <w:rFonts w:ascii="Arial" w:hAnsi="Arial"/>
          <w:sz w:val="24"/>
          <w:szCs w:val="24"/>
        </w:rPr>
      </w:pPr>
      <w:r>
        <w:rPr>
          <w:rFonts w:ascii="Arial" w:hAnsi="Arial"/>
          <w:sz w:val="24"/>
          <w:szCs w:val="24"/>
        </w:rPr>
        <w:t xml:space="preserve">The next day, Ali grabbed colin by the arm and proceeded to stab him directly in the stomach. Ali’s action of stabbing Colin would make him liable for Murder. </w:t>
      </w:r>
      <w:r w:rsidRPr="004F5C37">
        <w:rPr>
          <w:rFonts w:ascii="Arial" w:hAnsi="Arial"/>
          <w:sz w:val="24"/>
          <w:szCs w:val="24"/>
        </w:rPr>
        <w:t>Murder is a crime in England and Wales under common law. It is the most serious form of murder, in which one person intentionally kills another with the intent to cause death or serious injury.</w:t>
      </w:r>
      <w:r w:rsidRPr="004F5C37">
        <w:t xml:space="preserve"> </w:t>
      </w:r>
      <w:r w:rsidRPr="004F5C37">
        <w:rPr>
          <w:rFonts w:ascii="Arial" w:hAnsi="Arial"/>
          <w:sz w:val="24"/>
          <w:szCs w:val="24"/>
        </w:rPr>
        <w:t xml:space="preserve">Murder is a crime in England and Wales under common law. It is the most serious form of </w:t>
      </w:r>
      <w:r>
        <w:rPr>
          <w:rFonts w:ascii="Arial" w:hAnsi="Arial"/>
          <w:sz w:val="24"/>
          <w:szCs w:val="24"/>
        </w:rPr>
        <w:t>killing</w:t>
      </w:r>
      <w:r w:rsidRPr="004F5C37">
        <w:rPr>
          <w:rFonts w:ascii="Arial" w:hAnsi="Arial"/>
          <w:sz w:val="24"/>
          <w:szCs w:val="24"/>
        </w:rPr>
        <w:t xml:space="preserve">, </w:t>
      </w:r>
      <w:r>
        <w:rPr>
          <w:rFonts w:ascii="Arial" w:hAnsi="Arial"/>
          <w:sz w:val="24"/>
          <w:szCs w:val="24"/>
        </w:rPr>
        <w:t>where</w:t>
      </w:r>
      <w:r w:rsidRPr="004F5C37">
        <w:rPr>
          <w:rFonts w:ascii="Arial" w:hAnsi="Arial"/>
          <w:sz w:val="24"/>
          <w:szCs w:val="24"/>
        </w:rPr>
        <w:t xml:space="preserve"> </w:t>
      </w:r>
      <w:r>
        <w:rPr>
          <w:rFonts w:ascii="Arial" w:hAnsi="Arial"/>
          <w:sz w:val="24"/>
          <w:szCs w:val="24"/>
        </w:rPr>
        <w:t>a</w:t>
      </w:r>
      <w:r w:rsidRPr="004F5C37">
        <w:rPr>
          <w:rFonts w:ascii="Arial" w:hAnsi="Arial"/>
          <w:sz w:val="24"/>
          <w:szCs w:val="24"/>
        </w:rPr>
        <w:t xml:space="preserve"> person intentionally kills another with the intent to cause death or serious injury.</w:t>
      </w:r>
      <w:r>
        <w:rPr>
          <w:rFonts w:ascii="Arial" w:hAnsi="Arial"/>
          <w:sz w:val="24"/>
          <w:szCs w:val="24"/>
        </w:rPr>
        <w:t xml:space="preserve"> Ali would be liable for Murder due to the fact he intentionally kills Colin with the intent to cause death or serious injury. </w:t>
      </w:r>
    </w:p>
    <w:p w14:paraId="44E236F5" w14:textId="77777777" w:rsidR="008E7A6F" w:rsidRDefault="008E7A6F" w:rsidP="008E7A6F">
      <w:pPr>
        <w:spacing w:line="360" w:lineRule="auto"/>
        <w:rPr>
          <w:rFonts w:ascii="Arial" w:hAnsi="Arial"/>
          <w:sz w:val="24"/>
          <w:szCs w:val="24"/>
        </w:rPr>
      </w:pPr>
    </w:p>
    <w:p w14:paraId="356337D6" w14:textId="77777777" w:rsidR="008E7A6F" w:rsidRDefault="008E7A6F" w:rsidP="008E7A6F">
      <w:pPr>
        <w:spacing w:line="360" w:lineRule="auto"/>
        <w:rPr>
          <w:rFonts w:ascii="Arial" w:hAnsi="Arial"/>
          <w:sz w:val="24"/>
          <w:szCs w:val="24"/>
        </w:rPr>
      </w:pPr>
      <w:r>
        <w:rPr>
          <w:rFonts w:ascii="Arial" w:hAnsi="Arial"/>
          <w:sz w:val="24"/>
          <w:szCs w:val="24"/>
        </w:rPr>
        <w:t xml:space="preserve">In conclusion, Ali would be liable for offences such as Grevious bodily harm, for punching the doorman. Manslaughter, for unintentionally killing Lee by punching him. Lastly, Ali would be liable for Murder for stabbing Lee with the intent of killing or causing serious injury. </w:t>
      </w:r>
    </w:p>
    <w:p w14:paraId="4467C00B" w14:textId="77777777" w:rsidR="004E3E86" w:rsidRDefault="008E7A6F"/>
    <w:sectPr w:rsidR="004E3E86"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A6F"/>
    <w:rsid w:val="00342BB6"/>
    <w:rsid w:val="0078184F"/>
    <w:rsid w:val="007B4B61"/>
    <w:rsid w:val="008E7A6F"/>
    <w:rsid w:val="00D06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EBA429"/>
  <w15:chartTrackingRefBased/>
  <w15:docId w15:val="{77837FA3-57E9-994F-A8E5-1F519274F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A6F"/>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1385</Words>
  <Characters>7928</Characters>
  <Application>Microsoft Office Word</Application>
  <DocSecurity>0</DocSecurity>
  <Lines>165</Lines>
  <Paragraphs>33</Paragraphs>
  <ScaleCrop>false</ScaleCrop>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1</cp:revision>
  <dcterms:created xsi:type="dcterms:W3CDTF">2021-05-06T22:27:00Z</dcterms:created>
  <dcterms:modified xsi:type="dcterms:W3CDTF">2021-05-06T22:28:00Z</dcterms:modified>
</cp:coreProperties>
</file>