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16C2CD" w14:textId="77777777" w:rsidR="00812A02" w:rsidRDefault="00812A02" w:rsidP="00812A02">
      <w:pPr>
        <w:jc w:val="center"/>
        <w:rPr>
          <w:b/>
          <w:bCs/>
          <w:lang w:val="en-US"/>
        </w:rPr>
      </w:pPr>
    </w:p>
    <w:p w14:paraId="4CF57997" w14:textId="77777777" w:rsidR="00812A02" w:rsidRDefault="00812A02" w:rsidP="00812A02">
      <w:pPr>
        <w:jc w:val="center"/>
        <w:rPr>
          <w:b/>
          <w:bCs/>
          <w:lang w:val="en-US"/>
        </w:rPr>
      </w:pPr>
    </w:p>
    <w:p w14:paraId="2A2F0637" w14:textId="77777777" w:rsidR="00812A02" w:rsidRDefault="00812A02" w:rsidP="00812A02">
      <w:pPr>
        <w:jc w:val="center"/>
        <w:rPr>
          <w:b/>
          <w:bCs/>
          <w:lang w:val="en-US"/>
        </w:rPr>
      </w:pPr>
    </w:p>
    <w:p w14:paraId="622979E6" w14:textId="77777777" w:rsidR="00812A02" w:rsidRDefault="00812A02" w:rsidP="00812A02">
      <w:pPr>
        <w:jc w:val="center"/>
        <w:rPr>
          <w:b/>
          <w:bCs/>
          <w:lang w:val="en-US"/>
        </w:rPr>
      </w:pPr>
    </w:p>
    <w:p w14:paraId="7CBDF9C0" w14:textId="77777777" w:rsidR="00812A02" w:rsidRDefault="00812A02" w:rsidP="00812A02">
      <w:pPr>
        <w:jc w:val="center"/>
        <w:rPr>
          <w:b/>
          <w:bCs/>
          <w:lang w:val="en-US"/>
        </w:rPr>
      </w:pPr>
    </w:p>
    <w:p w14:paraId="20A7C706" w14:textId="77777777" w:rsidR="00812A02" w:rsidRDefault="00812A02" w:rsidP="00812A02">
      <w:pPr>
        <w:jc w:val="center"/>
        <w:rPr>
          <w:b/>
          <w:bCs/>
          <w:sz w:val="44"/>
          <w:szCs w:val="44"/>
          <w:lang w:val="en-US"/>
        </w:rPr>
      </w:pPr>
    </w:p>
    <w:p w14:paraId="71780FE9" w14:textId="77777777" w:rsidR="00812A02" w:rsidRDefault="00812A02" w:rsidP="00812A02">
      <w:pPr>
        <w:jc w:val="center"/>
        <w:rPr>
          <w:b/>
          <w:bCs/>
          <w:sz w:val="44"/>
          <w:szCs w:val="44"/>
          <w:lang w:val="en-US"/>
        </w:rPr>
      </w:pPr>
    </w:p>
    <w:p w14:paraId="310937EA" w14:textId="28971B2B" w:rsidR="00812A02" w:rsidRDefault="00812A02" w:rsidP="00104371">
      <w:pPr>
        <w:rPr>
          <w:b/>
          <w:bCs/>
          <w:sz w:val="44"/>
          <w:szCs w:val="44"/>
          <w:lang w:val="en-US"/>
        </w:rPr>
      </w:pPr>
    </w:p>
    <w:p w14:paraId="306CCC0D" w14:textId="242473F9" w:rsidR="00812A02" w:rsidRDefault="00812A02" w:rsidP="00812A02">
      <w:pPr>
        <w:spacing w:line="240" w:lineRule="auto"/>
        <w:jc w:val="left"/>
        <w:rPr>
          <w:b/>
          <w:bCs/>
          <w:sz w:val="44"/>
          <w:szCs w:val="44"/>
          <w:lang w:val="en-US"/>
        </w:rPr>
      </w:pPr>
      <w:r>
        <w:rPr>
          <w:b/>
          <w:bCs/>
          <w:sz w:val="44"/>
          <w:szCs w:val="44"/>
          <w:lang w:val="en-US"/>
        </w:rPr>
        <w:br w:type="page"/>
      </w:r>
      <w:r w:rsidRPr="00812A02">
        <w:rPr>
          <w:b/>
          <w:bCs/>
          <w:noProof/>
          <w:sz w:val="44"/>
          <w:szCs w:val="44"/>
          <w:lang w:val="en-US"/>
        </w:rPr>
        <w:drawing>
          <wp:inline distT="0" distB="0" distL="0" distR="0" wp14:anchorId="6EC8164E" wp14:editId="24E51237">
            <wp:extent cx="5727700" cy="42957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5727700" cy="4295775"/>
                    </a:xfrm>
                    <a:prstGeom prst="rect">
                      <a:avLst/>
                    </a:prstGeom>
                  </pic:spPr>
                </pic:pic>
              </a:graphicData>
            </a:graphic>
          </wp:inline>
        </w:drawing>
      </w:r>
    </w:p>
    <w:p w14:paraId="56461799" w14:textId="77777777" w:rsidR="00964CE0" w:rsidRDefault="00812A02" w:rsidP="00964CE0">
      <w:pPr>
        <w:spacing w:line="240" w:lineRule="auto"/>
        <w:jc w:val="left"/>
        <w:rPr>
          <w:b/>
          <w:bCs/>
          <w:sz w:val="44"/>
          <w:szCs w:val="44"/>
          <w:lang w:val="en-US"/>
        </w:rPr>
      </w:pPr>
      <w:r w:rsidRPr="00812A02">
        <w:rPr>
          <w:b/>
          <w:bCs/>
          <w:noProof/>
          <w:sz w:val="44"/>
          <w:szCs w:val="44"/>
          <w:lang w:val="en-US"/>
        </w:rPr>
        <w:drawing>
          <wp:inline distT="0" distB="0" distL="0" distR="0" wp14:anchorId="6357ED4A" wp14:editId="1A6069B1">
            <wp:extent cx="5727700" cy="4295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727700" cy="4295775"/>
                    </a:xfrm>
                    <a:prstGeom prst="rect">
                      <a:avLst/>
                    </a:prstGeom>
                  </pic:spPr>
                </pic:pic>
              </a:graphicData>
            </a:graphic>
          </wp:inline>
        </w:drawing>
      </w:r>
    </w:p>
    <w:p w14:paraId="307A5C7B" w14:textId="21FBDC7B" w:rsidR="00812A02" w:rsidRPr="00964CE0" w:rsidRDefault="00812A02" w:rsidP="00964CE0">
      <w:pPr>
        <w:spacing w:line="240" w:lineRule="auto"/>
        <w:jc w:val="left"/>
        <w:rPr>
          <w:b/>
          <w:bCs/>
          <w:sz w:val="44"/>
          <w:szCs w:val="44"/>
          <w:lang w:val="en-US"/>
        </w:rPr>
      </w:pPr>
      <w:r w:rsidRPr="00812A02">
        <w:rPr>
          <w:noProof/>
          <w:lang w:val="en-US"/>
        </w:rPr>
        <w:drawing>
          <wp:inline distT="0" distB="0" distL="0" distR="0" wp14:anchorId="71CF5DE5" wp14:editId="1EF4A33C">
            <wp:extent cx="5727700" cy="429577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27700" cy="4295775"/>
                    </a:xfrm>
                    <a:prstGeom prst="rect">
                      <a:avLst/>
                    </a:prstGeom>
                  </pic:spPr>
                </pic:pic>
              </a:graphicData>
            </a:graphic>
          </wp:inline>
        </w:drawing>
      </w:r>
    </w:p>
    <w:p w14:paraId="171BC317" w14:textId="77777777" w:rsidR="00812A02" w:rsidRPr="00812A02" w:rsidRDefault="00812A02" w:rsidP="00812A02">
      <w:pPr>
        <w:rPr>
          <w:lang w:val="en-IN"/>
        </w:rPr>
      </w:pPr>
      <w:r w:rsidRPr="00812A02">
        <w:rPr>
          <w:lang w:val="en-US"/>
        </w:rPr>
        <w:t xml:space="preserve">The human resource officer’s role is to involve all levels of employees in organisational operation by providing a motivated and cooperative workplace. The major responsibility is to recruit new employees, train newcomers and regulate different segments of an </w:t>
      </w:r>
      <w:proofErr w:type="spellStart"/>
      <w:r w:rsidRPr="00812A02">
        <w:rPr>
          <w:lang w:val="en-US"/>
        </w:rPr>
        <w:t>organisation</w:t>
      </w:r>
      <w:proofErr w:type="spellEnd"/>
      <w:r w:rsidRPr="00812A02">
        <w:rPr>
          <w:lang w:val="en-US"/>
        </w:rPr>
        <w:t>. They improve the communication between all employees from higher to the lower level as well as maintain a healthy communicative environment in the office (</w:t>
      </w:r>
      <w:proofErr w:type="spellStart"/>
      <w:r w:rsidRPr="00812A02">
        <w:rPr>
          <w:lang w:val="en-US"/>
        </w:rPr>
        <w:t>Maity</w:t>
      </w:r>
      <w:proofErr w:type="spellEnd"/>
      <w:r w:rsidRPr="00812A02">
        <w:rPr>
          <w:lang w:val="en-US"/>
        </w:rPr>
        <w:t xml:space="preserve">, 2019). It is the responsibility of an </w:t>
      </w:r>
      <w:proofErr w:type="spellStart"/>
      <w:r w:rsidRPr="00812A02">
        <w:rPr>
          <w:lang w:val="en-US"/>
        </w:rPr>
        <w:t>organisation</w:t>
      </w:r>
      <w:proofErr w:type="spellEnd"/>
      <w:r w:rsidRPr="00812A02">
        <w:rPr>
          <w:lang w:val="en-US"/>
        </w:rPr>
        <w:t xml:space="preserve"> to train a fresher as a human resource office by providing every detail of the </w:t>
      </w:r>
      <w:proofErr w:type="spellStart"/>
      <w:r w:rsidRPr="00812A02">
        <w:rPr>
          <w:lang w:val="en-US"/>
        </w:rPr>
        <w:t>organisation</w:t>
      </w:r>
      <w:proofErr w:type="spellEnd"/>
      <w:r w:rsidRPr="00812A02">
        <w:rPr>
          <w:lang w:val="en-US"/>
        </w:rPr>
        <w:t xml:space="preserve"> and by making them understands the workforce of the </w:t>
      </w:r>
      <w:proofErr w:type="spellStart"/>
      <w:r w:rsidRPr="00812A02">
        <w:rPr>
          <w:lang w:val="en-US"/>
        </w:rPr>
        <w:t>organisation</w:t>
      </w:r>
      <w:proofErr w:type="spellEnd"/>
      <w:r w:rsidRPr="00812A02">
        <w:rPr>
          <w:lang w:val="en-US"/>
        </w:rPr>
        <w:t>. Understanding employee demand and satisfying their needs is one of the major tasks of an HR officer (</w:t>
      </w:r>
      <w:proofErr w:type="spellStart"/>
      <w:r w:rsidRPr="00812A02">
        <w:rPr>
          <w:lang w:val="en-US"/>
        </w:rPr>
        <w:t>Engetou</w:t>
      </w:r>
      <w:proofErr w:type="spellEnd"/>
      <w:r w:rsidRPr="00812A02">
        <w:rPr>
          <w:lang w:val="en-US"/>
        </w:rPr>
        <w:t>, 2017).</w:t>
      </w:r>
    </w:p>
    <w:p w14:paraId="0A03707C" w14:textId="6D36E665" w:rsidR="00812A02" w:rsidRDefault="00812A02" w:rsidP="00812A02">
      <w:pPr>
        <w:rPr>
          <w:lang w:val="en-US"/>
        </w:rPr>
      </w:pPr>
      <w:r w:rsidRPr="00812A02">
        <w:rPr>
          <w:noProof/>
          <w:lang w:val="en-US"/>
        </w:rPr>
        <w:drawing>
          <wp:inline distT="0" distB="0" distL="0" distR="0" wp14:anchorId="7B9D4C6F" wp14:editId="4C88E4A7">
            <wp:extent cx="5727700" cy="429577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27700" cy="4295775"/>
                    </a:xfrm>
                    <a:prstGeom prst="rect">
                      <a:avLst/>
                    </a:prstGeom>
                  </pic:spPr>
                </pic:pic>
              </a:graphicData>
            </a:graphic>
          </wp:inline>
        </w:drawing>
      </w:r>
    </w:p>
    <w:p w14:paraId="4394EEFE" w14:textId="77777777" w:rsidR="00812A02" w:rsidRPr="00812A02" w:rsidRDefault="00812A02" w:rsidP="00812A02">
      <w:pPr>
        <w:rPr>
          <w:lang w:val="en-IN"/>
        </w:rPr>
      </w:pPr>
      <w:r w:rsidRPr="00812A02">
        <w:rPr>
          <w:lang w:val="en-US"/>
        </w:rPr>
        <w:t xml:space="preserve">The role of the HR officer is not limited under certain measures. An HR officer </w:t>
      </w:r>
      <w:proofErr w:type="gramStart"/>
      <w:r w:rsidRPr="00812A02">
        <w:rPr>
          <w:lang w:val="en-US"/>
        </w:rPr>
        <w:t>has to</w:t>
      </w:r>
      <w:proofErr w:type="gramEnd"/>
      <w:r w:rsidRPr="00812A02">
        <w:rPr>
          <w:lang w:val="en-US"/>
        </w:rPr>
        <w:t xml:space="preserve"> look for diverse sectors to maintain various operations that are going on inside the </w:t>
      </w:r>
      <w:proofErr w:type="spellStart"/>
      <w:r w:rsidRPr="00812A02">
        <w:rPr>
          <w:lang w:val="en-US"/>
        </w:rPr>
        <w:t>organisation</w:t>
      </w:r>
      <w:proofErr w:type="spellEnd"/>
      <w:r w:rsidRPr="00812A02">
        <w:rPr>
          <w:lang w:val="en-US"/>
        </w:rPr>
        <w:t>. An HR officer should know to assess a situation and make the best possible action to handle the situation (</w:t>
      </w:r>
      <w:proofErr w:type="spellStart"/>
      <w:r w:rsidRPr="00812A02">
        <w:rPr>
          <w:lang w:val="en-US"/>
        </w:rPr>
        <w:t>Engetou</w:t>
      </w:r>
      <w:proofErr w:type="spellEnd"/>
      <w:r w:rsidRPr="00812A02">
        <w:rPr>
          <w:lang w:val="en-US"/>
        </w:rPr>
        <w:t xml:space="preserve">, 2017). As an HR trainee in HSBC Holdings individuals should know </w:t>
      </w:r>
      <w:proofErr w:type="spellStart"/>
      <w:r w:rsidRPr="00812A02">
        <w:rPr>
          <w:lang w:val="en-US"/>
        </w:rPr>
        <w:t>organisations'</w:t>
      </w:r>
      <w:proofErr w:type="spellEnd"/>
      <w:r w:rsidRPr="00812A02">
        <w:rPr>
          <w:lang w:val="en-US"/>
        </w:rPr>
        <w:t xml:space="preserve"> value orientation. HSBC Holdings portrays a design tree for its ethical values. The company wants HR officers to make decisions based on this tree. An HR officer should know about the services the company provides to its customer. Proper understanding of organisational design is highly required. The knowledge to plan talent management skills and resource </w:t>
      </w:r>
      <w:proofErr w:type="spellStart"/>
      <w:r w:rsidRPr="00812A02">
        <w:rPr>
          <w:lang w:val="en-US"/>
        </w:rPr>
        <w:t>channelling</w:t>
      </w:r>
      <w:proofErr w:type="spellEnd"/>
      <w:r w:rsidRPr="00812A02">
        <w:rPr>
          <w:lang w:val="en-US"/>
        </w:rPr>
        <w:t xml:space="preserve"> is crucial for an HR officer (</w:t>
      </w:r>
      <w:proofErr w:type="spellStart"/>
      <w:r w:rsidRPr="00812A02">
        <w:rPr>
          <w:lang w:val="en-US"/>
        </w:rPr>
        <w:t>Rahayu</w:t>
      </w:r>
      <w:proofErr w:type="spellEnd"/>
      <w:r w:rsidRPr="00812A02">
        <w:rPr>
          <w:lang w:val="en-US"/>
        </w:rPr>
        <w:t xml:space="preserve"> </w:t>
      </w:r>
      <w:r w:rsidRPr="00812A02">
        <w:rPr>
          <w:i/>
          <w:iCs/>
          <w:lang w:val="en-US"/>
        </w:rPr>
        <w:t>et al.</w:t>
      </w:r>
      <w:r w:rsidRPr="00812A02">
        <w:rPr>
          <w:lang w:val="en-US"/>
        </w:rPr>
        <w:t xml:space="preserve">, 2019). </w:t>
      </w:r>
    </w:p>
    <w:p w14:paraId="6E31A594" w14:textId="10DA5D8C" w:rsidR="00812A02" w:rsidRDefault="00812A02" w:rsidP="00812A02">
      <w:pPr>
        <w:rPr>
          <w:lang w:val="en-US"/>
        </w:rPr>
      </w:pPr>
      <w:r w:rsidRPr="00812A02">
        <w:rPr>
          <w:noProof/>
          <w:lang w:val="en-US"/>
        </w:rPr>
        <w:drawing>
          <wp:inline distT="0" distB="0" distL="0" distR="0" wp14:anchorId="78856D90" wp14:editId="60230052">
            <wp:extent cx="5727700" cy="429577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27700" cy="4295775"/>
                    </a:xfrm>
                    <a:prstGeom prst="rect">
                      <a:avLst/>
                    </a:prstGeom>
                  </pic:spPr>
                </pic:pic>
              </a:graphicData>
            </a:graphic>
          </wp:inline>
        </w:drawing>
      </w:r>
    </w:p>
    <w:p w14:paraId="296C43FD" w14:textId="77777777" w:rsidR="00812A02" w:rsidRPr="00812A02" w:rsidRDefault="00812A02" w:rsidP="00812A02">
      <w:pPr>
        <w:rPr>
          <w:lang w:val="en-IN"/>
        </w:rPr>
      </w:pPr>
      <w:r w:rsidRPr="00812A02">
        <w:rPr>
          <w:lang w:val="en-US"/>
        </w:rPr>
        <w:t xml:space="preserve">Working as an HR officer a trainee needs to understand the micro and macro factors of an </w:t>
      </w:r>
      <w:proofErr w:type="spellStart"/>
      <w:r w:rsidRPr="00812A02">
        <w:rPr>
          <w:lang w:val="en-US"/>
        </w:rPr>
        <w:t>organisation</w:t>
      </w:r>
      <w:proofErr w:type="spellEnd"/>
      <w:r w:rsidRPr="00812A02">
        <w:rPr>
          <w:lang w:val="en-US"/>
        </w:rPr>
        <w:t xml:space="preserve">. The understanding of these factors helps to </w:t>
      </w:r>
      <w:proofErr w:type="spellStart"/>
      <w:r w:rsidRPr="00812A02">
        <w:rPr>
          <w:lang w:val="en-US"/>
        </w:rPr>
        <w:t>analyse</w:t>
      </w:r>
      <w:proofErr w:type="spellEnd"/>
      <w:r w:rsidRPr="00812A02">
        <w:rPr>
          <w:lang w:val="en-US"/>
        </w:rPr>
        <w:t xml:space="preserve"> operational situations. The major skill which is highly required to be an effective HR officer is the capability to think decisively. It helps to </w:t>
      </w:r>
      <w:proofErr w:type="spellStart"/>
      <w:r w:rsidRPr="00812A02">
        <w:rPr>
          <w:lang w:val="en-US"/>
        </w:rPr>
        <w:t>analyse</w:t>
      </w:r>
      <w:proofErr w:type="spellEnd"/>
      <w:r w:rsidRPr="00812A02">
        <w:rPr>
          <w:lang w:val="en-US"/>
        </w:rPr>
        <w:t xml:space="preserve"> and handle critical issues that come in the way to operate a company and its workforce. An HR officer </w:t>
      </w:r>
      <w:proofErr w:type="gramStart"/>
      <w:r w:rsidRPr="00812A02">
        <w:rPr>
          <w:lang w:val="en-US"/>
        </w:rPr>
        <w:t>has to</w:t>
      </w:r>
      <w:proofErr w:type="gramEnd"/>
      <w:r w:rsidRPr="00812A02">
        <w:rPr>
          <w:lang w:val="en-US"/>
        </w:rPr>
        <w:t xml:space="preserve"> be an influencer to attract or motivate other employees for improving their capabilities. Besides handling issues regarding human resources, HR needs to be capable enough for handling commercial aspects. As a human resource officer, an individual should have the skill to accumulate the entire workforce for delivering a task collaboratively. </w:t>
      </w:r>
    </w:p>
    <w:p w14:paraId="244372EB" w14:textId="484F98C8" w:rsidR="00812A02" w:rsidRDefault="00812A02" w:rsidP="00812A02">
      <w:pPr>
        <w:rPr>
          <w:lang w:val="en-US"/>
        </w:rPr>
      </w:pPr>
      <w:r w:rsidRPr="00812A02">
        <w:rPr>
          <w:noProof/>
          <w:lang w:val="en-US"/>
        </w:rPr>
        <w:drawing>
          <wp:inline distT="0" distB="0" distL="0" distR="0" wp14:anchorId="20106720" wp14:editId="51516F37">
            <wp:extent cx="5727700" cy="429577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27700" cy="4295775"/>
                    </a:xfrm>
                    <a:prstGeom prst="rect">
                      <a:avLst/>
                    </a:prstGeom>
                  </pic:spPr>
                </pic:pic>
              </a:graphicData>
            </a:graphic>
          </wp:inline>
        </w:drawing>
      </w:r>
    </w:p>
    <w:p w14:paraId="71FC4EEC" w14:textId="77777777" w:rsidR="00812A02" w:rsidRPr="00812A02" w:rsidRDefault="00812A02" w:rsidP="00812A02">
      <w:pPr>
        <w:rPr>
          <w:lang w:val="en-IN"/>
        </w:rPr>
      </w:pPr>
      <w:r w:rsidRPr="00812A02">
        <w:rPr>
          <w:lang w:val="en-US"/>
        </w:rPr>
        <w:t xml:space="preserve">HR handles </w:t>
      </w:r>
      <w:proofErr w:type="gramStart"/>
      <w:r w:rsidRPr="00812A02">
        <w:rPr>
          <w:lang w:val="en-US"/>
        </w:rPr>
        <w:t>more or less every</w:t>
      </w:r>
      <w:proofErr w:type="gramEnd"/>
      <w:r w:rsidRPr="00812A02">
        <w:rPr>
          <w:lang w:val="en-US"/>
        </w:rPr>
        <w:t xml:space="preserve"> aspect of an </w:t>
      </w:r>
      <w:proofErr w:type="spellStart"/>
      <w:r w:rsidRPr="00812A02">
        <w:rPr>
          <w:lang w:val="en-US"/>
        </w:rPr>
        <w:t>organisation</w:t>
      </w:r>
      <w:proofErr w:type="spellEnd"/>
      <w:r w:rsidRPr="00812A02">
        <w:rPr>
          <w:lang w:val="en-US"/>
        </w:rPr>
        <w:t xml:space="preserve">. It is the responsibility of HR to handle every employee and their workability to make an </w:t>
      </w:r>
      <w:proofErr w:type="spellStart"/>
      <w:r w:rsidRPr="00812A02">
        <w:rPr>
          <w:lang w:val="en-US"/>
        </w:rPr>
        <w:t>organisation</w:t>
      </w:r>
      <w:proofErr w:type="spellEnd"/>
      <w:r w:rsidRPr="00812A02">
        <w:rPr>
          <w:lang w:val="en-US"/>
        </w:rPr>
        <w:t xml:space="preserve"> achieve its goals. An HR trainee should develop his/her communication skills for making contracts with employees, produce organisational reports by collaborating with the higher and ground-level staff (</w:t>
      </w:r>
      <w:proofErr w:type="spellStart"/>
      <w:r w:rsidRPr="00812A02">
        <w:rPr>
          <w:lang w:val="en-US"/>
        </w:rPr>
        <w:t>Aserkar</w:t>
      </w:r>
      <w:proofErr w:type="spellEnd"/>
      <w:r w:rsidRPr="00812A02">
        <w:rPr>
          <w:lang w:val="en-US"/>
        </w:rPr>
        <w:t xml:space="preserve"> </w:t>
      </w:r>
      <w:r w:rsidRPr="00812A02">
        <w:rPr>
          <w:i/>
          <w:iCs/>
          <w:lang w:val="en-US"/>
        </w:rPr>
        <w:t>et al.</w:t>
      </w:r>
      <w:r w:rsidRPr="00812A02">
        <w:rPr>
          <w:lang w:val="en-US"/>
        </w:rPr>
        <w:t xml:space="preserve">, 2017). It is also important for HR to have technological information to take records of every organizational activity. Besides </w:t>
      </w:r>
      <w:proofErr w:type="gramStart"/>
      <w:r w:rsidRPr="00812A02">
        <w:rPr>
          <w:lang w:val="en-US"/>
        </w:rPr>
        <w:t>this other aspects</w:t>
      </w:r>
      <w:proofErr w:type="gramEnd"/>
      <w:r w:rsidRPr="00812A02">
        <w:rPr>
          <w:lang w:val="en-US"/>
        </w:rPr>
        <w:t xml:space="preserve"> are the skills of solving issues and supervising every segment of a company. </w:t>
      </w:r>
    </w:p>
    <w:p w14:paraId="30A4FDE9" w14:textId="32ECF5A3" w:rsidR="00812A02" w:rsidRDefault="00812A02" w:rsidP="00812A02">
      <w:pPr>
        <w:rPr>
          <w:lang w:val="en-US"/>
        </w:rPr>
      </w:pPr>
      <w:r w:rsidRPr="00812A02">
        <w:rPr>
          <w:noProof/>
          <w:lang w:val="en-US"/>
        </w:rPr>
        <w:drawing>
          <wp:inline distT="0" distB="0" distL="0" distR="0" wp14:anchorId="1FF69BE6" wp14:editId="4CF92726">
            <wp:extent cx="5727700" cy="429577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27700" cy="4295775"/>
                    </a:xfrm>
                    <a:prstGeom prst="rect">
                      <a:avLst/>
                    </a:prstGeom>
                  </pic:spPr>
                </pic:pic>
              </a:graphicData>
            </a:graphic>
          </wp:inline>
        </w:drawing>
      </w:r>
    </w:p>
    <w:p w14:paraId="7A707DE4" w14:textId="77777777" w:rsidR="00812A02" w:rsidRPr="00812A02" w:rsidRDefault="00812A02" w:rsidP="00812A02">
      <w:pPr>
        <w:rPr>
          <w:lang w:val="en-IN"/>
        </w:rPr>
      </w:pPr>
      <w:r w:rsidRPr="00812A02">
        <w:rPr>
          <w:lang w:val="en-US"/>
        </w:rPr>
        <w:t xml:space="preserve">The net worth of HSBC holdings is 2984.16B USD. The company has its branches in 64 countries with more than 200 thousand employees (Hsbc.co.uk, 2021). The HR department of the company </w:t>
      </w:r>
      <w:proofErr w:type="gramStart"/>
      <w:r w:rsidRPr="00812A02">
        <w:rPr>
          <w:lang w:val="en-US"/>
        </w:rPr>
        <w:t>has to</w:t>
      </w:r>
      <w:proofErr w:type="gramEnd"/>
      <w:r w:rsidRPr="00812A02">
        <w:rPr>
          <w:lang w:val="en-US"/>
        </w:rPr>
        <w:t xml:space="preserve"> handle this huge workforce daily. When a company trains a fresher to be a potential HR professional the company gets benefited in terms of engaging more workforces to achieve its objective (Hsbc.co.uk, 2021). A potential HR officer helps to increase employee retention rate, train team leaders, empower employees to meet targets and increase brand position.</w:t>
      </w:r>
    </w:p>
    <w:p w14:paraId="47982BE1" w14:textId="25800319" w:rsidR="00812A02" w:rsidRDefault="00812A02" w:rsidP="00812A02">
      <w:pPr>
        <w:rPr>
          <w:lang w:val="en-US"/>
        </w:rPr>
      </w:pPr>
      <w:r w:rsidRPr="00812A02">
        <w:rPr>
          <w:noProof/>
          <w:lang w:val="en-US"/>
        </w:rPr>
        <w:drawing>
          <wp:inline distT="0" distB="0" distL="0" distR="0" wp14:anchorId="38F43A1B" wp14:editId="1E49C9EB">
            <wp:extent cx="5727700" cy="429577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27700" cy="4295775"/>
                    </a:xfrm>
                    <a:prstGeom prst="rect">
                      <a:avLst/>
                    </a:prstGeom>
                  </pic:spPr>
                </pic:pic>
              </a:graphicData>
            </a:graphic>
          </wp:inline>
        </w:drawing>
      </w:r>
    </w:p>
    <w:p w14:paraId="2CF82016" w14:textId="77777777" w:rsidR="00812A02" w:rsidRPr="00812A02" w:rsidRDefault="00812A02" w:rsidP="00812A02">
      <w:pPr>
        <w:rPr>
          <w:lang w:val="en-IN"/>
        </w:rPr>
      </w:pPr>
      <w:r w:rsidRPr="00812A02">
        <w:rPr>
          <w:lang w:val="en-US"/>
        </w:rPr>
        <w:t>A personal development plan is needed for a fresher to assess himself/herself in a diverse market situation. The organisational condition can change anytime so an HR officer should make him/her prepare to deal with difficulties (</w:t>
      </w:r>
      <w:proofErr w:type="spellStart"/>
      <w:r w:rsidRPr="00812A02">
        <w:rPr>
          <w:lang w:val="en-US"/>
        </w:rPr>
        <w:t>Oseghale</w:t>
      </w:r>
      <w:proofErr w:type="spellEnd"/>
      <w:r w:rsidRPr="00812A02">
        <w:rPr>
          <w:lang w:val="en-US"/>
        </w:rPr>
        <w:t xml:space="preserve"> </w:t>
      </w:r>
      <w:r w:rsidRPr="00812A02">
        <w:rPr>
          <w:i/>
          <w:iCs/>
          <w:lang w:val="en-US"/>
        </w:rPr>
        <w:t>et al.</w:t>
      </w:r>
      <w:r w:rsidRPr="00812A02">
        <w:rPr>
          <w:lang w:val="en-US"/>
        </w:rPr>
        <w:t xml:space="preserve">, 2018). HR officers need to enhance the communication skill for defining the job roles of every employee. This helps to manage the workforce. Another aspect of personal development is to create a boundary between manager and employee. This helps to </w:t>
      </w:r>
      <w:proofErr w:type="spellStart"/>
      <w:r w:rsidRPr="00812A02">
        <w:rPr>
          <w:lang w:val="en-US"/>
        </w:rPr>
        <w:t>analyse</w:t>
      </w:r>
      <w:proofErr w:type="spellEnd"/>
      <w:r w:rsidRPr="00812A02">
        <w:rPr>
          <w:lang w:val="en-US"/>
        </w:rPr>
        <w:t xml:space="preserve"> employee performance and needed modification. Personal development should include the skill to make an employee feel connected with the company (Bell and Moore, 2018).</w:t>
      </w:r>
    </w:p>
    <w:p w14:paraId="3B03A7D4" w14:textId="46095956" w:rsidR="00812A02" w:rsidRDefault="00812A02" w:rsidP="00812A02">
      <w:pPr>
        <w:rPr>
          <w:lang w:val="en-US"/>
        </w:rPr>
      </w:pPr>
      <w:r w:rsidRPr="00812A02">
        <w:rPr>
          <w:noProof/>
          <w:lang w:val="en-US"/>
        </w:rPr>
        <w:drawing>
          <wp:inline distT="0" distB="0" distL="0" distR="0" wp14:anchorId="1B86AAD8" wp14:editId="457431C3">
            <wp:extent cx="5727700" cy="429577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27700" cy="4295775"/>
                    </a:xfrm>
                    <a:prstGeom prst="rect">
                      <a:avLst/>
                    </a:prstGeom>
                  </pic:spPr>
                </pic:pic>
              </a:graphicData>
            </a:graphic>
          </wp:inline>
        </w:drawing>
      </w:r>
    </w:p>
    <w:p w14:paraId="05970FA9" w14:textId="77777777" w:rsidR="00812A02" w:rsidRPr="00812A02" w:rsidRDefault="00812A02" w:rsidP="00812A02">
      <w:pPr>
        <w:rPr>
          <w:lang w:val="en-IN"/>
        </w:rPr>
      </w:pPr>
      <w:r w:rsidRPr="00812A02">
        <w:rPr>
          <w:lang w:val="en-US"/>
        </w:rPr>
        <w:t xml:space="preserve">The HR manager of HSBC handles both the developmental and HR officers. Based on the job roles the company trains employees handling administration, staff, training </w:t>
      </w:r>
      <w:proofErr w:type="spellStart"/>
      <w:r w:rsidRPr="00812A02">
        <w:rPr>
          <w:lang w:val="en-US"/>
        </w:rPr>
        <w:t>programmes</w:t>
      </w:r>
      <w:proofErr w:type="spellEnd"/>
      <w:r w:rsidRPr="00812A02">
        <w:rPr>
          <w:lang w:val="en-US"/>
        </w:rPr>
        <w:t xml:space="preserve"> and appraisals. The company allows its employees to develop their skills through self-development and self-study programs. The first part of the training </w:t>
      </w:r>
      <w:proofErr w:type="spellStart"/>
      <w:r w:rsidRPr="00812A02">
        <w:rPr>
          <w:lang w:val="en-US"/>
        </w:rPr>
        <w:t>programme</w:t>
      </w:r>
      <w:proofErr w:type="spellEnd"/>
      <w:r w:rsidRPr="00812A02">
        <w:rPr>
          <w:lang w:val="en-US"/>
        </w:rPr>
        <w:t xml:space="preserve"> is an internal assessment. Here employees need to handle small groups and achieve small targets. The second part is external courses where a trainee </w:t>
      </w:r>
      <w:proofErr w:type="gramStart"/>
      <w:r w:rsidRPr="00812A02">
        <w:rPr>
          <w:lang w:val="en-US"/>
        </w:rPr>
        <w:t>has to</w:t>
      </w:r>
      <w:proofErr w:type="gramEnd"/>
      <w:r w:rsidRPr="00812A02">
        <w:rPr>
          <w:lang w:val="en-US"/>
        </w:rPr>
        <w:t xml:space="preserve"> present seminars and give interviews in a global context. The last stage is the RMT </w:t>
      </w:r>
      <w:proofErr w:type="spellStart"/>
      <w:r w:rsidRPr="00812A02">
        <w:rPr>
          <w:lang w:val="en-US"/>
        </w:rPr>
        <w:t>programme</w:t>
      </w:r>
      <w:proofErr w:type="spellEnd"/>
      <w:r w:rsidRPr="00812A02">
        <w:rPr>
          <w:lang w:val="en-US"/>
        </w:rPr>
        <w:t xml:space="preserve"> in which a trainee is required to understand the commercial activities of the company.</w:t>
      </w:r>
    </w:p>
    <w:p w14:paraId="6FB50531" w14:textId="4AB9CA9A" w:rsidR="00812A02" w:rsidRDefault="00812A02" w:rsidP="00812A02">
      <w:pPr>
        <w:rPr>
          <w:lang w:val="en-US"/>
        </w:rPr>
      </w:pPr>
      <w:r w:rsidRPr="00812A02">
        <w:rPr>
          <w:noProof/>
          <w:lang w:val="en-US"/>
        </w:rPr>
        <w:drawing>
          <wp:inline distT="0" distB="0" distL="0" distR="0" wp14:anchorId="29144AED" wp14:editId="256D6972">
            <wp:extent cx="5727700" cy="429577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27700" cy="4295775"/>
                    </a:xfrm>
                    <a:prstGeom prst="rect">
                      <a:avLst/>
                    </a:prstGeom>
                  </pic:spPr>
                </pic:pic>
              </a:graphicData>
            </a:graphic>
          </wp:inline>
        </w:drawing>
      </w:r>
    </w:p>
    <w:p w14:paraId="1883FBAC" w14:textId="77777777" w:rsidR="00812A02" w:rsidRPr="00812A02" w:rsidRDefault="00812A02" w:rsidP="00812A02">
      <w:pPr>
        <w:rPr>
          <w:lang w:val="en-IN"/>
        </w:rPr>
      </w:pPr>
      <w:r w:rsidRPr="00812A02">
        <w:rPr>
          <w:lang w:val="en-US"/>
        </w:rPr>
        <w:t xml:space="preserve">The management for handling a huge workforce is a difficult job to perform. The company HSBC Holdings has more than 200,000 employees around the world. The company managerial team </w:t>
      </w:r>
      <w:proofErr w:type="gramStart"/>
      <w:r w:rsidRPr="00812A02">
        <w:rPr>
          <w:lang w:val="en-US"/>
        </w:rPr>
        <w:t>has to</w:t>
      </w:r>
      <w:proofErr w:type="gramEnd"/>
      <w:r w:rsidRPr="00812A02">
        <w:rPr>
          <w:lang w:val="en-US"/>
        </w:rPr>
        <w:t xml:space="preserve"> understand the potential of each employee before setting any objective. The company needs to communicate with employees to understand their position to achieve the goal. An effective training plan is essential to develop the skills for meeting the targets.</w:t>
      </w:r>
    </w:p>
    <w:p w14:paraId="549E5015" w14:textId="09ABD770" w:rsidR="00812A02" w:rsidRDefault="00812A02" w:rsidP="00812A02">
      <w:pPr>
        <w:rPr>
          <w:lang w:val="en-US"/>
        </w:rPr>
      </w:pPr>
      <w:r w:rsidRPr="00812A02">
        <w:rPr>
          <w:noProof/>
          <w:lang w:val="en-US"/>
        </w:rPr>
        <w:drawing>
          <wp:inline distT="0" distB="0" distL="0" distR="0" wp14:anchorId="7324FC7C" wp14:editId="28D37FE4">
            <wp:extent cx="5727700" cy="429577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27700" cy="4295775"/>
                    </a:xfrm>
                    <a:prstGeom prst="rect">
                      <a:avLst/>
                    </a:prstGeom>
                  </pic:spPr>
                </pic:pic>
              </a:graphicData>
            </a:graphic>
          </wp:inline>
        </w:drawing>
      </w:r>
    </w:p>
    <w:p w14:paraId="7E23FCB2" w14:textId="77777777" w:rsidR="00812A02" w:rsidRPr="00812A02" w:rsidRDefault="00812A02" w:rsidP="00812A02">
      <w:pPr>
        <w:rPr>
          <w:lang w:val="en-IN"/>
        </w:rPr>
      </w:pPr>
      <w:r w:rsidRPr="00812A02">
        <w:rPr>
          <w:lang w:val="en-US"/>
        </w:rPr>
        <w:t>Present HR trainees are the future HR manager or officer. The proper development of their skills can result in effective HR policies and management to handle a huge workforce. HR officers work under the HR manager and address every micro factor regarding the employee to the manager for modification of organisational activities. The training of an HR officer should include the plan for developing communication skill, skills for adapting to new situations, skills for solving problems and the skill to supervise the workforce.</w:t>
      </w:r>
    </w:p>
    <w:p w14:paraId="20748D46" w14:textId="51023C94" w:rsidR="00812A02" w:rsidRDefault="00812A02" w:rsidP="00812A02">
      <w:pPr>
        <w:rPr>
          <w:lang w:val="en-US"/>
        </w:rPr>
      </w:pPr>
      <w:r w:rsidRPr="00812A02">
        <w:rPr>
          <w:noProof/>
          <w:lang w:val="en-US"/>
        </w:rPr>
        <w:drawing>
          <wp:inline distT="0" distB="0" distL="0" distR="0" wp14:anchorId="7371816B" wp14:editId="4E0B3B03">
            <wp:extent cx="5727700" cy="429577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27700" cy="4295775"/>
                    </a:xfrm>
                    <a:prstGeom prst="rect">
                      <a:avLst/>
                    </a:prstGeom>
                  </pic:spPr>
                </pic:pic>
              </a:graphicData>
            </a:graphic>
          </wp:inline>
        </w:drawing>
      </w:r>
    </w:p>
    <w:p w14:paraId="37D06DA9" w14:textId="520BB35A" w:rsidR="00812A02" w:rsidRDefault="00812A02" w:rsidP="00812A02">
      <w:pPr>
        <w:jc w:val="center"/>
        <w:rPr>
          <w:lang w:val="en-US"/>
        </w:rPr>
      </w:pPr>
    </w:p>
    <w:p w14:paraId="25EC5E10" w14:textId="61D1B905" w:rsidR="00812A02" w:rsidRDefault="00812A02" w:rsidP="00812A02">
      <w:pPr>
        <w:rPr>
          <w:lang w:val="en-US"/>
        </w:rPr>
      </w:pPr>
      <w:r>
        <w:rPr>
          <w:lang w:val="en-US"/>
        </w:rPr>
        <w:t>References:</w:t>
      </w:r>
    </w:p>
    <w:p w14:paraId="58E26D8B" w14:textId="77777777" w:rsidR="00812A02" w:rsidRPr="00812A02" w:rsidRDefault="00812A02" w:rsidP="00812A02">
      <w:pPr>
        <w:rPr>
          <w:lang w:val="en-IN"/>
        </w:rPr>
      </w:pPr>
      <w:proofErr w:type="spellStart"/>
      <w:r w:rsidRPr="00812A02">
        <w:rPr>
          <w:lang w:val="en-US"/>
        </w:rPr>
        <w:t>Maity</w:t>
      </w:r>
      <w:proofErr w:type="spellEnd"/>
      <w:r w:rsidRPr="00812A02">
        <w:rPr>
          <w:lang w:val="en-US"/>
        </w:rPr>
        <w:t xml:space="preserve">, S., 2019. Identifying opportunities for artificial intelligence in the evolution of training and development practices. Journal of Management Development. Available at: </w:t>
      </w:r>
      <w:hyperlink r:id="rId16" w:history="1">
        <w:r w:rsidRPr="00812A02">
          <w:rPr>
            <w:rStyle w:val="Hyperlink"/>
            <w:lang w:val="en-US"/>
          </w:rPr>
          <w:t>https://www.emerald.com/insight/content/doi/10.1108/JMD-03-2019-0069/full/html</w:t>
        </w:r>
      </w:hyperlink>
      <w:r w:rsidRPr="00812A02">
        <w:rPr>
          <w:lang w:val="en-US"/>
        </w:rPr>
        <w:t xml:space="preserve"> [Accessed on 16.03.2021]</w:t>
      </w:r>
    </w:p>
    <w:p w14:paraId="01915ECB" w14:textId="77777777" w:rsidR="00812A02" w:rsidRPr="00812A02" w:rsidRDefault="00812A02" w:rsidP="00812A02">
      <w:pPr>
        <w:rPr>
          <w:lang w:val="en-IN"/>
        </w:rPr>
      </w:pPr>
      <w:proofErr w:type="spellStart"/>
      <w:r w:rsidRPr="00812A02">
        <w:rPr>
          <w:lang w:val="en-US"/>
        </w:rPr>
        <w:t>Engetou</w:t>
      </w:r>
      <w:proofErr w:type="spellEnd"/>
      <w:r w:rsidRPr="00812A02">
        <w:rPr>
          <w:lang w:val="en-US"/>
        </w:rPr>
        <w:t xml:space="preserve">, E., 2017. The impact of training and development on organizational performance. Available at: </w:t>
      </w:r>
      <w:hyperlink r:id="rId17" w:history="1">
        <w:r w:rsidRPr="00812A02">
          <w:rPr>
            <w:rStyle w:val="Hyperlink"/>
            <w:lang w:val="en-US"/>
          </w:rPr>
          <w:t>https://www.theseus.fi/handle/10024/133220</w:t>
        </w:r>
      </w:hyperlink>
      <w:r w:rsidRPr="00812A02">
        <w:rPr>
          <w:lang w:val="en-US"/>
        </w:rPr>
        <w:t xml:space="preserve"> [Accessed on 16.03.2021]</w:t>
      </w:r>
    </w:p>
    <w:p w14:paraId="40EE376F" w14:textId="77777777" w:rsidR="00812A02" w:rsidRPr="00812A02" w:rsidRDefault="00812A02" w:rsidP="00812A02">
      <w:pPr>
        <w:rPr>
          <w:lang w:val="en-IN"/>
        </w:rPr>
      </w:pPr>
      <w:proofErr w:type="spellStart"/>
      <w:r w:rsidRPr="00812A02">
        <w:rPr>
          <w:lang w:val="en-US"/>
        </w:rPr>
        <w:t>Rahayu</w:t>
      </w:r>
      <w:proofErr w:type="spellEnd"/>
      <w:r w:rsidRPr="00812A02">
        <w:rPr>
          <w:lang w:val="en-US"/>
        </w:rPr>
        <w:t xml:space="preserve">, M., </w:t>
      </w:r>
      <w:proofErr w:type="spellStart"/>
      <w:r w:rsidRPr="00812A02">
        <w:rPr>
          <w:lang w:val="en-US"/>
        </w:rPr>
        <w:t>Rasid</w:t>
      </w:r>
      <w:proofErr w:type="spellEnd"/>
      <w:r w:rsidRPr="00812A02">
        <w:rPr>
          <w:lang w:val="en-US"/>
        </w:rPr>
        <w:t xml:space="preserve">, F. and </w:t>
      </w:r>
      <w:proofErr w:type="spellStart"/>
      <w:r w:rsidRPr="00812A02">
        <w:rPr>
          <w:lang w:val="en-US"/>
        </w:rPr>
        <w:t>Tannady</w:t>
      </w:r>
      <w:proofErr w:type="spellEnd"/>
      <w:r w:rsidRPr="00812A02">
        <w:rPr>
          <w:lang w:val="en-US"/>
        </w:rPr>
        <w:t xml:space="preserve">, H., 2019. The Effect of Career Training and Development on Job Satisfaction and its Implications for the Organizational Commitment of Regional Secretariat (SETDA) Employees of Jambi Provincial Government. International Review of Management and Marketing, 9(1), p.79. Available at: </w:t>
      </w:r>
      <w:hyperlink r:id="rId18" w:history="1">
        <w:r w:rsidRPr="00812A02">
          <w:rPr>
            <w:rStyle w:val="Hyperlink"/>
            <w:lang w:val="en-US"/>
          </w:rPr>
          <w:t>https://search.proquest.com/openview/18023dd8c85d0caa2032a1b33e8bd0ea/1?pq-origsite=gscholar&amp;cbl=816339</w:t>
        </w:r>
      </w:hyperlink>
      <w:r w:rsidRPr="00812A02">
        <w:rPr>
          <w:lang w:val="en-US"/>
        </w:rPr>
        <w:t xml:space="preserve"> [Accessed on 16.03.2021]</w:t>
      </w:r>
    </w:p>
    <w:p w14:paraId="0DD1852E" w14:textId="77777777" w:rsidR="00812A02" w:rsidRPr="00812A02" w:rsidRDefault="00812A02" w:rsidP="00812A02">
      <w:pPr>
        <w:rPr>
          <w:lang w:val="en-IN"/>
        </w:rPr>
      </w:pPr>
      <w:r w:rsidRPr="00812A02">
        <w:rPr>
          <w:lang w:val="en-US"/>
        </w:rPr>
        <w:t xml:space="preserve">Al Karim, R., 2019. Impact of different training and development programs on employee performance in Bangladesh perspective. International Journal of Entrepreneurial Research, 2(1), pp.8-14. Available at: </w:t>
      </w:r>
      <w:hyperlink r:id="rId19" w:history="1">
        <w:r w:rsidRPr="00812A02">
          <w:rPr>
            <w:rStyle w:val="Hyperlink"/>
            <w:lang w:val="en-US"/>
          </w:rPr>
          <w:t>https://www.readersinsight.net/IJER/article/view/497</w:t>
        </w:r>
      </w:hyperlink>
      <w:r w:rsidRPr="00812A02">
        <w:rPr>
          <w:lang w:val="en-US"/>
        </w:rPr>
        <w:t xml:space="preserve"> [Accessed on 16.03.2021]</w:t>
      </w:r>
    </w:p>
    <w:p w14:paraId="39EEEB36" w14:textId="77777777" w:rsidR="00812A02" w:rsidRPr="00812A02" w:rsidRDefault="00812A02" w:rsidP="00812A02">
      <w:pPr>
        <w:rPr>
          <w:lang w:val="en-IN"/>
        </w:rPr>
      </w:pPr>
      <w:r w:rsidRPr="00812A02">
        <w:rPr>
          <w:lang w:val="en-US"/>
        </w:rPr>
        <w:t xml:space="preserve">Noe, R.A. and </w:t>
      </w:r>
      <w:proofErr w:type="spellStart"/>
      <w:r w:rsidRPr="00812A02">
        <w:rPr>
          <w:lang w:val="en-US"/>
        </w:rPr>
        <w:t>Kodwani</w:t>
      </w:r>
      <w:proofErr w:type="spellEnd"/>
      <w:r w:rsidRPr="00812A02">
        <w:rPr>
          <w:lang w:val="en-US"/>
        </w:rPr>
        <w:t xml:space="preserve">, A.D., 2018. Employee training and development, 7e. McGraw-Hill Education. Available at: </w:t>
      </w:r>
      <w:hyperlink r:id="rId20" w:history="1">
        <w:r w:rsidRPr="00812A02">
          <w:rPr>
            <w:rStyle w:val="Hyperlink"/>
            <w:lang w:val="en-US"/>
          </w:rPr>
          <w:t>https://books.google.co.in/books?hl=en&amp;lr=&amp;id=VlakDwAAQBAJ&amp;oi=fnd&amp;pg=PT35&amp;dq=TRAINING+AND+DEVELOPMENT+NEEDS+FOR+AN+HR+OFFICER&amp;ots=ln6ZVpmbTu&amp;sig=FTrbgvR6VEjoOuCktdU9QY38mdI&amp;redir_esc=y#v=onepage&amp;q=TRAINING%20AND%20DEVELOPMENT%20NEEDS%20FOR%20AN%20HR%20OFFICER&amp;f=false</w:t>
        </w:r>
      </w:hyperlink>
      <w:r w:rsidRPr="00812A02">
        <w:rPr>
          <w:lang w:val="en-US"/>
        </w:rPr>
        <w:t xml:space="preserve"> [Accessed on 16.03.2021]</w:t>
      </w:r>
    </w:p>
    <w:p w14:paraId="1DC2449F" w14:textId="77777777" w:rsidR="00812A02" w:rsidRPr="00812A02" w:rsidRDefault="00812A02" w:rsidP="00812A02">
      <w:pPr>
        <w:rPr>
          <w:lang w:val="en-IN"/>
        </w:rPr>
      </w:pPr>
      <w:proofErr w:type="spellStart"/>
      <w:r w:rsidRPr="00812A02">
        <w:rPr>
          <w:lang w:val="en-US"/>
        </w:rPr>
        <w:t>Aserkar</w:t>
      </w:r>
      <w:proofErr w:type="spellEnd"/>
      <w:r w:rsidRPr="00812A02">
        <w:rPr>
          <w:lang w:val="en-US"/>
        </w:rPr>
        <w:t xml:space="preserve">, R., </w:t>
      </w:r>
      <w:proofErr w:type="spellStart"/>
      <w:r w:rsidRPr="00812A02">
        <w:rPr>
          <w:lang w:val="en-US"/>
        </w:rPr>
        <w:t>Kumthekar</w:t>
      </w:r>
      <w:proofErr w:type="spellEnd"/>
      <w:r w:rsidRPr="00812A02">
        <w:rPr>
          <w:lang w:val="en-US"/>
        </w:rPr>
        <w:t xml:space="preserve">, N. and Inamdar, S., 2017. Training and development needs of logistics and supply chain professionals in South Asia. International Journal of Shipping and Transport Logistics, 9(1), pp.85-106. Available at: </w:t>
      </w:r>
      <w:hyperlink r:id="rId21" w:history="1">
        <w:r w:rsidRPr="00812A02">
          <w:rPr>
            <w:rStyle w:val="Hyperlink"/>
            <w:lang w:val="en-US"/>
          </w:rPr>
          <w:t>https://www.inderscienceonline.com/doi/abs/10.1504/IJSTL.2017.080576</w:t>
        </w:r>
      </w:hyperlink>
      <w:r w:rsidRPr="00812A02">
        <w:rPr>
          <w:lang w:val="en-US"/>
        </w:rPr>
        <w:t xml:space="preserve"> [Accessed on 16.03.2021]</w:t>
      </w:r>
    </w:p>
    <w:p w14:paraId="40CF3E9C" w14:textId="77777777" w:rsidR="00812A02" w:rsidRPr="00812A02" w:rsidRDefault="00812A02" w:rsidP="00812A02">
      <w:pPr>
        <w:rPr>
          <w:lang w:val="en-IN"/>
        </w:rPr>
      </w:pPr>
      <w:r w:rsidRPr="00812A02">
        <w:rPr>
          <w:lang w:val="en-US"/>
        </w:rPr>
        <w:t xml:space="preserve">Li, J., </w:t>
      </w:r>
      <w:proofErr w:type="spellStart"/>
      <w:r w:rsidRPr="00812A02">
        <w:rPr>
          <w:lang w:val="en-US"/>
        </w:rPr>
        <w:t>Wiemann</w:t>
      </w:r>
      <w:proofErr w:type="spellEnd"/>
      <w:r w:rsidRPr="00812A02">
        <w:rPr>
          <w:lang w:val="en-US"/>
        </w:rPr>
        <w:t xml:space="preserve">, K., Shi, W., Wang, Y. and </w:t>
      </w:r>
      <w:proofErr w:type="spellStart"/>
      <w:r w:rsidRPr="00812A02">
        <w:rPr>
          <w:lang w:val="en-US"/>
        </w:rPr>
        <w:t>Pilz</w:t>
      </w:r>
      <w:proofErr w:type="spellEnd"/>
      <w:r w:rsidRPr="00812A02">
        <w:rPr>
          <w:lang w:val="en-US"/>
        </w:rPr>
        <w:t xml:space="preserve">, M., 2019. Vocational education and training in Chinese and German companies in China: a ‘home </w:t>
      </w:r>
      <w:proofErr w:type="spellStart"/>
      <w:r w:rsidRPr="00812A02">
        <w:rPr>
          <w:lang w:val="en-US"/>
        </w:rPr>
        <w:t>international’comparison</w:t>
      </w:r>
      <w:proofErr w:type="spellEnd"/>
      <w:r w:rsidRPr="00812A02">
        <w:rPr>
          <w:lang w:val="en-US"/>
        </w:rPr>
        <w:t xml:space="preserve">. International Journal of Training and Development, 23(2), pp.153-168. Available at: </w:t>
      </w:r>
      <w:hyperlink r:id="rId22" w:history="1">
        <w:r w:rsidRPr="00812A02">
          <w:rPr>
            <w:rStyle w:val="Hyperlink"/>
            <w:lang w:val="en-US"/>
          </w:rPr>
          <w:t>https://onlinelibrary.wiley.com/doi/abs/10.1111/ijtd.12151</w:t>
        </w:r>
      </w:hyperlink>
      <w:r w:rsidRPr="00812A02">
        <w:rPr>
          <w:lang w:val="en-US"/>
        </w:rPr>
        <w:t xml:space="preserve"> [Accessed on 16.03.2021]</w:t>
      </w:r>
    </w:p>
    <w:p w14:paraId="69A1BF03" w14:textId="77777777" w:rsidR="00812A02" w:rsidRPr="00812A02" w:rsidRDefault="00812A02" w:rsidP="00812A02">
      <w:pPr>
        <w:rPr>
          <w:lang w:val="en-IN"/>
        </w:rPr>
      </w:pPr>
      <w:r w:rsidRPr="00812A02">
        <w:rPr>
          <w:lang w:val="en-US"/>
        </w:rPr>
        <w:t xml:space="preserve">Bell, </w:t>
      </w:r>
      <w:proofErr w:type="gramStart"/>
      <w:r w:rsidRPr="00812A02">
        <w:rPr>
          <w:lang w:val="en-US"/>
        </w:rPr>
        <w:t>B.S.</w:t>
      </w:r>
      <w:proofErr w:type="gramEnd"/>
      <w:r w:rsidRPr="00812A02">
        <w:rPr>
          <w:lang w:val="en-US"/>
        </w:rPr>
        <w:t xml:space="preserve"> and Moore, O.A., 2018. Learning, </w:t>
      </w:r>
      <w:proofErr w:type="gramStart"/>
      <w:r w:rsidRPr="00812A02">
        <w:rPr>
          <w:lang w:val="en-US"/>
        </w:rPr>
        <w:t>training</w:t>
      </w:r>
      <w:proofErr w:type="gramEnd"/>
      <w:r w:rsidRPr="00812A02">
        <w:rPr>
          <w:lang w:val="en-US"/>
        </w:rPr>
        <w:t xml:space="preserve"> and development in organizations: Emerging trends, recent advances and future directions. Available at: </w:t>
      </w:r>
      <w:hyperlink r:id="rId23" w:history="1">
        <w:r w:rsidRPr="00812A02">
          <w:rPr>
            <w:rStyle w:val="Hyperlink"/>
            <w:lang w:val="en-US"/>
          </w:rPr>
          <w:t>https://psycnet.apa.org/record/2019-01462-010</w:t>
        </w:r>
      </w:hyperlink>
      <w:r w:rsidRPr="00812A02">
        <w:rPr>
          <w:lang w:val="en-US"/>
        </w:rPr>
        <w:t xml:space="preserve"> [Accessed on 16.03.2021]</w:t>
      </w:r>
    </w:p>
    <w:p w14:paraId="7D29B5D8" w14:textId="77777777" w:rsidR="00812A02" w:rsidRPr="00812A02" w:rsidRDefault="00812A02" w:rsidP="00812A02">
      <w:pPr>
        <w:rPr>
          <w:lang w:val="en-IN"/>
        </w:rPr>
      </w:pPr>
      <w:r w:rsidRPr="00812A02">
        <w:rPr>
          <w:lang w:val="en-US"/>
        </w:rPr>
        <w:t xml:space="preserve">Siddiqui, D.A. and Sahar, N., 2019. The impact of training &amp; development and communication on employee engagement–A study of banking sector. Sahar, N. and Siddiqui, DA (2019). The Impact of Training &amp; Development and Communication on Employee Engagement–A Study of Banking Sector. Business Management and Strategy, 10(1), pp.23-40. </w:t>
      </w:r>
    </w:p>
    <w:p w14:paraId="443224EB" w14:textId="77777777" w:rsidR="00812A02" w:rsidRPr="00812A02" w:rsidRDefault="00812A02" w:rsidP="00812A02">
      <w:pPr>
        <w:rPr>
          <w:lang w:val="en-IN"/>
        </w:rPr>
      </w:pPr>
      <w:r w:rsidRPr="00812A02">
        <w:rPr>
          <w:lang w:val="en-US"/>
        </w:rPr>
        <w:t xml:space="preserve">Available at: </w:t>
      </w:r>
      <w:hyperlink r:id="rId24" w:history="1">
        <w:r w:rsidRPr="00812A02">
          <w:rPr>
            <w:rStyle w:val="Hyperlink"/>
            <w:lang w:val="en-US"/>
          </w:rPr>
          <w:t>https://papers.ssrn.com/sol3/papers.cfm?abstract_id=3381444</w:t>
        </w:r>
      </w:hyperlink>
      <w:r w:rsidRPr="00812A02">
        <w:rPr>
          <w:lang w:val="en-US"/>
        </w:rPr>
        <w:t xml:space="preserve"> [Accessed on 16.03.2021]</w:t>
      </w:r>
    </w:p>
    <w:p w14:paraId="52BF122D" w14:textId="77777777" w:rsidR="00812A02" w:rsidRPr="00812A02" w:rsidRDefault="00812A02" w:rsidP="00812A02">
      <w:pPr>
        <w:rPr>
          <w:lang w:val="en-IN"/>
        </w:rPr>
      </w:pPr>
      <w:proofErr w:type="spellStart"/>
      <w:r w:rsidRPr="00812A02">
        <w:rPr>
          <w:lang w:val="en-US"/>
        </w:rPr>
        <w:t>Oseghale</w:t>
      </w:r>
      <w:proofErr w:type="spellEnd"/>
      <w:r w:rsidRPr="00812A02">
        <w:rPr>
          <w:lang w:val="en-US"/>
        </w:rPr>
        <w:t xml:space="preserve">, R.O., Malik, A., </w:t>
      </w:r>
      <w:proofErr w:type="spellStart"/>
      <w:r w:rsidRPr="00812A02">
        <w:rPr>
          <w:lang w:val="en-US"/>
        </w:rPr>
        <w:t>Nyuur</w:t>
      </w:r>
      <w:proofErr w:type="spellEnd"/>
      <w:r w:rsidRPr="00812A02">
        <w:rPr>
          <w:lang w:val="en-US"/>
        </w:rPr>
        <w:t xml:space="preserve">, R.B., Pereira, </w:t>
      </w:r>
      <w:proofErr w:type="gramStart"/>
      <w:r w:rsidRPr="00812A02">
        <w:rPr>
          <w:lang w:val="en-US"/>
        </w:rPr>
        <w:t>V.</w:t>
      </w:r>
      <w:proofErr w:type="gramEnd"/>
      <w:r w:rsidRPr="00812A02">
        <w:rPr>
          <w:lang w:val="en-US"/>
        </w:rPr>
        <w:t xml:space="preserve"> and Ellis, F.Y., 2018. Drivers of training and talent development: insights from oil and gas MNCs in Nigeria. Human Resource Development International, 21(5), pp.509-531. Available at: </w:t>
      </w:r>
      <w:hyperlink r:id="rId25" w:history="1">
        <w:r w:rsidRPr="00812A02">
          <w:rPr>
            <w:rStyle w:val="Hyperlink"/>
            <w:lang w:val="en-US"/>
          </w:rPr>
          <w:t>https://www.tandfonline.com/doi/abs/10.1080/13678868.2018.1472479</w:t>
        </w:r>
      </w:hyperlink>
      <w:r w:rsidRPr="00812A02">
        <w:rPr>
          <w:lang w:val="en-US"/>
        </w:rPr>
        <w:t xml:space="preserve"> [Accessed on 16.03.2021]</w:t>
      </w:r>
    </w:p>
    <w:p w14:paraId="07293B24" w14:textId="77777777" w:rsidR="00812A02" w:rsidRPr="00812A02" w:rsidRDefault="00812A02" w:rsidP="00812A02">
      <w:pPr>
        <w:rPr>
          <w:lang w:val="en-IN"/>
        </w:rPr>
      </w:pPr>
      <w:r w:rsidRPr="00812A02">
        <w:rPr>
          <w:lang w:val="en-US"/>
        </w:rPr>
        <w:t xml:space="preserve">Hsbc.co.uk, 2021. “HSBC”, Available at: </w:t>
      </w:r>
      <w:hyperlink r:id="rId26" w:history="1">
        <w:r w:rsidRPr="00812A02">
          <w:rPr>
            <w:rStyle w:val="Hyperlink"/>
            <w:lang w:val="en-US"/>
          </w:rPr>
          <w:t>https://www.hsbc.co.uk/</w:t>
        </w:r>
      </w:hyperlink>
      <w:r w:rsidRPr="00812A02">
        <w:rPr>
          <w:lang w:val="en-US"/>
        </w:rPr>
        <w:t xml:space="preserve"> [Accessed on 16.03.2021]</w:t>
      </w:r>
    </w:p>
    <w:p w14:paraId="774E1112" w14:textId="3C554050" w:rsidR="00812A02" w:rsidRPr="00812A02" w:rsidRDefault="00812A02" w:rsidP="00812A02">
      <w:pPr>
        <w:rPr>
          <w:lang w:val="en-US"/>
        </w:rPr>
      </w:pPr>
      <w:r w:rsidRPr="00812A02">
        <w:rPr>
          <w:noProof/>
          <w:lang w:val="en-US"/>
        </w:rPr>
        <w:drawing>
          <wp:inline distT="0" distB="0" distL="0" distR="0" wp14:anchorId="2D90FE7A" wp14:editId="3B8CAFFF">
            <wp:extent cx="5727700" cy="429577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27700" cy="4295775"/>
                    </a:xfrm>
                    <a:prstGeom prst="rect">
                      <a:avLst/>
                    </a:prstGeom>
                  </pic:spPr>
                </pic:pic>
              </a:graphicData>
            </a:graphic>
          </wp:inline>
        </w:drawing>
      </w:r>
    </w:p>
    <w:sectPr w:rsidR="00812A02" w:rsidRPr="00812A02" w:rsidSect="006012D6">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2A02"/>
    <w:rsid w:val="00104371"/>
    <w:rsid w:val="0021150F"/>
    <w:rsid w:val="006012D6"/>
    <w:rsid w:val="007719D5"/>
    <w:rsid w:val="00812A02"/>
    <w:rsid w:val="00847EA5"/>
    <w:rsid w:val="00964CE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BEDA54"/>
  <w15:chartTrackingRefBased/>
  <w15:docId w15:val="{790542BC-58F2-FC4E-99C4-6C6352B56A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IN"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19D5"/>
    <w:pPr>
      <w:spacing w:line="480" w:lineRule="auto"/>
      <w:jc w:val="both"/>
    </w:pPr>
    <w:rPr>
      <w:rFonts w:ascii="Times New Roman" w:hAnsi="Times New Roman"/>
      <w:lang w:val="en-GB"/>
    </w:rPr>
  </w:style>
  <w:style w:type="paragraph" w:styleId="Heading1">
    <w:name w:val="heading 1"/>
    <w:basedOn w:val="Normal"/>
    <w:next w:val="Normal"/>
    <w:link w:val="Heading1Char"/>
    <w:uiPriority w:val="9"/>
    <w:qFormat/>
    <w:rsid w:val="007719D5"/>
    <w:pPr>
      <w:keepNext/>
      <w:keepLines/>
      <w:spacing w:before="240"/>
      <w:outlineLvl w:val="0"/>
    </w:pPr>
    <w:rPr>
      <w:rFonts w:eastAsiaTheme="majorEastAsia" w:cstheme="majorBidi"/>
      <w:b/>
      <w:sz w:val="28"/>
      <w:szCs w:val="32"/>
    </w:rPr>
  </w:style>
  <w:style w:type="paragraph" w:styleId="Heading2">
    <w:name w:val="heading 2"/>
    <w:basedOn w:val="Normal"/>
    <w:next w:val="Normal"/>
    <w:link w:val="Heading2Char"/>
    <w:uiPriority w:val="9"/>
    <w:semiHidden/>
    <w:unhideWhenUsed/>
    <w:qFormat/>
    <w:rsid w:val="007719D5"/>
    <w:pPr>
      <w:keepNext/>
      <w:keepLines/>
      <w:spacing w:before="40"/>
      <w:outlineLvl w:val="1"/>
    </w:pPr>
    <w:rPr>
      <w:rFonts w:eastAsiaTheme="majorEastAsia" w:cstheme="majorBidi"/>
      <w:b/>
      <w:sz w:val="26"/>
      <w:szCs w:val="26"/>
    </w:rPr>
  </w:style>
  <w:style w:type="paragraph" w:styleId="Heading3">
    <w:name w:val="heading 3"/>
    <w:basedOn w:val="Normal"/>
    <w:next w:val="Normal"/>
    <w:link w:val="Heading3Char"/>
    <w:uiPriority w:val="9"/>
    <w:semiHidden/>
    <w:unhideWhenUsed/>
    <w:qFormat/>
    <w:rsid w:val="007719D5"/>
    <w:pPr>
      <w:keepNext/>
      <w:keepLines/>
      <w:spacing w:before="40"/>
      <w:outlineLvl w:val="2"/>
    </w:pPr>
    <w:rPr>
      <w:rFonts w:eastAsiaTheme="majorEastAsia" w:cstheme="majorBidi"/>
      <w:i/>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719D5"/>
    <w:rPr>
      <w:rFonts w:ascii="Times New Roman" w:eastAsiaTheme="majorEastAsia" w:hAnsi="Times New Roman" w:cstheme="majorBidi"/>
      <w:b/>
      <w:sz w:val="28"/>
      <w:szCs w:val="32"/>
      <w:lang w:val="en-GB"/>
    </w:rPr>
  </w:style>
  <w:style w:type="character" w:customStyle="1" w:styleId="Heading2Char">
    <w:name w:val="Heading 2 Char"/>
    <w:basedOn w:val="DefaultParagraphFont"/>
    <w:link w:val="Heading2"/>
    <w:uiPriority w:val="9"/>
    <w:semiHidden/>
    <w:rsid w:val="007719D5"/>
    <w:rPr>
      <w:rFonts w:ascii="Times New Roman" w:eastAsiaTheme="majorEastAsia" w:hAnsi="Times New Roman" w:cstheme="majorBidi"/>
      <w:b/>
      <w:sz w:val="26"/>
      <w:szCs w:val="26"/>
      <w:lang w:val="en-GB"/>
    </w:rPr>
  </w:style>
  <w:style w:type="character" w:customStyle="1" w:styleId="Heading3Char">
    <w:name w:val="Heading 3 Char"/>
    <w:basedOn w:val="DefaultParagraphFont"/>
    <w:link w:val="Heading3"/>
    <w:uiPriority w:val="9"/>
    <w:semiHidden/>
    <w:rsid w:val="007719D5"/>
    <w:rPr>
      <w:rFonts w:ascii="Times New Roman" w:eastAsiaTheme="majorEastAsia" w:hAnsi="Times New Roman" w:cstheme="majorBidi"/>
      <w:i/>
      <w:u w:val="single"/>
      <w:lang w:val="en-GB"/>
    </w:rPr>
  </w:style>
  <w:style w:type="character" w:styleId="Hyperlink">
    <w:name w:val="Hyperlink"/>
    <w:basedOn w:val="DefaultParagraphFont"/>
    <w:uiPriority w:val="99"/>
    <w:unhideWhenUsed/>
    <w:rsid w:val="00812A02"/>
    <w:rPr>
      <w:color w:val="0563C1" w:themeColor="hyperlink"/>
      <w:u w:val="single"/>
    </w:rPr>
  </w:style>
  <w:style w:type="character" w:styleId="UnresolvedMention">
    <w:name w:val="Unresolved Mention"/>
    <w:basedOn w:val="DefaultParagraphFont"/>
    <w:uiPriority w:val="99"/>
    <w:semiHidden/>
    <w:unhideWhenUsed/>
    <w:rsid w:val="00812A0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162089">
      <w:bodyDiv w:val="1"/>
      <w:marLeft w:val="0"/>
      <w:marRight w:val="0"/>
      <w:marTop w:val="0"/>
      <w:marBottom w:val="0"/>
      <w:divBdr>
        <w:top w:val="none" w:sz="0" w:space="0" w:color="auto"/>
        <w:left w:val="none" w:sz="0" w:space="0" w:color="auto"/>
        <w:bottom w:val="none" w:sz="0" w:space="0" w:color="auto"/>
        <w:right w:val="none" w:sz="0" w:space="0" w:color="auto"/>
      </w:divBdr>
    </w:div>
    <w:div w:id="184447522">
      <w:bodyDiv w:val="1"/>
      <w:marLeft w:val="0"/>
      <w:marRight w:val="0"/>
      <w:marTop w:val="0"/>
      <w:marBottom w:val="0"/>
      <w:divBdr>
        <w:top w:val="none" w:sz="0" w:space="0" w:color="auto"/>
        <w:left w:val="none" w:sz="0" w:space="0" w:color="auto"/>
        <w:bottom w:val="none" w:sz="0" w:space="0" w:color="auto"/>
        <w:right w:val="none" w:sz="0" w:space="0" w:color="auto"/>
      </w:divBdr>
    </w:div>
    <w:div w:id="434983140">
      <w:bodyDiv w:val="1"/>
      <w:marLeft w:val="0"/>
      <w:marRight w:val="0"/>
      <w:marTop w:val="0"/>
      <w:marBottom w:val="0"/>
      <w:divBdr>
        <w:top w:val="none" w:sz="0" w:space="0" w:color="auto"/>
        <w:left w:val="none" w:sz="0" w:space="0" w:color="auto"/>
        <w:bottom w:val="none" w:sz="0" w:space="0" w:color="auto"/>
        <w:right w:val="none" w:sz="0" w:space="0" w:color="auto"/>
      </w:divBdr>
    </w:div>
    <w:div w:id="554510329">
      <w:bodyDiv w:val="1"/>
      <w:marLeft w:val="0"/>
      <w:marRight w:val="0"/>
      <w:marTop w:val="0"/>
      <w:marBottom w:val="0"/>
      <w:divBdr>
        <w:top w:val="none" w:sz="0" w:space="0" w:color="auto"/>
        <w:left w:val="none" w:sz="0" w:space="0" w:color="auto"/>
        <w:bottom w:val="none" w:sz="0" w:space="0" w:color="auto"/>
        <w:right w:val="none" w:sz="0" w:space="0" w:color="auto"/>
      </w:divBdr>
    </w:div>
    <w:div w:id="756244076">
      <w:bodyDiv w:val="1"/>
      <w:marLeft w:val="0"/>
      <w:marRight w:val="0"/>
      <w:marTop w:val="0"/>
      <w:marBottom w:val="0"/>
      <w:divBdr>
        <w:top w:val="none" w:sz="0" w:space="0" w:color="auto"/>
        <w:left w:val="none" w:sz="0" w:space="0" w:color="auto"/>
        <w:bottom w:val="none" w:sz="0" w:space="0" w:color="auto"/>
        <w:right w:val="none" w:sz="0" w:space="0" w:color="auto"/>
      </w:divBdr>
    </w:div>
    <w:div w:id="770704051">
      <w:bodyDiv w:val="1"/>
      <w:marLeft w:val="0"/>
      <w:marRight w:val="0"/>
      <w:marTop w:val="0"/>
      <w:marBottom w:val="0"/>
      <w:divBdr>
        <w:top w:val="none" w:sz="0" w:space="0" w:color="auto"/>
        <w:left w:val="none" w:sz="0" w:space="0" w:color="auto"/>
        <w:bottom w:val="none" w:sz="0" w:space="0" w:color="auto"/>
        <w:right w:val="none" w:sz="0" w:space="0" w:color="auto"/>
      </w:divBdr>
    </w:div>
    <w:div w:id="968821744">
      <w:bodyDiv w:val="1"/>
      <w:marLeft w:val="0"/>
      <w:marRight w:val="0"/>
      <w:marTop w:val="0"/>
      <w:marBottom w:val="0"/>
      <w:divBdr>
        <w:top w:val="none" w:sz="0" w:space="0" w:color="auto"/>
        <w:left w:val="none" w:sz="0" w:space="0" w:color="auto"/>
        <w:bottom w:val="none" w:sz="0" w:space="0" w:color="auto"/>
        <w:right w:val="none" w:sz="0" w:space="0" w:color="auto"/>
      </w:divBdr>
    </w:div>
    <w:div w:id="1034503317">
      <w:bodyDiv w:val="1"/>
      <w:marLeft w:val="0"/>
      <w:marRight w:val="0"/>
      <w:marTop w:val="0"/>
      <w:marBottom w:val="0"/>
      <w:divBdr>
        <w:top w:val="none" w:sz="0" w:space="0" w:color="auto"/>
        <w:left w:val="none" w:sz="0" w:space="0" w:color="auto"/>
        <w:bottom w:val="none" w:sz="0" w:space="0" w:color="auto"/>
        <w:right w:val="none" w:sz="0" w:space="0" w:color="auto"/>
      </w:divBdr>
    </w:div>
    <w:div w:id="1291548999">
      <w:bodyDiv w:val="1"/>
      <w:marLeft w:val="0"/>
      <w:marRight w:val="0"/>
      <w:marTop w:val="0"/>
      <w:marBottom w:val="0"/>
      <w:divBdr>
        <w:top w:val="none" w:sz="0" w:space="0" w:color="auto"/>
        <w:left w:val="none" w:sz="0" w:space="0" w:color="auto"/>
        <w:bottom w:val="none" w:sz="0" w:space="0" w:color="auto"/>
        <w:right w:val="none" w:sz="0" w:space="0" w:color="auto"/>
      </w:divBdr>
    </w:div>
    <w:div w:id="1377195456">
      <w:bodyDiv w:val="1"/>
      <w:marLeft w:val="0"/>
      <w:marRight w:val="0"/>
      <w:marTop w:val="0"/>
      <w:marBottom w:val="0"/>
      <w:divBdr>
        <w:top w:val="none" w:sz="0" w:space="0" w:color="auto"/>
        <w:left w:val="none" w:sz="0" w:space="0" w:color="auto"/>
        <w:bottom w:val="none" w:sz="0" w:space="0" w:color="auto"/>
        <w:right w:val="none" w:sz="0" w:space="0" w:color="auto"/>
      </w:divBdr>
    </w:div>
    <w:div w:id="1462336564">
      <w:bodyDiv w:val="1"/>
      <w:marLeft w:val="0"/>
      <w:marRight w:val="0"/>
      <w:marTop w:val="0"/>
      <w:marBottom w:val="0"/>
      <w:divBdr>
        <w:top w:val="none" w:sz="0" w:space="0" w:color="auto"/>
        <w:left w:val="none" w:sz="0" w:space="0" w:color="auto"/>
        <w:bottom w:val="none" w:sz="0" w:space="0" w:color="auto"/>
        <w:right w:val="none" w:sz="0" w:space="0" w:color="auto"/>
      </w:divBdr>
    </w:div>
    <w:div w:id="1534997884">
      <w:bodyDiv w:val="1"/>
      <w:marLeft w:val="0"/>
      <w:marRight w:val="0"/>
      <w:marTop w:val="0"/>
      <w:marBottom w:val="0"/>
      <w:divBdr>
        <w:top w:val="none" w:sz="0" w:space="0" w:color="auto"/>
        <w:left w:val="none" w:sz="0" w:space="0" w:color="auto"/>
        <w:bottom w:val="none" w:sz="0" w:space="0" w:color="auto"/>
        <w:right w:val="none" w:sz="0" w:space="0" w:color="auto"/>
      </w:divBdr>
    </w:div>
    <w:div w:id="1732849217">
      <w:bodyDiv w:val="1"/>
      <w:marLeft w:val="0"/>
      <w:marRight w:val="0"/>
      <w:marTop w:val="0"/>
      <w:marBottom w:val="0"/>
      <w:divBdr>
        <w:top w:val="none" w:sz="0" w:space="0" w:color="auto"/>
        <w:left w:val="none" w:sz="0" w:space="0" w:color="auto"/>
        <w:bottom w:val="none" w:sz="0" w:space="0" w:color="auto"/>
        <w:right w:val="none" w:sz="0" w:space="0" w:color="auto"/>
      </w:divBdr>
    </w:div>
    <w:div w:id="1810439591">
      <w:bodyDiv w:val="1"/>
      <w:marLeft w:val="0"/>
      <w:marRight w:val="0"/>
      <w:marTop w:val="0"/>
      <w:marBottom w:val="0"/>
      <w:divBdr>
        <w:top w:val="none" w:sz="0" w:space="0" w:color="auto"/>
        <w:left w:val="none" w:sz="0" w:space="0" w:color="auto"/>
        <w:bottom w:val="none" w:sz="0" w:space="0" w:color="auto"/>
        <w:right w:val="none" w:sz="0" w:space="0" w:color="auto"/>
      </w:divBdr>
    </w:div>
    <w:div w:id="1847747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emf"/><Relationship Id="rId13" Type="http://schemas.openxmlformats.org/officeDocument/2006/relationships/image" Target="media/image10.emf"/><Relationship Id="rId18" Type="http://schemas.openxmlformats.org/officeDocument/2006/relationships/hyperlink" Target="https://search.proquest.com/openview/18023dd8c85d0caa2032a1b33e8bd0ea/1?pq-origsite=gscholar&amp;cbl=816339" TargetMode="External"/><Relationship Id="rId26" Type="http://schemas.openxmlformats.org/officeDocument/2006/relationships/hyperlink" Target="https://www.hsbc.co.uk/" TargetMode="External"/><Relationship Id="rId3" Type="http://schemas.openxmlformats.org/officeDocument/2006/relationships/webSettings" Target="webSettings.xml"/><Relationship Id="rId21" Type="http://schemas.openxmlformats.org/officeDocument/2006/relationships/hyperlink" Target="https://www.inderscienceonline.com/doi/abs/10.1504/IJSTL.2017.080576" TargetMode="External"/><Relationship Id="rId7" Type="http://schemas.openxmlformats.org/officeDocument/2006/relationships/image" Target="media/image4.emf"/><Relationship Id="rId12" Type="http://schemas.openxmlformats.org/officeDocument/2006/relationships/image" Target="media/image9.emf"/><Relationship Id="rId17" Type="http://schemas.openxmlformats.org/officeDocument/2006/relationships/hyperlink" Target="https://www.theseus.fi/handle/10024/133220" TargetMode="External"/><Relationship Id="rId25" Type="http://schemas.openxmlformats.org/officeDocument/2006/relationships/hyperlink" Target="https://www.tandfonline.com/doi/abs/10.1080/13678868.2018.1472479" TargetMode="External"/><Relationship Id="rId2" Type="http://schemas.openxmlformats.org/officeDocument/2006/relationships/settings" Target="settings.xml"/><Relationship Id="rId16" Type="http://schemas.openxmlformats.org/officeDocument/2006/relationships/hyperlink" Target="https://www.emerald.com/insight/content/doi/10.1108/JMD-03-2019-0069/full/html" TargetMode="External"/><Relationship Id="rId20" Type="http://schemas.openxmlformats.org/officeDocument/2006/relationships/hyperlink" Target="https://books.google.co.in/books?hl=en&amp;lr=&amp;id=VlakDwAAQBAJ&amp;oi=fnd&amp;pg=PT35&amp;dq=TRAINING+AND+DEVELOPMENT+NEEDS+FOR+AN+HR+OFFICER&amp;ots=ln6ZVpmbTu&amp;sig=FTrbgvR6VEjoOuCktdU9QY38mdI&amp;redir_esc=y" TargetMode="External"/><Relationship Id="rId29"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3.emf"/><Relationship Id="rId11" Type="http://schemas.openxmlformats.org/officeDocument/2006/relationships/image" Target="media/image8.emf"/><Relationship Id="rId24" Type="http://schemas.openxmlformats.org/officeDocument/2006/relationships/hyperlink" Target="https://papers.ssrn.com/sol3/papers.cfm?abstract_id=3381444" TargetMode="External"/><Relationship Id="rId5" Type="http://schemas.openxmlformats.org/officeDocument/2006/relationships/image" Target="media/image2.emf"/><Relationship Id="rId15" Type="http://schemas.openxmlformats.org/officeDocument/2006/relationships/image" Target="media/image12.emf"/><Relationship Id="rId23" Type="http://schemas.openxmlformats.org/officeDocument/2006/relationships/hyperlink" Target="https://psycnet.apa.org/record/2019-01462-010" TargetMode="External"/><Relationship Id="rId28" Type="http://schemas.openxmlformats.org/officeDocument/2006/relationships/fontTable" Target="fontTable.xml"/><Relationship Id="rId10" Type="http://schemas.openxmlformats.org/officeDocument/2006/relationships/image" Target="media/image7.emf"/><Relationship Id="rId19" Type="http://schemas.openxmlformats.org/officeDocument/2006/relationships/hyperlink" Target="https://www.readersinsight.net/IJER/article/view/497" TargetMode="External"/><Relationship Id="rId4" Type="http://schemas.openxmlformats.org/officeDocument/2006/relationships/image" Target="media/image1.emf"/><Relationship Id="rId9" Type="http://schemas.openxmlformats.org/officeDocument/2006/relationships/image" Target="media/image6.emf"/><Relationship Id="rId14" Type="http://schemas.openxmlformats.org/officeDocument/2006/relationships/image" Target="media/image11.emf"/><Relationship Id="rId22" Type="http://schemas.openxmlformats.org/officeDocument/2006/relationships/hyperlink" Target="https://onlinelibrary.wiley.com/doi/abs/10.1111/ijtd.12151" TargetMode="External"/><Relationship Id="rId27" Type="http://schemas.openxmlformats.org/officeDocument/2006/relationships/image" Target="media/image13.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1511</Words>
  <Characters>8619</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tanumoy ghosh</dc:creator>
  <cp:keywords/>
  <dc:description/>
  <cp:lastModifiedBy>Elias Alexandru Matei</cp:lastModifiedBy>
  <cp:revision>2</cp:revision>
  <dcterms:created xsi:type="dcterms:W3CDTF">2021-05-03T22:07:00Z</dcterms:created>
  <dcterms:modified xsi:type="dcterms:W3CDTF">2021-05-03T22:07:00Z</dcterms:modified>
</cp:coreProperties>
</file>