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198" w:rsidRPr="00D97AA3" w:rsidRDefault="00960198" w:rsidP="002C082E">
      <w:pPr>
        <w:pStyle w:val="NormalWeb"/>
        <w:spacing w:line="360" w:lineRule="auto"/>
        <w:jc w:val="center"/>
        <w:rPr>
          <w:rStyle w:val="Strong"/>
          <w:rFonts w:ascii="Arial" w:hAnsi="Arial" w:cs="Arial"/>
          <w:lang w:val="en-GB"/>
        </w:rPr>
      </w:pPr>
    </w:p>
    <w:p w:rsidR="00960198" w:rsidRPr="00D97AA3" w:rsidRDefault="00960198" w:rsidP="002C082E">
      <w:pPr>
        <w:pStyle w:val="NormalWeb"/>
        <w:spacing w:line="360" w:lineRule="auto"/>
        <w:jc w:val="center"/>
        <w:rPr>
          <w:rStyle w:val="Strong"/>
          <w:rFonts w:ascii="Arial" w:hAnsi="Arial" w:cs="Arial"/>
          <w:lang w:val="en-GB"/>
        </w:rPr>
      </w:pPr>
    </w:p>
    <w:p w:rsidR="000630A3" w:rsidRPr="00D97AA3" w:rsidRDefault="000630A3" w:rsidP="002C082E">
      <w:pPr>
        <w:pStyle w:val="NormalWeb"/>
        <w:spacing w:line="360" w:lineRule="auto"/>
        <w:rPr>
          <w:rStyle w:val="Strong"/>
          <w:rFonts w:ascii="Arial" w:hAnsi="Arial" w:cs="Arial"/>
          <w:lang w:val="en-GB"/>
        </w:rPr>
      </w:pPr>
    </w:p>
    <w:p w:rsidR="000630A3" w:rsidRPr="00D97AA3" w:rsidRDefault="000630A3" w:rsidP="002C082E">
      <w:pPr>
        <w:pStyle w:val="NormalWeb"/>
        <w:spacing w:line="360" w:lineRule="auto"/>
        <w:rPr>
          <w:rStyle w:val="Strong"/>
          <w:rFonts w:ascii="Arial" w:hAnsi="Arial" w:cs="Arial"/>
          <w:lang w:val="en-GB"/>
        </w:rPr>
      </w:pPr>
    </w:p>
    <w:p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Afrinahaqsharmin (2119466)</w:t>
      </w:r>
    </w:p>
    <w:p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Title of the essay:</w:t>
      </w:r>
      <w:r w:rsidR="004A6AA3">
        <w:rPr>
          <w:rStyle w:val="Strong"/>
          <w:rFonts w:ascii="Arial" w:hAnsi="Arial" w:cs="Arial"/>
          <w:lang w:val="en-GB"/>
        </w:rPr>
        <w:t xml:space="preserve"> </w:t>
      </w:r>
      <w:r w:rsidR="00792322" w:rsidRPr="00D97AA3">
        <w:rPr>
          <w:rFonts w:ascii="Arial" w:hAnsi="Arial" w:cs="Arial"/>
          <w:b/>
          <w:bCs/>
          <w:lang w:val="en-GB"/>
        </w:rPr>
        <w:t>EMPLOYEE ENGAGEMENT</w:t>
      </w:r>
    </w:p>
    <w:p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Module title PRD</w:t>
      </w:r>
    </w:p>
    <w:p w:rsidR="00330026" w:rsidRPr="00D97AA3" w:rsidRDefault="00797411" w:rsidP="002C082E">
      <w:pPr>
        <w:pStyle w:val="NormalWeb"/>
        <w:spacing w:line="360" w:lineRule="auto"/>
        <w:jc w:val="center"/>
        <w:rPr>
          <w:rFonts w:ascii="Arial" w:hAnsi="Arial" w:cs="Arial"/>
          <w:lang w:val="en-GB"/>
        </w:rPr>
      </w:pPr>
      <w:r w:rsidRPr="00D97AA3">
        <w:rPr>
          <w:rStyle w:val="Strong"/>
          <w:rFonts w:ascii="Arial" w:hAnsi="Arial" w:cs="Arial"/>
          <w:lang w:val="en-GB"/>
        </w:rPr>
        <w:t>Module number BMIH5005</w:t>
      </w:r>
    </w:p>
    <w:p w:rsidR="00997CC4" w:rsidRPr="00D97AA3" w:rsidRDefault="00797411" w:rsidP="002C082E">
      <w:pPr>
        <w:pStyle w:val="NormalWeb"/>
        <w:spacing w:line="360" w:lineRule="auto"/>
        <w:jc w:val="center"/>
        <w:rPr>
          <w:rStyle w:val="Strong"/>
          <w:rFonts w:ascii="Arial" w:hAnsi="Arial" w:cs="Arial"/>
          <w:lang w:val="en-GB"/>
        </w:rPr>
      </w:pPr>
      <w:r w:rsidRPr="00D97AA3">
        <w:rPr>
          <w:rStyle w:val="Strong"/>
          <w:rFonts w:ascii="Arial" w:hAnsi="Arial" w:cs="Arial"/>
          <w:lang w:val="en-GB"/>
        </w:rPr>
        <w:t>Lecturers name: Kathryn Roberts</w:t>
      </w:r>
      <w:r w:rsidRPr="00D97AA3">
        <w:rPr>
          <w:rStyle w:val="Strong"/>
          <w:rFonts w:ascii="Arial" w:hAnsi="Arial" w:cs="Arial"/>
          <w:lang w:val="en-GB"/>
        </w:rPr>
        <w:br w:type="page"/>
      </w:r>
    </w:p>
    <w:sdt>
      <w:sdtPr>
        <w:rPr>
          <w:rFonts w:ascii="Arial" w:eastAsiaTheme="minorEastAsia" w:hAnsi="Arial" w:cs="Arial"/>
          <w:b w:val="0"/>
          <w:bCs w:val="0"/>
          <w:color w:val="000000" w:themeColor="text1"/>
          <w:sz w:val="24"/>
          <w:szCs w:val="24"/>
        </w:rPr>
        <w:id w:val="10627144"/>
        <w:docPartObj>
          <w:docPartGallery w:val="Table of Contents"/>
          <w:docPartUnique/>
        </w:docPartObj>
      </w:sdtPr>
      <w:sdtContent>
        <w:p w:rsidR="00805A49" w:rsidRPr="00D97AA3" w:rsidRDefault="00805A49" w:rsidP="002C082E">
          <w:pPr>
            <w:pStyle w:val="TOCHeading"/>
            <w:spacing w:line="360" w:lineRule="auto"/>
            <w:jc w:val="center"/>
            <w:rPr>
              <w:rFonts w:ascii="Arial" w:hAnsi="Arial" w:cs="Arial"/>
              <w:color w:val="000000" w:themeColor="text1"/>
              <w:sz w:val="24"/>
              <w:szCs w:val="24"/>
            </w:rPr>
          </w:pPr>
        </w:p>
        <w:p w:rsidR="00BE58B2" w:rsidRPr="00D97AA3" w:rsidRDefault="00797411" w:rsidP="002C082E">
          <w:pPr>
            <w:pStyle w:val="TOCHeading"/>
            <w:spacing w:line="360" w:lineRule="auto"/>
            <w:jc w:val="center"/>
            <w:rPr>
              <w:rFonts w:ascii="Arial" w:hAnsi="Arial" w:cs="Arial"/>
              <w:color w:val="000000" w:themeColor="text1"/>
              <w:sz w:val="24"/>
              <w:szCs w:val="24"/>
            </w:rPr>
          </w:pPr>
          <w:r w:rsidRPr="00D97AA3">
            <w:rPr>
              <w:rFonts w:ascii="Arial" w:hAnsi="Arial" w:cs="Arial"/>
              <w:color w:val="000000" w:themeColor="text1"/>
              <w:sz w:val="24"/>
              <w:szCs w:val="24"/>
            </w:rPr>
            <w:t>Table of Contents</w:t>
          </w:r>
        </w:p>
        <w:p w:rsidR="00CE7B36" w:rsidRPr="00D97AA3" w:rsidRDefault="00A65545" w:rsidP="002C082E">
          <w:pPr>
            <w:pStyle w:val="TOC1"/>
            <w:tabs>
              <w:tab w:val="right" w:leader="dot" w:pos="9350"/>
            </w:tabs>
            <w:rPr>
              <w:rFonts w:cs="Arial"/>
              <w:noProof/>
              <w:color w:val="auto"/>
              <w:szCs w:val="24"/>
            </w:rPr>
          </w:pPr>
          <w:r w:rsidRPr="00D97AA3">
            <w:rPr>
              <w:rFonts w:cs="Arial"/>
              <w:szCs w:val="24"/>
            </w:rPr>
            <w:fldChar w:fldCharType="begin"/>
          </w:r>
          <w:r w:rsidR="00BE58B2" w:rsidRPr="00D97AA3">
            <w:rPr>
              <w:rFonts w:cs="Arial"/>
              <w:szCs w:val="24"/>
            </w:rPr>
            <w:instrText xml:space="preserve"> TOC \o "1-3" \h \z \u </w:instrText>
          </w:r>
          <w:r w:rsidRPr="00D97AA3">
            <w:rPr>
              <w:rFonts w:cs="Arial"/>
              <w:szCs w:val="24"/>
            </w:rPr>
            <w:fldChar w:fldCharType="separate"/>
          </w:r>
          <w:hyperlink w:anchor="_Toc134460958" w:history="1">
            <w:r w:rsidR="00CE7B36" w:rsidRPr="00D97AA3">
              <w:rPr>
                <w:rStyle w:val="Hyperlink"/>
                <w:rFonts w:cs="Arial"/>
                <w:noProof/>
                <w:szCs w:val="24"/>
              </w:rPr>
              <w:t>Introduction</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_Toc134460958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3</w:t>
            </w:r>
            <w:r w:rsidRPr="00D97AA3">
              <w:rPr>
                <w:rFonts w:cs="Arial"/>
                <w:noProof/>
                <w:webHidden/>
                <w:szCs w:val="24"/>
              </w:rPr>
              <w:fldChar w:fldCharType="end"/>
            </w:r>
          </w:hyperlink>
        </w:p>
        <w:p w:rsidR="00CE7B36" w:rsidRPr="00D97AA3" w:rsidRDefault="00A65545" w:rsidP="002C082E">
          <w:pPr>
            <w:pStyle w:val="TOC1"/>
            <w:tabs>
              <w:tab w:val="right" w:leader="dot" w:pos="9350"/>
            </w:tabs>
            <w:rPr>
              <w:rFonts w:cs="Arial"/>
              <w:noProof/>
              <w:color w:val="auto"/>
              <w:szCs w:val="24"/>
            </w:rPr>
          </w:pPr>
          <w:hyperlink w:anchor="_Toc134460959" w:history="1">
            <w:r w:rsidR="00CE7B36" w:rsidRPr="00D97AA3">
              <w:rPr>
                <w:rStyle w:val="Hyperlink"/>
                <w:rFonts w:cs="Arial"/>
                <w:noProof/>
                <w:szCs w:val="24"/>
              </w:rPr>
              <w:t>Discussion</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_Toc134460959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3</w:t>
            </w:r>
            <w:r w:rsidRPr="00D97AA3">
              <w:rPr>
                <w:rFonts w:cs="Arial"/>
                <w:noProof/>
                <w:webHidden/>
                <w:szCs w:val="24"/>
              </w:rPr>
              <w:fldChar w:fldCharType="end"/>
            </w:r>
          </w:hyperlink>
        </w:p>
        <w:p w:rsidR="00CE7B36" w:rsidRPr="00D97AA3" w:rsidRDefault="00A65545" w:rsidP="002C082E">
          <w:pPr>
            <w:pStyle w:val="TOC1"/>
            <w:tabs>
              <w:tab w:val="right" w:leader="dot" w:pos="9350"/>
            </w:tabs>
            <w:rPr>
              <w:rFonts w:cs="Arial"/>
              <w:noProof/>
              <w:color w:val="auto"/>
              <w:szCs w:val="24"/>
            </w:rPr>
          </w:pPr>
          <w:hyperlink w:anchor="_Toc134460960" w:history="1">
            <w:r w:rsidR="00CE7B36" w:rsidRPr="00D97AA3">
              <w:rPr>
                <w:rStyle w:val="Hyperlink"/>
                <w:rFonts w:cs="Arial"/>
                <w:noProof/>
                <w:szCs w:val="24"/>
              </w:rPr>
              <w:t>Employee engagement Literature</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_Toc134460960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3</w:t>
            </w:r>
            <w:r w:rsidRPr="00D97AA3">
              <w:rPr>
                <w:rFonts w:cs="Arial"/>
                <w:noProof/>
                <w:webHidden/>
                <w:szCs w:val="24"/>
              </w:rPr>
              <w:fldChar w:fldCharType="end"/>
            </w:r>
          </w:hyperlink>
        </w:p>
        <w:p w:rsidR="00CE7B36" w:rsidRPr="00D97AA3" w:rsidRDefault="00A65545" w:rsidP="002C082E">
          <w:pPr>
            <w:pStyle w:val="TOC1"/>
            <w:tabs>
              <w:tab w:val="right" w:leader="dot" w:pos="9350"/>
            </w:tabs>
            <w:rPr>
              <w:rFonts w:cs="Arial"/>
              <w:noProof/>
              <w:color w:val="auto"/>
              <w:szCs w:val="24"/>
            </w:rPr>
          </w:pPr>
          <w:hyperlink w:anchor="_Toc134460961" w:history="1">
            <w:r w:rsidR="00CE7B36" w:rsidRPr="00D97AA3">
              <w:rPr>
                <w:rStyle w:val="Hyperlink"/>
                <w:rFonts w:cs="Arial"/>
                <w:noProof/>
                <w:szCs w:val="24"/>
              </w:rPr>
              <w:t>Knowledge and understanding of the subject</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_Toc134460961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4</w:t>
            </w:r>
            <w:r w:rsidRPr="00D97AA3">
              <w:rPr>
                <w:rFonts w:cs="Arial"/>
                <w:noProof/>
                <w:webHidden/>
                <w:szCs w:val="24"/>
              </w:rPr>
              <w:fldChar w:fldCharType="end"/>
            </w:r>
          </w:hyperlink>
        </w:p>
        <w:p w:rsidR="00CE7B36" w:rsidRPr="00D97AA3" w:rsidRDefault="00A65545" w:rsidP="002C082E">
          <w:pPr>
            <w:pStyle w:val="TOC1"/>
            <w:tabs>
              <w:tab w:val="right" w:leader="dot" w:pos="9350"/>
            </w:tabs>
            <w:rPr>
              <w:rFonts w:cs="Arial"/>
              <w:noProof/>
              <w:color w:val="auto"/>
              <w:szCs w:val="24"/>
            </w:rPr>
          </w:pPr>
          <w:hyperlink w:anchor="_Toc134460962" w:history="1">
            <w:r w:rsidR="00CE7B36" w:rsidRPr="00D97AA3">
              <w:rPr>
                <w:rStyle w:val="Hyperlink"/>
                <w:rFonts w:cs="Arial"/>
                <w:noProof/>
                <w:szCs w:val="24"/>
              </w:rPr>
              <w:t>Analysis of Employee Engagement in Different organization in the United Kingdom</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_Toc134460962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7</w:t>
            </w:r>
            <w:r w:rsidRPr="00D97AA3">
              <w:rPr>
                <w:rFonts w:cs="Arial"/>
                <w:noProof/>
                <w:webHidden/>
                <w:szCs w:val="24"/>
              </w:rPr>
              <w:fldChar w:fldCharType="end"/>
            </w:r>
          </w:hyperlink>
        </w:p>
        <w:p w:rsidR="00CE7B36" w:rsidRPr="00D97AA3" w:rsidRDefault="00A65545" w:rsidP="002C082E">
          <w:pPr>
            <w:pStyle w:val="TOC1"/>
            <w:tabs>
              <w:tab w:val="right" w:leader="dot" w:pos="9350"/>
            </w:tabs>
            <w:rPr>
              <w:rFonts w:cs="Arial"/>
              <w:noProof/>
              <w:color w:val="auto"/>
              <w:szCs w:val="24"/>
            </w:rPr>
          </w:pPr>
          <w:hyperlink w:anchor="_Toc134460963" w:history="1">
            <w:r w:rsidR="00CE7B36" w:rsidRPr="00D97AA3">
              <w:rPr>
                <w:rStyle w:val="Hyperlink"/>
                <w:rFonts w:cs="Arial"/>
                <w:noProof/>
                <w:szCs w:val="24"/>
              </w:rPr>
              <w:t>Conclusion</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_Toc134460963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8</w:t>
            </w:r>
            <w:r w:rsidRPr="00D97AA3">
              <w:rPr>
                <w:rFonts w:cs="Arial"/>
                <w:noProof/>
                <w:webHidden/>
                <w:szCs w:val="24"/>
              </w:rPr>
              <w:fldChar w:fldCharType="end"/>
            </w:r>
          </w:hyperlink>
        </w:p>
        <w:p w:rsidR="00CE7B36" w:rsidRPr="00D97AA3" w:rsidRDefault="00A65545" w:rsidP="002C082E">
          <w:pPr>
            <w:pStyle w:val="TOC1"/>
            <w:tabs>
              <w:tab w:val="right" w:leader="dot" w:pos="9350"/>
            </w:tabs>
            <w:rPr>
              <w:rFonts w:cs="Arial"/>
              <w:noProof/>
              <w:color w:val="auto"/>
              <w:szCs w:val="24"/>
            </w:rPr>
          </w:pPr>
          <w:hyperlink w:anchor="_Toc134460964" w:history="1">
            <w:r w:rsidR="00CE7B36" w:rsidRPr="00D97AA3">
              <w:rPr>
                <w:rStyle w:val="Hyperlink"/>
                <w:rFonts w:cs="Arial"/>
                <w:noProof/>
                <w:szCs w:val="24"/>
                <w:lang w:val="en-GB"/>
              </w:rPr>
              <w:t>References</w:t>
            </w:r>
            <w:r w:rsidR="00CE7B36" w:rsidRPr="00D97AA3">
              <w:rPr>
                <w:rFonts w:cs="Arial"/>
                <w:noProof/>
                <w:webHidden/>
                <w:szCs w:val="24"/>
              </w:rPr>
              <w:tab/>
            </w:r>
            <w:r w:rsidRPr="00D97AA3">
              <w:rPr>
                <w:rFonts w:cs="Arial"/>
                <w:noProof/>
                <w:webHidden/>
                <w:szCs w:val="24"/>
              </w:rPr>
              <w:fldChar w:fldCharType="begin"/>
            </w:r>
            <w:r w:rsidR="00CE7B36" w:rsidRPr="00D97AA3">
              <w:rPr>
                <w:rFonts w:cs="Arial"/>
                <w:noProof/>
                <w:webHidden/>
                <w:szCs w:val="24"/>
              </w:rPr>
              <w:instrText xml:space="preserve"> PAGEREF _Toc134460964 \h </w:instrText>
            </w:r>
            <w:r w:rsidRPr="00D97AA3">
              <w:rPr>
                <w:rFonts w:cs="Arial"/>
                <w:noProof/>
                <w:webHidden/>
                <w:szCs w:val="24"/>
              </w:rPr>
            </w:r>
            <w:r w:rsidRPr="00D97AA3">
              <w:rPr>
                <w:rFonts w:cs="Arial"/>
                <w:noProof/>
                <w:webHidden/>
                <w:szCs w:val="24"/>
              </w:rPr>
              <w:fldChar w:fldCharType="separate"/>
            </w:r>
            <w:r w:rsidR="00CE7B36" w:rsidRPr="00D97AA3">
              <w:rPr>
                <w:rFonts w:cs="Arial"/>
                <w:noProof/>
                <w:webHidden/>
                <w:szCs w:val="24"/>
              </w:rPr>
              <w:t>9</w:t>
            </w:r>
            <w:r w:rsidRPr="00D97AA3">
              <w:rPr>
                <w:rFonts w:cs="Arial"/>
                <w:noProof/>
                <w:webHidden/>
                <w:szCs w:val="24"/>
              </w:rPr>
              <w:fldChar w:fldCharType="end"/>
            </w:r>
          </w:hyperlink>
        </w:p>
        <w:p w:rsidR="00BE58B2" w:rsidRPr="00D97AA3" w:rsidRDefault="00A65545" w:rsidP="002C082E">
          <w:pPr>
            <w:spacing w:after="0"/>
            <w:rPr>
              <w:rFonts w:cs="Arial"/>
              <w:szCs w:val="24"/>
            </w:rPr>
          </w:pPr>
          <w:r w:rsidRPr="00D97AA3">
            <w:rPr>
              <w:rFonts w:cs="Arial"/>
              <w:szCs w:val="24"/>
            </w:rPr>
            <w:fldChar w:fldCharType="end"/>
          </w:r>
        </w:p>
      </w:sdtContent>
    </w:sdt>
    <w:p w:rsidR="003053AA" w:rsidRPr="00D97AA3" w:rsidRDefault="00797411" w:rsidP="002C082E">
      <w:pPr>
        <w:pStyle w:val="NormalWeb"/>
        <w:spacing w:after="0" w:afterAutospacing="0" w:line="360" w:lineRule="auto"/>
        <w:rPr>
          <w:rStyle w:val="Strong"/>
          <w:rFonts w:ascii="Arial" w:hAnsi="Arial" w:cs="Arial"/>
          <w:b w:val="0"/>
          <w:bCs w:val="0"/>
          <w:lang w:val="en-GB"/>
        </w:rPr>
      </w:pPr>
      <w:r w:rsidRPr="00D97AA3">
        <w:rPr>
          <w:rStyle w:val="Strong"/>
          <w:rFonts w:ascii="Arial" w:hAnsi="Arial" w:cs="Arial"/>
          <w:lang w:val="en-GB"/>
        </w:rPr>
        <w:br w:type="page"/>
      </w:r>
    </w:p>
    <w:p w:rsidR="0080352C" w:rsidRPr="00826021" w:rsidRDefault="00797411" w:rsidP="002C082E">
      <w:pPr>
        <w:pStyle w:val="Heading1"/>
        <w:rPr>
          <w:rFonts w:cs="Arial"/>
          <w:color w:val="FF0000"/>
          <w:sz w:val="24"/>
          <w:szCs w:val="24"/>
          <w:lang w:val="en-GB"/>
        </w:rPr>
      </w:pPr>
      <w:bookmarkStart w:id="0" w:name="_Toc134460958"/>
      <w:r w:rsidRPr="00826021">
        <w:rPr>
          <w:rStyle w:val="Strong"/>
          <w:rFonts w:cs="Arial"/>
          <w:b/>
          <w:bCs/>
          <w:color w:val="FF0000"/>
          <w:sz w:val="24"/>
          <w:szCs w:val="24"/>
        </w:rPr>
        <w:lastRenderedPageBreak/>
        <w:t>Introduction</w:t>
      </w:r>
      <w:bookmarkEnd w:id="0"/>
    </w:p>
    <w:p w:rsidR="00B7282E" w:rsidRPr="00826021" w:rsidRDefault="001C6D78" w:rsidP="002C082E">
      <w:pPr>
        <w:pStyle w:val="NormalWeb"/>
        <w:spacing w:line="360" w:lineRule="auto"/>
        <w:rPr>
          <w:rFonts w:ascii="Arial" w:hAnsi="Arial" w:cs="Arial"/>
          <w:color w:val="FF0000"/>
          <w:lang w:val="en-GB"/>
        </w:rPr>
      </w:pPr>
      <w:r w:rsidRPr="00826021">
        <w:rPr>
          <w:rFonts w:ascii="Arial" w:hAnsi="Arial" w:cs="Arial"/>
          <w:color w:val="FF0000"/>
          <w:lang w:val="en-GB"/>
        </w:rPr>
        <w:t xml:space="preserve">Employee engagement is considered critical for a firm as well as </w:t>
      </w:r>
      <w:r w:rsidR="003143F9" w:rsidRPr="00826021">
        <w:rPr>
          <w:rFonts w:ascii="Arial" w:hAnsi="Arial" w:cs="Arial"/>
          <w:color w:val="FF0000"/>
          <w:lang w:val="en-GB"/>
        </w:rPr>
        <w:t xml:space="preserve">for human resource management. </w:t>
      </w:r>
      <w:r w:rsidR="00633083" w:rsidRPr="00826021">
        <w:rPr>
          <w:rFonts w:ascii="Arial" w:hAnsi="Arial" w:cs="Arial"/>
          <w:color w:val="FF0000"/>
          <w:lang w:val="en-GB"/>
        </w:rPr>
        <w:t xml:space="preserve">Employee engagement assists to optimise work culture in an organisation enhances performance and productivity of not only a team but also entire organisation. Therefore, employee engagement is considered extremely important for firms operating in any sector or industry. </w:t>
      </w:r>
      <w:r w:rsidR="00947BE9" w:rsidRPr="00826021">
        <w:rPr>
          <w:rFonts w:ascii="Arial" w:hAnsi="Arial" w:cs="Arial"/>
          <w:color w:val="FF0000"/>
          <w:lang w:val="en-GB"/>
        </w:rPr>
        <w:t>Employee engagement is profitable and essential for organisation for several factors, such as employee engagement assists to improve customer relationship. This study is</w:t>
      </w:r>
      <w:r w:rsidR="00826021" w:rsidRPr="00826021">
        <w:rPr>
          <w:rFonts w:ascii="Arial" w:hAnsi="Arial" w:cs="Arial"/>
          <w:color w:val="FF0000"/>
          <w:lang w:val="en-GB"/>
        </w:rPr>
        <w:t xml:space="preserve"> analysis employee engagement in different organisations operating in United Kingdom. </w:t>
      </w:r>
      <w:r w:rsidR="00797411" w:rsidRPr="00826021">
        <w:rPr>
          <w:rFonts w:ascii="Arial" w:hAnsi="Arial" w:cs="Arial"/>
          <w:color w:val="FF0000"/>
          <w:lang w:val="en-GB"/>
        </w:rPr>
        <w:t xml:space="preserve"> </w:t>
      </w:r>
    </w:p>
    <w:p w:rsidR="0080352C" w:rsidRPr="00D97AA3" w:rsidRDefault="00797411" w:rsidP="002C082E">
      <w:pPr>
        <w:pStyle w:val="NormalWeb"/>
        <w:spacing w:line="360" w:lineRule="auto"/>
        <w:rPr>
          <w:rFonts w:ascii="Arial" w:hAnsi="Arial" w:cs="Arial"/>
          <w:lang w:val="en-GB"/>
        </w:rPr>
      </w:pPr>
      <w:r w:rsidRPr="00D97AA3">
        <w:rPr>
          <w:rFonts w:ascii="Arial" w:hAnsi="Arial" w:cs="Arial"/>
          <w:lang w:val="en-GB"/>
        </w:rPr>
        <w:t>The HR management considers effective communication and resource management processes to continue employee engagement through the employee lifecycle in the organisation. This essay aims to deliver practical logic, thinking and evaluation of resources and communication processes through maintaining management and business environment to develop efficiency and satisfaction of employees through the employee lifecycle in the organisations.</w:t>
      </w:r>
    </w:p>
    <w:p w:rsidR="0080352C" w:rsidRPr="00D97AA3" w:rsidRDefault="00797411" w:rsidP="002C082E">
      <w:pPr>
        <w:pStyle w:val="NormalWeb"/>
        <w:spacing w:line="360" w:lineRule="auto"/>
        <w:rPr>
          <w:rFonts w:ascii="Arial" w:hAnsi="Arial" w:cs="Arial"/>
          <w:lang w:val="en-GB"/>
        </w:rPr>
      </w:pPr>
      <w:r w:rsidRPr="00D97AA3">
        <w:rPr>
          <w:rStyle w:val="Strong"/>
          <w:rFonts w:ascii="Arial" w:hAnsi="Arial" w:cs="Arial"/>
          <w:i/>
          <w:iCs/>
          <w:lang w:val="en-GB"/>
        </w:rPr>
        <w:t xml:space="preserve">Thesis statement: </w:t>
      </w:r>
      <w:r w:rsidRPr="00D97AA3">
        <w:rPr>
          <w:rFonts w:ascii="Arial" w:hAnsi="Arial" w:cs="Arial"/>
          <w:lang w:val="en-GB"/>
        </w:rPr>
        <w:t>Green HR management, effective CSR application and implementation of information technology can contribute to increasing the satisfaction and work-life balance of employees to develop employee engagement in the organisations.</w:t>
      </w:r>
      <w:r w:rsidRPr="00D97AA3">
        <w:rPr>
          <w:rStyle w:val="Strong"/>
          <w:rFonts w:ascii="Arial" w:hAnsi="Arial" w:cs="Arial"/>
          <w:i/>
          <w:iCs/>
          <w:lang w:val="en-GB"/>
        </w:rPr>
        <w:t> </w:t>
      </w:r>
    </w:p>
    <w:p w:rsidR="009B0B11" w:rsidRPr="00D97AA3" w:rsidRDefault="009B0B11" w:rsidP="002C082E">
      <w:pPr>
        <w:pStyle w:val="Heading1"/>
        <w:rPr>
          <w:rFonts w:cs="Arial"/>
          <w:sz w:val="24"/>
          <w:szCs w:val="24"/>
        </w:rPr>
      </w:pPr>
      <w:bookmarkStart w:id="1" w:name="_Toc134460959"/>
      <w:r w:rsidRPr="00D97AA3">
        <w:rPr>
          <w:rFonts w:cs="Arial"/>
          <w:sz w:val="24"/>
          <w:szCs w:val="24"/>
        </w:rPr>
        <w:t>Discussion</w:t>
      </w:r>
      <w:bookmarkEnd w:id="1"/>
    </w:p>
    <w:p w:rsidR="009B0B11" w:rsidRPr="00D97AA3" w:rsidRDefault="009B0B11" w:rsidP="002C082E">
      <w:pPr>
        <w:pStyle w:val="Heading1"/>
        <w:rPr>
          <w:rFonts w:cs="Arial"/>
          <w:sz w:val="24"/>
          <w:szCs w:val="24"/>
        </w:rPr>
      </w:pPr>
      <w:bookmarkStart w:id="2" w:name="_Toc134460960"/>
      <w:r w:rsidRPr="00D97AA3">
        <w:rPr>
          <w:rFonts w:cs="Arial"/>
          <w:sz w:val="24"/>
          <w:szCs w:val="24"/>
        </w:rPr>
        <w:t>Employee engagement Literature</w:t>
      </w:r>
      <w:bookmarkEnd w:id="2"/>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 engagement of employees is an important part of the working organization as it serves to meet the goals of the organization. A large number of employees in a working organization has both advantages and disadvantages</w:t>
      </w:r>
      <w:r w:rsidR="00EB4F4E" w:rsidRPr="00D97AA3">
        <w:rPr>
          <w:rFonts w:cs="Arial"/>
          <w:color w:val="548DD4" w:themeColor="text2" w:themeTint="99"/>
          <w:szCs w:val="24"/>
        </w:rPr>
        <w:t xml:space="preserve"> </w:t>
      </w:r>
      <w:r w:rsidR="00E01DA5" w:rsidRPr="00D97AA3">
        <w:rPr>
          <w:rFonts w:cs="Arial"/>
          <w:color w:val="4F81BD" w:themeColor="accent1"/>
          <w:szCs w:val="24"/>
          <w:lang w:val="en-GB"/>
        </w:rPr>
        <w:t>(Cillo </w:t>
      </w:r>
      <w:r w:rsidR="00E01DA5" w:rsidRPr="00D97AA3">
        <w:rPr>
          <w:rStyle w:val="Emphasis"/>
          <w:rFonts w:cs="Arial"/>
          <w:color w:val="4F81BD" w:themeColor="accent1"/>
          <w:szCs w:val="24"/>
          <w:lang w:val="en-GB"/>
        </w:rPr>
        <w:t>et al. </w:t>
      </w:r>
      <w:r w:rsidR="00E01DA5" w:rsidRPr="00D97AA3">
        <w:rPr>
          <w:rFonts w:cs="Arial"/>
          <w:color w:val="4F81BD" w:themeColor="accent1"/>
          <w:szCs w:val="24"/>
          <w:lang w:val="en-GB"/>
        </w:rPr>
        <w:t>2019</w:t>
      </w:r>
      <w:r w:rsidR="00E01DA5" w:rsidRPr="00D97AA3">
        <w:rPr>
          <w:rFonts w:cs="Arial"/>
          <w:szCs w:val="24"/>
          <w:lang w:val="en-GB"/>
        </w:rPr>
        <w:t>)</w:t>
      </w:r>
      <w:r w:rsidRPr="00D97AA3">
        <w:rPr>
          <w:rFonts w:cs="Arial"/>
          <w:color w:val="548DD4" w:themeColor="text2" w:themeTint="99"/>
          <w:szCs w:val="24"/>
        </w:rPr>
        <w:t xml:space="preserve">. Numerous journals are published in the literature about the benefits and losses of employee engagement in an organization. Management theory considers employee engagement as an important issue that is practiced in the organization. Employee engagement </w:t>
      </w:r>
      <w:r w:rsidRPr="00D97AA3">
        <w:rPr>
          <w:rFonts w:cs="Arial"/>
          <w:color w:val="548DD4" w:themeColor="text2" w:themeTint="99"/>
          <w:szCs w:val="24"/>
        </w:rPr>
        <w:lastRenderedPageBreak/>
        <w:t>involves two key definitions as multi-faceted construction including emotions, behaviors and cognitions and the other is a unitary construct that includes a positive state of mind, and the dedicated willingness of the workers</w:t>
      </w:r>
      <w:r w:rsidR="00E01DA5" w:rsidRPr="00D97AA3">
        <w:rPr>
          <w:rFonts w:cs="Arial"/>
          <w:color w:val="548DD4" w:themeColor="text2" w:themeTint="99"/>
          <w:szCs w:val="24"/>
        </w:rPr>
        <w:t xml:space="preserve"> </w:t>
      </w:r>
      <w:r w:rsidR="00E01DA5" w:rsidRPr="00D97AA3">
        <w:rPr>
          <w:rFonts w:cs="Arial"/>
          <w:color w:val="4F81BD" w:themeColor="accent1"/>
          <w:szCs w:val="24"/>
          <w:lang w:val="en-GB"/>
        </w:rPr>
        <w:t xml:space="preserve">(Cillo </w:t>
      </w:r>
      <w:r w:rsidR="00E01DA5" w:rsidRPr="00D97AA3">
        <w:rPr>
          <w:rStyle w:val="Emphasis"/>
          <w:rFonts w:cs="Arial"/>
          <w:color w:val="4F81BD" w:themeColor="accent1"/>
          <w:szCs w:val="24"/>
          <w:lang w:val="en-GB"/>
        </w:rPr>
        <w:t>et al. </w:t>
      </w:r>
      <w:r w:rsidR="00E01DA5" w:rsidRPr="00D97AA3">
        <w:rPr>
          <w:rFonts w:cs="Arial"/>
          <w:color w:val="4F81BD" w:themeColor="accent1"/>
          <w:szCs w:val="24"/>
          <w:lang w:val="en-GB"/>
        </w:rPr>
        <w:t>2019)</w:t>
      </w:r>
      <w:r w:rsidRPr="00D97AA3">
        <w:rPr>
          <w:rFonts w:cs="Arial"/>
          <w:color w:val="4F81BD" w:themeColor="accent1"/>
          <w:szCs w:val="24"/>
        </w:rPr>
        <w:t>.</w:t>
      </w:r>
      <w:r w:rsidRPr="00D97AA3">
        <w:rPr>
          <w:rFonts w:cs="Arial"/>
          <w:color w:val="548DD4" w:themeColor="text2" w:themeTint="99"/>
          <w:szCs w:val="24"/>
        </w:rPr>
        <w:t xml:space="preserve"> There are lots of shortcomings demonstrated in the engagement of employees in the organization such as cross-cultural and personality differences between the </w:t>
      </w:r>
      <w:r w:rsidR="003C181A" w:rsidRPr="00D97AA3">
        <w:rPr>
          <w:rFonts w:cs="Arial"/>
          <w:color w:val="548DD4" w:themeColor="text2" w:themeTint="99"/>
          <w:szCs w:val="24"/>
        </w:rPr>
        <w:t>workers,</w:t>
      </w:r>
      <w:r w:rsidRPr="00D97AA3">
        <w:rPr>
          <w:rFonts w:cs="Arial"/>
          <w:color w:val="548DD4" w:themeColor="text2" w:themeTint="99"/>
          <w:szCs w:val="24"/>
        </w:rPr>
        <w:t xml:space="preserve"> lack of role due to high employee engagement, and lack of intervention mechanism for the engagement of the employees (Sun and Bunchapattanasakda, 2019). Organizational factors such as management style and job rewards, job factors such as features of the task and work environment and individual factors such as self-consciousness are the influential factors that control the engagement of employees in the organization. </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 JD-R model is the advanced model that depicts the relationships between employee engagement and innovative characteristics in an organization. Innovation and creativity are the hallmarks of the business organization that involves the support and engagement of employees democratically in the organization (Kwon and Kim, 2020). High employee engagement may leads to the failure of an innovative model due to organizational and individual reasons, besides adequate engagement of employees may result in successful innovation in the organization. The failure factors include scepticism, fatigue, and laborious complicated logistics. Resourced-based view models depict that the adequate support of resources is an important part of the engagement of the employees in the organization and is divided into five categories of resources such as organizational resources, social resources, job resources, and home and personal resources</w:t>
      </w:r>
      <w:r w:rsidR="009C7FD4" w:rsidRPr="00D97AA3">
        <w:rPr>
          <w:rFonts w:cs="Arial"/>
          <w:color w:val="548DD4" w:themeColor="text2" w:themeTint="99"/>
          <w:szCs w:val="24"/>
        </w:rPr>
        <w:t xml:space="preserve"> </w:t>
      </w:r>
      <w:r w:rsidR="009C7FD4" w:rsidRPr="00D97AA3">
        <w:rPr>
          <w:rFonts w:cs="Arial"/>
          <w:color w:val="4F81BD" w:themeColor="accent1"/>
          <w:szCs w:val="24"/>
        </w:rPr>
        <w:t>(</w:t>
      </w:r>
      <w:r w:rsidR="009C7FD4" w:rsidRPr="00D97AA3">
        <w:rPr>
          <w:rFonts w:cs="Arial"/>
          <w:color w:val="4F81BD" w:themeColor="accent1"/>
          <w:szCs w:val="24"/>
          <w:lang w:val="en-GB"/>
        </w:rPr>
        <w:t>Teo </w:t>
      </w:r>
      <w:r w:rsidR="009C7FD4" w:rsidRPr="00D97AA3">
        <w:rPr>
          <w:rStyle w:val="Emphasis"/>
          <w:rFonts w:cs="Arial"/>
          <w:color w:val="4F81BD" w:themeColor="accent1"/>
          <w:szCs w:val="24"/>
          <w:lang w:val="en-GB"/>
        </w:rPr>
        <w:t>et al.</w:t>
      </w:r>
      <w:r w:rsidR="009C7FD4" w:rsidRPr="00D97AA3">
        <w:rPr>
          <w:rStyle w:val="Emphasis"/>
          <w:rFonts w:cs="Arial"/>
          <w:i w:val="0"/>
          <w:color w:val="4F81BD" w:themeColor="accent1"/>
          <w:szCs w:val="24"/>
          <w:lang w:val="en-GB"/>
        </w:rPr>
        <w:t>2020).</w:t>
      </w:r>
      <w:r w:rsidRPr="00D97AA3">
        <w:rPr>
          <w:rFonts w:cs="Arial"/>
          <w:color w:val="548DD4" w:themeColor="text2" w:themeTint="99"/>
          <w:szCs w:val="24"/>
        </w:rPr>
        <w:t xml:space="preserve"> The demand resource model is the key concept of employee engagement that involves the adequate use of resources to fulfil the demand of the employees. The employee engagement model depicts the productiveness and happiness of the people in the workplace. </w:t>
      </w:r>
    </w:p>
    <w:p w:rsidR="009B0B11" w:rsidRPr="00D97AA3" w:rsidRDefault="009B0B11" w:rsidP="002C082E">
      <w:pPr>
        <w:pStyle w:val="Heading1"/>
        <w:rPr>
          <w:rFonts w:cs="Arial"/>
          <w:sz w:val="24"/>
          <w:szCs w:val="24"/>
        </w:rPr>
      </w:pPr>
      <w:bookmarkStart w:id="3" w:name="_Toc134460961"/>
      <w:r w:rsidRPr="00D97AA3">
        <w:rPr>
          <w:rFonts w:cs="Arial"/>
          <w:sz w:val="24"/>
          <w:szCs w:val="24"/>
        </w:rPr>
        <w:t>Knowledge and understanding of the subject</w:t>
      </w:r>
      <w:bookmarkEnd w:id="3"/>
    </w:p>
    <w:p w:rsidR="009B0B11" w:rsidRPr="00D97AA3" w:rsidRDefault="002C082E" w:rsidP="002C082E">
      <w:pPr>
        <w:rPr>
          <w:rFonts w:cs="Arial"/>
          <w:color w:val="548DD4" w:themeColor="text2" w:themeTint="99"/>
          <w:szCs w:val="24"/>
        </w:rPr>
      </w:pPr>
      <w:r w:rsidRPr="00D97AA3">
        <w:rPr>
          <w:rFonts w:cs="Arial"/>
          <w:color w:val="548DD4" w:themeColor="text2" w:themeTint="99"/>
          <w:szCs w:val="24"/>
        </w:rPr>
        <w:t xml:space="preserve">Employee engagement involves a lot of understanding of the different issues generated due to the high engagement of employees and the gains sufficient knowledge on the engagement of employees in the organization (Amor </w:t>
      </w:r>
      <w:r w:rsidRPr="00D97AA3">
        <w:rPr>
          <w:rFonts w:cs="Arial"/>
          <w:i/>
          <w:color w:val="548DD4" w:themeColor="text2" w:themeTint="99"/>
          <w:szCs w:val="24"/>
        </w:rPr>
        <w:t xml:space="preserve">et al. </w:t>
      </w:r>
      <w:r w:rsidRPr="00D97AA3">
        <w:rPr>
          <w:rFonts w:cs="Arial"/>
          <w:color w:val="548DD4" w:themeColor="text2" w:themeTint="99"/>
          <w:szCs w:val="24"/>
        </w:rPr>
        <w:t>2020</w:t>
      </w:r>
      <w:r w:rsidRPr="00D97AA3">
        <w:rPr>
          <w:rFonts w:cs="Arial"/>
          <w:i/>
          <w:color w:val="548DD4" w:themeColor="text2" w:themeTint="99"/>
          <w:szCs w:val="24"/>
        </w:rPr>
        <w:t>)</w:t>
      </w:r>
      <w:r w:rsidRPr="00D97AA3">
        <w:rPr>
          <w:rFonts w:cs="Arial"/>
          <w:color w:val="548DD4" w:themeColor="text2" w:themeTint="99"/>
          <w:szCs w:val="24"/>
        </w:rPr>
        <w:t xml:space="preserve">. </w:t>
      </w:r>
      <w:r w:rsidR="009B0B11" w:rsidRPr="00D97AA3">
        <w:rPr>
          <w:rFonts w:cs="Arial"/>
          <w:color w:val="548DD4" w:themeColor="text2" w:themeTint="99"/>
          <w:szCs w:val="24"/>
        </w:rPr>
        <w:t xml:space="preserve">Employee </w:t>
      </w:r>
      <w:r w:rsidR="009B0B11" w:rsidRPr="00D97AA3">
        <w:rPr>
          <w:rFonts w:cs="Arial"/>
          <w:color w:val="548DD4" w:themeColor="text2" w:themeTint="99"/>
          <w:szCs w:val="24"/>
        </w:rPr>
        <w:lastRenderedPageBreak/>
        <w:t>engagement involves the different methods that visualize the positive and negative outcomes for both low and high engagement of employees. Employee engagement starts from the recruitment process and ends with resignation termination involving subsequent steps and represents the lifecycle of employee engagement. Zinger's model utilizes the ten essential actions that the manager needs to engage their employees and is depicted in the form of a pyramid highlighting the importance of employee engagement that fosters in the workplace. </w:t>
      </w:r>
    </w:p>
    <w:p w:rsidR="009B0B11" w:rsidRPr="00D97AA3" w:rsidRDefault="00D964EA" w:rsidP="002C082E">
      <w:pPr>
        <w:jc w:val="center"/>
        <w:rPr>
          <w:rFonts w:cs="Arial"/>
          <w:color w:val="548DD4" w:themeColor="text2" w:themeTint="99"/>
          <w:szCs w:val="24"/>
        </w:rPr>
      </w:pPr>
      <w:r w:rsidRPr="00D97AA3">
        <w:rPr>
          <w:rFonts w:cs="Arial"/>
          <w:noProof/>
          <w:color w:val="548DD4" w:themeColor="text2" w:themeTint="99"/>
          <w:szCs w:val="24"/>
        </w:rPr>
        <w:drawing>
          <wp:inline distT="0" distB="0" distL="0" distR="0">
            <wp:extent cx="3752602" cy="3633849"/>
            <wp:effectExtent l="19050" t="0" r="248" b="0"/>
            <wp:docPr id="5" name="Picture 1" descr="Employee Engagement Model - PEARL™ | People Ins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ployee Engagement Model - PEARL™ | People Insight"/>
                    <pic:cNvPicPr>
                      <a:picLocks noChangeAspect="1" noChangeArrowheads="1"/>
                    </pic:cNvPicPr>
                  </pic:nvPicPr>
                  <pic:blipFill>
                    <a:blip r:embed="rId8"/>
                    <a:srcRect/>
                    <a:stretch>
                      <a:fillRect/>
                    </a:stretch>
                  </pic:blipFill>
                  <pic:spPr bwMode="auto">
                    <a:xfrm>
                      <a:off x="0" y="0"/>
                      <a:ext cx="3755251" cy="3636414"/>
                    </a:xfrm>
                    <a:prstGeom prst="rect">
                      <a:avLst/>
                    </a:prstGeom>
                    <a:noFill/>
                    <a:ln w="9525">
                      <a:noFill/>
                      <a:miter lim="800000"/>
                      <a:headEnd/>
                      <a:tailEnd/>
                    </a:ln>
                  </pic:spPr>
                </pic:pic>
              </a:graphicData>
            </a:graphic>
          </wp:inline>
        </w:drawing>
      </w:r>
    </w:p>
    <w:p w:rsidR="009B0B11" w:rsidRPr="00D97AA3" w:rsidRDefault="009B0B11" w:rsidP="002C082E">
      <w:pPr>
        <w:jc w:val="center"/>
        <w:rPr>
          <w:rFonts w:cs="Arial"/>
          <w:color w:val="548DD4" w:themeColor="text2" w:themeTint="99"/>
          <w:szCs w:val="24"/>
        </w:rPr>
      </w:pPr>
      <w:r w:rsidRPr="00D97AA3">
        <w:rPr>
          <w:rFonts w:cs="Arial"/>
          <w:color w:val="548DD4" w:themeColor="text2" w:themeTint="99"/>
          <w:szCs w:val="24"/>
        </w:rPr>
        <w:t>Fig 1:  Global Themes of Employee Engagement</w:t>
      </w:r>
    </w:p>
    <w:p w:rsidR="009B0B11" w:rsidRPr="00D97AA3" w:rsidRDefault="00D422F0" w:rsidP="002C082E">
      <w:pPr>
        <w:jc w:val="center"/>
        <w:rPr>
          <w:rFonts w:cs="Arial"/>
          <w:color w:val="548DD4" w:themeColor="text2" w:themeTint="99"/>
          <w:szCs w:val="24"/>
        </w:rPr>
      </w:pPr>
      <w:r w:rsidRPr="00D97AA3">
        <w:rPr>
          <w:rFonts w:cs="Arial"/>
          <w:color w:val="548DD4" w:themeColor="text2" w:themeTint="99"/>
          <w:szCs w:val="24"/>
        </w:rPr>
        <w:t>(</w:t>
      </w:r>
      <w:r w:rsidR="009B0B11" w:rsidRPr="00D97AA3">
        <w:rPr>
          <w:rFonts w:cs="Arial"/>
          <w:color w:val="548DD4" w:themeColor="text2" w:themeTint="99"/>
          <w:szCs w:val="24"/>
        </w:rPr>
        <w:t>Source</w:t>
      </w:r>
      <w:r w:rsidRPr="00D97AA3">
        <w:rPr>
          <w:rFonts w:cs="Arial"/>
          <w:color w:val="548DD4" w:themeColor="text2" w:themeTint="99"/>
          <w:szCs w:val="24"/>
        </w:rPr>
        <w:t>: Peopleinsight, 2023</w:t>
      </w:r>
      <w:r w:rsidR="00393774" w:rsidRPr="00D97AA3">
        <w:rPr>
          <w:rFonts w:cs="Arial"/>
          <w:color w:val="548DD4" w:themeColor="text2" w:themeTint="99"/>
          <w:szCs w:val="24"/>
        </w:rPr>
        <w:t>)</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Employee engagement has five key components that foster positive outcomes for the business in the future. Leadership is an important part of employee management to foster the growth of the organization. The different organization follows different types of leadership theories to gain a competitive edge in the market. These theories need to be implemented in the organization regularly to encourage the engagement of the employees in the organization.  The employees to procure a substantial positive work </w:t>
      </w:r>
      <w:r w:rsidRPr="00D97AA3">
        <w:rPr>
          <w:rFonts w:cs="Arial"/>
          <w:color w:val="548DD4" w:themeColor="text2" w:themeTint="99"/>
          <w:szCs w:val="24"/>
        </w:rPr>
        <w:lastRenderedPageBreak/>
        <w:t xml:space="preserve">environment keenly follow autocratic, transformative, and charismatic leadership in the different </w:t>
      </w:r>
      <w:r w:rsidRPr="00D97AA3">
        <w:rPr>
          <w:rFonts w:cs="Arial"/>
          <w:color w:val="4F81BD" w:themeColor="accent1"/>
          <w:szCs w:val="24"/>
        </w:rPr>
        <w:t>organizations</w:t>
      </w:r>
      <w:r w:rsidR="00254288" w:rsidRPr="00D97AA3">
        <w:rPr>
          <w:rFonts w:cs="Arial"/>
          <w:color w:val="4F81BD" w:themeColor="accent1"/>
          <w:szCs w:val="24"/>
        </w:rPr>
        <w:t xml:space="preserve"> (</w:t>
      </w:r>
      <w:r w:rsidR="00254288" w:rsidRPr="00D97AA3">
        <w:rPr>
          <w:rFonts w:cs="Arial"/>
          <w:color w:val="4F81BD" w:themeColor="accent1"/>
          <w:szCs w:val="24"/>
          <w:lang w:val="en-GB"/>
        </w:rPr>
        <w:t>Heslina and Syahruni,2021)</w:t>
      </w:r>
      <w:r w:rsidRPr="00D97AA3">
        <w:rPr>
          <w:rFonts w:cs="Arial"/>
          <w:color w:val="4F81BD" w:themeColor="accent1"/>
          <w:szCs w:val="24"/>
        </w:rPr>
        <w:t>.</w:t>
      </w:r>
      <w:r w:rsidRPr="00D97AA3">
        <w:rPr>
          <w:rFonts w:cs="Arial"/>
          <w:color w:val="548DD4" w:themeColor="text2" w:themeTint="99"/>
          <w:szCs w:val="24"/>
        </w:rPr>
        <w:t xml:space="preserve"> The senior leaders and line managers in the organization mainly play leadership qualities. The reward is an important term for the continuation of the engagement of employees in the organization for their valuable work. The rewards are provided by promoting them or recognizing them for their valuable work. Autonomy depends on the well-being of the employees and mastery of the task appropriately to increase their encouragement. Enablement means providing accurate resources in the community for the task done in the time and fosters the growth of the company.  The purpose is important for the engagement of workers as it aligns with the goals and integrity of the organization. </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There are different theories of employee engagement that motivate the workers to do their respective work fulfilling the basic needs of the employees such as physical, social, safety, self -actualism and esteem</w:t>
      </w:r>
      <w:r w:rsidR="001B7476" w:rsidRPr="00D97AA3">
        <w:rPr>
          <w:rFonts w:cs="Arial"/>
          <w:color w:val="548DD4" w:themeColor="text2" w:themeTint="99"/>
          <w:szCs w:val="24"/>
        </w:rPr>
        <w:t xml:space="preserve"> (Azim </w:t>
      </w:r>
      <w:r w:rsidR="001B7476" w:rsidRPr="00D97AA3">
        <w:rPr>
          <w:rFonts w:cs="Arial"/>
          <w:i/>
          <w:color w:val="548DD4" w:themeColor="text2" w:themeTint="99"/>
          <w:szCs w:val="24"/>
        </w:rPr>
        <w:t>et al.</w:t>
      </w:r>
      <w:r w:rsidR="001B7476" w:rsidRPr="00D97AA3">
        <w:rPr>
          <w:rFonts w:cs="Arial"/>
          <w:color w:val="548DD4" w:themeColor="text2" w:themeTint="99"/>
          <w:szCs w:val="24"/>
        </w:rPr>
        <w:t>2019)</w:t>
      </w:r>
      <w:r w:rsidRPr="00D97AA3">
        <w:rPr>
          <w:rFonts w:cs="Arial"/>
          <w:color w:val="548DD4" w:themeColor="text2" w:themeTint="99"/>
          <w:szCs w:val="24"/>
        </w:rPr>
        <w:t>. The theory of Maslow on employee engagement involves fulfilling the above basic needs mention that results in higher employee engagement and an increase in motivation of employees. The Schmidt model was developed in the year 2004, considering that recruiting correct people according to their expertise and competencies foster a positive environment in the workplace. </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The three-core framework of employee engagement involves Empowerment, Enablement and Connection that is influenced by building competency and strength in these core areas. Gallup's engagement theory of employees involves the motivation of the workers in the workplace by four crucial elements that are Basic, individual, Teamwork and growth of the organization. </w:t>
      </w:r>
    </w:p>
    <w:p w:rsidR="009B0B11" w:rsidRPr="00D97AA3" w:rsidRDefault="009B0B11" w:rsidP="002C082E">
      <w:pPr>
        <w:jc w:val="center"/>
        <w:rPr>
          <w:rFonts w:cs="Arial"/>
          <w:color w:val="548DD4" w:themeColor="text2" w:themeTint="99"/>
          <w:szCs w:val="24"/>
        </w:rPr>
      </w:pPr>
      <w:r w:rsidRPr="00D97AA3">
        <w:rPr>
          <w:rFonts w:cs="Arial"/>
          <w:noProof/>
          <w:color w:val="548DD4" w:themeColor="text2" w:themeTint="99"/>
          <w:szCs w:val="24"/>
        </w:rPr>
        <w:lastRenderedPageBreak/>
        <w:drawing>
          <wp:inline distT="0" distB="0" distL="0" distR="0">
            <wp:extent cx="2768557" cy="2398816"/>
            <wp:effectExtent l="19050" t="0" r="0" b="0"/>
            <wp:docPr id="1" name="Picture 4" descr="How to Improve Employee Engagement in the Workplace - Gall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Improve Employee Engagement in the Workplace - Gallup"/>
                    <pic:cNvPicPr>
                      <a:picLocks noChangeAspect="1" noChangeArrowheads="1"/>
                    </pic:cNvPicPr>
                  </pic:nvPicPr>
                  <pic:blipFill>
                    <a:blip r:embed="rId9"/>
                    <a:srcRect/>
                    <a:stretch>
                      <a:fillRect/>
                    </a:stretch>
                  </pic:blipFill>
                  <pic:spPr bwMode="auto">
                    <a:xfrm>
                      <a:off x="0" y="0"/>
                      <a:ext cx="2776780" cy="2405941"/>
                    </a:xfrm>
                    <a:prstGeom prst="rect">
                      <a:avLst/>
                    </a:prstGeom>
                    <a:noFill/>
                    <a:ln w="9525">
                      <a:noFill/>
                      <a:miter lim="800000"/>
                      <a:headEnd/>
                      <a:tailEnd/>
                    </a:ln>
                  </pic:spPr>
                </pic:pic>
              </a:graphicData>
            </a:graphic>
          </wp:inline>
        </w:drawing>
      </w:r>
    </w:p>
    <w:p w:rsidR="009B0B11" w:rsidRPr="00D97AA3" w:rsidRDefault="009B0B11" w:rsidP="002C082E">
      <w:pPr>
        <w:jc w:val="center"/>
        <w:rPr>
          <w:rFonts w:cs="Arial"/>
          <w:color w:val="548DD4" w:themeColor="text2" w:themeTint="99"/>
          <w:szCs w:val="24"/>
        </w:rPr>
      </w:pPr>
      <w:r w:rsidRPr="00D97AA3">
        <w:rPr>
          <w:rFonts w:cs="Arial"/>
          <w:color w:val="548DD4" w:themeColor="text2" w:themeTint="99"/>
          <w:szCs w:val="24"/>
        </w:rPr>
        <w:t>Fig 2: Gallup Engagement Theory Model</w:t>
      </w:r>
    </w:p>
    <w:p w:rsidR="009B0B11" w:rsidRPr="00D97AA3" w:rsidRDefault="009856CD" w:rsidP="002C082E">
      <w:pPr>
        <w:jc w:val="center"/>
        <w:rPr>
          <w:rFonts w:cs="Arial"/>
          <w:color w:val="548DD4" w:themeColor="text2" w:themeTint="99"/>
          <w:szCs w:val="24"/>
        </w:rPr>
      </w:pPr>
      <w:r w:rsidRPr="00D97AA3">
        <w:rPr>
          <w:rFonts w:cs="Arial"/>
          <w:color w:val="548DD4" w:themeColor="text2" w:themeTint="99"/>
          <w:szCs w:val="24"/>
        </w:rPr>
        <w:t>(Source:</w:t>
      </w:r>
      <w:r w:rsidR="00393774" w:rsidRPr="00D97AA3">
        <w:rPr>
          <w:rFonts w:cs="Arial"/>
          <w:color w:val="548DD4" w:themeColor="text2" w:themeTint="99"/>
          <w:szCs w:val="24"/>
        </w:rPr>
        <w:t xml:space="preserve"> </w:t>
      </w:r>
      <w:r w:rsidRPr="00D97AA3">
        <w:rPr>
          <w:rFonts w:cs="Arial"/>
          <w:color w:val="548DD4" w:themeColor="text2" w:themeTint="99"/>
          <w:szCs w:val="24"/>
        </w:rPr>
        <w:t>Peopleinsight, 2023</w:t>
      </w:r>
      <w:r w:rsidR="00393774" w:rsidRPr="00D97AA3">
        <w:rPr>
          <w:rFonts w:cs="Arial"/>
          <w:color w:val="548DD4" w:themeColor="text2" w:themeTint="99"/>
          <w:szCs w:val="24"/>
        </w:rPr>
        <w:t>)</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The levels of Gallup help the managers to get the roadmap for motivating and developing the team members and improving the working performance of the individual team members. Kan's theory of employee engagement involves three principal dimensions that are cognitive, physical and emotional </w:t>
      </w:r>
      <w:r w:rsidR="00D964EA" w:rsidRPr="00D97AA3">
        <w:rPr>
          <w:rFonts w:cs="Arial"/>
          <w:color w:val="548DD4" w:themeColor="text2" w:themeTint="99"/>
          <w:szCs w:val="24"/>
        </w:rPr>
        <w:t>behaviors</w:t>
      </w:r>
      <w:r w:rsidRPr="00D97AA3">
        <w:rPr>
          <w:rFonts w:cs="Arial"/>
          <w:color w:val="548DD4" w:themeColor="text2" w:themeTint="99"/>
          <w:szCs w:val="24"/>
        </w:rPr>
        <w:t xml:space="preserve"> that connect the individual work with the task assigned to them. </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Psychology plays a key role in the engagement of the employees in the organization and so Piers Bishop introduces the 4 c's that </w:t>
      </w:r>
      <w:r w:rsidR="002C082E" w:rsidRPr="00D97AA3">
        <w:rPr>
          <w:rFonts w:cs="Arial"/>
          <w:color w:val="548DD4" w:themeColor="text2" w:themeTint="99"/>
          <w:szCs w:val="24"/>
        </w:rPr>
        <w:t>is</w:t>
      </w:r>
      <w:r w:rsidRPr="00D97AA3">
        <w:rPr>
          <w:rFonts w:cs="Arial"/>
          <w:color w:val="548DD4" w:themeColor="text2" w:themeTint="99"/>
          <w:szCs w:val="24"/>
        </w:rPr>
        <w:t xml:space="preserve"> implemented in the theory of employee engagement. These 4'c impact the working life of the individual and the workplace positively to understand the true engagement of the employees in the organization</w:t>
      </w:r>
      <w:r w:rsidR="001B7476" w:rsidRPr="00D97AA3">
        <w:rPr>
          <w:rFonts w:cs="Arial"/>
          <w:color w:val="548DD4" w:themeColor="text2" w:themeTint="99"/>
          <w:szCs w:val="24"/>
        </w:rPr>
        <w:t xml:space="preserve"> </w:t>
      </w:r>
      <w:r w:rsidR="001B7476" w:rsidRPr="00D97AA3">
        <w:rPr>
          <w:rFonts w:cs="Arial"/>
          <w:color w:val="4F81BD" w:themeColor="accent1"/>
          <w:szCs w:val="24"/>
        </w:rPr>
        <w:t>(</w:t>
      </w:r>
      <w:r w:rsidR="001B7476" w:rsidRPr="00D97AA3">
        <w:rPr>
          <w:rFonts w:cs="Arial"/>
          <w:color w:val="4F81BD" w:themeColor="accent1"/>
          <w:szCs w:val="24"/>
          <w:lang w:val="en-GB"/>
        </w:rPr>
        <w:t>Verčič,2021)</w:t>
      </w:r>
      <w:r w:rsidRPr="00D97AA3">
        <w:rPr>
          <w:rFonts w:cs="Arial"/>
          <w:color w:val="4F81BD" w:themeColor="accent1"/>
          <w:szCs w:val="24"/>
        </w:rPr>
        <w:t>.</w:t>
      </w:r>
      <w:r w:rsidRPr="00D97AA3">
        <w:rPr>
          <w:rFonts w:cs="Arial"/>
          <w:color w:val="548DD4" w:themeColor="text2" w:themeTint="99"/>
          <w:szCs w:val="24"/>
        </w:rPr>
        <w:t xml:space="preserve"> The four C's are cognitive, Capability, connection and Confidence that he's to foster a positive environment in the workplace. Cognitive refers to the vision of the team, follow by capability, connection and confidence of the team members in the organization.  The models and theories stated above help the organization to foster the work environment to leverage its competitiveness in the market industries. </w:t>
      </w:r>
    </w:p>
    <w:p w:rsidR="009B0B11" w:rsidRPr="00D97AA3" w:rsidRDefault="009B0B11" w:rsidP="002C082E">
      <w:pPr>
        <w:pStyle w:val="Heading1"/>
        <w:rPr>
          <w:rFonts w:cs="Arial"/>
          <w:sz w:val="24"/>
          <w:szCs w:val="24"/>
        </w:rPr>
      </w:pPr>
      <w:bookmarkStart w:id="4" w:name="_Toc134460962"/>
      <w:r w:rsidRPr="00D97AA3">
        <w:rPr>
          <w:rFonts w:cs="Arial"/>
          <w:sz w:val="24"/>
          <w:szCs w:val="24"/>
        </w:rPr>
        <w:lastRenderedPageBreak/>
        <w:t>Analysis of Employee Engagement in Different organization in the United Kingdom</w:t>
      </w:r>
      <w:bookmarkEnd w:id="4"/>
    </w:p>
    <w:p w:rsidR="00ED0240"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This part of the essay deals with the different models and theories of employee engagement used by the different reputed organizations in the </w:t>
      </w:r>
      <w:r w:rsidR="00ED0240" w:rsidRPr="00D97AA3">
        <w:rPr>
          <w:rFonts w:cs="Arial"/>
          <w:color w:val="548DD4" w:themeColor="text2" w:themeTint="99"/>
          <w:szCs w:val="24"/>
        </w:rPr>
        <w:t>UK</w:t>
      </w:r>
      <w:r w:rsidRPr="00D97AA3">
        <w:rPr>
          <w:rFonts w:cs="Arial"/>
          <w:color w:val="548DD4" w:themeColor="text2" w:themeTint="99"/>
          <w:szCs w:val="24"/>
        </w:rPr>
        <w:t>. Leadership qualities are an important part that is incorporated into different types of organizations</w:t>
      </w:r>
      <w:r w:rsidR="00A27ECE" w:rsidRPr="00D97AA3">
        <w:rPr>
          <w:rFonts w:cs="Arial"/>
          <w:color w:val="548DD4" w:themeColor="text2" w:themeTint="99"/>
          <w:szCs w:val="24"/>
        </w:rPr>
        <w:t xml:space="preserve"> </w:t>
      </w:r>
      <w:r w:rsidR="00A27ECE" w:rsidRPr="00D97AA3">
        <w:rPr>
          <w:rFonts w:cs="Arial"/>
          <w:color w:val="4F81BD" w:themeColor="accent1"/>
          <w:szCs w:val="24"/>
        </w:rPr>
        <w:t>(</w:t>
      </w:r>
      <w:r w:rsidR="00A27ECE" w:rsidRPr="00D97AA3">
        <w:rPr>
          <w:rFonts w:cs="Arial"/>
          <w:color w:val="4F81BD" w:themeColor="accent1"/>
          <w:szCs w:val="24"/>
          <w:lang w:val="en-GB"/>
        </w:rPr>
        <w:t xml:space="preserve">Rasool </w:t>
      </w:r>
      <w:r w:rsidR="00A27ECE" w:rsidRPr="00D97AA3">
        <w:rPr>
          <w:rStyle w:val="Emphasis"/>
          <w:rFonts w:cs="Arial"/>
          <w:color w:val="4F81BD" w:themeColor="accent1"/>
          <w:szCs w:val="24"/>
          <w:lang w:val="en-GB"/>
        </w:rPr>
        <w:t>et al.2021)</w:t>
      </w:r>
      <w:r w:rsidRPr="00D97AA3">
        <w:rPr>
          <w:rFonts w:cs="Arial"/>
          <w:color w:val="4F81BD" w:themeColor="accent1"/>
          <w:szCs w:val="24"/>
        </w:rPr>
        <w:t>.</w:t>
      </w:r>
      <w:r w:rsidRPr="00D97AA3">
        <w:rPr>
          <w:rFonts w:cs="Arial"/>
          <w:color w:val="548DD4" w:themeColor="text2" w:themeTint="99"/>
          <w:szCs w:val="24"/>
        </w:rPr>
        <w:t xml:space="preserve"> The hospital industries of the United Kingdom reveal a charismatic leadership style with their patients and a democratic leadership style with the workers, whereas the marketing companies work on autocratic and transformative leadership styles so that the work assigned can be completed within time. </w:t>
      </w:r>
    </w:p>
    <w:p w:rsidR="00ED0240" w:rsidRPr="00D97AA3" w:rsidRDefault="009B0B11" w:rsidP="002C082E">
      <w:pPr>
        <w:rPr>
          <w:rFonts w:cs="Arial"/>
          <w:color w:val="548DD4" w:themeColor="text2" w:themeTint="99"/>
          <w:szCs w:val="24"/>
        </w:rPr>
      </w:pPr>
      <w:r w:rsidRPr="00D97AA3">
        <w:rPr>
          <w:rFonts w:cs="Arial"/>
          <w:color w:val="548DD4" w:themeColor="text2" w:themeTint="99"/>
          <w:szCs w:val="24"/>
        </w:rPr>
        <w:t>Top innovative companies such as Nike and Zara use the Jd- R model for the recruitment of their employees in their respective innovation work. Unilever introduce the Gallup engagement theory model in their workforce for effective positive outcomes of the work</w:t>
      </w:r>
      <w:r w:rsidR="00BA5FCB" w:rsidRPr="00D97AA3">
        <w:rPr>
          <w:rFonts w:cs="Arial"/>
          <w:color w:val="548DD4" w:themeColor="text2" w:themeTint="99"/>
          <w:szCs w:val="24"/>
        </w:rPr>
        <w:t xml:space="preserve"> (Laws </w:t>
      </w:r>
      <w:r w:rsidR="00BA5FCB" w:rsidRPr="00D97AA3">
        <w:rPr>
          <w:rFonts w:cs="Arial"/>
          <w:i/>
          <w:color w:val="548DD4" w:themeColor="text2" w:themeTint="99"/>
          <w:szCs w:val="24"/>
        </w:rPr>
        <w:t>et al.</w:t>
      </w:r>
      <w:r w:rsidR="00BA5FCB" w:rsidRPr="00D97AA3">
        <w:rPr>
          <w:rFonts w:cs="Arial"/>
          <w:color w:val="548DD4" w:themeColor="text2" w:themeTint="99"/>
          <w:szCs w:val="24"/>
        </w:rPr>
        <w:t>2019)</w:t>
      </w:r>
      <w:r w:rsidRPr="00D97AA3">
        <w:rPr>
          <w:rFonts w:cs="Arial"/>
          <w:color w:val="548DD4" w:themeColor="text2" w:themeTint="99"/>
          <w:szCs w:val="24"/>
        </w:rPr>
        <w:t xml:space="preserve">. The techniques used by the organization flourish the engagement of the employees and thus increase the livelihood of the employees and able to establish a positive emotional connection with the employees. </w:t>
      </w:r>
    </w:p>
    <w:p w:rsidR="009B0B11" w:rsidRPr="00D97AA3" w:rsidRDefault="009B0B11" w:rsidP="002C082E">
      <w:pPr>
        <w:rPr>
          <w:rFonts w:cs="Arial"/>
          <w:color w:val="548DD4" w:themeColor="text2" w:themeTint="99"/>
          <w:szCs w:val="24"/>
        </w:rPr>
      </w:pPr>
      <w:r w:rsidRPr="00D97AA3">
        <w:rPr>
          <w:rFonts w:cs="Arial"/>
          <w:color w:val="548DD4" w:themeColor="text2" w:themeTint="99"/>
          <w:szCs w:val="24"/>
        </w:rPr>
        <w:t xml:space="preserve">The top companies such as Barclays and Adidas focus on community </w:t>
      </w:r>
      <w:r w:rsidR="00ED0240" w:rsidRPr="00D97AA3">
        <w:rPr>
          <w:rFonts w:cs="Arial"/>
          <w:color w:val="548DD4" w:themeColor="text2" w:themeTint="99"/>
          <w:szCs w:val="24"/>
        </w:rPr>
        <w:t>meetings</w:t>
      </w:r>
      <w:r w:rsidRPr="00D97AA3">
        <w:rPr>
          <w:rFonts w:cs="Arial"/>
          <w:color w:val="548DD4" w:themeColor="text2" w:themeTint="99"/>
          <w:szCs w:val="24"/>
        </w:rPr>
        <w:t xml:space="preserve"> and group surveys and arrange online engagement of the employees in the organization. The AON-Hewitt model is used by medium-size to large-size organizations to increase the productivity and optimal performance of the organization</w:t>
      </w:r>
      <w:r w:rsidR="00BA5FCB" w:rsidRPr="00D97AA3">
        <w:rPr>
          <w:rFonts w:cs="Arial"/>
          <w:szCs w:val="24"/>
          <w:lang w:val="en-GB"/>
        </w:rPr>
        <w:t xml:space="preserve"> </w:t>
      </w:r>
      <w:r w:rsidR="00A27ECE" w:rsidRPr="00D97AA3">
        <w:rPr>
          <w:rFonts w:cs="Arial"/>
          <w:color w:val="4F81BD" w:themeColor="accent1"/>
          <w:szCs w:val="24"/>
          <w:lang w:val="en-GB"/>
        </w:rPr>
        <w:t>(</w:t>
      </w:r>
      <w:r w:rsidR="00BA5FCB" w:rsidRPr="00D97AA3">
        <w:rPr>
          <w:rFonts w:cs="Arial"/>
          <w:color w:val="4F81BD" w:themeColor="accent1"/>
          <w:szCs w:val="24"/>
          <w:lang w:val="en-GB"/>
        </w:rPr>
        <w:t>Ștefan</w:t>
      </w:r>
      <w:r w:rsidR="00A27ECE" w:rsidRPr="00D97AA3">
        <w:rPr>
          <w:rFonts w:cs="Arial"/>
          <w:color w:val="4F81BD" w:themeColor="accent1"/>
          <w:szCs w:val="24"/>
          <w:lang w:val="en-GB"/>
        </w:rPr>
        <w:t xml:space="preserve"> </w:t>
      </w:r>
      <w:r w:rsidR="00BA5FCB" w:rsidRPr="00D97AA3">
        <w:rPr>
          <w:rStyle w:val="Emphasis"/>
          <w:rFonts w:cs="Arial"/>
          <w:color w:val="4F81BD" w:themeColor="accent1"/>
          <w:szCs w:val="24"/>
          <w:lang w:val="en-GB"/>
        </w:rPr>
        <w:t>et al.</w:t>
      </w:r>
      <w:r w:rsidR="00A27ECE" w:rsidRPr="00D97AA3">
        <w:rPr>
          <w:rFonts w:cs="Arial"/>
          <w:color w:val="4F81BD" w:themeColor="accent1"/>
          <w:szCs w:val="24"/>
          <w:lang w:val="en-GB"/>
        </w:rPr>
        <w:t xml:space="preserve"> </w:t>
      </w:r>
      <w:r w:rsidR="00BA5FCB" w:rsidRPr="00D97AA3">
        <w:rPr>
          <w:rFonts w:cs="Arial"/>
          <w:color w:val="4F81BD" w:themeColor="accent1"/>
          <w:szCs w:val="24"/>
          <w:lang w:val="en-GB"/>
        </w:rPr>
        <w:t>2020)</w:t>
      </w:r>
      <w:r w:rsidRPr="00D97AA3">
        <w:rPr>
          <w:rFonts w:cs="Arial"/>
          <w:color w:val="4F81BD" w:themeColor="accent1"/>
          <w:szCs w:val="24"/>
        </w:rPr>
        <w:t>.</w:t>
      </w:r>
      <w:r w:rsidRPr="00D97AA3">
        <w:rPr>
          <w:rFonts w:cs="Arial"/>
          <w:color w:val="548DD4" w:themeColor="text2" w:themeTint="99"/>
          <w:szCs w:val="24"/>
        </w:rPr>
        <w:t>  A corporation of social responsibility is an important part of working in the organization and needs to adhere to by the employees for the better reputation of the organization. Corporate social responsibilities include environmental and human rights responsibility, along with economic and philanthropic responsibility that is adhered to by the top organization of the United Kingdom.</w:t>
      </w:r>
      <w:r w:rsidR="00ED0240" w:rsidRPr="00D97AA3">
        <w:rPr>
          <w:rFonts w:cs="Arial"/>
          <w:color w:val="548DD4" w:themeColor="text2" w:themeTint="99"/>
          <w:szCs w:val="24"/>
        </w:rPr>
        <w:t xml:space="preserve"> In that case identifying target customers can be most effective decision in terms of maximizing the business expansion rate in the post-pandemic scenario. </w:t>
      </w:r>
      <w:r w:rsidRPr="00D97AA3">
        <w:rPr>
          <w:rFonts w:cs="Arial"/>
          <w:color w:val="548DD4" w:themeColor="text2" w:themeTint="99"/>
          <w:szCs w:val="24"/>
        </w:rPr>
        <w:t> </w:t>
      </w:r>
    </w:p>
    <w:p w:rsidR="009B0B11" w:rsidRPr="00D97AA3" w:rsidRDefault="009B0B11" w:rsidP="002C082E">
      <w:pPr>
        <w:rPr>
          <w:rFonts w:cs="Arial"/>
          <w:color w:val="548DD4" w:themeColor="text2" w:themeTint="99"/>
          <w:szCs w:val="24"/>
        </w:rPr>
      </w:pPr>
      <w:r w:rsidRPr="00D97AA3">
        <w:rPr>
          <w:rFonts w:cs="Arial"/>
          <w:noProof/>
          <w:color w:val="548DD4" w:themeColor="text2" w:themeTint="99"/>
          <w:szCs w:val="24"/>
        </w:rPr>
        <w:lastRenderedPageBreak/>
        <w:drawing>
          <wp:inline distT="0" distB="0" distL="0" distR="0">
            <wp:extent cx="5943600" cy="3230035"/>
            <wp:effectExtent l="19050" t="0" r="0" b="0"/>
            <wp:docPr id="4" name="Picture 8" descr="D:\AMAN BARNWAL\MAY\8th May\task id 1\job\engaement ra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AMAN BARNWAL\MAY\8th May\task id 1\job\engaement rate.PNG"/>
                    <pic:cNvPicPr>
                      <a:picLocks noChangeAspect="1" noChangeArrowheads="1"/>
                    </pic:cNvPicPr>
                  </pic:nvPicPr>
                  <pic:blipFill>
                    <a:blip r:embed="rId10"/>
                    <a:srcRect/>
                    <a:stretch>
                      <a:fillRect/>
                    </a:stretch>
                  </pic:blipFill>
                  <pic:spPr bwMode="auto">
                    <a:xfrm>
                      <a:off x="0" y="0"/>
                      <a:ext cx="5943600" cy="3230035"/>
                    </a:xfrm>
                    <a:prstGeom prst="rect">
                      <a:avLst/>
                    </a:prstGeom>
                    <a:noFill/>
                    <a:ln w="9525">
                      <a:noFill/>
                      <a:miter lim="800000"/>
                      <a:headEnd/>
                      <a:tailEnd/>
                    </a:ln>
                  </pic:spPr>
                </pic:pic>
              </a:graphicData>
            </a:graphic>
          </wp:inline>
        </w:drawing>
      </w:r>
    </w:p>
    <w:p w:rsidR="009B0B11" w:rsidRPr="00D97AA3" w:rsidRDefault="009B0B11" w:rsidP="002C082E">
      <w:pPr>
        <w:jc w:val="center"/>
        <w:rPr>
          <w:rFonts w:cs="Arial"/>
          <w:color w:val="548DD4" w:themeColor="text2" w:themeTint="99"/>
          <w:szCs w:val="24"/>
        </w:rPr>
      </w:pPr>
      <w:r w:rsidRPr="00D97AA3">
        <w:rPr>
          <w:rFonts w:cs="Arial"/>
          <w:color w:val="548DD4" w:themeColor="text2" w:themeTint="99"/>
          <w:szCs w:val="24"/>
        </w:rPr>
        <w:t xml:space="preserve">Fig </w:t>
      </w:r>
      <w:r w:rsidR="00393774" w:rsidRPr="00D97AA3">
        <w:rPr>
          <w:rFonts w:cs="Arial"/>
          <w:color w:val="548DD4" w:themeColor="text2" w:themeTint="99"/>
          <w:szCs w:val="24"/>
        </w:rPr>
        <w:t>3:</w:t>
      </w:r>
      <w:r w:rsidRPr="00D97AA3">
        <w:rPr>
          <w:rFonts w:cs="Arial"/>
          <w:color w:val="548DD4" w:themeColor="text2" w:themeTint="99"/>
          <w:szCs w:val="24"/>
        </w:rPr>
        <w:t xml:space="preserve"> Engagement Rate of Employees</w:t>
      </w:r>
    </w:p>
    <w:p w:rsidR="009B0B11" w:rsidRPr="00D97AA3" w:rsidRDefault="009856CD" w:rsidP="002C082E">
      <w:pPr>
        <w:jc w:val="center"/>
        <w:rPr>
          <w:rFonts w:cs="Arial"/>
          <w:color w:val="548DD4" w:themeColor="text2" w:themeTint="99"/>
          <w:szCs w:val="24"/>
        </w:rPr>
      </w:pPr>
      <w:r w:rsidRPr="00D97AA3">
        <w:rPr>
          <w:rFonts w:cs="Arial"/>
          <w:color w:val="548DD4" w:themeColor="text2" w:themeTint="99"/>
          <w:szCs w:val="24"/>
        </w:rPr>
        <w:t>(</w:t>
      </w:r>
      <w:r w:rsidR="00393774" w:rsidRPr="00D97AA3">
        <w:rPr>
          <w:rFonts w:cs="Arial"/>
          <w:color w:val="548DD4" w:themeColor="text2" w:themeTint="99"/>
          <w:szCs w:val="24"/>
        </w:rPr>
        <w:t>Source:</w:t>
      </w:r>
      <w:r w:rsidRPr="00D97AA3">
        <w:rPr>
          <w:rFonts w:cs="Arial"/>
          <w:color w:val="548DD4" w:themeColor="text2" w:themeTint="99"/>
          <w:szCs w:val="24"/>
        </w:rPr>
        <w:t xml:space="preserve"> Boisestate, 2023</w:t>
      </w:r>
      <w:r w:rsidR="009B0B11" w:rsidRPr="00D97AA3">
        <w:rPr>
          <w:rFonts w:cs="Arial"/>
          <w:color w:val="548DD4" w:themeColor="text2" w:themeTint="99"/>
          <w:szCs w:val="24"/>
        </w:rPr>
        <w:t>)</w:t>
      </w:r>
    </w:p>
    <w:p w:rsidR="009B0B11" w:rsidRDefault="009B0B11" w:rsidP="002C082E">
      <w:pPr>
        <w:rPr>
          <w:rFonts w:cs="Arial"/>
          <w:color w:val="548DD4" w:themeColor="text2" w:themeTint="99"/>
          <w:szCs w:val="24"/>
        </w:rPr>
      </w:pPr>
      <w:r w:rsidRPr="00D97AA3">
        <w:rPr>
          <w:rFonts w:cs="Arial"/>
          <w:color w:val="548DD4" w:themeColor="text2" w:themeTint="99"/>
          <w:szCs w:val="24"/>
        </w:rPr>
        <w:t xml:space="preserve">The above figure depicts the overall employee engagement rate from the year 2008 to 2020 in various organizations in the United Kingdom. The lowest engagement rate of employees in the last 15 years was in the year 2010 that is nearly 56 per cent and after that, the rate of engagement increases generally as depicted in the graph. Employee engagement is low due to the bad impact of the branded companies and due to the pandemic effect that lowers the engagement rate by 11 per cent and still now 3% can be covered. The biggest barriers that are analyzed that lead to low engagement compared to other countries are poor leadership and poor communication which </w:t>
      </w:r>
      <w:r w:rsidR="009856CD" w:rsidRPr="00D97AA3">
        <w:rPr>
          <w:rFonts w:cs="Arial"/>
          <w:color w:val="548DD4" w:themeColor="text2" w:themeTint="99"/>
          <w:szCs w:val="24"/>
        </w:rPr>
        <w:t>demotivate</w:t>
      </w:r>
      <w:r w:rsidRPr="00D97AA3">
        <w:rPr>
          <w:rFonts w:cs="Arial"/>
          <w:color w:val="548DD4" w:themeColor="text2" w:themeTint="99"/>
          <w:szCs w:val="24"/>
        </w:rPr>
        <w:t xml:space="preserve"> the employees and lowers the workforce. </w:t>
      </w:r>
    </w:p>
    <w:p w:rsidR="00EA7181" w:rsidRPr="00201299" w:rsidRDefault="00EA7181" w:rsidP="00EA7181">
      <w:pPr>
        <w:rPr>
          <w:rFonts w:cs="Arial"/>
          <w:color w:val="00B050"/>
          <w:szCs w:val="24"/>
        </w:rPr>
      </w:pPr>
      <w:r w:rsidRPr="00201299">
        <w:rPr>
          <w:rFonts w:cs="Arial"/>
          <w:color w:val="00B050"/>
          <w:szCs w:val="24"/>
        </w:rPr>
        <w:t xml:space="preserve">An employee will be more effective and more efficient during their work time. The employee will be more productive when they will engage with the work (Rasool et al. 2021). On the other hand, it will see that the employee who is not very engaged with the work, are not very effective and efficient. Another factor of employee engagement is job satisfaction. In this context, the employee will not get satisfied with their job, then they will not be willing to engage with their job. The employee will not get sufficient </w:t>
      </w:r>
      <w:r w:rsidRPr="00201299">
        <w:rPr>
          <w:rFonts w:cs="Arial"/>
          <w:color w:val="00B050"/>
          <w:szCs w:val="24"/>
        </w:rPr>
        <w:lastRenderedPageBreak/>
        <w:t>remuneration for their job, then they are not willing to engage with their job. The employee will understand their role and their responsibility in the job, then they are very willing to engage with their job. For this reason, the authority of the organization needs to communicate very well with their employee (Ali et al. 2021). Then, the employee will understand the positive impact on the customer of their manufacturing product. Then, the employee will do their work with more energy and they will engage with their work.</w:t>
      </w:r>
    </w:p>
    <w:p w:rsidR="00EA7181" w:rsidRPr="00D97AA3" w:rsidRDefault="00EA7181" w:rsidP="002C082E">
      <w:pPr>
        <w:rPr>
          <w:rFonts w:cs="Arial"/>
          <w:color w:val="548DD4" w:themeColor="text2" w:themeTint="99"/>
          <w:szCs w:val="24"/>
        </w:rPr>
      </w:pPr>
    </w:p>
    <w:p w:rsidR="00330026" w:rsidRPr="00D97AA3" w:rsidRDefault="00797411" w:rsidP="002C082E">
      <w:pPr>
        <w:pStyle w:val="Heading1"/>
        <w:rPr>
          <w:rFonts w:cs="Arial"/>
          <w:sz w:val="24"/>
          <w:szCs w:val="24"/>
        </w:rPr>
      </w:pPr>
      <w:bookmarkStart w:id="5" w:name="_Toc134460963"/>
      <w:r w:rsidRPr="00D97AA3">
        <w:rPr>
          <w:rStyle w:val="Strong"/>
          <w:rFonts w:cs="Arial"/>
          <w:b/>
          <w:bCs/>
          <w:sz w:val="24"/>
          <w:szCs w:val="24"/>
        </w:rPr>
        <w:t>Conclusion</w:t>
      </w:r>
      <w:bookmarkEnd w:id="5"/>
    </w:p>
    <w:p w:rsidR="008F6879" w:rsidRPr="00D97AA3" w:rsidRDefault="00797411" w:rsidP="002C082E">
      <w:pPr>
        <w:pStyle w:val="NormalWeb"/>
        <w:spacing w:line="360" w:lineRule="auto"/>
        <w:rPr>
          <w:rFonts w:ascii="Arial" w:hAnsi="Arial" w:cs="Arial"/>
          <w:lang w:val="en-GB"/>
        </w:rPr>
      </w:pPr>
      <w:r w:rsidRPr="00D97AA3">
        <w:rPr>
          <w:rFonts w:ascii="Arial" w:hAnsi="Arial" w:cs="Arial"/>
          <w:lang w:val="en-GB"/>
        </w:rPr>
        <w:t xml:space="preserve">Throughout the above-depicted analysis, it has been clear that the analysis has been making a precise explanation about the working progress of employees' engagements and their lifestyles by making an impact on the organisation's productivity. In this regard, interlinked with the model, theoretical perspectives, tools and techniques the analysis has been also sustainably going on. The improvements in skills development, practical explanations, collection of reliable infractions through the literature and appropriate knowledge concepts have also been briefly interlinked in this respective analysis. </w:t>
      </w:r>
      <w:r w:rsidR="003C181A" w:rsidRPr="00D97AA3">
        <w:rPr>
          <w:rFonts w:ascii="Arial" w:hAnsi="Arial" w:cs="Arial"/>
          <w:color w:val="1F497D" w:themeColor="text2"/>
        </w:rPr>
        <w:t>The different theories have been documented along with appropriate models used by the different organizations for the engagement of the employees in their respective companies. Leadership and communication skills are the main barriers that were observed in the United Kingdom companies that lower the engagement of employees. The five global themes of employee engagement have been documented that reflects the key factors that leverage the engagement of the employee in the organization. There is a strong need of leveraging the reward system for the employees and deploy a customizable sustainable environment for the employees for long-term sustainability of the organization</w:t>
      </w:r>
    </w:p>
    <w:p w:rsidR="008A0A2C" w:rsidRPr="00D97AA3" w:rsidRDefault="008A0A2C" w:rsidP="002C082E">
      <w:pPr>
        <w:jc w:val="left"/>
        <w:rPr>
          <w:rFonts w:eastAsiaTheme="majorEastAsia" w:cs="Arial"/>
          <w:b/>
          <w:bCs/>
          <w:szCs w:val="24"/>
          <w:lang w:val="en-GB"/>
        </w:rPr>
      </w:pPr>
      <w:bookmarkStart w:id="6" w:name="_Toc134460964"/>
      <w:r w:rsidRPr="00D97AA3">
        <w:rPr>
          <w:rFonts w:cs="Arial"/>
          <w:szCs w:val="24"/>
          <w:lang w:val="en-GB"/>
        </w:rPr>
        <w:br w:type="page"/>
      </w:r>
    </w:p>
    <w:p w:rsidR="00532C48" w:rsidRPr="00D97AA3" w:rsidRDefault="00797411" w:rsidP="002C082E">
      <w:pPr>
        <w:pStyle w:val="Heading1"/>
        <w:rPr>
          <w:rFonts w:cs="Arial"/>
          <w:sz w:val="24"/>
          <w:szCs w:val="24"/>
          <w:lang w:val="en-GB"/>
        </w:rPr>
      </w:pPr>
      <w:r w:rsidRPr="00D97AA3">
        <w:rPr>
          <w:rFonts w:cs="Arial"/>
          <w:sz w:val="24"/>
          <w:szCs w:val="24"/>
          <w:lang w:val="en-GB"/>
        </w:rPr>
        <w:lastRenderedPageBreak/>
        <w:t>References</w:t>
      </w:r>
      <w:bookmarkEnd w:id="6"/>
    </w:p>
    <w:p w:rsidR="00460355" w:rsidRPr="00D97AA3" w:rsidRDefault="00460355" w:rsidP="002C082E">
      <w:pPr>
        <w:pStyle w:val="ListParagraph"/>
        <w:numPr>
          <w:ilvl w:val="0"/>
          <w:numId w:val="1"/>
        </w:numPr>
        <w:rPr>
          <w:rStyle w:val="Hyperlink"/>
          <w:rFonts w:cs="Arial"/>
          <w:color w:val="000000" w:themeColor="text1"/>
          <w:szCs w:val="24"/>
          <w:u w:val="none"/>
        </w:rPr>
      </w:pPr>
      <w:r w:rsidRPr="00D97AA3">
        <w:rPr>
          <w:rFonts w:cs="Arial"/>
          <w:szCs w:val="24"/>
        </w:rPr>
        <w:t>Aboramadan, M. (2022). The effect of green HRM on employee green behaviors in higher education: the mediating mechanism of green work engagement. International Journal of Organizational Analysis, 30(1), 7-23.</w:t>
      </w:r>
      <w:hyperlink r:id="rId11" w:history="1">
        <w:r w:rsidRPr="00D97AA3">
          <w:rPr>
            <w:rStyle w:val="Hyperlink"/>
            <w:rFonts w:cs="Arial"/>
            <w:color w:val="000000" w:themeColor="text1"/>
            <w:szCs w:val="24"/>
            <w:u w:val="none"/>
          </w:rPr>
          <w:t>https://www.emerald.com/insight/content/doi/10.1108/IJOA-05-2020-2190/full/html</w:t>
        </w:r>
      </w:hyperlink>
      <w:r w:rsidRPr="00D97AA3">
        <w:rPr>
          <w:rStyle w:val="Hyperlink"/>
          <w:rFonts w:cs="Arial"/>
          <w:color w:val="000000" w:themeColor="text1"/>
          <w:szCs w:val="24"/>
          <w:u w:val="none"/>
        </w:rPr>
        <w:t>.</w:t>
      </w:r>
    </w:p>
    <w:p w:rsidR="00460355" w:rsidRPr="00D97AA3" w:rsidRDefault="00460355" w:rsidP="002C082E">
      <w:pPr>
        <w:pStyle w:val="ListParagraph"/>
        <w:numPr>
          <w:ilvl w:val="0"/>
          <w:numId w:val="1"/>
        </w:numPr>
        <w:rPr>
          <w:rFonts w:cs="Arial"/>
          <w:szCs w:val="24"/>
        </w:rPr>
      </w:pPr>
      <w:r w:rsidRPr="00D97AA3">
        <w:rPr>
          <w:rFonts w:cs="Arial"/>
          <w:szCs w:val="24"/>
        </w:rPr>
        <w:t xml:space="preserve">Amor, A. M., Vázquez, J. P. A., &amp;Faíña, J. A. (2020). Transformational leadership and work engagement: Exploring the mediating role of structural empowerment. European Management Journal, 38(1), 169-178. </w:t>
      </w:r>
      <w:hyperlink r:id="rId12" w:history="1">
        <w:r w:rsidRPr="00D97AA3">
          <w:rPr>
            <w:rStyle w:val="Hyperlink"/>
            <w:rFonts w:cs="Arial"/>
            <w:color w:val="000000" w:themeColor="text1"/>
            <w:szCs w:val="24"/>
            <w:u w:val="none"/>
          </w:rPr>
          <w:t>https://e-tarjome.com/storage/panel/fileuploads/2019-08-22/1566455447_E12678-e-tarjome.pdf</w:t>
        </w:r>
      </w:hyperlink>
    </w:p>
    <w:p w:rsidR="00460355" w:rsidRPr="00D97AA3" w:rsidRDefault="00460355" w:rsidP="002C082E">
      <w:pPr>
        <w:pStyle w:val="ListParagraph"/>
        <w:numPr>
          <w:ilvl w:val="0"/>
          <w:numId w:val="1"/>
        </w:numPr>
        <w:rPr>
          <w:rFonts w:cs="Arial"/>
          <w:szCs w:val="24"/>
        </w:rPr>
      </w:pPr>
      <w:r w:rsidRPr="00D97AA3">
        <w:rPr>
          <w:rFonts w:cs="Arial"/>
          <w:szCs w:val="24"/>
        </w:rPr>
        <w:t xml:space="preserve">Azim, M. T., Fan, L., Uddin, M. A., Abdul Kader Jilani, M. M., &amp; Begum, S. (2019). Linking transformational leadership with employees’ engagement in the creative process. Management Research Review, 42(7), 837-858. </w:t>
      </w:r>
      <w:hyperlink r:id="rId13" w:history="1">
        <w:r w:rsidRPr="00D97AA3">
          <w:rPr>
            <w:rStyle w:val="Hyperlink"/>
            <w:rFonts w:cs="Arial"/>
            <w:color w:val="000000" w:themeColor="text1"/>
            <w:szCs w:val="24"/>
            <w:u w:val="none"/>
          </w:rPr>
          <w:t>https://www.researchgate.net/profile/Md-Uddin-152/publication/330648509_Linking_transformational_leadership_with_employees%27_engagement_in_the_creative_process/links/617c0a1ceef53e51e1029b76/Linking-transformational-leadership.with-employees-engagement-in-the-creative-process.pdf</w:t>
        </w:r>
      </w:hyperlink>
    </w:p>
    <w:p w:rsidR="00460355" w:rsidRPr="00D97AA3" w:rsidRDefault="00460355" w:rsidP="002C082E">
      <w:pPr>
        <w:pStyle w:val="ListParagraph"/>
        <w:numPr>
          <w:ilvl w:val="0"/>
          <w:numId w:val="1"/>
        </w:numPr>
        <w:rPr>
          <w:rFonts w:cs="Arial"/>
          <w:szCs w:val="24"/>
        </w:rPr>
      </w:pPr>
      <w:r w:rsidRPr="00D97AA3">
        <w:rPr>
          <w:rFonts w:cs="Arial"/>
          <w:szCs w:val="24"/>
        </w:rPr>
        <w:t xml:space="preserve">Cillo, V., Petruzzelli, A. M., Ardito, L., &amp; Del Giudice, M. (2019). Understanding sustainable innovation: A systematic literature review. Corporate Social Responsibility and Environmental Management, 26(5), 1012-1025. </w:t>
      </w:r>
      <w:hyperlink r:id="rId14" w:history="1">
        <w:r w:rsidRPr="00D97AA3">
          <w:rPr>
            <w:rStyle w:val="Hyperlink"/>
            <w:rFonts w:cs="Arial"/>
            <w:color w:val="000000" w:themeColor="text1"/>
            <w:szCs w:val="24"/>
            <w:u w:val="none"/>
          </w:rPr>
          <w:t>https://doi.org/10.1002/csr.1783</w:t>
        </w:r>
      </w:hyperlink>
    </w:p>
    <w:p w:rsidR="00460355" w:rsidRPr="00D97AA3" w:rsidRDefault="00460355" w:rsidP="002C082E">
      <w:pPr>
        <w:pStyle w:val="ListParagraph"/>
        <w:numPr>
          <w:ilvl w:val="0"/>
          <w:numId w:val="1"/>
        </w:numPr>
        <w:rPr>
          <w:rFonts w:cs="Arial"/>
          <w:szCs w:val="24"/>
        </w:rPr>
      </w:pPr>
      <w:r w:rsidRPr="00D97AA3">
        <w:rPr>
          <w:rFonts w:cs="Arial"/>
          <w:szCs w:val="24"/>
        </w:rPr>
        <w:t xml:space="preserve">Farid, T., Iqbal, S., Ma, J., Castro-González, S., Khattak, A., &amp; Khan, M. K. (2019). Employees’ perceptions of CSR, work engagement, and organizational citizenship behavior: The mediating effects of organizational justice. International journal of environmental research and public health, 16(10), 1731. </w:t>
      </w:r>
      <w:hyperlink r:id="rId15" w:history="1">
        <w:r w:rsidRPr="00D97AA3">
          <w:rPr>
            <w:rStyle w:val="Hyperlink"/>
            <w:rFonts w:cs="Arial"/>
            <w:color w:val="000000" w:themeColor="text1"/>
            <w:szCs w:val="24"/>
            <w:u w:val="none"/>
          </w:rPr>
          <w:t>https://www.mdpi.com/1660-4601/16/10/1731/pdf</w:t>
        </w:r>
      </w:hyperlink>
    </w:p>
    <w:p w:rsidR="00460355" w:rsidRPr="00D97AA3" w:rsidRDefault="00460355" w:rsidP="002C082E">
      <w:pPr>
        <w:pStyle w:val="ListParagraph"/>
        <w:numPr>
          <w:ilvl w:val="0"/>
          <w:numId w:val="1"/>
        </w:numPr>
        <w:rPr>
          <w:rFonts w:cs="Arial"/>
          <w:szCs w:val="24"/>
        </w:rPr>
      </w:pPr>
      <w:r w:rsidRPr="00D97AA3">
        <w:rPr>
          <w:rFonts w:cs="Arial"/>
          <w:szCs w:val="24"/>
        </w:rPr>
        <w:t xml:space="preserve">Heslina, H., &amp;Syahruni, A. (2021). The influence of information technology, human resources competency and employee engagement on performance of </w:t>
      </w:r>
      <w:r w:rsidRPr="00D97AA3">
        <w:rPr>
          <w:rFonts w:cs="Arial"/>
          <w:szCs w:val="24"/>
        </w:rPr>
        <w:lastRenderedPageBreak/>
        <w:t>employees. Golden Ratio of Human Resource Management, 1(1), 01-12.https://goldenratio.id/index.php/grhrm/article/download/100/75</w:t>
      </w:r>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Huang, S. Y., Huang, C. H., &amp; Chang, T. W. (2022). A new concept of work engagement theory in cognitive engagement, emotional engagement, and physical engagement. </w:t>
      </w:r>
      <w:r w:rsidRPr="00D97AA3">
        <w:rPr>
          <w:rFonts w:cs="Arial"/>
          <w:i/>
          <w:iCs/>
          <w:szCs w:val="24"/>
          <w:shd w:val="clear" w:color="auto" w:fill="FFFFFF"/>
        </w:rPr>
        <w:t>Frontiers in Psychology</w:t>
      </w:r>
      <w:r w:rsidRPr="00D97AA3">
        <w:rPr>
          <w:rFonts w:cs="Arial"/>
          <w:szCs w:val="24"/>
          <w:shd w:val="clear" w:color="auto" w:fill="FFFFFF"/>
        </w:rPr>
        <w:t>, </w:t>
      </w:r>
      <w:r w:rsidRPr="00D97AA3">
        <w:rPr>
          <w:rFonts w:cs="Arial"/>
          <w:i/>
          <w:iCs/>
          <w:szCs w:val="24"/>
          <w:shd w:val="clear" w:color="auto" w:fill="FFFFFF"/>
        </w:rPr>
        <w:t>12</w:t>
      </w:r>
      <w:r w:rsidRPr="00D97AA3">
        <w:rPr>
          <w:rFonts w:cs="Arial"/>
          <w:szCs w:val="24"/>
          <w:shd w:val="clear" w:color="auto" w:fill="FFFFFF"/>
        </w:rPr>
        <w:t xml:space="preserve">, 6503. </w:t>
      </w:r>
      <w:hyperlink r:id="rId16" w:history="1">
        <w:r w:rsidRPr="00D97AA3">
          <w:rPr>
            <w:rStyle w:val="Hyperlink"/>
            <w:rFonts w:cs="Arial"/>
            <w:color w:val="000000" w:themeColor="text1"/>
            <w:szCs w:val="24"/>
            <w:u w:val="none"/>
            <w:shd w:val="clear" w:color="auto" w:fill="FFFFFF"/>
          </w:rPr>
          <w:t>https://doi.org/10.3389/fpsyg.2021.663440</w:t>
        </w:r>
      </w:hyperlink>
    </w:p>
    <w:p w:rsidR="00460355" w:rsidRPr="00D97AA3" w:rsidRDefault="00460355" w:rsidP="002C082E">
      <w:pPr>
        <w:pStyle w:val="ListParagraph"/>
        <w:numPr>
          <w:ilvl w:val="0"/>
          <w:numId w:val="1"/>
        </w:numPr>
        <w:spacing w:after="0"/>
        <w:rPr>
          <w:rFonts w:cs="Arial"/>
          <w:szCs w:val="24"/>
        </w:rPr>
      </w:pPr>
      <w:r w:rsidRPr="00D97AA3">
        <w:rPr>
          <w:rFonts w:cs="Arial"/>
          <w:szCs w:val="24"/>
          <w:shd w:val="clear" w:color="auto" w:fill="FFFFFF"/>
        </w:rPr>
        <w:t>Jha, J. K., Pandey, J., &amp;Varkkey, B. (2019). Examining the role of perceived investment in employees’ development on work-engagement of liquid knowledge workers: Moderating effects of psychological contract. </w:t>
      </w:r>
      <w:r w:rsidRPr="00D97AA3">
        <w:rPr>
          <w:rFonts w:cs="Arial"/>
          <w:i/>
          <w:iCs/>
          <w:szCs w:val="24"/>
          <w:shd w:val="clear" w:color="auto" w:fill="FFFFFF"/>
        </w:rPr>
        <w:t>Journal of Global Operations and Strategic Sourcing</w:t>
      </w:r>
      <w:r w:rsidRPr="00D97AA3">
        <w:rPr>
          <w:rFonts w:cs="Arial"/>
          <w:szCs w:val="24"/>
          <w:shd w:val="clear" w:color="auto" w:fill="FFFFFF"/>
        </w:rPr>
        <w:t>, </w:t>
      </w:r>
      <w:r w:rsidRPr="00D97AA3">
        <w:rPr>
          <w:rFonts w:cs="Arial"/>
          <w:i/>
          <w:iCs/>
          <w:szCs w:val="24"/>
          <w:shd w:val="clear" w:color="auto" w:fill="FFFFFF"/>
        </w:rPr>
        <w:t>12</w:t>
      </w:r>
      <w:r w:rsidRPr="00D97AA3">
        <w:rPr>
          <w:rFonts w:cs="Arial"/>
          <w:szCs w:val="24"/>
          <w:shd w:val="clear" w:color="auto" w:fill="FFFFFF"/>
        </w:rPr>
        <w:t xml:space="preserve">(2), 225-245. </w:t>
      </w:r>
      <w:hyperlink r:id="rId17" w:history="1">
        <w:r w:rsidRPr="00D97AA3">
          <w:rPr>
            <w:rStyle w:val="Hyperlink"/>
            <w:rFonts w:cs="Arial"/>
            <w:color w:val="000000" w:themeColor="text1"/>
            <w:szCs w:val="24"/>
            <w:u w:val="none"/>
            <w:shd w:val="clear" w:color="auto" w:fill="FFFFFF"/>
          </w:rPr>
          <w:t>https://doi.org/10.1108/JGOSS-08-2017-0026</w:t>
        </w:r>
      </w:hyperlink>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Laws, R., Walsh, A. D., Hesketh, K. D., Downing, K. L., Kuswara, K., &amp; Campbell, K. J. (2019). Differences between mothers and fathers of young children in their use of the internet to support healthy family lifestyle behaviors: cross-sectional study. </w:t>
      </w:r>
      <w:r w:rsidRPr="00D97AA3">
        <w:rPr>
          <w:rFonts w:cs="Arial"/>
          <w:i/>
          <w:iCs/>
          <w:szCs w:val="24"/>
          <w:shd w:val="clear" w:color="auto" w:fill="FFFFFF"/>
        </w:rPr>
        <w:t>Journal of Medical Internet Research</w:t>
      </w:r>
      <w:r w:rsidRPr="00D97AA3">
        <w:rPr>
          <w:rFonts w:cs="Arial"/>
          <w:szCs w:val="24"/>
          <w:shd w:val="clear" w:color="auto" w:fill="FFFFFF"/>
        </w:rPr>
        <w:t>, </w:t>
      </w:r>
      <w:r w:rsidRPr="00D97AA3">
        <w:rPr>
          <w:rFonts w:cs="Arial"/>
          <w:i/>
          <w:iCs/>
          <w:szCs w:val="24"/>
          <w:shd w:val="clear" w:color="auto" w:fill="FFFFFF"/>
        </w:rPr>
        <w:t>21</w:t>
      </w:r>
      <w:r w:rsidRPr="00D97AA3">
        <w:rPr>
          <w:rFonts w:cs="Arial"/>
          <w:szCs w:val="24"/>
          <w:shd w:val="clear" w:color="auto" w:fill="FFFFFF"/>
        </w:rPr>
        <w:t xml:space="preserve">(1), e11454. </w:t>
      </w:r>
      <w:hyperlink r:id="rId18" w:history="1">
        <w:r w:rsidRPr="00D97AA3">
          <w:rPr>
            <w:rStyle w:val="Hyperlink"/>
            <w:rFonts w:cs="Arial"/>
            <w:color w:val="000000" w:themeColor="text1"/>
            <w:szCs w:val="24"/>
            <w:u w:val="none"/>
            <w:shd w:val="clear" w:color="auto" w:fill="FFFFFF"/>
          </w:rPr>
          <w:t>https://doi.org/10.2196/11454</w:t>
        </w:r>
      </w:hyperlink>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Mansaray, H. E. (2019). The role of human resource management in employee motivation and performance-An overview. </w:t>
      </w:r>
      <w:r w:rsidRPr="00D97AA3">
        <w:rPr>
          <w:rFonts w:cs="Arial"/>
          <w:i/>
          <w:iCs/>
          <w:szCs w:val="24"/>
          <w:shd w:val="clear" w:color="auto" w:fill="FFFFFF"/>
        </w:rPr>
        <w:t>Budapest International Research and Critics Institute (BIRCI) Journal</w:t>
      </w:r>
      <w:r w:rsidRPr="00D97AA3">
        <w:rPr>
          <w:rFonts w:cs="Arial"/>
          <w:szCs w:val="24"/>
          <w:shd w:val="clear" w:color="auto" w:fill="FFFFFF"/>
        </w:rPr>
        <w:t xml:space="preserve">, 183-194. </w:t>
      </w:r>
      <w:hyperlink r:id="rId19" w:history="1">
        <w:r w:rsidRPr="00D97AA3">
          <w:rPr>
            <w:rStyle w:val="Hyperlink"/>
            <w:rFonts w:cs="Arial"/>
            <w:color w:val="000000" w:themeColor="text1"/>
            <w:szCs w:val="24"/>
            <w:u w:val="none"/>
            <w:shd w:val="clear" w:color="auto" w:fill="FFFFFF"/>
          </w:rPr>
          <w:t>https://doi.org/10.33258/birci.v2i3.405</w:t>
        </w:r>
      </w:hyperlink>
    </w:p>
    <w:p w:rsidR="00460355" w:rsidRPr="00D97AA3" w:rsidRDefault="00460355" w:rsidP="002C082E">
      <w:pPr>
        <w:pStyle w:val="ListParagraph"/>
        <w:numPr>
          <w:ilvl w:val="0"/>
          <w:numId w:val="1"/>
        </w:numPr>
        <w:rPr>
          <w:rFonts w:cs="Arial"/>
          <w:szCs w:val="24"/>
        </w:rPr>
      </w:pPr>
      <w:r w:rsidRPr="00D97AA3">
        <w:rPr>
          <w:rFonts w:cs="Arial"/>
          <w:szCs w:val="24"/>
        </w:rPr>
        <w:t xml:space="preserve">Men, L. R., O’Neil, J., &amp; Ewing, M. (2020). Examining the effects of internal social media usage on employee engagement. Public Relations Review, 46(2), 101880. </w:t>
      </w:r>
      <w:hyperlink r:id="rId20" w:history="1">
        <w:r w:rsidRPr="00D97AA3">
          <w:rPr>
            <w:rStyle w:val="Hyperlink"/>
            <w:rFonts w:cs="Arial"/>
            <w:color w:val="000000" w:themeColor="text1"/>
            <w:szCs w:val="24"/>
            <w:u w:val="none"/>
          </w:rPr>
          <w:t>https://www.researchgate.net/profile/Linjuan-Men/publication/338807636_Examining_the_effects_of_internal_social_media_usage_on_employee_engagement/links/60915278a6fdccaebd08f2a2/Examining-the-effects-of-internal-social-media-usage-on-employee-engagement.pdf</w:t>
        </w:r>
      </w:hyperlink>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Rasool, S. F., Wang, M., Tang, M., Saeed, A., &amp; Iqbal, J. (2021). How toxic workplace environment effects the employee engagement: The mediating role of organizational support and employee wellbeing. </w:t>
      </w:r>
      <w:r w:rsidRPr="00D97AA3">
        <w:rPr>
          <w:rFonts w:cs="Arial"/>
          <w:i/>
          <w:iCs/>
          <w:szCs w:val="24"/>
          <w:shd w:val="clear" w:color="auto" w:fill="FFFFFF"/>
        </w:rPr>
        <w:t>International journal of environmental research and public health</w:t>
      </w:r>
      <w:r w:rsidRPr="00D97AA3">
        <w:rPr>
          <w:rFonts w:cs="Arial"/>
          <w:szCs w:val="24"/>
          <w:shd w:val="clear" w:color="auto" w:fill="FFFFFF"/>
        </w:rPr>
        <w:t>, </w:t>
      </w:r>
      <w:r w:rsidRPr="00D97AA3">
        <w:rPr>
          <w:rFonts w:cs="Arial"/>
          <w:i/>
          <w:iCs/>
          <w:szCs w:val="24"/>
          <w:shd w:val="clear" w:color="auto" w:fill="FFFFFF"/>
        </w:rPr>
        <w:t>18</w:t>
      </w:r>
      <w:r w:rsidRPr="00D97AA3">
        <w:rPr>
          <w:rFonts w:cs="Arial"/>
          <w:szCs w:val="24"/>
          <w:shd w:val="clear" w:color="auto" w:fill="FFFFFF"/>
        </w:rPr>
        <w:t xml:space="preserve">(5), 2294. </w:t>
      </w:r>
      <w:hyperlink r:id="rId21" w:history="1">
        <w:r w:rsidRPr="00D97AA3">
          <w:rPr>
            <w:rStyle w:val="Hyperlink"/>
            <w:rFonts w:cs="Arial"/>
            <w:color w:val="000000" w:themeColor="text1"/>
            <w:szCs w:val="24"/>
            <w:u w:val="none"/>
            <w:shd w:val="clear" w:color="auto" w:fill="FFFFFF"/>
          </w:rPr>
          <w:t>https://doi.org/10.3390/ijerph18052294</w:t>
        </w:r>
      </w:hyperlink>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lastRenderedPageBreak/>
        <w:t>Shipman, K., Burrell, D. N., &amp; Huff Mac Pherson, A. (2021). An organizational analysis of how managers must understand the mental health impact of teleworking during COVID-19 on employees. </w:t>
      </w:r>
      <w:r w:rsidRPr="00D97AA3">
        <w:rPr>
          <w:rFonts w:cs="Arial"/>
          <w:i/>
          <w:iCs/>
          <w:szCs w:val="24"/>
          <w:shd w:val="clear" w:color="auto" w:fill="FFFFFF"/>
        </w:rPr>
        <w:t>International Journal of Organizational Analysis</w:t>
      </w:r>
      <w:r w:rsidRPr="00D97AA3">
        <w:rPr>
          <w:rFonts w:cs="Arial"/>
          <w:szCs w:val="24"/>
          <w:shd w:val="clear" w:color="auto" w:fill="FFFFFF"/>
        </w:rPr>
        <w:t xml:space="preserve">. </w:t>
      </w:r>
      <w:hyperlink r:id="rId22" w:history="1">
        <w:r w:rsidRPr="00D97AA3">
          <w:rPr>
            <w:rStyle w:val="Hyperlink"/>
            <w:rFonts w:cs="Arial"/>
            <w:color w:val="000000" w:themeColor="text1"/>
            <w:szCs w:val="24"/>
            <w:u w:val="none"/>
            <w:shd w:val="clear" w:color="auto" w:fill="FFFFFF"/>
          </w:rPr>
          <w:t>https://doi.org/10.1108/IJOA-03-2021-2685</w:t>
        </w:r>
      </w:hyperlink>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Ștefan, S. C., Popa, Ș. C., &amp;Albu, C. F. (2020). Implications of Maslow’s hierarchy of needs theory on healthcare employees’ performance. </w:t>
      </w:r>
      <w:r w:rsidRPr="00D97AA3">
        <w:rPr>
          <w:rFonts w:cs="Arial"/>
          <w:i/>
          <w:iCs/>
          <w:szCs w:val="24"/>
          <w:shd w:val="clear" w:color="auto" w:fill="FFFFFF"/>
        </w:rPr>
        <w:t>Transylvanian Review of Administrative Sciences</w:t>
      </w:r>
      <w:r w:rsidRPr="00D97AA3">
        <w:rPr>
          <w:rFonts w:cs="Arial"/>
          <w:szCs w:val="24"/>
          <w:shd w:val="clear" w:color="auto" w:fill="FFFFFF"/>
        </w:rPr>
        <w:t>, </w:t>
      </w:r>
      <w:r w:rsidRPr="00D97AA3">
        <w:rPr>
          <w:rFonts w:cs="Arial"/>
          <w:i/>
          <w:iCs/>
          <w:szCs w:val="24"/>
          <w:shd w:val="clear" w:color="auto" w:fill="FFFFFF"/>
        </w:rPr>
        <w:t>16</w:t>
      </w:r>
      <w:r w:rsidRPr="00D97AA3">
        <w:rPr>
          <w:rFonts w:cs="Arial"/>
          <w:szCs w:val="24"/>
          <w:shd w:val="clear" w:color="auto" w:fill="FFFFFF"/>
        </w:rPr>
        <w:t>(59), 124-143</w:t>
      </w:r>
      <w:hyperlink r:id="rId23" w:history="1">
        <w:r w:rsidRPr="00D97AA3">
          <w:rPr>
            <w:rStyle w:val="Hyperlink"/>
            <w:rFonts w:cs="Arial"/>
            <w:color w:val="000000" w:themeColor="text1"/>
            <w:szCs w:val="24"/>
            <w:u w:val="none"/>
            <w:shd w:val="clear" w:color="auto" w:fill="FFFFFF"/>
          </w:rPr>
          <w:t>http://dx.doi.org/10.24193/tras.59E.7</w:t>
        </w:r>
      </w:hyperlink>
      <w:r w:rsidRPr="00D97AA3">
        <w:rPr>
          <w:rFonts w:cs="Arial"/>
          <w:szCs w:val="24"/>
          <w:shd w:val="clear" w:color="auto" w:fill="FFFFFF"/>
        </w:rPr>
        <w:t xml:space="preserve"> . </w:t>
      </w:r>
    </w:p>
    <w:p w:rsidR="00460355" w:rsidRPr="00D97AA3" w:rsidRDefault="00460355" w:rsidP="002C082E">
      <w:pPr>
        <w:pStyle w:val="ListParagraph"/>
        <w:numPr>
          <w:ilvl w:val="0"/>
          <w:numId w:val="1"/>
        </w:numPr>
        <w:rPr>
          <w:rFonts w:cs="Arial"/>
          <w:szCs w:val="24"/>
        </w:rPr>
      </w:pPr>
      <w:r w:rsidRPr="00D97AA3">
        <w:rPr>
          <w:rFonts w:cs="Arial"/>
          <w:szCs w:val="24"/>
        </w:rPr>
        <w:t xml:space="preserve">Teo, S. T., Bentley, T., &amp; Nguyen, D. (2020). Psychosocial work environment, work engagement, and employee commitment: A moderated, mediation model. International Journal of Hospitality Management, 88, 102415. </w:t>
      </w:r>
      <w:hyperlink r:id="rId24" w:history="1">
        <w:r w:rsidRPr="00D97AA3">
          <w:rPr>
            <w:rStyle w:val="Hyperlink"/>
            <w:rFonts w:cs="Arial"/>
            <w:color w:val="000000" w:themeColor="text1"/>
            <w:szCs w:val="24"/>
            <w:u w:val="none"/>
          </w:rPr>
          <w:t>https://doi.org/10.1016/j.ijhm.2019.102415</w:t>
        </w:r>
      </w:hyperlink>
    </w:p>
    <w:p w:rsidR="00460355" w:rsidRPr="00D97AA3" w:rsidRDefault="00460355" w:rsidP="002C082E">
      <w:pPr>
        <w:pStyle w:val="ListParagraph"/>
        <w:numPr>
          <w:ilvl w:val="0"/>
          <w:numId w:val="1"/>
        </w:numPr>
        <w:spacing w:after="0"/>
        <w:rPr>
          <w:rFonts w:cs="Arial"/>
          <w:szCs w:val="24"/>
          <w:shd w:val="clear" w:color="auto" w:fill="FFFFFF"/>
        </w:rPr>
      </w:pPr>
      <w:r w:rsidRPr="00D97AA3">
        <w:rPr>
          <w:rFonts w:cs="Arial"/>
          <w:szCs w:val="24"/>
          <w:shd w:val="clear" w:color="auto" w:fill="FFFFFF"/>
        </w:rPr>
        <w:t>Tortorella, G., Miorando, R., Caiado, R., Nascimento, D., &amp;PortioliStaudacher, A. (2021). The mediating effect of employees’ involvement on the relationship between Industry 4.0 and operational performance improvement. </w:t>
      </w:r>
      <w:r w:rsidRPr="00D97AA3">
        <w:rPr>
          <w:rFonts w:cs="Arial"/>
          <w:i/>
          <w:iCs/>
          <w:szCs w:val="24"/>
          <w:shd w:val="clear" w:color="auto" w:fill="FFFFFF"/>
        </w:rPr>
        <w:t>Total Quality Management &amp; Business Excellence</w:t>
      </w:r>
      <w:r w:rsidRPr="00D97AA3">
        <w:rPr>
          <w:rFonts w:cs="Arial"/>
          <w:szCs w:val="24"/>
          <w:shd w:val="clear" w:color="auto" w:fill="FFFFFF"/>
        </w:rPr>
        <w:t>, </w:t>
      </w:r>
      <w:r w:rsidRPr="00D97AA3">
        <w:rPr>
          <w:rFonts w:cs="Arial"/>
          <w:i/>
          <w:iCs/>
          <w:szCs w:val="24"/>
          <w:shd w:val="clear" w:color="auto" w:fill="FFFFFF"/>
        </w:rPr>
        <w:t>32</w:t>
      </w:r>
      <w:r w:rsidRPr="00D97AA3">
        <w:rPr>
          <w:rFonts w:cs="Arial"/>
          <w:szCs w:val="24"/>
          <w:shd w:val="clear" w:color="auto" w:fill="FFFFFF"/>
        </w:rPr>
        <w:t xml:space="preserve">(1-2), 119-133. </w:t>
      </w:r>
      <w:hyperlink r:id="rId25" w:history="1">
        <w:r w:rsidRPr="00D97AA3">
          <w:rPr>
            <w:rStyle w:val="Hyperlink"/>
            <w:rFonts w:cs="Arial"/>
            <w:color w:val="000000" w:themeColor="text1"/>
            <w:szCs w:val="24"/>
            <w:u w:val="none"/>
            <w:shd w:val="clear" w:color="auto" w:fill="FFFFFF"/>
          </w:rPr>
          <w:t>https://doi.org/10.1080/14783363.2018.1532789</w:t>
        </w:r>
      </w:hyperlink>
    </w:p>
    <w:p w:rsidR="00460355" w:rsidRPr="00D97AA3" w:rsidRDefault="00460355" w:rsidP="002C082E">
      <w:pPr>
        <w:pStyle w:val="ListParagraph"/>
        <w:numPr>
          <w:ilvl w:val="0"/>
          <w:numId w:val="1"/>
        </w:numPr>
        <w:rPr>
          <w:rFonts w:cs="Arial"/>
          <w:szCs w:val="24"/>
        </w:rPr>
      </w:pPr>
      <w:r w:rsidRPr="00D97AA3">
        <w:rPr>
          <w:rFonts w:cs="Arial"/>
          <w:szCs w:val="24"/>
        </w:rPr>
        <w:t xml:space="preserve">Verčič, A. T. (2021). The impact of employee engagement, organisational support and employer branding on internal communication satisfaction. Public Relations Review, 47(1), 102009. </w:t>
      </w:r>
      <w:hyperlink r:id="rId26" w:history="1">
        <w:r w:rsidRPr="00D97AA3">
          <w:rPr>
            <w:rStyle w:val="Hyperlink"/>
            <w:rFonts w:cs="Arial"/>
            <w:color w:val="000000" w:themeColor="text1"/>
            <w:szCs w:val="24"/>
            <w:u w:val="none"/>
          </w:rPr>
          <w:t>https://www.researchgate.net/profile/Md-Uddin-152/publication/330648509_Linking_transformational_leadership_with_employees%27_engagement_in_the_creative_process/links/617c0a1ceef53e51e1029b76/Linking-transformational-leadership.with-employees-engagement-in-the-creative-process.pdf</w:t>
        </w:r>
      </w:hyperlink>
    </w:p>
    <w:p w:rsidR="00460355" w:rsidRPr="00D97AA3" w:rsidRDefault="00460355" w:rsidP="002C082E">
      <w:pPr>
        <w:pStyle w:val="ListParagraph"/>
        <w:numPr>
          <w:ilvl w:val="0"/>
          <w:numId w:val="1"/>
        </w:numPr>
        <w:rPr>
          <w:rFonts w:cs="Arial"/>
          <w:szCs w:val="24"/>
          <w:lang w:val="en-GB"/>
        </w:rPr>
      </w:pPr>
      <w:r w:rsidRPr="00D97AA3">
        <w:rPr>
          <w:rFonts w:cs="Arial"/>
          <w:szCs w:val="24"/>
        </w:rPr>
        <w:t xml:space="preserve">Wang, L., Law, K. S., Zhang, M. J., Li, Y. N., &amp; Liang, Y. (2019). It’s mine! Psychological ownership of one’s job explains positive and negative workplace outcomes of job engagement. Journal of Applied Psychology, 104(2), 229. </w:t>
      </w:r>
      <w:hyperlink r:id="rId27" w:history="1">
        <w:r w:rsidRPr="00D97AA3">
          <w:rPr>
            <w:rStyle w:val="Hyperlink"/>
            <w:rFonts w:cs="Arial"/>
            <w:color w:val="000000" w:themeColor="text1"/>
            <w:szCs w:val="24"/>
            <w:u w:val="none"/>
          </w:rPr>
          <w:t>https://www.researchgate.net/profile/Yongyi-Liang-2/publication/327634810_It%27s_Mine_Psychological_Ownership_of_One%27s_Job_Explains_Positive_and_Negative_Workplace_Outcomes_of_Job_Engagement/links/60d059f692851ca3acb816a5/Its-Mine-Psychological-Ownership.of-</w:t>
        </w:r>
        <w:r w:rsidRPr="00D97AA3">
          <w:rPr>
            <w:rStyle w:val="Hyperlink"/>
            <w:rFonts w:cs="Arial"/>
            <w:color w:val="000000" w:themeColor="text1"/>
            <w:szCs w:val="24"/>
            <w:u w:val="none"/>
          </w:rPr>
          <w:lastRenderedPageBreak/>
          <w:t>Ones-Job-Explains-Positive-and-Negative-Workplace-Outcomes-of-Job-Engagement.pdf</w:t>
        </w:r>
      </w:hyperlink>
    </w:p>
    <w:p w:rsidR="008F6C5C" w:rsidRPr="00D97AA3" w:rsidRDefault="008F6C5C" w:rsidP="002C082E">
      <w:pPr>
        <w:pStyle w:val="ListParagraph"/>
        <w:numPr>
          <w:ilvl w:val="0"/>
          <w:numId w:val="1"/>
        </w:numPr>
        <w:rPr>
          <w:rFonts w:cs="Arial"/>
          <w:szCs w:val="24"/>
          <w:lang w:val="en-GB"/>
        </w:rPr>
      </w:pPr>
      <w:r w:rsidRPr="00D97AA3">
        <w:rPr>
          <w:rFonts w:cs="Arial"/>
          <w:szCs w:val="24"/>
        </w:rPr>
        <w:t>Rasool, S.F., Wang, M., Tang, M., Saeed, A. and Iqbal, J., 2021. How toxic workplace environment effects the employee engagement: The mediating role of organizational support and employee wellbeing. </w:t>
      </w:r>
      <w:r w:rsidRPr="00D97AA3">
        <w:rPr>
          <w:rFonts w:cs="Arial"/>
          <w:i/>
          <w:iCs/>
          <w:szCs w:val="24"/>
        </w:rPr>
        <w:t>International journal of environmental research and public health</w:t>
      </w:r>
      <w:r w:rsidRPr="00D97AA3">
        <w:rPr>
          <w:rFonts w:cs="Arial"/>
          <w:szCs w:val="24"/>
        </w:rPr>
        <w:t>, </w:t>
      </w:r>
      <w:r w:rsidRPr="00D97AA3">
        <w:rPr>
          <w:rFonts w:cs="Arial"/>
          <w:i/>
          <w:iCs/>
          <w:szCs w:val="24"/>
        </w:rPr>
        <w:t>18</w:t>
      </w:r>
      <w:r w:rsidRPr="00D97AA3">
        <w:rPr>
          <w:rFonts w:cs="Arial"/>
          <w:szCs w:val="24"/>
        </w:rPr>
        <w:t>(5), p.2294.</w:t>
      </w:r>
    </w:p>
    <w:p w:rsidR="008F6C5C" w:rsidRPr="00D97AA3" w:rsidRDefault="008F6C5C" w:rsidP="002C082E">
      <w:pPr>
        <w:pStyle w:val="ListParagraph"/>
        <w:numPr>
          <w:ilvl w:val="0"/>
          <w:numId w:val="1"/>
        </w:numPr>
        <w:rPr>
          <w:rFonts w:cs="Arial"/>
          <w:szCs w:val="24"/>
          <w:lang w:val="en-GB"/>
        </w:rPr>
      </w:pPr>
      <w:r w:rsidRPr="00D97AA3">
        <w:rPr>
          <w:rFonts w:cs="Arial"/>
          <w:szCs w:val="24"/>
        </w:rPr>
        <w:t>Ali, B.J. and Anwar, G., 2021. An empirical study of employees’ motivation and its influence job satisfaction. </w:t>
      </w:r>
      <w:r w:rsidRPr="00D97AA3">
        <w:rPr>
          <w:rFonts w:cs="Arial"/>
          <w:i/>
          <w:iCs/>
          <w:szCs w:val="24"/>
        </w:rPr>
        <w:t>Ali, BJ, &amp; Anwar, G.(2021). An Empirical Study of Employees’ Motivation and its Influence Job Satisfaction. International Journal of Engineering, Business and Management</w:t>
      </w:r>
      <w:r w:rsidRPr="00D97AA3">
        <w:rPr>
          <w:rFonts w:cs="Arial"/>
          <w:szCs w:val="24"/>
        </w:rPr>
        <w:t>, </w:t>
      </w:r>
      <w:r w:rsidRPr="00D97AA3">
        <w:rPr>
          <w:rFonts w:cs="Arial"/>
          <w:i/>
          <w:iCs/>
          <w:szCs w:val="24"/>
        </w:rPr>
        <w:t>5</w:t>
      </w:r>
      <w:r w:rsidRPr="00D97AA3">
        <w:rPr>
          <w:rFonts w:cs="Arial"/>
          <w:szCs w:val="24"/>
        </w:rPr>
        <w:t>(2), pp.21-30.</w:t>
      </w:r>
    </w:p>
    <w:sectPr w:rsidR="008F6C5C" w:rsidRPr="00D97AA3" w:rsidSect="00B47A7A">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2497" w:rsidRDefault="005B2497" w:rsidP="007612D9">
      <w:pPr>
        <w:spacing w:after="0" w:line="240" w:lineRule="auto"/>
      </w:pPr>
      <w:r>
        <w:separator/>
      </w:r>
    </w:p>
  </w:endnote>
  <w:endnote w:type="continuationSeparator" w:id="1">
    <w:p w:rsidR="005B2497" w:rsidRDefault="005B2497" w:rsidP="007612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7141"/>
      <w:docPartObj>
        <w:docPartGallery w:val="Page Numbers (Bottom of Page)"/>
        <w:docPartUnique/>
      </w:docPartObj>
    </w:sdtPr>
    <w:sdtContent>
      <w:p w:rsidR="00373408" w:rsidRDefault="00A65545">
        <w:pPr>
          <w:pStyle w:val="Footer"/>
          <w:jc w:val="right"/>
        </w:pPr>
        <w:r w:rsidRPr="00B47A7A">
          <w:rPr>
            <w:rFonts w:cs="Arial"/>
            <w:sz w:val="20"/>
          </w:rPr>
          <w:fldChar w:fldCharType="begin"/>
        </w:r>
        <w:r w:rsidR="00373408" w:rsidRPr="00B47A7A">
          <w:rPr>
            <w:rFonts w:cs="Arial"/>
            <w:sz w:val="20"/>
          </w:rPr>
          <w:instrText xml:space="preserve"> PAGE   \* MERGEFORMAT </w:instrText>
        </w:r>
        <w:r w:rsidRPr="00B47A7A">
          <w:rPr>
            <w:rFonts w:cs="Arial"/>
            <w:sz w:val="20"/>
          </w:rPr>
          <w:fldChar w:fldCharType="separate"/>
        </w:r>
        <w:r w:rsidR="00826021">
          <w:rPr>
            <w:rFonts w:cs="Arial"/>
            <w:noProof/>
            <w:sz w:val="20"/>
          </w:rPr>
          <w:t>3</w:t>
        </w:r>
        <w:r w:rsidRPr="00B47A7A">
          <w:rPr>
            <w:rFonts w:cs="Arial"/>
            <w:sz w:val="20"/>
          </w:rPr>
          <w:fldChar w:fldCharType="end"/>
        </w:r>
      </w:p>
    </w:sdtContent>
  </w:sdt>
  <w:p w:rsidR="00373408" w:rsidRDefault="0037340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2497" w:rsidRDefault="005B2497" w:rsidP="007612D9">
      <w:pPr>
        <w:spacing w:after="0" w:line="240" w:lineRule="auto"/>
      </w:pPr>
      <w:r>
        <w:separator/>
      </w:r>
    </w:p>
  </w:footnote>
  <w:footnote w:type="continuationSeparator" w:id="1">
    <w:p w:rsidR="005B2497" w:rsidRDefault="005B2497" w:rsidP="007612D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5E6BD6"/>
    <w:multiLevelType w:val="hybridMultilevel"/>
    <w:tmpl w:val="8EC0C5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0"/>
    <w:footnote w:id="1"/>
  </w:footnotePr>
  <w:endnotePr>
    <w:endnote w:id="0"/>
    <w:endnote w:id="1"/>
  </w:endnotePr>
  <w:compat>
    <w:useFELayout/>
  </w:compat>
  <w:rsids>
    <w:rsidRoot w:val="00034EFA"/>
    <w:rsid w:val="00011733"/>
    <w:rsid w:val="00031587"/>
    <w:rsid w:val="00034EFA"/>
    <w:rsid w:val="00050F06"/>
    <w:rsid w:val="00057A4A"/>
    <w:rsid w:val="000630A3"/>
    <w:rsid w:val="00077D86"/>
    <w:rsid w:val="000C7C29"/>
    <w:rsid w:val="000D04B2"/>
    <w:rsid w:val="000E707E"/>
    <w:rsid w:val="00100D0D"/>
    <w:rsid w:val="00101C3E"/>
    <w:rsid w:val="0013257B"/>
    <w:rsid w:val="00134A8F"/>
    <w:rsid w:val="00135733"/>
    <w:rsid w:val="001417A8"/>
    <w:rsid w:val="00143B97"/>
    <w:rsid w:val="00155BDB"/>
    <w:rsid w:val="00157694"/>
    <w:rsid w:val="0016128E"/>
    <w:rsid w:val="0016144E"/>
    <w:rsid w:val="00180902"/>
    <w:rsid w:val="001B3267"/>
    <w:rsid w:val="001B7476"/>
    <w:rsid w:val="001C24E7"/>
    <w:rsid w:val="001C6D78"/>
    <w:rsid w:val="001E3A1A"/>
    <w:rsid w:val="001F7D54"/>
    <w:rsid w:val="00201299"/>
    <w:rsid w:val="0021465E"/>
    <w:rsid w:val="00215B3B"/>
    <w:rsid w:val="00227E56"/>
    <w:rsid w:val="0023106A"/>
    <w:rsid w:val="0024331C"/>
    <w:rsid w:val="00254288"/>
    <w:rsid w:val="002601E7"/>
    <w:rsid w:val="002614AD"/>
    <w:rsid w:val="00273A78"/>
    <w:rsid w:val="00281695"/>
    <w:rsid w:val="00294F8F"/>
    <w:rsid w:val="002C082E"/>
    <w:rsid w:val="0030088B"/>
    <w:rsid w:val="003053AA"/>
    <w:rsid w:val="003143F9"/>
    <w:rsid w:val="003149AE"/>
    <w:rsid w:val="003153CF"/>
    <w:rsid w:val="00330026"/>
    <w:rsid w:val="003424B8"/>
    <w:rsid w:val="00356196"/>
    <w:rsid w:val="00373408"/>
    <w:rsid w:val="00393774"/>
    <w:rsid w:val="00394491"/>
    <w:rsid w:val="003B4B69"/>
    <w:rsid w:val="003C181A"/>
    <w:rsid w:val="003E5187"/>
    <w:rsid w:val="003E5FD9"/>
    <w:rsid w:val="003F51E7"/>
    <w:rsid w:val="00402052"/>
    <w:rsid w:val="00417AE0"/>
    <w:rsid w:val="00420EA7"/>
    <w:rsid w:val="004236BA"/>
    <w:rsid w:val="00436A2F"/>
    <w:rsid w:val="00437C7F"/>
    <w:rsid w:val="00444003"/>
    <w:rsid w:val="00451574"/>
    <w:rsid w:val="00457310"/>
    <w:rsid w:val="00460355"/>
    <w:rsid w:val="00462FC6"/>
    <w:rsid w:val="0046760A"/>
    <w:rsid w:val="004874F6"/>
    <w:rsid w:val="004A6AA3"/>
    <w:rsid w:val="004B7E5B"/>
    <w:rsid w:val="004C430C"/>
    <w:rsid w:val="004D3A73"/>
    <w:rsid w:val="004D3C3E"/>
    <w:rsid w:val="004F270E"/>
    <w:rsid w:val="00532C48"/>
    <w:rsid w:val="005365CA"/>
    <w:rsid w:val="00547112"/>
    <w:rsid w:val="00571F02"/>
    <w:rsid w:val="005779EE"/>
    <w:rsid w:val="005911F5"/>
    <w:rsid w:val="005A7E77"/>
    <w:rsid w:val="005B2497"/>
    <w:rsid w:val="005B50B9"/>
    <w:rsid w:val="005C5BB9"/>
    <w:rsid w:val="005D0C5A"/>
    <w:rsid w:val="005E35FE"/>
    <w:rsid w:val="005F1D21"/>
    <w:rsid w:val="005F5835"/>
    <w:rsid w:val="00602682"/>
    <w:rsid w:val="00633083"/>
    <w:rsid w:val="00634E1E"/>
    <w:rsid w:val="00643429"/>
    <w:rsid w:val="00657488"/>
    <w:rsid w:val="006830E1"/>
    <w:rsid w:val="006D3BA1"/>
    <w:rsid w:val="006D42B9"/>
    <w:rsid w:val="006E6255"/>
    <w:rsid w:val="006F2CD2"/>
    <w:rsid w:val="006F72F9"/>
    <w:rsid w:val="0070454C"/>
    <w:rsid w:val="00716E32"/>
    <w:rsid w:val="00743CE0"/>
    <w:rsid w:val="00760A45"/>
    <w:rsid w:val="007612D9"/>
    <w:rsid w:val="0077195B"/>
    <w:rsid w:val="00785AE9"/>
    <w:rsid w:val="007867C1"/>
    <w:rsid w:val="00792322"/>
    <w:rsid w:val="00797411"/>
    <w:rsid w:val="007E1BD0"/>
    <w:rsid w:val="007E75D7"/>
    <w:rsid w:val="007F034D"/>
    <w:rsid w:val="0080352C"/>
    <w:rsid w:val="00805A49"/>
    <w:rsid w:val="00821C92"/>
    <w:rsid w:val="008238C7"/>
    <w:rsid w:val="00826021"/>
    <w:rsid w:val="00843020"/>
    <w:rsid w:val="008775AD"/>
    <w:rsid w:val="00890936"/>
    <w:rsid w:val="0089437E"/>
    <w:rsid w:val="008A0A2C"/>
    <w:rsid w:val="008D02F0"/>
    <w:rsid w:val="008F6879"/>
    <w:rsid w:val="008F6C5C"/>
    <w:rsid w:val="00917A0A"/>
    <w:rsid w:val="00947BE9"/>
    <w:rsid w:val="00950B56"/>
    <w:rsid w:val="00951571"/>
    <w:rsid w:val="00960198"/>
    <w:rsid w:val="00976071"/>
    <w:rsid w:val="009856CD"/>
    <w:rsid w:val="00985BEF"/>
    <w:rsid w:val="00993CE2"/>
    <w:rsid w:val="00997CC4"/>
    <w:rsid w:val="009A17B2"/>
    <w:rsid w:val="009B0B11"/>
    <w:rsid w:val="009C7FD4"/>
    <w:rsid w:val="009D62F5"/>
    <w:rsid w:val="00A0408A"/>
    <w:rsid w:val="00A044D4"/>
    <w:rsid w:val="00A07770"/>
    <w:rsid w:val="00A27ECE"/>
    <w:rsid w:val="00A5207D"/>
    <w:rsid w:val="00A5314A"/>
    <w:rsid w:val="00A64EAB"/>
    <w:rsid w:val="00A64EE7"/>
    <w:rsid w:val="00A65545"/>
    <w:rsid w:val="00A74EC5"/>
    <w:rsid w:val="00A7693B"/>
    <w:rsid w:val="00A91DF7"/>
    <w:rsid w:val="00A94E1C"/>
    <w:rsid w:val="00AA258A"/>
    <w:rsid w:val="00AC5388"/>
    <w:rsid w:val="00AD174C"/>
    <w:rsid w:val="00AD677E"/>
    <w:rsid w:val="00AE4FD8"/>
    <w:rsid w:val="00B00B48"/>
    <w:rsid w:val="00B37183"/>
    <w:rsid w:val="00B47A7A"/>
    <w:rsid w:val="00B7282E"/>
    <w:rsid w:val="00B826A1"/>
    <w:rsid w:val="00B84FE7"/>
    <w:rsid w:val="00B902AC"/>
    <w:rsid w:val="00BA5FCB"/>
    <w:rsid w:val="00BB15A8"/>
    <w:rsid w:val="00BC05AE"/>
    <w:rsid w:val="00BC573C"/>
    <w:rsid w:val="00BD7402"/>
    <w:rsid w:val="00BE58B2"/>
    <w:rsid w:val="00C11EB3"/>
    <w:rsid w:val="00C466B1"/>
    <w:rsid w:val="00C5303C"/>
    <w:rsid w:val="00C5396E"/>
    <w:rsid w:val="00C558A9"/>
    <w:rsid w:val="00CC3FD3"/>
    <w:rsid w:val="00CC72B6"/>
    <w:rsid w:val="00CC7D99"/>
    <w:rsid w:val="00CD167D"/>
    <w:rsid w:val="00CE7B36"/>
    <w:rsid w:val="00CF3568"/>
    <w:rsid w:val="00D319E3"/>
    <w:rsid w:val="00D3517C"/>
    <w:rsid w:val="00D422F0"/>
    <w:rsid w:val="00D5613D"/>
    <w:rsid w:val="00D64126"/>
    <w:rsid w:val="00D700BC"/>
    <w:rsid w:val="00D75EDC"/>
    <w:rsid w:val="00D93446"/>
    <w:rsid w:val="00D93BB5"/>
    <w:rsid w:val="00D964EA"/>
    <w:rsid w:val="00D96B92"/>
    <w:rsid w:val="00D97AA3"/>
    <w:rsid w:val="00DA6982"/>
    <w:rsid w:val="00DC6822"/>
    <w:rsid w:val="00E01DA5"/>
    <w:rsid w:val="00E174F6"/>
    <w:rsid w:val="00E225D9"/>
    <w:rsid w:val="00E25CA3"/>
    <w:rsid w:val="00E30A09"/>
    <w:rsid w:val="00E40EE4"/>
    <w:rsid w:val="00E4316C"/>
    <w:rsid w:val="00E54034"/>
    <w:rsid w:val="00E72910"/>
    <w:rsid w:val="00EA7181"/>
    <w:rsid w:val="00EB0178"/>
    <w:rsid w:val="00EB4F4E"/>
    <w:rsid w:val="00EB78A3"/>
    <w:rsid w:val="00EC4D25"/>
    <w:rsid w:val="00EC5023"/>
    <w:rsid w:val="00ED0240"/>
    <w:rsid w:val="00EE4853"/>
    <w:rsid w:val="00EF7EA4"/>
    <w:rsid w:val="00F11331"/>
    <w:rsid w:val="00F2394D"/>
    <w:rsid w:val="00F23E2F"/>
    <w:rsid w:val="00F30BC8"/>
    <w:rsid w:val="00F32213"/>
    <w:rsid w:val="00FA19F3"/>
    <w:rsid w:val="00FB211E"/>
    <w:rsid w:val="00FC35EE"/>
    <w:rsid w:val="00FD4EA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3BA1"/>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6D3BA1"/>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6D3BA1"/>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6D3BA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34EFA"/>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034EFA"/>
    <w:rPr>
      <w:b/>
      <w:bCs/>
    </w:rPr>
  </w:style>
  <w:style w:type="character" w:styleId="Emphasis">
    <w:name w:val="Emphasis"/>
    <w:basedOn w:val="DefaultParagraphFont"/>
    <w:uiPriority w:val="20"/>
    <w:qFormat/>
    <w:rsid w:val="00950B56"/>
    <w:rPr>
      <w:i/>
      <w:iCs/>
    </w:rPr>
  </w:style>
  <w:style w:type="paragraph" w:styleId="Header">
    <w:name w:val="header"/>
    <w:basedOn w:val="Normal"/>
    <w:link w:val="HeaderChar"/>
    <w:uiPriority w:val="99"/>
    <w:semiHidden/>
    <w:unhideWhenUsed/>
    <w:rsid w:val="00B47A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47A7A"/>
  </w:style>
  <w:style w:type="paragraph" w:styleId="Footer">
    <w:name w:val="footer"/>
    <w:basedOn w:val="Normal"/>
    <w:link w:val="FooterChar"/>
    <w:uiPriority w:val="99"/>
    <w:unhideWhenUsed/>
    <w:rsid w:val="00B47A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7A7A"/>
  </w:style>
  <w:style w:type="character" w:customStyle="1" w:styleId="Heading1Char">
    <w:name w:val="Heading 1 Char"/>
    <w:basedOn w:val="DefaultParagraphFont"/>
    <w:link w:val="Heading1"/>
    <w:uiPriority w:val="9"/>
    <w:rsid w:val="006D3BA1"/>
    <w:rPr>
      <w:rFonts w:ascii="Arial" w:eastAsiaTheme="majorEastAsia" w:hAnsi="Arial" w:cstheme="majorBidi"/>
      <w:b/>
      <w:bCs/>
      <w:color w:val="000000" w:themeColor="text1"/>
      <w:sz w:val="28"/>
      <w:szCs w:val="28"/>
    </w:rPr>
  </w:style>
  <w:style w:type="character" w:customStyle="1" w:styleId="Heading2Char">
    <w:name w:val="Heading 2 Char"/>
    <w:basedOn w:val="DefaultParagraphFont"/>
    <w:link w:val="Heading2"/>
    <w:uiPriority w:val="9"/>
    <w:rsid w:val="006D3BA1"/>
    <w:rPr>
      <w:rFonts w:ascii="Arial" w:eastAsiaTheme="majorEastAsia" w:hAnsi="Arial" w:cstheme="majorBidi"/>
      <w:b/>
      <w:bCs/>
      <w:color w:val="000000" w:themeColor="text1"/>
      <w:sz w:val="26"/>
      <w:szCs w:val="26"/>
    </w:rPr>
  </w:style>
  <w:style w:type="character" w:customStyle="1" w:styleId="Heading3Char">
    <w:name w:val="Heading 3 Char"/>
    <w:basedOn w:val="DefaultParagraphFont"/>
    <w:link w:val="Heading3"/>
    <w:uiPriority w:val="9"/>
    <w:rsid w:val="006D3BA1"/>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EB0178"/>
    <w:rPr>
      <w:color w:val="0000FF" w:themeColor="hyperlink"/>
      <w:u w:val="single"/>
    </w:rPr>
  </w:style>
  <w:style w:type="paragraph" w:styleId="TOCHeading">
    <w:name w:val="TOC Heading"/>
    <w:basedOn w:val="Heading1"/>
    <w:next w:val="Normal"/>
    <w:uiPriority w:val="39"/>
    <w:semiHidden/>
    <w:unhideWhenUsed/>
    <w:qFormat/>
    <w:rsid w:val="00BE58B2"/>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BE58B2"/>
    <w:pPr>
      <w:spacing w:after="100"/>
    </w:pPr>
  </w:style>
  <w:style w:type="paragraph" w:styleId="TOC2">
    <w:name w:val="toc 2"/>
    <w:basedOn w:val="Normal"/>
    <w:next w:val="Normal"/>
    <w:autoRedefine/>
    <w:uiPriority w:val="39"/>
    <w:unhideWhenUsed/>
    <w:rsid w:val="00BE58B2"/>
    <w:pPr>
      <w:spacing w:after="100"/>
      <w:ind w:left="240"/>
    </w:pPr>
  </w:style>
  <w:style w:type="paragraph" w:styleId="BalloonText">
    <w:name w:val="Balloon Text"/>
    <w:basedOn w:val="Normal"/>
    <w:link w:val="BalloonTextChar"/>
    <w:uiPriority w:val="99"/>
    <w:semiHidden/>
    <w:unhideWhenUsed/>
    <w:rsid w:val="00BE58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58B2"/>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394491"/>
    <w:rPr>
      <w:sz w:val="16"/>
      <w:szCs w:val="16"/>
    </w:rPr>
  </w:style>
  <w:style w:type="paragraph" w:styleId="CommentText">
    <w:name w:val="annotation text"/>
    <w:basedOn w:val="Normal"/>
    <w:link w:val="CommentTextChar"/>
    <w:uiPriority w:val="99"/>
    <w:semiHidden/>
    <w:unhideWhenUsed/>
    <w:rsid w:val="00394491"/>
    <w:pPr>
      <w:spacing w:line="240" w:lineRule="auto"/>
    </w:pPr>
    <w:rPr>
      <w:sz w:val="20"/>
      <w:szCs w:val="20"/>
    </w:rPr>
  </w:style>
  <w:style w:type="character" w:customStyle="1" w:styleId="CommentTextChar">
    <w:name w:val="Comment Text Char"/>
    <w:basedOn w:val="DefaultParagraphFont"/>
    <w:link w:val="CommentText"/>
    <w:uiPriority w:val="99"/>
    <w:semiHidden/>
    <w:rsid w:val="00394491"/>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394491"/>
    <w:rPr>
      <w:b/>
      <w:bCs/>
    </w:rPr>
  </w:style>
  <w:style w:type="character" w:customStyle="1" w:styleId="CommentSubjectChar">
    <w:name w:val="Comment Subject Char"/>
    <w:basedOn w:val="CommentTextChar"/>
    <w:link w:val="CommentSubject"/>
    <w:uiPriority w:val="99"/>
    <w:semiHidden/>
    <w:rsid w:val="00394491"/>
    <w:rPr>
      <w:rFonts w:ascii="Arial" w:hAnsi="Arial"/>
      <w:b/>
      <w:bCs/>
      <w:color w:val="000000" w:themeColor="text1"/>
      <w:sz w:val="20"/>
      <w:szCs w:val="20"/>
    </w:rPr>
  </w:style>
  <w:style w:type="table" w:styleId="TableGrid">
    <w:name w:val="Table Grid"/>
    <w:basedOn w:val="TableNormal"/>
    <w:uiPriority w:val="59"/>
    <w:unhideWhenUsed/>
    <w:rsid w:val="000E707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634E1E"/>
    <w:pPr>
      <w:ind w:left="720"/>
      <w:contextualSpacing/>
    </w:pPr>
  </w:style>
</w:styles>
</file>

<file path=word/webSettings.xml><?xml version="1.0" encoding="utf-8"?>
<w:webSettings xmlns:r="http://schemas.openxmlformats.org/officeDocument/2006/relationships" xmlns:w="http://schemas.openxmlformats.org/wordprocessingml/2006/main">
  <w:divs>
    <w:div w:id="203644155">
      <w:bodyDiv w:val="1"/>
      <w:marLeft w:val="0"/>
      <w:marRight w:val="0"/>
      <w:marTop w:val="0"/>
      <w:marBottom w:val="0"/>
      <w:divBdr>
        <w:top w:val="none" w:sz="0" w:space="0" w:color="auto"/>
        <w:left w:val="none" w:sz="0" w:space="0" w:color="auto"/>
        <w:bottom w:val="none" w:sz="0" w:space="0" w:color="auto"/>
        <w:right w:val="none" w:sz="0" w:space="0" w:color="auto"/>
      </w:divBdr>
    </w:div>
    <w:div w:id="1379667559">
      <w:bodyDiv w:val="1"/>
      <w:marLeft w:val="0"/>
      <w:marRight w:val="0"/>
      <w:marTop w:val="0"/>
      <w:marBottom w:val="0"/>
      <w:divBdr>
        <w:top w:val="none" w:sz="0" w:space="0" w:color="auto"/>
        <w:left w:val="none" w:sz="0" w:space="0" w:color="auto"/>
        <w:bottom w:val="none" w:sz="0" w:space="0" w:color="auto"/>
        <w:right w:val="none" w:sz="0" w:space="0" w:color="auto"/>
      </w:divBdr>
    </w:div>
    <w:div w:id="1484391193">
      <w:bodyDiv w:val="1"/>
      <w:marLeft w:val="0"/>
      <w:marRight w:val="0"/>
      <w:marTop w:val="0"/>
      <w:marBottom w:val="0"/>
      <w:divBdr>
        <w:top w:val="none" w:sz="0" w:space="0" w:color="auto"/>
        <w:left w:val="none" w:sz="0" w:space="0" w:color="auto"/>
        <w:bottom w:val="none" w:sz="0" w:space="0" w:color="auto"/>
        <w:right w:val="none" w:sz="0" w:space="0" w:color="auto"/>
      </w:divBdr>
    </w:div>
    <w:div w:id="1491487181">
      <w:bodyDiv w:val="1"/>
      <w:marLeft w:val="0"/>
      <w:marRight w:val="0"/>
      <w:marTop w:val="0"/>
      <w:marBottom w:val="0"/>
      <w:divBdr>
        <w:top w:val="none" w:sz="0" w:space="0" w:color="auto"/>
        <w:left w:val="none" w:sz="0" w:space="0" w:color="auto"/>
        <w:bottom w:val="none" w:sz="0" w:space="0" w:color="auto"/>
        <w:right w:val="none" w:sz="0" w:space="0" w:color="auto"/>
      </w:divBdr>
    </w:div>
    <w:div w:id="1649435886">
      <w:bodyDiv w:val="1"/>
      <w:marLeft w:val="0"/>
      <w:marRight w:val="0"/>
      <w:marTop w:val="0"/>
      <w:marBottom w:val="0"/>
      <w:divBdr>
        <w:top w:val="none" w:sz="0" w:space="0" w:color="auto"/>
        <w:left w:val="none" w:sz="0" w:space="0" w:color="auto"/>
        <w:bottom w:val="none" w:sz="0" w:space="0" w:color="auto"/>
        <w:right w:val="none" w:sz="0" w:space="0" w:color="auto"/>
      </w:divBdr>
    </w:div>
    <w:div w:id="178221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Md-Uddin-152/publication/330648509_Linking_transformational_leadership_with_employees%27_engagement_in_the_creative_process/links/617c0a1ceef53e51e1029b76/Linking-transformational-leadership-with-employees-engagement-in-the-creative-process.pdf" TargetMode="External"/><Relationship Id="rId18" Type="http://schemas.openxmlformats.org/officeDocument/2006/relationships/hyperlink" Target="https://doi.org/10.2196/11454" TargetMode="External"/><Relationship Id="rId26" Type="http://schemas.openxmlformats.org/officeDocument/2006/relationships/hyperlink" Target="https://www.researchgate.net/profile/Md-Uddin-152/publication/330648509_Linking_transformational_leadership_with_employees%27_engagement_in_the_creative_process/links/617c0a1ceef53e51e1029b76/Linking-transformational-leadership-with-employees-engagement-in-the-creative-process.pdf" TargetMode="External"/><Relationship Id="rId3" Type="http://schemas.openxmlformats.org/officeDocument/2006/relationships/styles" Target="styles.xml"/><Relationship Id="rId21" Type="http://schemas.openxmlformats.org/officeDocument/2006/relationships/hyperlink" Target="https://doi.org/10.3390/ijerph18052294" TargetMode="External"/><Relationship Id="rId7" Type="http://schemas.openxmlformats.org/officeDocument/2006/relationships/endnotes" Target="endnotes.xml"/><Relationship Id="rId12" Type="http://schemas.openxmlformats.org/officeDocument/2006/relationships/hyperlink" Target="https://e-tarjome.com/storage/panel/fileuploads/2019-08-22/1566455447_E12678-e-tarjome.pdf" TargetMode="External"/><Relationship Id="rId17" Type="http://schemas.openxmlformats.org/officeDocument/2006/relationships/hyperlink" Target="https://doi.org/10.1108/JGOSS-08-2017-0026" TargetMode="External"/><Relationship Id="rId25" Type="http://schemas.openxmlformats.org/officeDocument/2006/relationships/hyperlink" Target="https://doi.org/10.1080/14783363.2018.1532789" TargetMode="External"/><Relationship Id="rId2" Type="http://schemas.openxmlformats.org/officeDocument/2006/relationships/numbering" Target="numbering.xml"/><Relationship Id="rId16" Type="http://schemas.openxmlformats.org/officeDocument/2006/relationships/hyperlink" Target="https://doi.org/10.3389/fpsyg.2021.663440" TargetMode="External"/><Relationship Id="rId20" Type="http://schemas.openxmlformats.org/officeDocument/2006/relationships/hyperlink" Target="https://www.researchgate.net/profile/Linjuan-Men/publication/338807636_Examining_the_effects_of_internal_social_media_usage_on_employee_engagement/links/60915278a6fdccaebd08f2a2/Examining-the-effects-of-internal-social-media-usage-on-employee-engagement.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IJOA-05-2020-2190/full/html" TargetMode="External"/><Relationship Id="rId24" Type="http://schemas.openxmlformats.org/officeDocument/2006/relationships/hyperlink" Target="https://doi.org/10.1016/j.ijhm.2019.102415" TargetMode="External"/><Relationship Id="rId5" Type="http://schemas.openxmlformats.org/officeDocument/2006/relationships/webSettings" Target="webSettings.xml"/><Relationship Id="rId15" Type="http://schemas.openxmlformats.org/officeDocument/2006/relationships/hyperlink" Target="https://www.mdpi.com/1660-4601/16/10/1731/pdf" TargetMode="External"/><Relationship Id="rId23" Type="http://schemas.openxmlformats.org/officeDocument/2006/relationships/hyperlink" Target="http://dx.doi.org/10.24193/tras.59E.7"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33258/birci.v2i3.40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2/csr.1783" TargetMode="External"/><Relationship Id="rId22" Type="http://schemas.openxmlformats.org/officeDocument/2006/relationships/hyperlink" Target="https://doi.org/10.1108/IJOA-03-2021-2685" TargetMode="External"/><Relationship Id="rId27" Type="http://schemas.openxmlformats.org/officeDocument/2006/relationships/hyperlink" Target="https://www.researchgate.net/profile/Yongyi-Liang-2/publication/327634810_It%27s_Mine_Psychological_Ownership_of_One%27s_Job_Explains_Positive_and_Negative_Workplace_Outcomes_of_Job_Engagement/links/60d059f692851ca3acb816a5/Its-Mine-Psychological-Ownership-of-Ones-Job-Explains-Positive-and-Negative-Workplace-Outcomes-of-Job-Engagement.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D900F6-2E2A-4C2A-8E09-F9CF7054E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3405</Words>
  <Characters>19411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2023-05-09T14:05:00Z</dcterms:created>
  <dcterms:modified xsi:type="dcterms:W3CDTF">2023-05-17T08:03:00Z</dcterms:modified>
</cp:coreProperties>
</file>