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9E69E" w14:textId="65B6B0EB" w:rsidR="008A4A46" w:rsidRDefault="00163AA0">
      <w:pPr>
        <w:rPr>
          <w:rFonts w:ascii="Arial" w:eastAsia="Arial" w:hAnsi="Arial" w:cs="Arial"/>
          <w:b/>
          <w:bCs/>
          <w:sz w:val="22"/>
          <w:szCs w:val="22"/>
        </w:rPr>
      </w:pPr>
      <w:r w:rsidRPr="00BA5E1A">
        <w:rPr>
          <w:rFonts w:ascii="Arial" w:eastAsia="Arial" w:hAnsi="Arial" w:cs="Arial"/>
          <w:b/>
          <w:bCs/>
          <w:noProof/>
          <w:sz w:val="22"/>
          <w:szCs w:val="22"/>
        </w:rPr>
        <mc:AlternateContent>
          <mc:Choice Requires="wpg">
            <w:drawing>
              <wp:anchor distT="45720" distB="45720" distL="182880" distR="182880" simplePos="0" relativeHeight="251663360" behindDoc="0" locked="0" layoutInCell="1" allowOverlap="1" wp14:anchorId="5B4C4364" wp14:editId="4C1BCB67">
                <wp:simplePos x="0" y="0"/>
                <wp:positionH relativeFrom="margin">
                  <wp:posOffset>1363980</wp:posOffset>
                </wp:positionH>
                <wp:positionV relativeFrom="margin">
                  <wp:posOffset>-129540</wp:posOffset>
                </wp:positionV>
                <wp:extent cx="4846320" cy="2987040"/>
                <wp:effectExtent l="0" t="0" r="0" b="3810"/>
                <wp:wrapSquare wrapText="bothSides"/>
                <wp:docPr id="198" name="Group 203"/>
                <wp:cNvGraphicFramePr/>
                <a:graphic xmlns:a="http://schemas.openxmlformats.org/drawingml/2006/main">
                  <a:graphicData uri="http://schemas.microsoft.com/office/word/2010/wordprocessingGroup">
                    <wpg:wgp>
                      <wpg:cNvGrpSpPr/>
                      <wpg:grpSpPr>
                        <a:xfrm>
                          <a:off x="0" y="0"/>
                          <a:ext cx="4846320" cy="2987040"/>
                          <a:chOff x="0" y="0"/>
                          <a:chExt cx="3567448" cy="1618928"/>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E8D41E" w14:textId="77777777" w:rsidR="00BA5E1A" w:rsidRDefault="00BA5E1A">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13662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749AA" w14:textId="77777777" w:rsidR="00163AA0" w:rsidRPr="00FA3D31" w:rsidRDefault="00163AA0" w:rsidP="00163AA0">
                              <w:pPr>
                                <w:rPr>
                                  <w:rFonts w:ascii="Arial" w:eastAsia="Arial" w:hAnsi="Arial" w:cs="Arial"/>
                                  <w:b/>
                                  <w:bCs/>
                                  <w:sz w:val="52"/>
                                  <w:szCs w:val="52"/>
                                </w:rPr>
                              </w:pPr>
                              <w:r w:rsidRPr="00FA3D31">
                                <w:rPr>
                                  <w:rFonts w:ascii="Arial" w:hAnsi="Arial" w:cs="Arial"/>
                                  <w:b/>
                                  <w:sz w:val="52"/>
                                  <w:szCs w:val="52"/>
                                </w:rPr>
                                <w:t xml:space="preserve">Module: </w:t>
                              </w:r>
                              <w:r w:rsidRPr="00FA3D31">
                                <w:rPr>
                                  <w:rFonts w:ascii="Arial" w:eastAsia="Arial" w:hAnsi="Arial" w:cs="Arial"/>
                                  <w:b/>
                                  <w:bCs/>
                                  <w:sz w:val="52"/>
                                  <w:szCs w:val="52"/>
                                </w:rPr>
                                <w:t>Social Epidemiology and Public Health Development</w:t>
                              </w:r>
                            </w:p>
                            <w:p w14:paraId="5EC1DEF7" w14:textId="77777777" w:rsidR="00163AA0" w:rsidRPr="00FA3D31" w:rsidRDefault="00163AA0" w:rsidP="00163AA0">
                              <w:pPr>
                                <w:spacing w:before="120" w:after="120"/>
                                <w:jc w:val="both"/>
                                <w:rPr>
                                  <w:rFonts w:ascii="Arial" w:eastAsia="Arial" w:hAnsi="Arial" w:cs="Arial"/>
                                  <w:sz w:val="52"/>
                                  <w:szCs w:val="52"/>
                                </w:rPr>
                              </w:pPr>
                              <w:r w:rsidRPr="00FA3D31">
                                <w:rPr>
                                  <w:rFonts w:ascii="Arial" w:hAnsi="Arial" w:cs="Arial"/>
                                  <w:b/>
                                  <w:sz w:val="52"/>
                                  <w:szCs w:val="52"/>
                                </w:rPr>
                                <w:t>Module code:</w:t>
                              </w:r>
                              <w:r w:rsidRPr="00FA3D31">
                                <w:rPr>
                                  <w:rFonts w:ascii="Arial" w:eastAsia="Arial" w:hAnsi="Arial" w:cs="Arial"/>
                                  <w:b/>
                                  <w:bCs/>
                                  <w:sz w:val="52"/>
                                  <w:szCs w:val="52"/>
                                </w:rPr>
                                <w:t xml:space="preserve"> LCHS7000</w:t>
                              </w:r>
                            </w:p>
                            <w:p w14:paraId="4E938C43" w14:textId="77777777" w:rsidR="00163AA0" w:rsidRDefault="00163AA0" w:rsidP="00163AA0">
                              <w:pPr>
                                <w:ind w:left="2"/>
                                <w:jc w:val="both"/>
                                <w:rPr>
                                  <w:rFonts w:ascii="Arial" w:eastAsia="Arial" w:hAnsi="Arial" w:cs="Arial"/>
                                  <w:b/>
                                  <w:bCs/>
                                  <w:sz w:val="52"/>
                                  <w:szCs w:val="52"/>
                                </w:rPr>
                              </w:pPr>
                              <w:r w:rsidRPr="00FA3D31">
                                <w:rPr>
                                  <w:rFonts w:ascii="Arial" w:eastAsia="Arial" w:hAnsi="Arial" w:cs="Arial"/>
                                  <w:b/>
                                  <w:bCs/>
                                  <w:sz w:val="52"/>
                                  <w:szCs w:val="52"/>
                                </w:rPr>
                                <w:t>Analytical Report</w:t>
                              </w:r>
                            </w:p>
                            <w:p w14:paraId="4DF21C67" w14:textId="77777777" w:rsidR="00FD0871" w:rsidRDefault="00FD0871" w:rsidP="00163AA0">
                              <w:pPr>
                                <w:ind w:left="2"/>
                                <w:jc w:val="both"/>
                                <w:rPr>
                                  <w:rFonts w:ascii="Arial" w:eastAsia="Arial" w:hAnsi="Arial" w:cs="Arial"/>
                                  <w:b/>
                                  <w:bCs/>
                                  <w:sz w:val="52"/>
                                  <w:szCs w:val="52"/>
                                </w:rPr>
                              </w:pPr>
                            </w:p>
                            <w:p w14:paraId="7AE92E50" w14:textId="77777777" w:rsidR="00FD0871" w:rsidRDefault="00FD0871" w:rsidP="00163AA0">
                              <w:pPr>
                                <w:ind w:left="2"/>
                                <w:jc w:val="both"/>
                                <w:rPr>
                                  <w:rFonts w:ascii="Arial" w:eastAsia="Arial" w:hAnsi="Arial" w:cs="Arial"/>
                                  <w:b/>
                                  <w:bCs/>
                                  <w:sz w:val="52"/>
                                  <w:szCs w:val="52"/>
                                </w:rPr>
                              </w:pPr>
                            </w:p>
                            <w:p w14:paraId="7B6C7C2B" w14:textId="77777777" w:rsidR="00FD0871" w:rsidRDefault="00FD0871" w:rsidP="00163AA0">
                              <w:pPr>
                                <w:ind w:left="2"/>
                                <w:jc w:val="both"/>
                                <w:rPr>
                                  <w:rFonts w:ascii="Arial" w:eastAsia="Arial" w:hAnsi="Arial" w:cs="Arial"/>
                                  <w:b/>
                                  <w:bCs/>
                                  <w:sz w:val="52"/>
                                  <w:szCs w:val="52"/>
                                </w:rPr>
                              </w:pPr>
                            </w:p>
                            <w:p w14:paraId="54C21BBF" w14:textId="77777777" w:rsidR="00FD0871" w:rsidRDefault="00FD0871" w:rsidP="00163AA0">
                              <w:pPr>
                                <w:ind w:left="2"/>
                                <w:jc w:val="both"/>
                                <w:rPr>
                                  <w:rFonts w:ascii="Arial" w:eastAsia="Arial" w:hAnsi="Arial" w:cs="Arial"/>
                                  <w:b/>
                                  <w:bCs/>
                                  <w:sz w:val="52"/>
                                  <w:szCs w:val="52"/>
                                </w:rPr>
                              </w:pPr>
                            </w:p>
                            <w:p w14:paraId="1F6756C6" w14:textId="77777777" w:rsidR="00FD0871" w:rsidRDefault="00FD0871" w:rsidP="00163AA0">
                              <w:pPr>
                                <w:ind w:left="2"/>
                                <w:jc w:val="both"/>
                                <w:rPr>
                                  <w:rFonts w:ascii="Arial" w:eastAsia="Arial" w:hAnsi="Arial" w:cs="Arial"/>
                                  <w:b/>
                                  <w:bCs/>
                                  <w:sz w:val="52"/>
                                  <w:szCs w:val="52"/>
                                </w:rPr>
                              </w:pPr>
                            </w:p>
                            <w:p w14:paraId="601BD1E0" w14:textId="77777777" w:rsidR="00FD0871" w:rsidRDefault="00FD0871" w:rsidP="00163AA0">
                              <w:pPr>
                                <w:ind w:left="2"/>
                                <w:jc w:val="both"/>
                                <w:rPr>
                                  <w:rFonts w:ascii="Arial" w:eastAsia="Arial" w:hAnsi="Arial" w:cs="Arial"/>
                                  <w:b/>
                                  <w:bCs/>
                                  <w:sz w:val="52"/>
                                  <w:szCs w:val="52"/>
                                </w:rPr>
                              </w:pPr>
                            </w:p>
                            <w:p w14:paraId="050BB2BF" w14:textId="77777777" w:rsidR="00BC735B" w:rsidRDefault="00BC735B" w:rsidP="00163AA0">
                              <w:pPr>
                                <w:ind w:left="2"/>
                                <w:jc w:val="both"/>
                                <w:rPr>
                                  <w:rFonts w:ascii="Arial" w:eastAsia="Arial" w:hAnsi="Arial" w:cs="Arial"/>
                                  <w:b/>
                                  <w:bCs/>
                                  <w:sz w:val="52"/>
                                  <w:szCs w:val="52"/>
                                </w:rPr>
                              </w:pPr>
                            </w:p>
                            <w:p w14:paraId="109181D3" w14:textId="77777777" w:rsidR="00BC735B" w:rsidRPr="00FA3D31" w:rsidRDefault="00BC735B" w:rsidP="00163AA0">
                              <w:pPr>
                                <w:ind w:left="2"/>
                                <w:jc w:val="both"/>
                                <w:rPr>
                                  <w:sz w:val="52"/>
                                  <w:szCs w:val="52"/>
                                </w:rPr>
                              </w:pPr>
                            </w:p>
                            <w:p w14:paraId="45C6BB30" w14:textId="364F161D" w:rsidR="00BA5E1A" w:rsidRPr="00BA5E1A" w:rsidRDefault="00BA5E1A">
                              <w:pPr>
                                <w:rPr>
                                  <w:bCs/>
                                  <w:caps/>
                                  <w:color w:val="156082" w:themeColor="accent1"/>
                                  <w:sz w:val="44"/>
                                  <w:szCs w:val="44"/>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4C4364" id="Group 203" o:spid="_x0000_s1026" style="position:absolute;margin-left:107.4pt;margin-top:-10.2pt;width:381.6pt;height:235.2pt;z-index:251663360;mso-wrap-distance-left:14.4pt;mso-wrap-distance-top:3.6pt;mso-wrap-distance-right:14.4pt;mso-wrap-distance-bottom:3.6pt;mso-position-horizontal-relative:margin;mso-position-vertical-relative:margin;mso-width-relative:margin;mso-height-relative:margin" coordsize="35674,16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fillcolor="#156082 [3204]" stroked="f" strokeweight="1.5pt">
                  <v:textbox>
                    <w:txbxContent>
                      <w:p w14:paraId="14E8D41E" w14:textId="77777777" w:rsidR="00BA5E1A" w:rsidRDefault="00BA5E1A">
                        <w:pPr>
                          <w:jc w:val="center"/>
                          <w:rPr>
                            <w:rFonts w:asciiTheme="majorHAnsi" w:eastAsiaTheme="majorEastAsia" w:hAnsiTheme="majorHAnsi" w:cstheme="majorBidi"/>
                            <w:color w:val="FFFFFF" w:themeColor="background1"/>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13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5AA749AA" w14:textId="77777777" w:rsidR="00163AA0" w:rsidRPr="00FA3D31" w:rsidRDefault="00163AA0" w:rsidP="00163AA0">
                        <w:pPr>
                          <w:rPr>
                            <w:rFonts w:ascii="Arial" w:eastAsia="Arial" w:hAnsi="Arial" w:cs="Arial"/>
                            <w:b/>
                            <w:bCs/>
                            <w:sz w:val="52"/>
                            <w:szCs w:val="52"/>
                          </w:rPr>
                        </w:pPr>
                        <w:r w:rsidRPr="00FA3D31">
                          <w:rPr>
                            <w:rFonts w:ascii="Arial" w:hAnsi="Arial" w:cs="Arial"/>
                            <w:b/>
                            <w:sz w:val="52"/>
                            <w:szCs w:val="52"/>
                          </w:rPr>
                          <w:t xml:space="preserve">Module: </w:t>
                        </w:r>
                        <w:r w:rsidRPr="00FA3D31">
                          <w:rPr>
                            <w:rFonts w:ascii="Arial" w:eastAsia="Arial" w:hAnsi="Arial" w:cs="Arial"/>
                            <w:b/>
                            <w:bCs/>
                            <w:sz w:val="52"/>
                            <w:szCs w:val="52"/>
                          </w:rPr>
                          <w:t>Social Epidemiology and Public Health Development</w:t>
                        </w:r>
                      </w:p>
                      <w:p w14:paraId="5EC1DEF7" w14:textId="77777777" w:rsidR="00163AA0" w:rsidRPr="00FA3D31" w:rsidRDefault="00163AA0" w:rsidP="00163AA0">
                        <w:pPr>
                          <w:spacing w:before="120" w:after="120"/>
                          <w:jc w:val="both"/>
                          <w:rPr>
                            <w:rFonts w:ascii="Arial" w:eastAsia="Arial" w:hAnsi="Arial" w:cs="Arial"/>
                            <w:sz w:val="52"/>
                            <w:szCs w:val="52"/>
                          </w:rPr>
                        </w:pPr>
                        <w:r w:rsidRPr="00FA3D31">
                          <w:rPr>
                            <w:rFonts w:ascii="Arial" w:hAnsi="Arial" w:cs="Arial"/>
                            <w:b/>
                            <w:sz w:val="52"/>
                            <w:szCs w:val="52"/>
                          </w:rPr>
                          <w:t>Module code:</w:t>
                        </w:r>
                        <w:r w:rsidRPr="00FA3D31">
                          <w:rPr>
                            <w:rFonts w:ascii="Arial" w:eastAsia="Arial" w:hAnsi="Arial" w:cs="Arial"/>
                            <w:b/>
                            <w:bCs/>
                            <w:sz w:val="52"/>
                            <w:szCs w:val="52"/>
                          </w:rPr>
                          <w:t xml:space="preserve"> LCHS7000</w:t>
                        </w:r>
                      </w:p>
                      <w:p w14:paraId="4E938C43" w14:textId="77777777" w:rsidR="00163AA0" w:rsidRDefault="00163AA0" w:rsidP="00163AA0">
                        <w:pPr>
                          <w:ind w:left="2"/>
                          <w:jc w:val="both"/>
                          <w:rPr>
                            <w:rFonts w:ascii="Arial" w:eastAsia="Arial" w:hAnsi="Arial" w:cs="Arial"/>
                            <w:b/>
                            <w:bCs/>
                            <w:sz w:val="52"/>
                            <w:szCs w:val="52"/>
                          </w:rPr>
                        </w:pPr>
                        <w:r w:rsidRPr="00FA3D31">
                          <w:rPr>
                            <w:rFonts w:ascii="Arial" w:eastAsia="Arial" w:hAnsi="Arial" w:cs="Arial"/>
                            <w:b/>
                            <w:bCs/>
                            <w:sz w:val="52"/>
                            <w:szCs w:val="52"/>
                          </w:rPr>
                          <w:t>Analytical Report</w:t>
                        </w:r>
                      </w:p>
                      <w:p w14:paraId="4DF21C67" w14:textId="77777777" w:rsidR="00FD0871" w:rsidRDefault="00FD0871" w:rsidP="00163AA0">
                        <w:pPr>
                          <w:ind w:left="2"/>
                          <w:jc w:val="both"/>
                          <w:rPr>
                            <w:rFonts w:ascii="Arial" w:eastAsia="Arial" w:hAnsi="Arial" w:cs="Arial"/>
                            <w:b/>
                            <w:bCs/>
                            <w:sz w:val="52"/>
                            <w:szCs w:val="52"/>
                          </w:rPr>
                        </w:pPr>
                      </w:p>
                      <w:p w14:paraId="7AE92E50" w14:textId="77777777" w:rsidR="00FD0871" w:rsidRDefault="00FD0871" w:rsidP="00163AA0">
                        <w:pPr>
                          <w:ind w:left="2"/>
                          <w:jc w:val="both"/>
                          <w:rPr>
                            <w:rFonts w:ascii="Arial" w:eastAsia="Arial" w:hAnsi="Arial" w:cs="Arial"/>
                            <w:b/>
                            <w:bCs/>
                            <w:sz w:val="52"/>
                            <w:szCs w:val="52"/>
                          </w:rPr>
                        </w:pPr>
                      </w:p>
                      <w:p w14:paraId="7B6C7C2B" w14:textId="77777777" w:rsidR="00FD0871" w:rsidRDefault="00FD0871" w:rsidP="00163AA0">
                        <w:pPr>
                          <w:ind w:left="2"/>
                          <w:jc w:val="both"/>
                          <w:rPr>
                            <w:rFonts w:ascii="Arial" w:eastAsia="Arial" w:hAnsi="Arial" w:cs="Arial"/>
                            <w:b/>
                            <w:bCs/>
                            <w:sz w:val="52"/>
                            <w:szCs w:val="52"/>
                          </w:rPr>
                        </w:pPr>
                      </w:p>
                      <w:p w14:paraId="54C21BBF" w14:textId="77777777" w:rsidR="00FD0871" w:rsidRDefault="00FD0871" w:rsidP="00163AA0">
                        <w:pPr>
                          <w:ind w:left="2"/>
                          <w:jc w:val="both"/>
                          <w:rPr>
                            <w:rFonts w:ascii="Arial" w:eastAsia="Arial" w:hAnsi="Arial" w:cs="Arial"/>
                            <w:b/>
                            <w:bCs/>
                            <w:sz w:val="52"/>
                            <w:szCs w:val="52"/>
                          </w:rPr>
                        </w:pPr>
                      </w:p>
                      <w:p w14:paraId="1F6756C6" w14:textId="77777777" w:rsidR="00FD0871" w:rsidRDefault="00FD0871" w:rsidP="00163AA0">
                        <w:pPr>
                          <w:ind w:left="2"/>
                          <w:jc w:val="both"/>
                          <w:rPr>
                            <w:rFonts w:ascii="Arial" w:eastAsia="Arial" w:hAnsi="Arial" w:cs="Arial"/>
                            <w:b/>
                            <w:bCs/>
                            <w:sz w:val="52"/>
                            <w:szCs w:val="52"/>
                          </w:rPr>
                        </w:pPr>
                      </w:p>
                      <w:p w14:paraId="601BD1E0" w14:textId="77777777" w:rsidR="00FD0871" w:rsidRDefault="00FD0871" w:rsidP="00163AA0">
                        <w:pPr>
                          <w:ind w:left="2"/>
                          <w:jc w:val="both"/>
                          <w:rPr>
                            <w:rFonts w:ascii="Arial" w:eastAsia="Arial" w:hAnsi="Arial" w:cs="Arial"/>
                            <w:b/>
                            <w:bCs/>
                            <w:sz w:val="52"/>
                            <w:szCs w:val="52"/>
                          </w:rPr>
                        </w:pPr>
                      </w:p>
                      <w:p w14:paraId="050BB2BF" w14:textId="77777777" w:rsidR="00BC735B" w:rsidRDefault="00BC735B" w:rsidP="00163AA0">
                        <w:pPr>
                          <w:ind w:left="2"/>
                          <w:jc w:val="both"/>
                          <w:rPr>
                            <w:rFonts w:ascii="Arial" w:eastAsia="Arial" w:hAnsi="Arial" w:cs="Arial"/>
                            <w:b/>
                            <w:bCs/>
                            <w:sz w:val="52"/>
                            <w:szCs w:val="52"/>
                          </w:rPr>
                        </w:pPr>
                      </w:p>
                      <w:p w14:paraId="109181D3" w14:textId="77777777" w:rsidR="00BC735B" w:rsidRPr="00FA3D31" w:rsidRDefault="00BC735B" w:rsidP="00163AA0">
                        <w:pPr>
                          <w:ind w:left="2"/>
                          <w:jc w:val="both"/>
                          <w:rPr>
                            <w:sz w:val="52"/>
                            <w:szCs w:val="52"/>
                          </w:rPr>
                        </w:pPr>
                      </w:p>
                      <w:p w14:paraId="45C6BB30" w14:textId="364F161D" w:rsidR="00BA5E1A" w:rsidRPr="00BA5E1A" w:rsidRDefault="00BA5E1A">
                        <w:pPr>
                          <w:rPr>
                            <w:bCs/>
                            <w:caps/>
                            <w:color w:val="156082" w:themeColor="accent1"/>
                            <w:sz w:val="44"/>
                            <w:szCs w:val="44"/>
                          </w:rPr>
                        </w:pPr>
                      </w:p>
                    </w:txbxContent>
                  </v:textbox>
                </v:shape>
                <w10:wrap type="square" anchorx="margin" anchory="margin"/>
              </v:group>
            </w:pict>
          </mc:Fallback>
        </mc:AlternateContent>
      </w:r>
      <w:r w:rsidR="00BA5E1A" w:rsidRPr="00BA5E1A">
        <w:rPr>
          <w:rFonts w:ascii="Arial" w:eastAsia="Arial" w:hAnsi="Arial" w:cs="Arial"/>
          <w:b/>
          <w:bCs/>
          <w:noProof/>
          <w:sz w:val="22"/>
          <w:szCs w:val="22"/>
        </w:rPr>
        <mc:AlternateContent>
          <mc:Choice Requires="wps">
            <w:drawing>
              <wp:anchor distT="45720" distB="45720" distL="114300" distR="114300" simplePos="0" relativeHeight="251661312" behindDoc="0" locked="0" layoutInCell="1" allowOverlap="1" wp14:anchorId="48FE4C95" wp14:editId="4CA9183F">
                <wp:simplePos x="0" y="0"/>
                <wp:positionH relativeFrom="column">
                  <wp:posOffset>-609600</wp:posOffset>
                </wp:positionH>
                <wp:positionV relativeFrom="paragraph">
                  <wp:posOffset>0</wp:posOffset>
                </wp:positionV>
                <wp:extent cx="1920240" cy="868680"/>
                <wp:effectExtent l="0" t="0" r="22860" b="26670"/>
                <wp:wrapSquare wrapText="bothSides"/>
                <wp:docPr id="270740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240" cy="868680"/>
                        </a:xfrm>
                        <a:prstGeom prst="rect">
                          <a:avLst/>
                        </a:prstGeom>
                        <a:solidFill>
                          <a:srgbClr val="FFFFFF"/>
                        </a:solidFill>
                        <a:ln w="9525">
                          <a:solidFill>
                            <a:srgbClr val="000000"/>
                          </a:solidFill>
                          <a:miter lim="800000"/>
                          <a:headEnd/>
                          <a:tailEnd/>
                        </a:ln>
                      </wps:spPr>
                      <wps:txbx>
                        <w:txbxContent>
                          <w:p w14:paraId="5478DA38" w14:textId="5EEB2769" w:rsidR="00BA5E1A" w:rsidRDefault="00BA5E1A">
                            <w:r w:rsidRPr="00572068">
                              <w:rPr>
                                <w:rFonts w:ascii="Calibri Light" w:eastAsia="Calibri Light" w:hAnsi="Calibri Light" w:cs="Calibri Light"/>
                                <w:noProof/>
                                <w:lang w:bidi="en-GB"/>
                              </w:rPr>
                              <w:drawing>
                                <wp:inline distT="0" distB="0" distL="0" distR="0" wp14:anchorId="7E53E04D" wp14:editId="3275E78A">
                                  <wp:extent cx="1454150" cy="415981"/>
                                  <wp:effectExtent l="0" t="0" r="0" b="3175"/>
                                  <wp:docPr id="1214814987"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4150" cy="41598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FE4C95" id="Text Box 2" o:spid="_x0000_s1029" type="#_x0000_t202" style="position:absolute;margin-left:-48pt;margin-top:0;width:151.2pt;height:68.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">
                <v:textbox>
                  <w:txbxContent>
                    <w:p w14:paraId="5478DA38" w14:textId="5EEB2769" w:rsidR="00BA5E1A" w:rsidRDefault="00BA5E1A">
                      <w:r w:rsidRPr="00572068">
                        <w:rPr>
                          <w:rFonts w:ascii="Calibri Light" w:eastAsia="Calibri Light" w:hAnsi="Calibri Light" w:cs="Calibri Light"/>
                          <w:noProof/>
                          <w:lang w:bidi="en-GB"/>
                        </w:rPr>
                        <w:drawing>
                          <wp:inline distT="0" distB="0" distL="0" distR="0" wp14:anchorId="7E53E04D" wp14:editId="3275E78A">
                            <wp:extent cx="1454150" cy="415981"/>
                            <wp:effectExtent l="0" t="0" r="0" b="3175"/>
                            <wp:docPr id="1214814987"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4150" cy="415981"/>
                                    </a:xfrm>
                                    <a:prstGeom prst="rect">
                                      <a:avLst/>
                                    </a:prstGeom>
                                  </pic:spPr>
                                </pic:pic>
                              </a:graphicData>
                            </a:graphic>
                          </wp:inline>
                        </w:drawing>
                      </w:r>
                    </w:p>
                  </w:txbxContent>
                </v:textbox>
                <w10:wrap type="square"/>
              </v:shape>
            </w:pict>
          </mc:Fallback>
        </mc:AlternateContent>
      </w:r>
      <w:r w:rsidR="00386FEF" w:rsidRPr="00386FEF">
        <w:rPr>
          <w:rFonts w:ascii="Arial" w:hAnsi="Arial" w:cs="Arial"/>
          <w:b/>
          <w:sz w:val="22"/>
          <w:szCs w:val="22"/>
        </w:rPr>
        <w:t xml:space="preserve"> </w:t>
      </w:r>
    </w:p>
    <w:p w14:paraId="1F14BCEB" w14:textId="4C5A0916" w:rsidR="00386FEF" w:rsidRDefault="00386FEF">
      <w:pPr>
        <w:rPr>
          <w:rFonts w:ascii="Arial" w:eastAsia="Arial" w:hAnsi="Arial" w:cs="Arial"/>
          <w:b/>
          <w:bCs/>
          <w:sz w:val="22"/>
          <w:szCs w:val="22"/>
        </w:rPr>
      </w:pPr>
    </w:p>
    <w:p w14:paraId="394C688A" w14:textId="1A179CD6" w:rsidR="007B60D8" w:rsidRDefault="007B60D8"/>
    <w:p w14:paraId="6642CF66" w14:textId="3191F5FB" w:rsidR="00616255" w:rsidRPr="00806A21" w:rsidRDefault="00FD0871" w:rsidP="00806A21">
      <w:pPr>
        <w:rPr>
          <w:rFonts w:asciiTheme="minorHAnsi" w:hAnsiTheme="minorHAnsi" w:cstheme="minorBidi"/>
        </w:rPr>
      </w:pPr>
      <w:r w:rsidRPr="00FD0871">
        <w:rPr>
          <w:rFonts w:ascii="Arial" w:hAnsi="Arial" w:cs="Arial"/>
          <w:b/>
          <w:noProof/>
          <w:sz w:val="22"/>
          <w:szCs w:val="22"/>
        </w:rPr>
        <mc:AlternateContent>
          <mc:Choice Requires="wps">
            <w:drawing>
              <wp:anchor distT="45720" distB="45720" distL="114300" distR="114300" simplePos="0" relativeHeight="251665408" behindDoc="0" locked="0" layoutInCell="1" allowOverlap="1" wp14:anchorId="4AAA1ACE" wp14:editId="5B05BF96">
                <wp:simplePos x="0" y="0"/>
                <wp:positionH relativeFrom="column">
                  <wp:posOffset>662940</wp:posOffset>
                </wp:positionH>
                <wp:positionV relativeFrom="paragraph">
                  <wp:posOffset>1428115</wp:posOffset>
                </wp:positionV>
                <wp:extent cx="4648200" cy="176784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1767840"/>
                        </a:xfrm>
                        <a:prstGeom prst="rect">
                          <a:avLst/>
                        </a:prstGeom>
                        <a:solidFill>
                          <a:srgbClr val="FFFFFF"/>
                        </a:solidFill>
                        <a:ln w="9525">
                          <a:solidFill>
                            <a:srgbClr val="000000"/>
                          </a:solidFill>
                          <a:miter lim="800000"/>
                          <a:headEnd/>
                          <a:tailEnd/>
                        </a:ln>
                      </wps:spPr>
                      <wps:txbx>
                        <w:txbxContent>
                          <w:p w14:paraId="103A9193" w14:textId="690485AE" w:rsidR="00FD0871" w:rsidRPr="008550FC" w:rsidRDefault="00FD0871">
                            <w:pPr>
                              <w:rPr>
                                <w:rFonts w:ascii="Arial" w:hAnsi="Arial" w:cs="Arial"/>
                                <w:bCs/>
                                <w:sz w:val="44"/>
                                <w:szCs w:val="44"/>
                              </w:rPr>
                            </w:pPr>
                            <w:r w:rsidRPr="008550FC">
                              <w:rPr>
                                <w:rFonts w:ascii="Arial" w:hAnsi="Arial" w:cs="Arial"/>
                                <w:b/>
                                <w:sz w:val="44"/>
                                <w:szCs w:val="44"/>
                              </w:rPr>
                              <w:t xml:space="preserve">Student ID: </w:t>
                            </w:r>
                            <w:r w:rsidRPr="008550FC">
                              <w:rPr>
                                <w:rFonts w:ascii="Arial" w:hAnsi="Arial" w:cs="Arial"/>
                                <w:bCs/>
                                <w:sz w:val="44"/>
                                <w:szCs w:val="44"/>
                              </w:rPr>
                              <w:t>2243145</w:t>
                            </w:r>
                          </w:p>
                          <w:p w14:paraId="48F83E09" w14:textId="14A7AAB7" w:rsidR="00FD0871" w:rsidRPr="008550FC" w:rsidRDefault="00FD0871">
                            <w:pPr>
                              <w:rPr>
                                <w:rFonts w:ascii="Arial" w:hAnsi="Arial" w:cs="Arial"/>
                                <w:b/>
                                <w:sz w:val="44"/>
                                <w:szCs w:val="44"/>
                              </w:rPr>
                            </w:pPr>
                            <w:r w:rsidRPr="008550FC">
                              <w:rPr>
                                <w:rFonts w:ascii="Arial" w:hAnsi="Arial" w:cs="Arial"/>
                                <w:b/>
                                <w:sz w:val="44"/>
                                <w:szCs w:val="44"/>
                              </w:rPr>
                              <w:t xml:space="preserve">Student name: </w:t>
                            </w:r>
                            <w:r w:rsidRPr="008550FC">
                              <w:rPr>
                                <w:rFonts w:ascii="Arial" w:hAnsi="Arial" w:cs="Arial"/>
                                <w:bCs/>
                                <w:sz w:val="44"/>
                                <w:szCs w:val="44"/>
                              </w:rPr>
                              <w:t>Sharon McDermott</w:t>
                            </w:r>
                          </w:p>
                          <w:p w14:paraId="43E70147" w14:textId="77777777" w:rsidR="00FD0871" w:rsidRDefault="00FD0871">
                            <w:pPr>
                              <w:rPr>
                                <w:rFonts w:ascii="Arial" w:hAnsi="Arial" w:cs="Arial"/>
                                <w:b/>
                                <w:sz w:val="22"/>
                                <w:szCs w:val="22"/>
                              </w:rPr>
                            </w:pPr>
                          </w:p>
                          <w:p w14:paraId="646AC718" w14:textId="0741A331" w:rsidR="00FD0871" w:rsidRPr="00FD0871" w:rsidRDefault="00FD0871" w:rsidP="00FD0871">
                            <w:pPr>
                              <w:rPr>
                                <w:rFonts w:ascii="Arial" w:hAnsi="Arial" w:cs="Arial"/>
                                <w:bCs/>
                                <w:sz w:val="44"/>
                                <w:szCs w:val="44"/>
                              </w:rPr>
                            </w:pPr>
                            <w:r w:rsidRPr="008550FC">
                              <w:rPr>
                                <w:rFonts w:ascii="Arial" w:hAnsi="Arial" w:cs="Arial"/>
                                <w:b/>
                                <w:sz w:val="44"/>
                                <w:szCs w:val="44"/>
                              </w:rPr>
                              <w:t>Lecturer</w:t>
                            </w:r>
                            <w:r w:rsidRPr="00A406E5">
                              <w:rPr>
                                <w:rFonts w:ascii="Arial" w:hAnsi="Arial" w:cs="Arial"/>
                                <w:b/>
                                <w:sz w:val="22"/>
                                <w:szCs w:val="22"/>
                              </w:rPr>
                              <w:t>:</w:t>
                            </w:r>
                            <w:r w:rsidRPr="00FD0871">
                              <w:rPr>
                                <w:rFonts w:eastAsiaTheme="minorEastAsia" w:hAnsi="Century Gothic"/>
                                <w:color w:val="FFFFFF" w:themeColor="background1"/>
                                <w:kern w:val="24"/>
                                <w:sz w:val="48"/>
                                <w:szCs w:val="48"/>
                                <w:lang w:val="en-US"/>
                              </w:rPr>
                              <w:t xml:space="preserve"> </w:t>
                            </w:r>
                            <w:r w:rsidRPr="00FD0871">
                              <w:rPr>
                                <w:rFonts w:ascii="Arial" w:hAnsi="Arial" w:cs="Arial"/>
                                <w:bCs/>
                                <w:sz w:val="44"/>
                                <w:szCs w:val="44"/>
                                <w:lang w:val="en-US"/>
                              </w:rPr>
                              <w:t>Muhammad Aliyu</w:t>
                            </w:r>
                          </w:p>
                          <w:p w14:paraId="0C46B448" w14:textId="6F64C0B4" w:rsidR="00FD0871" w:rsidRDefault="00FD087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AA1ACE" id="_x0000_s1030" type="#_x0000_t202" style="position:absolute;margin-left:52.2pt;margin-top:112.45pt;width:366pt;height:139.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">
                <v:textbox>
                  <w:txbxContent>
                    <w:p w14:paraId="103A9193" w14:textId="690485AE" w:rsidR="00FD0871" w:rsidRPr="008550FC" w:rsidRDefault="00FD0871">
                      <w:pPr>
                        <w:rPr>
                          <w:rFonts w:ascii="Arial" w:hAnsi="Arial" w:cs="Arial"/>
                          <w:bCs/>
                          <w:sz w:val="44"/>
                          <w:szCs w:val="44"/>
                        </w:rPr>
                      </w:pPr>
                      <w:r w:rsidRPr="008550FC">
                        <w:rPr>
                          <w:rFonts w:ascii="Arial" w:hAnsi="Arial" w:cs="Arial"/>
                          <w:b/>
                          <w:sz w:val="44"/>
                          <w:szCs w:val="44"/>
                        </w:rPr>
                        <w:t xml:space="preserve">Student ID: </w:t>
                      </w:r>
                      <w:r w:rsidRPr="008550FC">
                        <w:rPr>
                          <w:rFonts w:ascii="Arial" w:hAnsi="Arial" w:cs="Arial"/>
                          <w:bCs/>
                          <w:sz w:val="44"/>
                          <w:szCs w:val="44"/>
                        </w:rPr>
                        <w:t>2243145</w:t>
                      </w:r>
                    </w:p>
                    <w:p w14:paraId="48F83E09" w14:textId="14A7AAB7" w:rsidR="00FD0871" w:rsidRPr="008550FC" w:rsidRDefault="00FD0871">
                      <w:pPr>
                        <w:rPr>
                          <w:rFonts w:ascii="Arial" w:hAnsi="Arial" w:cs="Arial"/>
                          <w:b/>
                          <w:sz w:val="44"/>
                          <w:szCs w:val="44"/>
                        </w:rPr>
                      </w:pPr>
                      <w:r w:rsidRPr="008550FC">
                        <w:rPr>
                          <w:rFonts w:ascii="Arial" w:hAnsi="Arial" w:cs="Arial"/>
                          <w:b/>
                          <w:sz w:val="44"/>
                          <w:szCs w:val="44"/>
                        </w:rPr>
                        <w:t xml:space="preserve">Student name: </w:t>
                      </w:r>
                      <w:r w:rsidRPr="008550FC">
                        <w:rPr>
                          <w:rFonts w:ascii="Arial" w:hAnsi="Arial" w:cs="Arial"/>
                          <w:bCs/>
                          <w:sz w:val="44"/>
                          <w:szCs w:val="44"/>
                        </w:rPr>
                        <w:t>Sharon McDermott</w:t>
                      </w:r>
                    </w:p>
                    <w:p w14:paraId="43E70147" w14:textId="77777777" w:rsidR="00FD0871" w:rsidRDefault="00FD0871">
                      <w:pPr>
                        <w:rPr>
                          <w:rFonts w:ascii="Arial" w:hAnsi="Arial" w:cs="Arial"/>
                          <w:b/>
                          <w:sz w:val="22"/>
                          <w:szCs w:val="22"/>
                        </w:rPr>
                      </w:pPr>
                    </w:p>
                    <w:p w14:paraId="646AC718" w14:textId="0741A331" w:rsidR="00FD0871" w:rsidRPr="00FD0871" w:rsidRDefault="00FD0871" w:rsidP="00FD0871">
                      <w:pPr>
                        <w:rPr>
                          <w:rFonts w:ascii="Arial" w:hAnsi="Arial" w:cs="Arial"/>
                          <w:bCs/>
                          <w:sz w:val="44"/>
                          <w:szCs w:val="44"/>
                        </w:rPr>
                      </w:pPr>
                      <w:r w:rsidRPr="008550FC">
                        <w:rPr>
                          <w:rFonts w:ascii="Arial" w:hAnsi="Arial" w:cs="Arial"/>
                          <w:b/>
                          <w:sz w:val="44"/>
                          <w:szCs w:val="44"/>
                        </w:rPr>
                        <w:t>Lecturer</w:t>
                      </w:r>
                      <w:r w:rsidRPr="00A406E5">
                        <w:rPr>
                          <w:rFonts w:ascii="Arial" w:hAnsi="Arial" w:cs="Arial"/>
                          <w:b/>
                          <w:sz w:val="22"/>
                          <w:szCs w:val="22"/>
                        </w:rPr>
                        <w:t>:</w:t>
                      </w:r>
                      <w:r w:rsidRPr="00FD0871">
                        <w:rPr>
                          <w:rFonts w:eastAsiaTheme="minorEastAsia" w:hAnsi="Century Gothic"/>
                          <w:color w:val="FFFFFF" w:themeColor="background1"/>
                          <w:kern w:val="24"/>
                          <w:sz w:val="48"/>
                          <w:szCs w:val="48"/>
                          <w:lang w:val="en-US"/>
                        </w:rPr>
                        <w:t xml:space="preserve"> </w:t>
                      </w:r>
                      <w:r w:rsidRPr="00FD0871">
                        <w:rPr>
                          <w:rFonts w:ascii="Arial" w:hAnsi="Arial" w:cs="Arial"/>
                          <w:bCs/>
                          <w:sz w:val="44"/>
                          <w:szCs w:val="44"/>
                          <w:lang w:val="en-US"/>
                        </w:rPr>
                        <w:t>Muhammad Aliyu</w:t>
                      </w:r>
                    </w:p>
                    <w:p w14:paraId="0C46B448" w14:textId="6F64C0B4" w:rsidR="00FD0871" w:rsidRDefault="00FD0871"/>
                  </w:txbxContent>
                </v:textbox>
                <w10:wrap type="square"/>
              </v:shape>
            </w:pict>
          </mc:Fallback>
        </mc:AlternateContent>
      </w:r>
      <w:r w:rsidR="007B60D8">
        <w:br w:type="page"/>
      </w:r>
    </w:p>
    <w:p w14:paraId="450DCFB8" w14:textId="382B90D7" w:rsidR="00806A21" w:rsidRPr="001B4F47" w:rsidRDefault="00806A21" w:rsidP="001B4F47">
      <w:pPr>
        <w:pStyle w:val="TOCHeading"/>
      </w:pPr>
    </w:p>
    <w:sdt>
      <w:sdtPr>
        <w:rPr>
          <w:rFonts w:ascii="Times New Roman" w:eastAsia="Times New Roman" w:hAnsi="Times New Roman" w:cs="Times New Roman"/>
          <w:b w:val="0"/>
          <w:bCs w:val="0"/>
          <w:color w:val="auto"/>
          <w:sz w:val="24"/>
          <w:szCs w:val="24"/>
          <w:lang w:val="en-GB" w:eastAsia="en-GB"/>
        </w:rPr>
        <w:id w:val="780843520"/>
        <w:docPartObj>
          <w:docPartGallery w:val="Table of Contents"/>
          <w:docPartUnique/>
        </w:docPartObj>
      </w:sdtPr>
      <w:sdtEndPr>
        <w:rPr>
          <w:noProof/>
        </w:rPr>
      </w:sdtEndPr>
      <w:sdtContent>
        <w:p w14:paraId="0FABC92F" w14:textId="444146C9" w:rsidR="001B4F47" w:rsidRPr="004E6EB8" w:rsidRDefault="001B4F47">
          <w:pPr>
            <w:pStyle w:val="TOCHeading"/>
            <w:rPr>
              <w:rFonts w:ascii="Arial" w:hAnsi="Arial" w:cs="Arial"/>
              <w:color w:val="auto"/>
            </w:rPr>
          </w:pPr>
          <w:r w:rsidRPr="004E6EB8">
            <w:rPr>
              <w:rFonts w:ascii="Arial" w:hAnsi="Arial" w:cs="Arial"/>
              <w:color w:val="auto"/>
            </w:rPr>
            <w:t>Table of Contents</w:t>
          </w:r>
        </w:p>
        <w:p w14:paraId="7A9DC548" w14:textId="23F2DE43"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r w:rsidRPr="004E6EB8">
            <w:rPr>
              <w:rFonts w:ascii="Arial" w:hAnsi="Arial" w:cs="Arial"/>
              <w:b w:val="0"/>
              <w:bCs w:val="0"/>
              <w:sz w:val="22"/>
              <w:szCs w:val="22"/>
            </w:rPr>
            <w:fldChar w:fldCharType="begin"/>
          </w:r>
          <w:r w:rsidRPr="004E6EB8">
            <w:rPr>
              <w:rFonts w:ascii="Arial" w:hAnsi="Arial" w:cs="Arial"/>
              <w:b w:val="0"/>
              <w:bCs w:val="0"/>
              <w:sz w:val="22"/>
              <w:szCs w:val="22"/>
            </w:rPr>
            <w:instrText xml:space="preserve"> TOC \o "1-3" \h \z \u </w:instrText>
          </w:r>
          <w:r w:rsidRPr="004E6EB8">
            <w:rPr>
              <w:rFonts w:ascii="Arial" w:hAnsi="Arial" w:cs="Arial"/>
              <w:b w:val="0"/>
              <w:bCs w:val="0"/>
              <w:sz w:val="22"/>
              <w:szCs w:val="22"/>
            </w:rPr>
            <w:fldChar w:fldCharType="separate"/>
          </w:r>
          <w:hyperlink w:anchor="_Toc237951544" w:history="1">
            <w:r w:rsidRPr="004E6EB8">
              <w:rPr>
                <w:rStyle w:val="Hyperlink"/>
                <w:rFonts w:ascii="Arial" w:hAnsi="Arial" w:cs="Arial"/>
                <w:b w:val="0"/>
                <w:bCs w:val="0"/>
                <w:noProof/>
                <w:sz w:val="22"/>
                <w:szCs w:val="22"/>
              </w:rPr>
              <w:t>Task 1: Black Women's Inequality in Pregnancy and Postpartum Care in the UK</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_Toc237951544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3</w:t>
            </w:r>
            <w:r w:rsidRPr="004E6EB8">
              <w:rPr>
                <w:rFonts w:ascii="Arial" w:hAnsi="Arial" w:cs="Arial"/>
                <w:b w:val="0"/>
                <w:bCs w:val="0"/>
                <w:noProof/>
                <w:webHidden/>
                <w:sz w:val="22"/>
                <w:szCs w:val="22"/>
              </w:rPr>
              <w:fldChar w:fldCharType="end"/>
            </w:r>
          </w:hyperlink>
        </w:p>
        <w:p w14:paraId="11A64F39" w14:textId="54699810"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45" w:history="1">
            <w:r w:rsidRPr="004E6EB8">
              <w:rPr>
                <w:rStyle w:val="Hyperlink"/>
                <w:rFonts w:ascii="Arial" w:hAnsi="Arial" w:cs="Arial"/>
                <w:b w:val="0"/>
                <w:bCs w:val="0"/>
                <w:noProof/>
                <w:sz w:val="22"/>
                <w:szCs w:val="22"/>
              </w:rPr>
              <w:t>Introduction</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_Toc237951545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3</w:t>
            </w:r>
            <w:r w:rsidRPr="004E6EB8">
              <w:rPr>
                <w:rFonts w:ascii="Arial" w:hAnsi="Arial" w:cs="Arial"/>
                <w:b w:val="0"/>
                <w:bCs w:val="0"/>
                <w:noProof/>
                <w:webHidden/>
                <w:sz w:val="22"/>
                <w:szCs w:val="22"/>
              </w:rPr>
              <w:fldChar w:fldCharType="end"/>
            </w:r>
          </w:hyperlink>
        </w:p>
        <w:p w14:paraId="3439FF1F" w14:textId="64512BB0"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46" w:history="1">
            <w:r w:rsidRPr="004E6EB8">
              <w:rPr>
                <w:rStyle w:val="Hyperlink"/>
                <w:rFonts w:ascii="Arial" w:hAnsi="Arial" w:cs="Arial"/>
                <w:b w:val="0"/>
                <w:bCs w:val="0"/>
                <w:noProof/>
                <w:sz w:val="22"/>
                <w:szCs w:val="22"/>
              </w:rPr>
              <w:t>Contextual Background and Underlying Factors</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_Toc237951546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3</w:t>
            </w:r>
            <w:r w:rsidRPr="004E6EB8">
              <w:rPr>
                <w:rFonts w:ascii="Arial" w:hAnsi="Arial" w:cs="Arial"/>
                <w:b w:val="0"/>
                <w:bCs w:val="0"/>
                <w:noProof/>
                <w:webHidden/>
                <w:sz w:val="22"/>
                <w:szCs w:val="22"/>
              </w:rPr>
              <w:fldChar w:fldCharType="end"/>
            </w:r>
          </w:hyperlink>
        </w:p>
        <w:p w14:paraId="2FFD11B1" w14:textId="7B07AF85"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47" w:history="1">
            <w:r w:rsidRPr="004E6EB8">
              <w:rPr>
                <w:rStyle w:val="Hyperlink"/>
                <w:rFonts w:ascii="Arial" w:hAnsi="Arial" w:cs="Arial"/>
                <w:b w:val="0"/>
                <w:bCs w:val="0"/>
                <w:noProof/>
              </w:rPr>
              <w:t>1. Higher maternal mortality rates</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_Toc237951547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3</w:t>
            </w:r>
            <w:r w:rsidRPr="004E6EB8">
              <w:rPr>
                <w:rFonts w:ascii="Arial" w:hAnsi="Arial" w:cs="Arial"/>
                <w:b w:val="0"/>
                <w:bCs w:val="0"/>
                <w:noProof/>
                <w:webHidden/>
              </w:rPr>
              <w:fldChar w:fldCharType="end"/>
            </w:r>
          </w:hyperlink>
        </w:p>
        <w:p w14:paraId="1A9C8D71" w14:textId="063EEB28"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48" w:history="1">
            <w:r w:rsidRPr="004E6EB8">
              <w:rPr>
                <w:rStyle w:val="Hyperlink"/>
                <w:rFonts w:ascii="Arial" w:hAnsi="Arial" w:cs="Arial"/>
                <w:b w:val="0"/>
                <w:bCs w:val="0"/>
                <w:noProof/>
              </w:rPr>
              <w:t>2. Higher rates of pre-eclampsia and hypertensive disorders</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_Toc237951548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4</w:t>
            </w:r>
            <w:r w:rsidRPr="004E6EB8">
              <w:rPr>
                <w:rFonts w:ascii="Arial" w:hAnsi="Arial" w:cs="Arial"/>
                <w:b w:val="0"/>
                <w:bCs w:val="0"/>
                <w:noProof/>
                <w:webHidden/>
              </w:rPr>
              <w:fldChar w:fldCharType="end"/>
            </w:r>
          </w:hyperlink>
        </w:p>
        <w:p w14:paraId="02EAEF3D" w14:textId="31D507C8"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49" w:history="1">
            <w:r w:rsidRPr="004E6EB8">
              <w:rPr>
                <w:rStyle w:val="Hyperlink"/>
                <w:rFonts w:ascii="Arial" w:hAnsi="Arial" w:cs="Arial"/>
                <w:b w:val="0"/>
                <w:bCs w:val="0"/>
                <w:noProof/>
              </w:rPr>
              <w:t>3. Higher rates of postpartum mental illness</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_Toc237951549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4</w:t>
            </w:r>
            <w:r w:rsidRPr="004E6EB8">
              <w:rPr>
                <w:rFonts w:ascii="Arial" w:hAnsi="Arial" w:cs="Arial"/>
                <w:b w:val="0"/>
                <w:bCs w:val="0"/>
                <w:noProof/>
                <w:webHidden/>
              </w:rPr>
              <w:fldChar w:fldCharType="end"/>
            </w:r>
          </w:hyperlink>
        </w:p>
        <w:p w14:paraId="09E899B5" w14:textId="06E54B31"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50" w:history="1">
            <w:r w:rsidRPr="004E6EB8">
              <w:rPr>
                <w:rStyle w:val="Hyperlink"/>
                <w:rFonts w:ascii="Arial" w:hAnsi="Arial" w:cs="Arial"/>
                <w:b w:val="0"/>
                <w:bCs w:val="0"/>
                <w:noProof/>
              </w:rPr>
              <w:t>4. Socioeconomic deprivation and chronic stress</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_Toc237951550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4</w:t>
            </w:r>
            <w:r w:rsidRPr="004E6EB8">
              <w:rPr>
                <w:rFonts w:ascii="Arial" w:hAnsi="Arial" w:cs="Arial"/>
                <w:b w:val="0"/>
                <w:bCs w:val="0"/>
                <w:noProof/>
                <w:webHidden/>
              </w:rPr>
              <w:fldChar w:fldCharType="end"/>
            </w:r>
          </w:hyperlink>
        </w:p>
        <w:p w14:paraId="3B5D5E1E" w14:textId="1F06AB6D"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51" w:history="1">
            <w:r w:rsidRPr="004E6EB8">
              <w:rPr>
                <w:rStyle w:val="Hyperlink"/>
                <w:rFonts w:ascii="Arial" w:hAnsi="Arial" w:cs="Arial"/>
                <w:b w:val="0"/>
                <w:bCs w:val="0"/>
                <w:noProof/>
              </w:rPr>
              <w:t>5. Racism and discrimination in maternity care</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_Toc237951551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5</w:t>
            </w:r>
            <w:r w:rsidRPr="004E6EB8">
              <w:rPr>
                <w:rFonts w:ascii="Arial" w:hAnsi="Arial" w:cs="Arial"/>
                <w:b w:val="0"/>
                <w:bCs w:val="0"/>
                <w:noProof/>
                <w:webHidden/>
              </w:rPr>
              <w:fldChar w:fldCharType="end"/>
            </w:r>
          </w:hyperlink>
        </w:p>
        <w:p w14:paraId="07F07990" w14:textId="0A832ED2"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52" w:history="1">
            <w:r w:rsidRPr="004E6EB8">
              <w:rPr>
                <w:rStyle w:val="Hyperlink"/>
                <w:rFonts w:ascii="Arial" w:hAnsi="Arial" w:cs="Arial"/>
                <w:b w:val="0"/>
                <w:bCs w:val="0"/>
                <w:noProof/>
              </w:rPr>
              <w:t>6. Barriers to trust and postpartum support</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_Toc237951552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5</w:t>
            </w:r>
            <w:r w:rsidRPr="004E6EB8">
              <w:rPr>
                <w:rFonts w:ascii="Arial" w:hAnsi="Arial" w:cs="Arial"/>
                <w:b w:val="0"/>
                <w:bCs w:val="0"/>
                <w:noProof/>
                <w:webHidden/>
              </w:rPr>
              <w:fldChar w:fldCharType="end"/>
            </w:r>
          </w:hyperlink>
        </w:p>
        <w:p w14:paraId="2F74373F" w14:textId="69B28AC9"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53" w:history="1">
            <w:r w:rsidRPr="004E6EB8">
              <w:rPr>
                <w:rStyle w:val="Hyperlink"/>
                <w:rFonts w:ascii="Arial" w:hAnsi="Arial" w:cs="Arial"/>
                <w:b w:val="0"/>
                <w:bCs w:val="0"/>
                <w:noProof/>
                <w:sz w:val="22"/>
                <w:szCs w:val="22"/>
              </w:rPr>
              <w:t>National Response to Reduce Health Inequalities</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_Toc237951553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5</w:t>
            </w:r>
            <w:r w:rsidRPr="004E6EB8">
              <w:rPr>
                <w:rFonts w:ascii="Arial" w:hAnsi="Arial" w:cs="Arial"/>
                <w:b w:val="0"/>
                <w:bCs w:val="0"/>
                <w:noProof/>
                <w:webHidden/>
                <w:sz w:val="22"/>
                <w:szCs w:val="22"/>
              </w:rPr>
              <w:fldChar w:fldCharType="end"/>
            </w:r>
          </w:hyperlink>
        </w:p>
        <w:p w14:paraId="18782CA1" w14:textId="3390D7A1"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54" w:history="1">
            <w:r w:rsidRPr="004E6EB8">
              <w:rPr>
                <w:rStyle w:val="Hyperlink"/>
                <w:rFonts w:ascii="Arial" w:hAnsi="Arial" w:cs="Arial"/>
                <w:b w:val="0"/>
                <w:bCs w:val="0"/>
                <w:noProof/>
                <w:sz w:val="22"/>
                <w:szCs w:val="22"/>
              </w:rPr>
              <w:t>Organisation That Supports the Chosen Group</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_Toc237951554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6</w:t>
            </w:r>
            <w:r w:rsidRPr="004E6EB8">
              <w:rPr>
                <w:rFonts w:ascii="Arial" w:hAnsi="Arial" w:cs="Arial"/>
                <w:b w:val="0"/>
                <w:bCs w:val="0"/>
                <w:noProof/>
                <w:webHidden/>
                <w:sz w:val="22"/>
                <w:szCs w:val="22"/>
              </w:rPr>
              <w:fldChar w:fldCharType="end"/>
            </w:r>
          </w:hyperlink>
        </w:p>
        <w:p w14:paraId="5554CD91" w14:textId="14BBB108"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55" w:history="1">
            <w:r w:rsidRPr="004E6EB8">
              <w:rPr>
                <w:rStyle w:val="Hyperlink"/>
                <w:rFonts w:ascii="Arial" w:hAnsi="Arial" w:cs="Arial"/>
                <w:b w:val="0"/>
                <w:bCs w:val="0"/>
                <w:noProof/>
                <w:sz w:val="22"/>
                <w:szCs w:val="22"/>
              </w:rPr>
              <w:t>Conclusion</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_Toc237951555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6</w:t>
            </w:r>
            <w:r w:rsidRPr="004E6EB8">
              <w:rPr>
                <w:rFonts w:ascii="Arial" w:hAnsi="Arial" w:cs="Arial"/>
                <w:b w:val="0"/>
                <w:bCs w:val="0"/>
                <w:noProof/>
                <w:webHidden/>
                <w:sz w:val="22"/>
                <w:szCs w:val="22"/>
              </w:rPr>
              <w:fldChar w:fldCharType="end"/>
            </w:r>
          </w:hyperlink>
        </w:p>
        <w:p w14:paraId="315F0C8B" w14:textId="5F672783"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56" w:history="1">
            <w:r w:rsidRPr="004E6EB8">
              <w:rPr>
                <w:rStyle w:val="Hyperlink"/>
                <w:rFonts w:ascii="Arial" w:hAnsi="Arial" w:cs="Arial"/>
                <w:b w:val="0"/>
                <w:bCs w:val="0"/>
                <w:noProof/>
                <w:sz w:val="22"/>
                <w:szCs w:val="22"/>
              </w:rPr>
              <w:t>Task 2: Regional Epidemiologist Report: Hypertension Among Black African and Caribbean Women in the London Borough of Lambeth</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_Toc237951556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7</w:t>
            </w:r>
            <w:r w:rsidRPr="004E6EB8">
              <w:rPr>
                <w:rFonts w:ascii="Arial" w:hAnsi="Arial" w:cs="Arial"/>
                <w:b w:val="0"/>
                <w:bCs w:val="0"/>
                <w:noProof/>
                <w:webHidden/>
                <w:sz w:val="22"/>
                <w:szCs w:val="22"/>
              </w:rPr>
              <w:fldChar w:fldCharType="end"/>
            </w:r>
          </w:hyperlink>
        </w:p>
        <w:p w14:paraId="2670F44F" w14:textId="2A1715A2"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57" w:history="1">
            <w:r w:rsidRPr="004E6EB8">
              <w:rPr>
                <w:rStyle w:val="Hyperlink"/>
                <w:rFonts w:ascii="Arial" w:hAnsi="Arial" w:cs="Arial"/>
                <w:b w:val="0"/>
                <w:bCs w:val="0"/>
                <w:noProof/>
                <w:sz w:val="22"/>
                <w:szCs w:val="22"/>
              </w:rPr>
              <w:t>Introduction</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_Toc237951557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7</w:t>
            </w:r>
            <w:r w:rsidRPr="004E6EB8">
              <w:rPr>
                <w:rFonts w:ascii="Arial" w:hAnsi="Arial" w:cs="Arial"/>
                <w:b w:val="0"/>
                <w:bCs w:val="0"/>
                <w:noProof/>
                <w:webHidden/>
                <w:sz w:val="22"/>
                <w:szCs w:val="22"/>
              </w:rPr>
              <w:fldChar w:fldCharType="end"/>
            </w:r>
          </w:hyperlink>
        </w:p>
        <w:p w14:paraId="56593CEF" w14:textId="60C870C0"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58" w:history="1">
            <w:r w:rsidRPr="004E6EB8">
              <w:rPr>
                <w:rStyle w:val="Hyperlink"/>
                <w:rFonts w:ascii="Arial" w:hAnsi="Arial" w:cs="Arial"/>
                <w:b w:val="0"/>
                <w:bCs w:val="0"/>
                <w:noProof/>
                <w:sz w:val="22"/>
                <w:szCs w:val="22"/>
              </w:rPr>
              <w:t>Public Health Measures: Prevention, Protection and Promotion</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_Toc237951558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7</w:t>
            </w:r>
            <w:r w:rsidRPr="004E6EB8">
              <w:rPr>
                <w:rFonts w:ascii="Arial" w:hAnsi="Arial" w:cs="Arial"/>
                <w:b w:val="0"/>
                <w:bCs w:val="0"/>
                <w:noProof/>
                <w:webHidden/>
                <w:sz w:val="22"/>
                <w:szCs w:val="22"/>
              </w:rPr>
              <w:fldChar w:fldCharType="end"/>
            </w:r>
          </w:hyperlink>
        </w:p>
        <w:p w14:paraId="38838C8B" w14:textId="065ADEF0"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59" w:history="1">
            <w:r w:rsidRPr="004E6EB8">
              <w:rPr>
                <w:rStyle w:val="Hyperlink"/>
                <w:rFonts w:ascii="Arial" w:hAnsi="Arial" w:cs="Arial"/>
                <w:b w:val="0"/>
                <w:bCs w:val="0"/>
                <w:noProof/>
                <w:sz w:val="22"/>
                <w:szCs w:val="22"/>
              </w:rPr>
              <w:t>Key Determinants and Risk Factors</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_Toc237951559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8</w:t>
            </w:r>
            <w:r w:rsidRPr="004E6EB8">
              <w:rPr>
                <w:rFonts w:ascii="Arial" w:hAnsi="Arial" w:cs="Arial"/>
                <w:b w:val="0"/>
                <w:bCs w:val="0"/>
                <w:noProof/>
                <w:webHidden/>
                <w:sz w:val="22"/>
                <w:szCs w:val="22"/>
              </w:rPr>
              <w:fldChar w:fldCharType="end"/>
            </w:r>
          </w:hyperlink>
        </w:p>
        <w:p w14:paraId="29B383AB" w14:textId="7CE0E6B7"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60" w:history="1">
            <w:r w:rsidRPr="004E6EB8">
              <w:rPr>
                <w:rStyle w:val="Hyperlink"/>
                <w:rFonts w:ascii="Arial" w:hAnsi="Arial" w:cs="Arial"/>
                <w:b w:val="0"/>
                <w:bCs w:val="0"/>
                <w:noProof/>
                <w:sz w:val="22"/>
                <w:szCs w:val="22"/>
              </w:rPr>
              <w:t>Epidemiological Studies and Health Needs Assessment</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_Toc237951560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8</w:t>
            </w:r>
            <w:r w:rsidRPr="004E6EB8">
              <w:rPr>
                <w:rFonts w:ascii="Arial" w:hAnsi="Arial" w:cs="Arial"/>
                <w:b w:val="0"/>
                <w:bCs w:val="0"/>
                <w:noProof/>
                <w:webHidden/>
                <w:sz w:val="22"/>
                <w:szCs w:val="22"/>
              </w:rPr>
              <w:fldChar w:fldCharType="end"/>
            </w:r>
          </w:hyperlink>
        </w:p>
        <w:p w14:paraId="66CF026C" w14:textId="366E921B"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61" w:history="1">
            <w:r w:rsidRPr="004E6EB8">
              <w:rPr>
                <w:rStyle w:val="Hyperlink"/>
                <w:rFonts w:ascii="Arial" w:hAnsi="Arial" w:cs="Arial"/>
                <w:b w:val="0"/>
                <w:bCs w:val="0"/>
                <w:noProof/>
                <w:sz w:val="22"/>
                <w:szCs w:val="22"/>
              </w:rPr>
              <w:t>Monitoring and Surveillance Approaches</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_Toc237951561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9</w:t>
            </w:r>
            <w:r w:rsidRPr="004E6EB8">
              <w:rPr>
                <w:rFonts w:ascii="Arial" w:hAnsi="Arial" w:cs="Arial"/>
                <w:b w:val="0"/>
                <w:bCs w:val="0"/>
                <w:noProof/>
                <w:webHidden/>
                <w:sz w:val="22"/>
                <w:szCs w:val="22"/>
              </w:rPr>
              <w:fldChar w:fldCharType="end"/>
            </w:r>
          </w:hyperlink>
        </w:p>
        <w:p w14:paraId="2E9CD821" w14:textId="1DF7214E"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62" w:history="1">
            <w:r w:rsidRPr="004E6EB8">
              <w:rPr>
                <w:rStyle w:val="Hyperlink"/>
                <w:rFonts w:ascii="Arial" w:hAnsi="Arial" w:cs="Arial"/>
                <w:b w:val="0"/>
                <w:bCs w:val="0"/>
                <w:noProof/>
                <w:sz w:val="22"/>
                <w:szCs w:val="22"/>
              </w:rPr>
              <w:t>Public Health Impact and Consequences</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_Toc237951562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9</w:t>
            </w:r>
            <w:r w:rsidRPr="004E6EB8">
              <w:rPr>
                <w:rFonts w:ascii="Arial" w:hAnsi="Arial" w:cs="Arial"/>
                <w:b w:val="0"/>
                <w:bCs w:val="0"/>
                <w:noProof/>
                <w:webHidden/>
                <w:sz w:val="22"/>
                <w:szCs w:val="22"/>
              </w:rPr>
              <w:fldChar w:fldCharType="end"/>
            </w:r>
          </w:hyperlink>
        </w:p>
        <w:p w14:paraId="521C3D3C" w14:textId="3EE81C9F"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63" w:history="1">
            <w:r w:rsidRPr="004E6EB8">
              <w:rPr>
                <w:rStyle w:val="Hyperlink"/>
                <w:rFonts w:ascii="Arial" w:hAnsi="Arial" w:cs="Arial"/>
                <w:b w:val="0"/>
                <w:bCs w:val="0"/>
                <w:noProof/>
                <w:sz w:val="22"/>
                <w:szCs w:val="22"/>
              </w:rPr>
              <w:t>Designing an Appropriate Health Intervention Programme</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_Toc237951563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10</w:t>
            </w:r>
            <w:r w:rsidRPr="004E6EB8">
              <w:rPr>
                <w:rFonts w:ascii="Arial" w:hAnsi="Arial" w:cs="Arial"/>
                <w:b w:val="0"/>
                <w:bCs w:val="0"/>
                <w:noProof/>
                <w:webHidden/>
                <w:sz w:val="22"/>
                <w:szCs w:val="22"/>
              </w:rPr>
              <w:fldChar w:fldCharType="end"/>
            </w:r>
          </w:hyperlink>
        </w:p>
        <w:p w14:paraId="2065F912" w14:textId="333191D8"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64" w:history="1">
            <w:r w:rsidRPr="004E6EB8">
              <w:rPr>
                <w:rStyle w:val="Hyperlink"/>
                <w:rFonts w:ascii="Arial" w:hAnsi="Arial" w:cs="Arial"/>
                <w:b w:val="0"/>
                <w:bCs w:val="0"/>
                <w:noProof/>
              </w:rPr>
              <w:t>Evaluating the Impact of the Intervention</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_Toc237951564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10</w:t>
            </w:r>
            <w:r w:rsidRPr="004E6EB8">
              <w:rPr>
                <w:rFonts w:ascii="Arial" w:hAnsi="Arial" w:cs="Arial"/>
                <w:b w:val="0"/>
                <w:bCs w:val="0"/>
                <w:noProof/>
                <w:webHidden/>
              </w:rPr>
              <w:fldChar w:fldCharType="end"/>
            </w:r>
          </w:hyperlink>
        </w:p>
        <w:p w14:paraId="0310EBF4" w14:textId="2F93BB2C" w:rsidR="001B4F47" w:rsidRPr="004E6EB8" w:rsidRDefault="001B4F47">
          <w:pPr>
            <w:pStyle w:val="TOC2"/>
            <w:tabs>
              <w:tab w:val="right" w:leader="dot" w:pos="9016"/>
            </w:tabs>
            <w:rPr>
              <w:rFonts w:ascii="Arial" w:eastAsiaTheme="minorEastAsia" w:hAnsi="Arial" w:cs="Arial"/>
              <w:b w:val="0"/>
              <w:bCs w:val="0"/>
              <w:noProof/>
              <w:kern w:val="2"/>
              <w14:ligatures w14:val="standardContextual"/>
            </w:rPr>
          </w:pPr>
          <w:hyperlink w:anchor="_Toc237951565" w:history="1">
            <w:r w:rsidRPr="004E6EB8">
              <w:rPr>
                <w:rStyle w:val="Hyperlink"/>
                <w:rFonts w:ascii="Arial" w:hAnsi="Arial" w:cs="Arial"/>
                <w:b w:val="0"/>
                <w:bCs w:val="0"/>
                <w:noProof/>
              </w:rPr>
              <w:t>Strengths and Weaknesses of the Epidemiological Approach</w:t>
            </w:r>
            <w:r w:rsidRPr="004E6EB8">
              <w:rPr>
                <w:rFonts w:ascii="Arial" w:hAnsi="Arial" w:cs="Arial"/>
                <w:b w:val="0"/>
                <w:bCs w:val="0"/>
                <w:noProof/>
                <w:webHidden/>
              </w:rPr>
              <w:tab/>
            </w:r>
            <w:r w:rsidRPr="004E6EB8">
              <w:rPr>
                <w:rFonts w:ascii="Arial" w:hAnsi="Arial" w:cs="Arial"/>
                <w:b w:val="0"/>
                <w:bCs w:val="0"/>
                <w:noProof/>
                <w:webHidden/>
              </w:rPr>
              <w:fldChar w:fldCharType="begin"/>
            </w:r>
            <w:r w:rsidRPr="004E6EB8">
              <w:rPr>
                <w:rFonts w:ascii="Arial" w:hAnsi="Arial" w:cs="Arial"/>
                <w:b w:val="0"/>
                <w:bCs w:val="0"/>
                <w:noProof/>
                <w:webHidden/>
              </w:rPr>
              <w:instrText xml:space="preserve"> PAGEREF _Toc237951565 \h </w:instrText>
            </w:r>
            <w:r w:rsidRPr="004E6EB8">
              <w:rPr>
                <w:rFonts w:ascii="Arial" w:hAnsi="Arial" w:cs="Arial"/>
                <w:b w:val="0"/>
                <w:bCs w:val="0"/>
                <w:noProof/>
                <w:webHidden/>
              </w:rPr>
            </w:r>
            <w:r w:rsidRPr="004E6EB8">
              <w:rPr>
                <w:rFonts w:ascii="Arial" w:hAnsi="Arial" w:cs="Arial"/>
                <w:b w:val="0"/>
                <w:bCs w:val="0"/>
                <w:noProof/>
                <w:webHidden/>
              </w:rPr>
              <w:fldChar w:fldCharType="separate"/>
            </w:r>
            <w:r w:rsidRPr="004E6EB8">
              <w:rPr>
                <w:rFonts w:ascii="Arial" w:hAnsi="Arial" w:cs="Arial"/>
                <w:b w:val="0"/>
                <w:bCs w:val="0"/>
                <w:noProof/>
                <w:webHidden/>
              </w:rPr>
              <w:t>11</w:t>
            </w:r>
            <w:r w:rsidRPr="004E6EB8">
              <w:rPr>
                <w:rFonts w:ascii="Arial" w:hAnsi="Arial" w:cs="Arial"/>
                <w:b w:val="0"/>
                <w:bCs w:val="0"/>
                <w:noProof/>
                <w:webHidden/>
              </w:rPr>
              <w:fldChar w:fldCharType="end"/>
            </w:r>
          </w:hyperlink>
        </w:p>
        <w:p w14:paraId="3B389CE6" w14:textId="567985D0"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66" w:history="1">
            <w:r w:rsidRPr="004E6EB8">
              <w:rPr>
                <w:rStyle w:val="Hyperlink"/>
                <w:rFonts w:ascii="Arial" w:hAnsi="Arial" w:cs="Arial"/>
                <w:b w:val="0"/>
                <w:bCs w:val="0"/>
                <w:noProof/>
                <w:sz w:val="22"/>
                <w:szCs w:val="22"/>
              </w:rPr>
              <w:t>Conclusion</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_Toc237951566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11</w:t>
            </w:r>
            <w:r w:rsidRPr="004E6EB8">
              <w:rPr>
                <w:rFonts w:ascii="Arial" w:hAnsi="Arial" w:cs="Arial"/>
                <w:b w:val="0"/>
                <w:bCs w:val="0"/>
                <w:noProof/>
                <w:webHidden/>
                <w:sz w:val="22"/>
                <w:szCs w:val="22"/>
              </w:rPr>
              <w:fldChar w:fldCharType="end"/>
            </w:r>
          </w:hyperlink>
        </w:p>
        <w:p w14:paraId="05E7F24F" w14:textId="320C871E" w:rsidR="001B4F47" w:rsidRPr="004E6EB8" w:rsidRDefault="001B4F47">
          <w:pPr>
            <w:pStyle w:val="TOC1"/>
            <w:tabs>
              <w:tab w:val="right" w:leader="dot" w:pos="9016"/>
            </w:tabs>
            <w:rPr>
              <w:rFonts w:ascii="Arial" w:eastAsiaTheme="minorEastAsia" w:hAnsi="Arial" w:cs="Arial"/>
              <w:b w:val="0"/>
              <w:bCs w:val="0"/>
              <w:i w:val="0"/>
              <w:iCs w:val="0"/>
              <w:noProof/>
              <w:kern w:val="2"/>
              <w:sz w:val="22"/>
              <w:szCs w:val="22"/>
              <w14:ligatures w14:val="standardContextual"/>
            </w:rPr>
          </w:pPr>
          <w:hyperlink w:anchor="_Toc237951567" w:history="1">
            <w:r w:rsidRPr="004E6EB8">
              <w:rPr>
                <w:rStyle w:val="Hyperlink"/>
                <w:rFonts w:ascii="Arial" w:hAnsi="Arial" w:cs="Arial"/>
                <w:b w:val="0"/>
                <w:bCs w:val="0"/>
                <w:noProof/>
                <w:sz w:val="22"/>
                <w:szCs w:val="22"/>
              </w:rPr>
              <w:t>References</w:t>
            </w:r>
            <w:r w:rsidRPr="004E6EB8">
              <w:rPr>
                <w:rFonts w:ascii="Arial" w:hAnsi="Arial" w:cs="Arial"/>
                <w:b w:val="0"/>
                <w:bCs w:val="0"/>
                <w:noProof/>
                <w:webHidden/>
                <w:sz w:val="22"/>
                <w:szCs w:val="22"/>
              </w:rPr>
              <w:tab/>
            </w:r>
            <w:r w:rsidRPr="004E6EB8">
              <w:rPr>
                <w:rFonts w:ascii="Arial" w:hAnsi="Arial" w:cs="Arial"/>
                <w:b w:val="0"/>
                <w:bCs w:val="0"/>
                <w:noProof/>
                <w:webHidden/>
                <w:sz w:val="22"/>
                <w:szCs w:val="22"/>
              </w:rPr>
              <w:fldChar w:fldCharType="begin"/>
            </w:r>
            <w:r w:rsidRPr="004E6EB8">
              <w:rPr>
                <w:rFonts w:ascii="Arial" w:hAnsi="Arial" w:cs="Arial"/>
                <w:b w:val="0"/>
                <w:bCs w:val="0"/>
                <w:noProof/>
                <w:webHidden/>
                <w:sz w:val="22"/>
                <w:szCs w:val="22"/>
              </w:rPr>
              <w:instrText xml:space="preserve"> PAGEREF _Toc237951567 \h </w:instrText>
            </w:r>
            <w:r w:rsidRPr="004E6EB8">
              <w:rPr>
                <w:rFonts w:ascii="Arial" w:hAnsi="Arial" w:cs="Arial"/>
                <w:b w:val="0"/>
                <w:bCs w:val="0"/>
                <w:noProof/>
                <w:webHidden/>
                <w:sz w:val="22"/>
                <w:szCs w:val="22"/>
              </w:rPr>
            </w:r>
            <w:r w:rsidRPr="004E6EB8">
              <w:rPr>
                <w:rFonts w:ascii="Arial" w:hAnsi="Arial" w:cs="Arial"/>
                <w:b w:val="0"/>
                <w:bCs w:val="0"/>
                <w:noProof/>
                <w:webHidden/>
                <w:sz w:val="22"/>
                <w:szCs w:val="22"/>
              </w:rPr>
              <w:fldChar w:fldCharType="separate"/>
            </w:r>
            <w:r w:rsidRPr="004E6EB8">
              <w:rPr>
                <w:rFonts w:ascii="Arial" w:hAnsi="Arial" w:cs="Arial"/>
                <w:b w:val="0"/>
                <w:bCs w:val="0"/>
                <w:noProof/>
                <w:webHidden/>
                <w:sz w:val="22"/>
                <w:szCs w:val="22"/>
              </w:rPr>
              <w:t>12</w:t>
            </w:r>
            <w:r w:rsidRPr="004E6EB8">
              <w:rPr>
                <w:rFonts w:ascii="Arial" w:hAnsi="Arial" w:cs="Arial"/>
                <w:b w:val="0"/>
                <w:bCs w:val="0"/>
                <w:noProof/>
                <w:webHidden/>
                <w:sz w:val="22"/>
                <w:szCs w:val="22"/>
              </w:rPr>
              <w:fldChar w:fldCharType="end"/>
            </w:r>
          </w:hyperlink>
        </w:p>
        <w:p w14:paraId="4C51C832" w14:textId="25A84A90" w:rsidR="001B4F47" w:rsidRDefault="001B4F47">
          <w:r w:rsidRPr="004E6EB8">
            <w:rPr>
              <w:rFonts w:ascii="Arial" w:hAnsi="Arial" w:cs="Arial"/>
              <w:noProof/>
              <w:sz w:val="22"/>
              <w:szCs w:val="22"/>
            </w:rPr>
            <w:fldChar w:fldCharType="end"/>
          </w:r>
        </w:p>
      </w:sdtContent>
    </w:sdt>
    <w:p w14:paraId="53664FCC" w14:textId="77777777" w:rsidR="00806A21" w:rsidRDefault="00806A21" w:rsidP="00806A21">
      <w:pPr>
        <w:rPr>
          <w:lang w:val="en-US" w:eastAsia="en-US"/>
        </w:rPr>
      </w:pPr>
    </w:p>
    <w:p w14:paraId="62184F95" w14:textId="77777777" w:rsidR="00806A21" w:rsidRDefault="00806A21" w:rsidP="00806A21">
      <w:pPr>
        <w:rPr>
          <w:lang w:val="en-US" w:eastAsia="en-US"/>
        </w:rPr>
      </w:pPr>
    </w:p>
    <w:p w14:paraId="1C492B24" w14:textId="77777777" w:rsidR="00806A21" w:rsidRDefault="00806A21" w:rsidP="00806A21">
      <w:pPr>
        <w:rPr>
          <w:lang w:val="en-US" w:eastAsia="en-US"/>
        </w:rPr>
      </w:pPr>
    </w:p>
    <w:p w14:paraId="72E62CAE" w14:textId="77777777" w:rsidR="00806A21" w:rsidRPr="00806A21" w:rsidRDefault="00806A21" w:rsidP="00806A21">
      <w:pPr>
        <w:rPr>
          <w:lang w:val="en-US" w:eastAsia="en-US"/>
        </w:rPr>
      </w:pPr>
    </w:p>
    <w:p w14:paraId="716C4693" w14:textId="77777777" w:rsidR="00616255" w:rsidRDefault="00616255" w:rsidP="00616255">
      <w:pPr>
        <w:rPr>
          <w:lang w:eastAsia="en-US"/>
        </w:rPr>
      </w:pPr>
    </w:p>
    <w:p w14:paraId="6115C2E7" w14:textId="77777777" w:rsidR="00616255" w:rsidRDefault="00616255" w:rsidP="00616255">
      <w:pPr>
        <w:rPr>
          <w:lang w:eastAsia="en-US"/>
        </w:rPr>
      </w:pPr>
    </w:p>
    <w:p w14:paraId="0F30935A" w14:textId="77777777" w:rsidR="00616255" w:rsidRDefault="00616255" w:rsidP="00616255">
      <w:pPr>
        <w:rPr>
          <w:lang w:eastAsia="en-US"/>
        </w:rPr>
      </w:pPr>
    </w:p>
    <w:p w14:paraId="2D9EE3F7" w14:textId="77777777" w:rsidR="00616255" w:rsidRDefault="00616255" w:rsidP="002A26B6">
      <w:pPr>
        <w:pStyle w:val="Title"/>
        <w:spacing w:after="300"/>
        <w:rPr>
          <w:rFonts w:cs="Arial"/>
          <w:b/>
          <w:bCs/>
          <w:color w:val="000000" w:themeColor="text1"/>
          <w:szCs w:val="28"/>
        </w:rPr>
      </w:pPr>
    </w:p>
    <w:p w14:paraId="2DB7782C" w14:textId="587C24DC" w:rsidR="002A26B6" w:rsidRPr="00806A21" w:rsidRDefault="00925EE3" w:rsidP="001B4F47">
      <w:pPr>
        <w:pStyle w:val="Heading1"/>
      </w:pPr>
      <w:bookmarkStart w:id="0" w:name="_Toc237951544"/>
      <w:r w:rsidRPr="00806A21">
        <w:lastRenderedPageBreak/>
        <w:t xml:space="preserve">Task 1: </w:t>
      </w:r>
      <w:r w:rsidR="002A26B6" w:rsidRPr="00806A21">
        <w:t>Black Women's Inequality in Pregnancy and Postpartum Care in the UK</w:t>
      </w:r>
      <w:bookmarkEnd w:id="0"/>
    </w:p>
    <w:p w14:paraId="7289FFEE" w14:textId="34F1BF62" w:rsidR="002A26B6" w:rsidRPr="00843418" w:rsidRDefault="002A26B6" w:rsidP="001C3514">
      <w:pPr>
        <w:pStyle w:val="Heading1"/>
        <w:spacing w:line="360" w:lineRule="auto"/>
      </w:pPr>
      <w:bookmarkStart w:id="1" w:name="_Toc237951388"/>
      <w:bookmarkStart w:id="2" w:name="_Toc237951494"/>
      <w:bookmarkStart w:id="3" w:name="_Toc237951545"/>
      <w:r w:rsidRPr="00843418">
        <w:t>Introduction</w:t>
      </w:r>
      <w:bookmarkEnd w:id="1"/>
      <w:bookmarkEnd w:id="2"/>
      <w:bookmarkEnd w:id="3"/>
    </w:p>
    <w:p w14:paraId="0E9D029E" w14:textId="5564D31A" w:rsidR="00B95FAF" w:rsidRPr="002F7DC8" w:rsidRDefault="002F7DC8" w:rsidP="002F7DC8">
      <w:pPr>
        <w:spacing w:line="360" w:lineRule="auto"/>
        <w:rPr>
          <w:rFonts w:ascii="Arial" w:hAnsi="Arial" w:cs="Arial"/>
          <w:b/>
          <w:sz w:val="22"/>
          <w:szCs w:val="22"/>
        </w:rPr>
      </w:pPr>
      <w:bookmarkStart w:id="4" w:name="_Toc237951389"/>
      <w:bookmarkStart w:id="5" w:name="_Toc237951495"/>
      <w:bookmarkStart w:id="6" w:name="_Toc237951546"/>
      <w:r w:rsidRPr="002F7DC8">
        <w:rPr>
          <w:rFonts w:ascii="Arial" w:hAnsi="Arial" w:cs="Arial"/>
          <w:sz w:val="22"/>
          <w:szCs w:val="22"/>
        </w:rPr>
        <w:t>This report examines the health and social factors underpinning racial disparities in maternal outcomes among Black women of African and Caribbean heritage in the UK, as defined by ethnicity under the Equality Act 2010. Black women had a maternal mortality rate nearly three times higher than White women in 2022–24, at 2.72 per 1,000 births, marking an increase after two years of decline (Dayo et al., 2023; MBRRACE-UK, 2026; Raleigh, 2025). This trend has persisted across all national inquiries since 2000 (Women and Equalities Committee, 2023). The report also considers the national response and the efforts of a UK charity to improve these outcomes.</w:t>
      </w:r>
    </w:p>
    <w:p w14:paraId="449570F9" w14:textId="2FEF6907" w:rsidR="002A26B6" w:rsidRPr="00843418" w:rsidRDefault="002A26B6" w:rsidP="001C3514">
      <w:pPr>
        <w:pStyle w:val="Heading1"/>
        <w:spacing w:line="360" w:lineRule="auto"/>
      </w:pPr>
      <w:r w:rsidRPr="00843418">
        <w:t>Contextual Background and Underlying Factors</w:t>
      </w:r>
      <w:bookmarkEnd w:id="4"/>
      <w:bookmarkEnd w:id="5"/>
      <w:bookmarkEnd w:id="6"/>
    </w:p>
    <w:p w14:paraId="341BE9F5" w14:textId="0D7404E1" w:rsidR="002A26B6" w:rsidRPr="00843418" w:rsidRDefault="00843418" w:rsidP="001C3514">
      <w:pPr>
        <w:pStyle w:val="Heading2"/>
        <w:spacing w:line="360" w:lineRule="auto"/>
        <w:rPr>
          <w:b/>
          <w:bCs/>
        </w:rPr>
      </w:pPr>
      <w:bookmarkStart w:id="7" w:name="_Toc237951390"/>
      <w:bookmarkStart w:id="8" w:name="_Toc237951496"/>
      <w:bookmarkStart w:id="9" w:name="_Toc237951547"/>
      <w:r>
        <w:rPr>
          <w:b/>
          <w:bCs/>
        </w:rPr>
        <w:t xml:space="preserve">1. </w:t>
      </w:r>
      <w:r w:rsidR="002A26B6" w:rsidRPr="00843418">
        <w:rPr>
          <w:b/>
          <w:bCs/>
        </w:rPr>
        <w:t>Higher maternal mortality rates</w:t>
      </w:r>
      <w:bookmarkEnd w:id="7"/>
      <w:bookmarkEnd w:id="8"/>
      <w:bookmarkEnd w:id="9"/>
    </w:p>
    <w:p w14:paraId="32BD310B" w14:textId="3B3297B1" w:rsidR="00F0350A" w:rsidRDefault="00F0350A" w:rsidP="001C3514">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MBRRACE-UK (2026) reports that Black women in England faced a nearly threefold higher risk of dying during or after pregnancy than White women in 2022–24</w:t>
      </w:r>
      <w:r w:rsidR="00C3184B">
        <w:rPr>
          <w:rFonts w:ascii="Arial" w:hAnsi="Arial" w:cs="Arial"/>
          <w:color w:val="000000" w:themeColor="text1"/>
          <w:sz w:val="22"/>
          <w:szCs w:val="22"/>
        </w:rPr>
        <w:t xml:space="preserve">. </w:t>
      </w:r>
      <w:r>
        <w:rPr>
          <w:rFonts w:ascii="Arial" w:hAnsi="Arial" w:cs="Arial"/>
          <w:color w:val="000000" w:themeColor="text1"/>
          <w:sz w:val="22"/>
          <w:szCs w:val="22"/>
        </w:rPr>
        <w:t xml:space="preserve">This difference has varied from about two to five times over the past ten years but has never been fully eliminated. </w:t>
      </w:r>
      <w:r w:rsidR="002A26B6" w:rsidRPr="002A26B6">
        <w:rPr>
          <w:rFonts w:ascii="Arial" w:hAnsi="Arial" w:cs="Arial"/>
          <w:color w:val="000000" w:themeColor="text1"/>
          <w:sz w:val="22"/>
          <w:szCs w:val="22"/>
        </w:rPr>
        <w:t>Overall</w:t>
      </w:r>
      <w:r w:rsidR="001C3514">
        <w:rPr>
          <w:rFonts w:ascii="Arial" w:hAnsi="Arial" w:cs="Arial"/>
          <w:color w:val="000000" w:themeColor="text1"/>
          <w:sz w:val="22"/>
          <w:szCs w:val="22"/>
        </w:rPr>
        <w:t>,</w:t>
      </w:r>
      <w:r w:rsidR="002A26B6" w:rsidRPr="002A26B6">
        <w:rPr>
          <w:rFonts w:ascii="Arial" w:hAnsi="Arial" w:cs="Arial"/>
          <w:color w:val="000000" w:themeColor="text1"/>
          <w:sz w:val="22"/>
          <w:szCs w:val="22"/>
        </w:rPr>
        <w:t xml:space="preserve"> UK maternal mortality is now 20% higher than in 2009–11, when </w:t>
      </w:r>
      <w:r>
        <w:rPr>
          <w:rFonts w:ascii="Arial" w:hAnsi="Arial" w:cs="Arial"/>
          <w:color w:val="000000" w:themeColor="text1"/>
          <w:sz w:val="22"/>
          <w:szCs w:val="22"/>
        </w:rPr>
        <w:t xml:space="preserve">the </w:t>
      </w:r>
      <w:r w:rsidR="002A26B6" w:rsidRPr="002A26B6">
        <w:rPr>
          <w:rFonts w:ascii="Arial" w:hAnsi="Arial" w:cs="Arial"/>
          <w:color w:val="000000" w:themeColor="text1"/>
          <w:sz w:val="22"/>
          <w:szCs w:val="22"/>
        </w:rPr>
        <w:t xml:space="preserve">Government pledged to halve it by 2025. </w:t>
      </w:r>
      <w:r w:rsidR="00C3184B" w:rsidRPr="00C3184B">
        <w:rPr>
          <w:rFonts w:ascii="Arial" w:hAnsi="Arial" w:cs="Arial"/>
          <w:color w:val="000000" w:themeColor="text1"/>
          <w:sz w:val="22"/>
          <w:szCs w:val="22"/>
        </w:rPr>
        <w:t>Contributing factors include delayed diagnosis and dismissed symptoms. Earlier national data illustrate how persistent this disparity has been: seven in 100,000 White women died in childbirth, compared with 38 in 100,000 Black women, as shown in Figure 1 (Kamombo, 2020). This gap persists in the most recent MBRRACE-UK (2026) figures, which show a nearly threefold higher mortality risk for Black women today.</w:t>
      </w:r>
    </w:p>
    <w:p w14:paraId="2A2B9218" w14:textId="069E5E31" w:rsidR="00F0350A" w:rsidRDefault="00D02F21" w:rsidP="001C3514">
      <w:pPr>
        <w:spacing w:line="360" w:lineRule="auto"/>
        <w:jc w:val="center"/>
        <w:rPr>
          <w:rFonts w:ascii="Arial" w:hAnsi="Arial" w:cs="Arial"/>
          <w:color w:val="000000" w:themeColor="text1"/>
          <w:sz w:val="22"/>
          <w:szCs w:val="22"/>
        </w:rPr>
      </w:pPr>
      <w:r w:rsidRPr="00F0350A">
        <w:rPr>
          <w:rFonts w:ascii="Arial" w:hAnsi="Arial" w:cs="Arial"/>
          <w:noProof/>
          <w:color w:val="000000" w:themeColor="text1"/>
          <w:sz w:val="22"/>
          <w:szCs w:val="22"/>
        </w:rPr>
        <w:drawing>
          <wp:anchor distT="0" distB="0" distL="114300" distR="114300" simplePos="0" relativeHeight="251666432" behindDoc="0" locked="0" layoutInCell="1" allowOverlap="1" wp14:anchorId="3BFB6055" wp14:editId="4A8EB2F1">
            <wp:simplePos x="0" y="0"/>
            <wp:positionH relativeFrom="column">
              <wp:posOffset>1615105</wp:posOffset>
            </wp:positionH>
            <wp:positionV relativeFrom="paragraph">
              <wp:posOffset>71154</wp:posOffset>
            </wp:positionV>
            <wp:extent cx="2179529" cy="2007118"/>
            <wp:effectExtent l="0" t="0" r="5080" b="0"/>
            <wp:wrapThrough wrapText="bothSides">
              <wp:wrapPolygon edited="0">
                <wp:start x="0" y="0"/>
                <wp:lineTo x="0" y="21463"/>
                <wp:lineTo x="21524" y="21463"/>
                <wp:lineTo x="21524" y="0"/>
                <wp:lineTo x="0" y="0"/>
              </wp:wrapPolygon>
            </wp:wrapThrough>
            <wp:docPr id="1414968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968787"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9529" cy="2007118"/>
                    </a:xfrm>
                    <a:prstGeom prst="rect">
                      <a:avLst/>
                    </a:prstGeom>
                  </pic:spPr>
                </pic:pic>
              </a:graphicData>
            </a:graphic>
            <wp14:sizeRelH relativeFrom="page">
              <wp14:pctWidth>0</wp14:pctWidth>
            </wp14:sizeRelH>
            <wp14:sizeRelV relativeFrom="page">
              <wp14:pctHeight>0</wp14:pctHeight>
            </wp14:sizeRelV>
          </wp:anchor>
        </w:drawing>
      </w:r>
    </w:p>
    <w:p w14:paraId="0CD913A7" w14:textId="369FC529" w:rsidR="00F0350A" w:rsidRDefault="00F0350A" w:rsidP="001C3514">
      <w:pPr>
        <w:spacing w:line="360" w:lineRule="auto"/>
        <w:jc w:val="center"/>
        <w:rPr>
          <w:rFonts w:ascii="Arial" w:hAnsi="Arial" w:cs="Arial"/>
          <w:color w:val="000000" w:themeColor="text1"/>
          <w:sz w:val="22"/>
          <w:szCs w:val="22"/>
        </w:rPr>
      </w:pPr>
    </w:p>
    <w:p w14:paraId="1B1894BE" w14:textId="063DA98E" w:rsidR="00F0350A" w:rsidRPr="002A26B6" w:rsidRDefault="00F0350A" w:rsidP="001C3514">
      <w:pPr>
        <w:spacing w:after="160" w:line="360" w:lineRule="auto"/>
        <w:jc w:val="center"/>
        <w:rPr>
          <w:rFonts w:ascii="Arial" w:hAnsi="Arial" w:cs="Arial"/>
          <w:color w:val="000000" w:themeColor="text1"/>
          <w:sz w:val="22"/>
          <w:szCs w:val="22"/>
        </w:rPr>
      </w:pPr>
    </w:p>
    <w:p w14:paraId="6C10F981" w14:textId="77777777" w:rsidR="00F0350A" w:rsidRDefault="00F0350A" w:rsidP="001C3514">
      <w:pPr>
        <w:pStyle w:val="Heading2"/>
        <w:spacing w:before="220" w:after="100" w:line="360" w:lineRule="auto"/>
        <w:rPr>
          <w:rFonts w:cs="Arial"/>
          <w:b/>
          <w:bCs/>
          <w:sz w:val="22"/>
          <w:szCs w:val="22"/>
        </w:rPr>
      </w:pPr>
    </w:p>
    <w:p w14:paraId="4CCFA92B" w14:textId="77777777" w:rsidR="00F0350A" w:rsidRDefault="00F0350A" w:rsidP="001C3514">
      <w:pPr>
        <w:pStyle w:val="Heading2"/>
        <w:spacing w:before="220" w:after="100" w:line="360" w:lineRule="auto"/>
        <w:rPr>
          <w:rFonts w:cs="Arial"/>
          <w:b/>
          <w:bCs/>
          <w:sz w:val="22"/>
          <w:szCs w:val="22"/>
        </w:rPr>
      </w:pPr>
    </w:p>
    <w:p w14:paraId="77B52102" w14:textId="77777777" w:rsidR="001C3514" w:rsidRPr="001C3514" w:rsidRDefault="001C3514" w:rsidP="001C3514">
      <w:pPr>
        <w:spacing w:line="360" w:lineRule="auto"/>
      </w:pPr>
    </w:p>
    <w:p w14:paraId="4D2270BF" w14:textId="77777777" w:rsidR="00C3184B" w:rsidRDefault="00C3184B" w:rsidP="001C3514">
      <w:pPr>
        <w:pStyle w:val="Heading2"/>
        <w:spacing w:before="220" w:after="100" w:line="360" w:lineRule="auto"/>
        <w:rPr>
          <w:rFonts w:cs="Arial"/>
          <w:b/>
          <w:bCs/>
          <w:sz w:val="22"/>
          <w:szCs w:val="22"/>
        </w:rPr>
      </w:pPr>
    </w:p>
    <w:p w14:paraId="1ED329D1" w14:textId="704950A0" w:rsidR="00C3184B" w:rsidRDefault="00C3184B" w:rsidP="00C3184B">
      <w:pPr>
        <w:rPr>
          <w:rFonts w:ascii="Arial" w:hAnsi="Arial" w:cs="Arial"/>
          <w:color w:val="000000" w:themeColor="text1"/>
          <w:sz w:val="20"/>
          <w:szCs w:val="20"/>
        </w:rPr>
      </w:pPr>
      <w:r w:rsidRPr="00C3184B">
        <w:rPr>
          <w:rFonts w:ascii="Arial" w:hAnsi="Arial" w:cs="Arial"/>
          <w:sz w:val="20"/>
          <w:szCs w:val="20"/>
          <w:lang w:eastAsia="en-US"/>
        </w:rPr>
        <w:t xml:space="preserve">Figure 1: </w:t>
      </w:r>
      <w:r w:rsidRPr="00C3184B">
        <w:rPr>
          <w:rFonts w:ascii="Arial" w:hAnsi="Arial" w:cs="Arial"/>
          <w:color w:val="000000" w:themeColor="text1"/>
          <w:sz w:val="20"/>
          <w:szCs w:val="20"/>
        </w:rPr>
        <w:t>(Kamombo, 2020).</w:t>
      </w:r>
    </w:p>
    <w:p w14:paraId="2F2EF86E" w14:textId="77777777" w:rsidR="00623B5C" w:rsidRDefault="00623B5C" w:rsidP="00C3184B">
      <w:pPr>
        <w:rPr>
          <w:rFonts w:ascii="Arial" w:hAnsi="Arial" w:cs="Arial"/>
          <w:color w:val="000000" w:themeColor="text1"/>
          <w:sz w:val="20"/>
          <w:szCs w:val="20"/>
        </w:rPr>
      </w:pPr>
    </w:p>
    <w:p w14:paraId="320D81B2" w14:textId="3D4C1C7D" w:rsidR="002A26B6" w:rsidRPr="00843418" w:rsidRDefault="002A26B6" w:rsidP="001C3514">
      <w:pPr>
        <w:pStyle w:val="Heading2"/>
        <w:spacing w:before="220" w:after="100" w:line="360" w:lineRule="auto"/>
        <w:rPr>
          <w:rFonts w:cs="Arial"/>
          <w:b/>
          <w:bCs/>
          <w:sz w:val="22"/>
          <w:szCs w:val="22"/>
        </w:rPr>
      </w:pPr>
      <w:bookmarkStart w:id="10" w:name="_Toc237951391"/>
      <w:bookmarkStart w:id="11" w:name="_Toc237951497"/>
      <w:bookmarkStart w:id="12" w:name="_Toc237951548"/>
      <w:r w:rsidRPr="00843418">
        <w:rPr>
          <w:rFonts w:cs="Arial"/>
          <w:b/>
          <w:bCs/>
          <w:sz w:val="22"/>
          <w:szCs w:val="22"/>
        </w:rPr>
        <w:lastRenderedPageBreak/>
        <w:t>2. Higher rates of pre-eclampsia and hypertensive disorders</w:t>
      </w:r>
      <w:bookmarkEnd w:id="10"/>
      <w:bookmarkEnd w:id="11"/>
      <w:bookmarkEnd w:id="12"/>
    </w:p>
    <w:p w14:paraId="4B355976" w14:textId="3FFD342C" w:rsidR="002A26B6" w:rsidRPr="002A26B6" w:rsidRDefault="00E10085" w:rsidP="001C3514">
      <w:pPr>
        <w:spacing w:after="160"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Black women are about six times more likely to develop pre-eclampsia than White women. Although they account for only 5% of births, they represent 26% of pre-eclampsia cases linked to chronic hypertension (Anya, 2024). </w:t>
      </w:r>
      <w:r w:rsidR="002A26B6" w:rsidRPr="002A26B6">
        <w:rPr>
          <w:rFonts w:ascii="Arial" w:hAnsi="Arial" w:cs="Arial"/>
          <w:color w:val="000000" w:themeColor="text1"/>
          <w:sz w:val="22"/>
          <w:szCs w:val="22"/>
        </w:rPr>
        <w:t xml:space="preserve">A UK cohort study confirmed that, even after adjustment for maternal characteristics, Black and South Asian women retain a higher pre-eclampsia risk (Arechvo et al., 2022). New research suggests this is not genetic: systemic racism and socioeconomic stress appear to alter placental blood flow, oxidative stress and inflammation, raising the risk of pre-eclampsia and preterm birth </w:t>
      </w:r>
      <w:r w:rsidR="002A26B6" w:rsidRPr="00C3184B">
        <w:rPr>
          <w:rFonts w:ascii="Arial" w:hAnsi="Arial" w:cs="Arial"/>
          <w:color w:val="000000" w:themeColor="text1"/>
          <w:sz w:val="22"/>
          <w:szCs w:val="22"/>
        </w:rPr>
        <w:t>(</w:t>
      </w:r>
      <w:r w:rsidR="00C3184B" w:rsidRPr="00C3184B">
        <w:rPr>
          <w:rFonts w:ascii="Arial" w:hAnsi="Arial" w:cs="Arial"/>
          <w:sz w:val="22"/>
          <w:szCs w:val="22"/>
        </w:rPr>
        <w:t xml:space="preserve">Amedor and Giussani, </w:t>
      </w:r>
      <w:r w:rsidR="002A26B6" w:rsidRPr="00C3184B">
        <w:rPr>
          <w:rFonts w:ascii="Arial" w:hAnsi="Arial" w:cs="Arial"/>
          <w:color w:val="000000" w:themeColor="text1"/>
          <w:sz w:val="22"/>
          <w:szCs w:val="22"/>
        </w:rPr>
        <w:t>2026).</w:t>
      </w:r>
      <w:r w:rsidR="002A26B6" w:rsidRPr="002A26B6">
        <w:rPr>
          <w:rFonts w:ascii="Arial" w:hAnsi="Arial" w:cs="Arial"/>
          <w:color w:val="000000" w:themeColor="text1"/>
          <w:sz w:val="22"/>
          <w:szCs w:val="22"/>
        </w:rPr>
        <w:t xml:space="preserve"> This points toward aspirin prophylaxis, closer monitoring, and tackling the underlying stressors themselves.</w:t>
      </w:r>
    </w:p>
    <w:p w14:paraId="58B5EEDD" w14:textId="77777777" w:rsidR="002A26B6" w:rsidRPr="00843418" w:rsidRDefault="002A26B6" w:rsidP="001C3514">
      <w:pPr>
        <w:pStyle w:val="Heading2"/>
        <w:spacing w:before="220" w:after="100" w:line="360" w:lineRule="auto"/>
        <w:rPr>
          <w:rFonts w:cs="Arial"/>
          <w:b/>
          <w:bCs/>
          <w:sz w:val="22"/>
          <w:szCs w:val="22"/>
        </w:rPr>
      </w:pPr>
      <w:bookmarkStart w:id="13" w:name="_Toc237951392"/>
      <w:bookmarkStart w:id="14" w:name="_Toc237951498"/>
      <w:bookmarkStart w:id="15" w:name="_Toc237951549"/>
      <w:r w:rsidRPr="00843418">
        <w:rPr>
          <w:rFonts w:cs="Arial"/>
          <w:b/>
          <w:bCs/>
          <w:sz w:val="22"/>
          <w:szCs w:val="22"/>
        </w:rPr>
        <w:t>3. Higher rates of postpartum mental illness</w:t>
      </w:r>
      <w:bookmarkEnd w:id="13"/>
      <w:bookmarkEnd w:id="14"/>
      <w:bookmarkEnd w:id="15"/>
    </w:p>
    <w:p w14:paraId="56997CCF" w14:textId="00742BFB" w:rsidR="002A26B6" w:rsidRPr="002A26B6" w:rsidRDefault="002A26B6" w:rsidP="001C3514">
      <w:pPr>
        <w:spacing w:after="160" w:line="360" w:lineRule="auto"/>
        <w:jc w:val="both"/>
        <w:rPr>
          <w:rFonts w:ascii="Arial" w:hAnsi="Arial" w:cs="Arial"/>
          <w:color w:val="000000" w:themeColor="text1"/>
          <w:sz w:val="22"/>
          <w:szCs w:val="22"/>
        </w:rPr>
      </w:pPr>
      <w:r w:rsidRPr="002A26B6">
        <w:rPr>
          <w:rFonts w:ascii="Arial" w:hAnsi="Arial" w:cs="Arial"/>
          <w:color w:val="000000" w:themeColor="text1"/>
          <w:sz w:val="22"/>
          <w:szCs w:val="22"/>
        </w:rPr>
        <w:t>NHS data found Black mothers were twice as likely as White mothers to be hospitalised for perinatal mental illness between 2020 and 2023, and over three times as likely to be admitted for severe mental illness after birth (Future Care Capital, 2024</w:t>
      </w:r>
      <w:r w:rsidR="00C3184B">
        <w:rPr>
          <w:rFonts w:ascii="Arial" w:hAnsi="Arial" w:cs="Arial"/>
          <w:color w:val="000000" w:themeColor="text1"/>
          <w:sz w:val="22"/>
          <w:szCs w:val="22"/>
        </w:rPr>
        <w:t>; Thomas</w:t>
      </w:r>
      <w:r w:rsidR="00623B5C">
        <w:rPr>
          <w:rFonts w:ascii="Arial" w:hAnsi="Arial" w:cs="Arial"/>
          <w:color w:val="000000" w:themeColor="text1"/>
          <w:sz w:val="22"/>
          <w:szCs w:val="22"/>
        </w:rPr>
        <w:t>,</w:t>
      </w:r>
      <w:r w:rsidR="00C3184B">
        <w:rPr>
          <w:rFonts w:ascii="Arial" w:hAnsi="Arial" w:cs="Arial"/>
          <w:color w:val="000000" w:themeColor="text1"/>
          <w:sz w:val="22"/>
          <w:szCs w:val="22"/>
        </w:rPr>
        <w:t xml:space="preserve"> 2024</w:t>
      </w:r>
      <w:r w:rsidRPr="002A26B6">
        <w:rPr>
          <w:rFonts w:ascii="Arial" w:hAnsi="Arial" w:cs="Arial"/>
          <w:color w:val="000000" w:themeColor="text1"/>
          <w:sz w:val="22"/>
          <w:szCs w:val="22"/>
        </w:rPr>
        <w:t xml:space="preserve">). Black and South Asian women are also less likely than White British women to receive treatment for postpartum anxiety and depression despite similar or higher </w:t>
      </w:r>
      <w:r w:rsidR="00623B5C" w:rsidRPr="002A26B6">
        <w:rPr>
          <w:rFonts w:ascii="Arial" w:hAnsi="Arial" w:cs="Arial"/>
          <w:color w:val="000000" w:themeColor="text1"/>
          <w:sz w:val="22"/>
          <w:szCs w:val="22"/>
        </w:rPr>
        <w:t>distress and</w:t>
      </w:r>
      <w:r w:rsidRPr="002A26B6">
        <w:rPr>
          <w:rFonts w:ascii="Arial" w:hAnsi="Arial" w:cs="Arial"/>
          <w:color w:val="000000" w:themeColor="text1"/>
          <w:sz w:val="22"/>
          <w:szCs w:val="22"/>
        </w:rPr>
        <w:t xml:space="preserve"> face higher rates of involuntary psychiatric admission (</w:t>
      </w:r>
      <w:r w:rsidR="00623A2E" w:rsidRPr="00616255">
        <w:rPr>
          <w:rFonts w:ascii="Arial" w:hAnsi="Arial" w:cs="Arial"/>
          <w:sz w:val="22"/>
          <w:szCs w:val="22"/>
        </w:rPr>
        <w:t>Connel</w:t>
      </w:r>
      <w:r w:rsidR="00623A2E">
        <w:rPr>
          <w:rFonts w:ascii="Arial" w:hAnsi="Arial" w:cs="Arial"/>
          <w:sz w:val="22"/>
          <w:szCs w:val="22"/>
        </w:rPr>
        <w:t>l</w:t>
      </w:r>
      <w:r w:rsidR="00623A2E" w:rsidRPr="00616255">
        <w:rPr>
          <w:rFonts w:ascii="Arial" w:hAnsi="Arial" w:cs="Arial"/>
          <w:sz w:val="22"/>
          <w:szCs w:val="22"/>
        </w:rPr>
        <w:t>y</w:t>
      </w:r>
      <w:r w:rsidR="00623B5C">
        <w:rPr>
          <w:rFonts w:ascii="Arial" w:hAnsi="Arial" w:cs="Arial"/>
          <w:sz w:val="22"/>
          <w:szCs w:val="22"/>
        </w:rPr>
        <w:t xml:space="preserve"> </w:t>
      </w:r>
      <w:r w:rsidR="00623B5C" w:rsidRPr="00623B5C">
        <w:rPr>
          <w:rFonts w:ascii="Arial" w:hAnsi="Arial" w:cs="Arial"/>
          <w:sz w:val="22"/>
          <w:szCs w:val="22"/>
        </w:rPr>
        <w:t>et al</w:t>
      </w:r>
      <w:r w:rsidR="00623B5C" w:rsidRPr="00616255">
        <w:rPr>
          <w:rFonts w:ascii="Arial" w:hAnsi="Arial" w:cs="Arial"/>
          <w:i/>
          <w:iCs/>
          <w:sz w:val="22"/>
          <w:szCs w:val="22"/>
        </w:rPr>
        <w:t>.</w:t>
      </w:r>
      <w:r w:rsidR="00623B5C">
        <w:rPr>
          <w:rFonts w:ascii="Arial" w:hAnsi="Arial" w:cs="Arial"/>
          <w:i/>
          <w:iCs/>
          <w:sz w:val="22"/>
          <w:szCs w:val="22"/>
        </w:rPr>
        <w:t>,</w:t>
      </w:r>
      <w:r w:rsidR="00623B5C" w:rsidRPr="00616255">
        <w:rPr>
          <w:rFonts w:ascii="Arial" w:hAnsi="Arial" w:cs="Arial"/>
          <w:sz w:val="22"/>
          <w:szCs w:val="22"/>
        </w:rPr>
        <w:t xml:space="preserve"> </w:t>
      </w:r>
      <w:r w:rsidRPr="002A26B6">
        <w:rPr>
          <w:rFonts w:ascii="Arial" w:hAnsi="Arial" w:cs="Arial"/>
          <w:color w:val="000000" w:themeColor="text1"/>
          <w:sz w:val="22"/>
          <w:szCs w:val="22"/>
        </w:rPr>
        <w:t>2023). Better postnatal screening, culturally competent talking therapies, and specialist perinatal mental health midwives are needed.</w:t>
      </w:r>
    </w:p>
    <w:p w14:paraId="5955F9F3" w14:textId="77777777" w:rsidR="002A26B6" w:rsidRPr="00843418" w:rsidRDefault="002A26B6" w:rsidP="001C3514">
      <w:pPr>
        <w:pStyle w:val="Heading2"/>
        <w:spacing w:before="220" w:after="100" w:line="360" w:lineRule="auto"/>
        <w:rPr>
          <w:rFonts w:cs="Arial"/>
          <w:b/>
          <w:bCs/>
          <w:sz w:val="22"/>
          <w:szCs w:val="22"/>
        </w:rPr>
      </w:pPr>
      <w:bookmarkStart w:id="16" w:name="_Toc237951393"/>
      <w:bookmarkStart w:id="17" w:name="_Toc237951499"/>
      <w:bookmarkStart w:id="18" w:name="_Toc237951550"/>
      <w:r w:rsidRPr="00843418">
        <w:rPr>
          <w:rFonts w:cs="Arial"/>
          <w:b/>
          <w:bCs/>
          <w:sz w:val="22"/>
          <w:szCs w:val="22"/>
        </w:rPr>
        <w:t>4. Socioeconomic deprivation and chronic stress</w:t>
      </w:r>
      <w:bookmarkEnd w:id="16"/>
      <w:bookmarkEnd w:id="17"/>
      <w:bookmarkEnd w:id="18"/>
    </w:p>
    <w:p w14:paraId="5262B691" w14:textId="063E93E4" w:rsidR="002A26B6" w:rsidRPr="002A26B6" w:rsidRDefault="002A26B6" w:rsidP="001C3514">
      <w:pPr>
        <w:spacing w:after="160" w:line="360" w:lineRule="auto"/>
        <w:jc w:val="both"/>
        <w:rPr>
          <w:rFonts w:ascii="Arial" w:hAnsi="Arial" w:cs="Arial"/>
          <w:color w:val="000000" w:themeColor="text1"/>
          <w:sz w:val="22"/>
          <w:szCs w:val="22"/>
        </w:rPr>
      </w:pPr>
      <w:r w:rsidRPr="002A26B6">
        <w:rPr>
          <w:rFonts w:ascii="Arial" w:hAnsi="Arial" w:cs="Arial"/>
          <w:color w:val="000000" w:themeColor="text1"/>
          <w:sz w:val="22"/>
          <w:szCs w:val="22"/>
        </w:rPr>
        <w:t xml:space="preserve">Ethnic and economic disadvantage overlap substantially: women in the most deprived areas are around twice as likely to die during or after pregnancy as those in the least deprived areas (MBRRACE-UK, 2026). </w:t>
      </w:r>
      <w:r w:rsidR="001C3514">
        <w:rPr>
          <w:rFonts w:ascii="Arial" w:hAnsi="Arial" w:cs="Arial"/>
          <w:color w:val="000000" w:themeColor="text1"/>
          <w:sz w:val="22"/>
          <w:szCs w:val="22"/>
        </w:rPr>
        <w:t xml:space="preserve">A recent </w:t>
      </w:r>
      <w:r w:rsidR="00623B5C">
        <w:rPr>
          <w:rFonts w:ascii="Arial" w:hAnsi="Arial" w:cs="Arial"/>
          <w:color w:val="000000" w:themeColor="text1"/>
          <w:sz w:val="22"/>
          <w:szCs w:val="22"/>
        </w:rPr>
        <w:t>study</w:t>
      </w:r>
      <w:r w:rsidR="001C3514">
        <w:rPr>
          <w:rFonts w:ascii="Arial" w:hAnsi="Arial" w:cs="Arial"/>
          <w:color w:val="000000" w:themeColor="text1"/>
          <w:sz w:val="22"/>
          <w:szCs w:val="22"/>
        </w:rPr>
        <w:t xml:space="preserve"> (Amedor and Giussani, 2026)</w:t>
      </w:r>
      <w:r w:rsidRPr="002A26B6">
        <w:rPr>
          <w:rFonts w:ascii="Arial" w:hAnsi="Arial" w:cs="Arial"/>
          <w:color w:val="000000" w:themeColor="text1"/>
          <w:sz w:val="22"/>
          <w:szCs w:val="22"/>
        </w:rPr>
        <w:t xml:space="preserve"> indicates this is not simply about service access; persistent socio-environmental stressors appear to have a measurable biological effect on pregnancy physiology itself (University of Cambridge, 2026). Tackling deprivation and chronic stress exposure is therefore a direct clinical intervention, requiring social prescribing, income support during pregnancy, and integrated deprivation data.</w:t>
      </w:r>
    </w:p>
    <w:p w14:paraId="3002C9F8" w14:textId="77777777" w:rsidR="002A26B6" w:rsidRPr="00843418" w:rsidRDefault="002A26B6" w:rsidP="001C3514">
      <w:pPr>
        <w:pStyle w:val="Heading2"/>
        <w:spacing w:before="220" w:after="100" w:line="360" w:lineRule="auto"/>
        <w:rPr>
          <w:rFonts w:cs="Arial"/>
          <w:b/>
          <w:bCs/>
          <w:sz w:val="22"/>
          <w:szCs w:val="22"/>
        </w:rPr>
      </w:pPr>
      <w:bookmarkStart w:id="19" w:name="_Toc237951394"/>
      <w:bookmarkStart w:id="20" w:name="_Toc237951500"/>
      <w:bookmarkStart w:id="21" w:name="_Toc237951551"/>
      <w:r w:rsidRPr="00843418">
        <w:rPr>
          <w:rFonts w:cs="Arial"/>
          <w:b/>
          <w:bCs/>
          <w:sz w:val="22"/>
          <w:szCs w:val="22"/>
        </w:rPr>
        <w:t>5. Racism and discrimination in maternity care</w:t>
      </w:r>
      <w:bookmarkEnd w:id="19"/>
      <w:bookmarkEnd w:id="20"/>
      <w:bookmarkEnd w:id="21"/>
    </w:p>
    <w:p w14:paraId="760AFB25" w14:textId="355289DB" w:rsidR="002A26B6" w:rsidRPr="002A26B6" w:rsidRDefault="002A26B6" w:rsidP="000E6636">
      <w:pPr>
        <w:spacing w:line="360" w:lineRule="auto"/>
        <w:rPr>
          <w:rFonts w:ascii="Arial" w:hAnsi="Arial" w:cs="Arial"/>
          <w:color w:val="000000" w:themeColor="text1"/>
          <w:sz w:val="22"/>
          <w:szCs w:val="22"/>
        </w:rPr>
      </w:pPr>
      <w:r w:rsidRPr="000E6636">
        <w:rPr>
          <w:rFonts w:ascii="Arial" w:hAnsi="Arial" w:cs="Arial"/>
          <w:color w:val="000000" w:themeColor="text1"/>
          <w:sz w:val="22"/>
          <w:szCs w:val="22"/>
        </w:rPr>
        <w:t xml:space="preserve">A Five X More survey found over 42% of Black women reported feeling discriminated against during maternity care, most commonly because of their race, and MBRRACE reviewers found women were often viewed by staff as 'not like me' (Women and Equalities Committee, 2023). The Committee concluded Government and NHS leadership had underestimated the extent to which racism contributes to poor outcomes. Mandatory bias training, diverse workforce representation, and formal complaint pathways are proposed </w:t>
      </w:r>
      <w:r w:rsidRPr="000E6636">
        <w:rPr>
          <w:rFonts w:ascii="Arial" w:hAnsi="Arial" w:cs="Arial"/>
          <w:color w:val="000000" w:themeColor="text1"/>
          <w:sz w:val="22"/>
          <w:szCs w:val="22"/>
        </w:rPr>
        <w:lastRenderedPageBreak/>
        <w:t>solutions.</w:t>
      </w:r>
      <w:r w:rsidR="000E6636" w:rsidRPr="000E6636">
        <w:rPr>
          <w:rFonts w:ascii="Arial" w:hAnsi="Arial" w:cs="Arial"/>
          <w:color w:val="000000" w:themeColor="text1"/>
          <w:sz w:val="22"/>
          <w:szCs w:val="22"/>
        </w:rPr>
        <w:t xml:space="preserve"> A 2025 national survey of over 1,100 Black women by Five X More illustrates how these disparities are experienced first-hand. Over half of respondents (54%) reported difficulties in how they were treated by healthcare professionals, and 28% said they had experienced discrimination during their maternity care, a quarter of whom attributed this specifically to their race. Nearly half (45%) raised concerns during labour or birth, yet almost half of these women felt their concerns were not properly addressed. Around a quarter were not given the pain relief they asked for, and two in five of these women received no explanation as to why. Basic preventive guidance was also inconsistent, with only 39% recalling nutrition advice and 27% exercise advice at their booking appointment, while awareness of how to complain was low: only one in five women had been told how to raise a formal complaint, and just 8% went on to do so (Five X More, 202</w:t>
      </w:r>
      <w:r w:rsidR="00034C22">
        <w:rPr>
          <w:rFonts w:ascii="Arial" w:hAnsi="Arial" w:cs="Arial"/>
          <w:color w:val="000000" w:themeColor="text1"/>
          <w:sz w:val="22"/>
          <w:szCs w:val="22"/>
        </w:rPr>
        <w:t>6</w:t>
      </w:r>
      <w:r w:rsidR="000E6636" w:rsidRPr="000E6636">
        <w:rPr>
          <w:rFonts w:ascii="Arial" w:hAnsi="Arial" w:cs="Arial"/>
          <w:color w:val="000000" w:themeColor="text1"/>
          <w:sz w:val="22"/>
          <w:szCs w:val="22"/>
        </w:rPr>
        <w:t>).</w:t>
      </w:r>
    </w:p>
    <w:p w14:paraId="7E34EDAD" w14:textId="4F8F05C0" w:rsidR="000E6636" w:rsidRPr="000E6636" w:rsidRDefault="002A26B6" w:rsidP="000E6636">
      <w:pPr>
        <w:pStyle w:val="Heading2"/>
        <w:spacing w:before="220" w:after="100" w:line="360" w:lineRule="auto"/>
        <w:rPr>
          <w:rFonts w:cs="Arial"/>
          <w:b/>
          <w:bCs/>
          <w:sz w:val="22"/>
          <w:szCs w:val="22"/>
        </w:rPr>
      </w:pPr>
      <w:bookmarkStart w:id="22" w:name="_Toc237951395"/>
      <w:bookmarkStart w:id="23" w:name="_Toc237951501"/>
      <w:bookmarkStart w:id="24" w:name="_Toc237951552"/>
      <w:r w:rsidRPr="00843418">
        <w:rPr>
          <w:rFonts w:cs="Arial"/>
          <w:b/>
          <w:bCs/>
          <w:sz w:val="22"/>
          <w:szCs w:val="22"/>
        </w:rPr>
        <w:t>6. Barriers to trust and postpartum support</w:t>
      </w:r>
      <w:bookmarkEnd w:id="22"/>
      <w:bookmarkEnd w:id="23"/>
      <w:bookmarkEnd w:id="24"/>
    </w:p>
    <w:p w14:paraId="3CCBE7A5" w14:textId="77777777" w:rsidR="002A26B6" w:rsidRPr="002A26B6" w:rsidRDefault="002A26B6" w:rsidP="001C3514">
      <w:pPr>
        <w:spacing w:after="160" w:line="360" w:lineRule="auto"/>
        <w:jc w:val="both"/>
        <w:rPr>
          <w:rFonts w:ascii="Arial" w:hAnsi="Arial" w:cs="Arial"/>
          <w:color w:val="000000" w:themeColor="text1"/>
          <w:sz w:val="22"/>
          <w:szCs w:val="22"/>
        </w:rPr>
      </w:pPr>
      <w:r w:rsidRPr="002A26B6">
        <w:rPr>
          <w:rFonts w:ascii="Arial" w:hAnsi="Arial" w:cs="Arial"/>
          <w:color w:val="000000" w:themeColor="text1"/>
          <w:sz w:val="22"/>
          <w:szCs w:val="22"/>
        </w:rPr>
        <w:t>Experiences of discrimination generate mistrust of maternity and postnatal services, leading to later antenatal booking and reluctance to disclose postpartum mental health difficulties, compounding the under-treatment described above (Frontiers in Psychiatry, 2023). Continuity-of-carer models, where a woman sees the same small team throughout pregnancy and after birth, improve trust but staff shortages have limited their rollout (Women and Equalities Committee, 2023).</w:t>
      </w:r>
    </w:p>
    <w:p w14:paraId="75827AF5" w14:textId="77777777" w:rsidR="002A26B6" w:rsidRPr="00843418" w:rsidRDefault="002A26B6" w:rsidP="001C3514">
      <w:pPr>
        <w:pStyle w:val="Heading1"/>
        <w:spacing w:line="360" w:lineRule="auto"/>
      </w:pPr>
      <w:bookmarkStart w:id="25" w:name="_Toc237951396"/>
      <w:bookmarkStart w:id="26" w:name="_Toc237951502"/>
      <w:bookmarkStart w:id="27" w:name="_Toc237951553"/>
      <w:r w:rsidRPr="00843418">
        <w:t>National Response to Reduce Health Inequalities</w:t>
      </w:r>
      <w:bookmarkEnd w:id="25"/>
      <w:bookmarkEnd w:id="26"/>
      <w:bookmarkEnd w:id="27"/>
    </w:p>
    <w:p w14:paraId="29B3F6ED" w14:textId="77CDDF38" w:rsidR="002A26B6" w:rsidRPr="002A26B6" w:rsidRDefault="002A26B6" w:rsidP="001C3514">
      <w:pPr>
        <w:spacing w:after="160" w:line="360" w:lineRule="auto"/>
        <w:jc w:val="both"/>
        <w:rPr>
          <w:rFonts w:ascii="Arial" w:hAnsi="Arial" w:cs="Arial"/>
          <w:color w:val="000000" w:themeColor="text1"/>
          <w:sz w:val="22"/>
          <w:szCs w:val="22"/>
        </w:rPr>
      </w:pPr>
      <w:r w:rsidRPr="002A26B6">
        <w:rPr>
          <w:rFonts w:ascii="Arial" w:hAnsi="Arial" w:cs="Arial"/>
          <w:color w:val="000000" w:themeColor="text1"/>
          <w:sz w:val="22"/>
          <w:szCs w:val="22"/>
        </w:rPr>
        <w:t xml:space="preserve">Two national responses illustrate the UK's policy reaction. First, the Maternity Disparities Taskforce, established in February 2022, brings together NHS leaders, government departments and the voluntary sector to identify evidence-based interventions for women from ethnic minority and deprived backgrounds. </w:t>
      </w:r>
      <w:r w:rsidR="00E9264E">
        <w:rPr>
          <w:rFonts w:ascii="Arial" w:hAnsi="Arial" w:cs="Arial"/>
          <w:color w:val="000000" w:themeColor="text1"/>
          <w:sz w:val="22"/>
          <w:szCs w:val="22"/>
        </w:rPr>
        <w:t xml:space="preserve">However, the Women and Equalities Committee (2023) found that the Taskforce had not met for nine months and had no published metrics to assess its success (GOV.UK, 2022). </w:t>
      </w:r>
      <w:r w:rsidRPr="002A26B6">
        <w:rPr>
          <w:rFonts w:ascii="Arial" w:hAnsi="Arial" w:cs="Arial"/>
          <w:color w:val="000000" w:themeColor="text1"/>
          <w:sz w:val="22"/>
          <w:szCs w:val="22"/>
        </w:rPr>
        <w:t>Second, NHS England's Three-Year Delivery Plan for Maternity and Neonatal Services (2023) requires every Local Maternity and Neonatal System to publish an Equity and Equality Action Plan and mandates ethnicity and deprivation reporting for stillbirth and preterm birth. The Government has nonetheless declined to set a numerical target or ring-fenced budget to end the racial disparity, despite this being recommended by three separate parliamentary committees.</w:t>
      </w:r>
    </w:p>
    <w:p w14:paraId="5F987F57" w14:textId="77777777" w:rsidR="00BE404F" w:rsidRDefault="002A26B6" w:rsidP="001C3514">
      <w:pPr>
        <w:pStyle w:val="Heading1"/>
        <w:spacing w:line="360" w:lineRule="auto"/>
      </w:pPr>
      <w:bookmarkStart w:id="28" w:name="_Toc237951397"/>
      <w:bookmarkStart w:id="29" w:name="_Toc237951503"/>
      <w:bookmarkStart w:id="30" w:name="_Toc237951554"/>
      <w:r w:rsidRPr="00843418">
        <w:lastRenderedPageBreak/>
        <w:t>Organisation That Supports the Chosen Group</w:t>
      </w:r>
      <w:bookmarkEnd w:id="28"/>
      <w:bookmarkEnd w:id="29"/>
      <w:bookmarkEnd w:id="30"/>
    </w:p>
    <w:p w14:paraId="52CAAAF8" w14:textId="77777777" w:rsidR="008472B9" w:rsidRDefault="008472B9" w:rsidP="001C3514">
      <w:pPr>
        <w:pStyle w:val="Heading1"/>
        <w:spacing w:line="360" w:lineRule="auto"/>
        <w:rPr>
          <w:rFonts w:eastAsia="Times New Roman" w:cs="Arial"/>
          <w:b w:val="0"/>
          <w:color w:val="auto"/>
          <w:kern w:val="0"/>
          <w:sz w:val="22"/>
          <w:szCs w:val="22"/>
          <w:lang w:eastAsia="en-GB"/>
          <w14:ligatures w14:val="none"/>
        </w:rPr>
      </w:pPr>
      <w:bookmarkStart w:id="31" w:name="_Toc237951398"/>
      <w:bookmarkStart w:id="32" w:name="_Toc237951504"/>
      <w:bookmarkStart w:id="33" w:name="_Toc237951555"/>
      <w:r w:rsidRPr="008472B9">
        <w:rPr>
          <w:rFonts w:eastAsia="Times New Roman" w:cs="Arial"/>
          <w:b w:val="0"/>
          <w:color w:val="auto"/>
          <w:kern w:val="0"/>
          <w:sz w:val="22"/>
          <w:szCs w:val="22"/>
          <w:lang w:eastAsia="en-GB"/>
          <w14:ligatures w14:val="none"/>
        </w:rPr>
        <w:t>Five X More CIC, founded in 2019, was created in response to MBRRACE-UK data showing Black women are up to five times more likely to die in childbirth than White women. The charity raises awareness, campaigns for policy change, and empowers Black women through initiatives like Black Maternal Health Awareness Week, the 'I am here to listen' badge scheme at Guy's and St Thomas' Hospital, and a national survey revealing over 42% of respondents faced racial discrimination in care (Women and Equalities Committee, 2023). Its aims are to close the mortality gap and hold the government accountable, including through a petition with 187,000 signatures that secured NIHR-funded research into the causes of disparities.</w:t>
      </w:r>
    </w:p>
    <w:p w14:paraId="2A1BCA0D" w14:textId="503D17E6" w:rsidR="002A26B6" w:rsidRPr="00843418" w:rsidRDefault="002A26B6" w:rsidP="001C3514">
      <w:pPr>
        <w:pStyle w:val="Heading1"/>
        <w:spacing w:line="360" w:lineRule="auto"/>
      </w:pPr>
      <w:r w:rsidRPr="00843418">
        <w:t>Conclusion</w:t>
      </w:r>
      <w:bookmarkEnd w:id="31"/>
      <w:bookmarkEnd w:id="32"/>
      <w:bookmarkEnd w:id="33"/>
    </w:p>
    <w:p w14:paraId="3E9A50D0" w14:textId="7CE3FBC0" w:rsidR="001B4F47" w:rsidRDefault="0068082E" w:rsidP="000E6636">
      <w:pPr>
        <w:spacing w:line="360" w:lineRule="auto"/>
        <w:jc w:val="both"/>
        <w:rPr>
          <w:rFonts w:ascii="Arial" w:hAnsi="Arial" w:cs="Arial"/>
          <w:color w:val="000000" w:themeColor="text1"/>
          <w:sz w:val="22"/>
          <w:szCs w:val="22"/>
        </w:rPr>
      </w:pPr>
      <w:r w:rsidRPr="0068082E">
        <w:rPr>
          <w:rFonts w:ascii="Arial" w:hAnsi="Arial" w:cs="Arial"/>
          <w:color w:val="000000" w:themeColor="text1"/>
          <w:sz w:val="22"/>
          <w:szCs w:val="22"/>
        </w:rPr>
        <w:t>Black women in the UK face ongoing health inequalities during pregnancy and postnatally, including higher maternal mortality, pre-eclampsia linked to racism and stress, increased mental health issues with low treatment rates, deprivation, discrimination, and mistrust of services. Despite policy efforts like the Maternity Disparities Taskforce and the Three-Year Delivery Plan, progress is slow and lacks binding targets. Grassroots groups such as Five X More have been crucial in amplifying Black women's voices and advocating for change. Addressing these issues requires sustained investment, better ethnicity data, and genuine community partnership.</w:t>
      </w:r>
    </w:p>
    <w:p w14:paraId="458FCA6C" w14:textId="77777777" w:rsidR="001B4F47" w:rsidRDefault="001B4F47" w:rsidP="000E6636">
      <w:pPr>
        <w:spacing w:line="360" w:lineRule="auto"/>
        <w:jc w:val="both"/>
        <w:rPr>
          <w:rFonts w:ascii="Arial" w:hAnsi="Arial" w:cs="Arial"/>
          <w:color w:val="000000" w:themeColor="text1"/>
          <w:sz w:val="22"/>
          <w:szCs w:val="22"/>
        </w:rPr>
      </w:pPr>
    </w:p>
    <w:p w14:paraId="40D11FE0" w14:textId="77777777" w:rsidR="001B4F47" w:rsidRDefault="001B4F47" w:rsidP="000E6636">
      <w:pPr>
        <w:spacing w:line="360" w:lineRule="auto"/>
        <w:jc w:val="both"/>
        <w:rPr>
          <w:rFonts w:ascii="Arial" w:hAnsi="Arial" w:cs="Arial"/>
          <w:color w:val="000000" w:themeColor="text1"/>
          <w:sz w:val="22"/>
          <w:szCs w:val="22"/>
        </w:rPr>
      </w:pPr>
    </w:p>
    <w:p w14:paraId="60738495" w14:textId="30313E40" w:rsidR="00E9332C" w:rsidRPr="0069769B" w:rsidRDefault="00347A6D" w:rsidP="001B4F47">
      <w:pPr>
        <w:pStyle w:val="Heading1"/>
      </w:pPr>
      <w:bookmarkStart w:id="34" w:name="_Toc237951556"/>
      <w:r w:rsidRPr="00806A21">
        <w:lastRenderedPageBreak/>
        <w:t>Task 2</w:t>
      </w:r>
      <w:r w:rsidR="00806A21">
        <w:t>:</w:t>
      </w:r>
      <w:r w:rsidRPr="00806A21">
        <w:t xml:space="preserve"> </w:t>
      </w:r>
      <w:r w:rsidR="009E39DC" w:rsidRPr="00806A21">
        <w:t xml:space="preserve">Regional Epidemiologist Report: Hypertension Among Black African and Caribbean </w:t>
      </w:r>
      <w:r w:rsidR="003014D9">
        <w:t>Women</w:t>
      </w:r>
      <w:r w:rsidR="009E39DC" w:rsidRPr="00806A21">
        <w:t xml:space="preserve"> in the London Borough of Lambeth</w:t>
      </w:r>
      <w:bookmarkEnd w:id="34"/>
    </w:p>
    <w:p w14:paraId="65737166" w14:textId="77777777" w:rsidR="006441BB" w:rsidRPr="00BE404F" w:rsidRDefault="006441BB" w:rsidP="00BE404F">
      <w:pPr>
        <w:pStyle w:val="Heading1"/>
      </w:pPr>
      <w:bookmarkStart w:id="35" w:name="_Toc237951399"/>
      <w:bookmarkStart w:id="36" w:name="_Toc237951505"/>
      <w:bookmarkStart w:id="37" w:name="_Toc237951557"/>
      <w:r w:rsidRPr="00BE404F">
        <w:t>Introduction</w:t>
      </w:r>
      <w:bookmarkEnd w:id="35"/>
      <w:bookmarkEnd w:id="36"/>
      <w:bookmarkEnd w:id="37"/>
    </w:p>
    <w:p w14:paraId="7CB0F59D" w14:textId="2B1124DE" w:rsidR="008949AE" w:rsidRDefault="008949AE" w:rsidP="008949AE">
      <w:pPr>
        <w:pStyle w:val="Heading1"/>
        <w:spacing w:line="360" w:lineRule="auto"/>
        <w:rPr>
          <w:rFonts w:eastAsia="Times New Roman" w:cs="Arial"/>
          <w:b w:val="0"/>
          <w:color w:val="auto"/>
          <w:kern w:val="0"/>
          <w:sz w:val="22"/>
          <w:szCs w:val="22"/>
          <w:lang w:eastAsia="en-GB"/>
          <w14:ligatures w14:val="none"/>
        </w:rPr>
      </w:pPr>
      <w:bookmarkStart w:id="38" w:name="_Toc237951400"/>
      <w:bookmarkStart w:id="39" w:name="_Toc237951506"/>
      <w:bookmarkStart w:id="40" w:name="_Toc237951558"/>
      <w:r w:rsidRPr="008949AE">
        <w:rPr>
          <w:rFonts w:eastAsia="Times New Roman" w:cs="Arial"/>
          <w:b w:val="0"/>
          <w:color w:val="auto"/>
          <w:kern w:val="0"/>
          <w:sz w:val="22"/>
          <w:szCs w:val="22"/>
          <w:lang w:eastAsia="en-GB"/>
          <w14:ligatures w14:val="none"/>
        </w:rPr>
        <w:t>Hypertension, persistently high blood pressure (≥140/90 mmHg), is a major, largely symptomless non-communicable condition that damages the heart, brain, kidneys and blood vessels over time (WHO, 2023). As a "silent" condition, it often goes undiagnosed until a stroke, heart attack or kidney failure occurs, and accounts for roughly 25% of all non-communicable disease deaths (Mazhar et al., 2023; WHO, 2025). Globally, it affects around 1.28 billion adults, yet only one in five have it adequately controlled (WHO, 2023).</w:t>
      </w:r>
      <w:r>
        <w:rPr>
          <w:rFonts w:eastAsia="Times New Roman" w:cs="Arial"/>
          <w:b w:val="0"/>
          <w:color w:val="auto"/>
          <w:kern w:val="0"/>
          <w:sz w:val="22"/>
          <w:szCs w:val="22"/>
          <w:lang w:eastAsia="en-GB"/>
          <w14:ligatures w14:val="none"/>
        </w:rPr>
        <w:t xml:space="preserve"> </w:t>
      </w:r>
      <w:r w:rsidRPr="008949AE">
        <w:rPr>
          <w:rFonts w:eastAsia="Times New Roman" w:cs="Arial"/>
          <w:b w:val="0"/>
          <w:color w:val="auto"/>
          <w:kern w:val="0"/>
          <w:sz w:val="22"/>
          <w:szCs w:val="22"/>
          <w:lang w:eastAsia="en-GB"/>
          <w14:ligatures w14:val="none"/>
        </w:rPr>
        <w:t>In the UK, prevalence is highest among Black Caribbean, Black African and Asian adults, with cross-sectional data showing 34% prevalence among Afro-Caribbean women versus 13% among White women (Hayanga et al., 2023). This gap extends to outcomes: a study of 156,296 hypertensive adults in North</w:t>
      </w:r>
      <w:r>
        <w:rPr>
          <w:rFonts w:eastAsia="Times New Roman" w:cs="Arial"/>
          <w:b w:val="0"/>
          <w:color w:val="auto"/>
          <w:kern w:val="0"/>
          <w:sz w:val="22"/>
          <w:szCs w:val="22"/>
          <w:lang w:eastAsia="en-GB"/>
          <w14:ligatures w14:val="none"/>
        </w:rPr>
        <w:t>-</w:t>
      </w:r>
      <w:r w:rsidRPr="008949AE">
        <w:rPr>
          <w:rFonts w:eastAsia="Times New Roman" w:cs="Arial"/>
          <w:b w:val="0"/>
          <w:color w:val="auto"/>
          <w:kern w:val="0"/>
          <w:sz w:val="22"/>
          <w:szCs w:val="22"/>
          <w:lang w:eastAsia="en-GB"/>
          <w14:ligatures w14:val="none"/>
        </w:rPr>
        <w:t>East London found that Black patients were 13% less likely than White patients to have controlled blood pressure, a disparity unrelated to monitoring frequency or treatment intensity (Rison et al., 2023). Research from King's College London (2023) found that Black women in South London have up to three times the rate of long-term conditions, including hypertension</w:t>
      </w:r>
      <w:r>
        <w:rPr>
          <w:rFonts w:eastAsia="Times New Roman" w:cs="Arial"/>
          <w:b w:val="0"/>
          <w:color w:val="auto"/>
          <w:kern w:val="0"/>
          <w:sz w:val="22"/>
          <w:szCs w:val="22"/>
          <w:lang w:eastAsia="en-GB"/>
          <w14:ligatures w14:val="none"/>
        </w:rPr>
        <w:t xml:space="preserve">. </w:t>
      </w:r>
      <w:r w:rsidRPr="008949AE">
        <w:rPr>
          <w:rFonts w:eastAsia="Times New Roman" w:cs="Arial"/>
          <w:b w:val="0"/>
          <w:color w:val="auto"/>
          <w:kern w:val="0"/>
          <w:sz w:val="22"/>
          <w:szCs w:val="22"/>
          <w:lang w:eastAsia="en-GB"/>
          <w14:ligatures w14:val="none"/>
        </w:rPr>
        <w:t>This report examines hypertension among Black African and Caribbean women in Lambeth, where 24% of residents identify as Black, Black British, Caribbean or African</w:t>
      </w:r>
      <w:r>
        <w:rPr>
          <w:rFonts w:eastAsia="Times New Roman" w:cs="Arial"/>
          <w:b w:val="0"/>
          <w:color w:val="auto"/>
          <w:kern w:val="0"/>
          <w:sz w:val="22"/>
          <w:szCs w:val="22"/>
          <w:lang w:eastAsia="en-GB"/>
          <w14:ligatures w14:val="none"/>
        </w:rPr>
        <w:t xml:space="preserve">, </w:t>
      </w:r>
      <w:r w:rsidRPr="008949AE">
        <w:rPr>
          <w:rFonts w:eastAsia="Times New Roman" w:cs="Arial"/>
          <w:b w:val="0"/>
          <w:color w:val="auto"/>
          <w:kern w:val="0"/>
          <w:sz w:val="22"/>
          <w:szCs w:val="22"/>
          <w:lang w:eastAsia="en-GB"/>
          <w14:ligatures w14:val="none"/>
        </w:rPr>
        <w:t>among the highest shares of any London borough (ONS, 2023).</w:t>
      </w:r>
    </w:p>
    <w:p w14:paraId="568C276F" w14:textId="766E333F" w:rsidR="006441BB" w:rsidRPr="008949AE" w:rsidRDefault="006441BB" w:rsidP="008949AE">
      <w:pPr>
        <w:pStyle w:val="Heading1"/>
        <w:rPr>
          <w:rFonts w:eastAsia="Times New Roman" w:cs="Arial"/>
          <w:b w:val="0"/>
          <w:color w:val="auto"/>
          <w:kern w:val="0"/>
          <w:sz w:val="22"/>
          <w:szCs w:val="22"/>
          <w:lang w:eastAsia="en-GB"/>
          <w14:ligatures w14:val="none"/>
        </w:rPr>
      </w:pPr>
      <w:r w:rsidRPr="00BE404F">
        <w:t>Public Health Measures: Prevention, Protection and Promotion</w:t>
      </w:r>
      <w:bookmarkEnd w:id="38"/>
      <w:bookmarkEnd w:id="39"/>
      <w:bookmarkEnd w:id="40"/>
    </w:p>
    <w:p w14:paraId="59D1B76C" w14:textId="2534A462" w:rsidR="006441BB" w:rsidRPr="006441BB" w:rsidRDefault="00D664DB" w:rsidP="006441BB">
      <w:pPr>
        <w:spacing w:after="160" w:line="360" w:lineRule="auto"/>
        <w:jc w:val="both"/>
        <w:rPr>
          <w:rFonts w:ascii="Arial" w:hAnsi="Arial" w:cs="Arial"/>
          <w:sz w:val="22"/>
          <w:szCs w:val="22"/>
        </w:rPr>
      </w:pPr>
      <w:r w:rsidRPr="00D664DB">
        <w:rPr>
          <w:rFonts w:ascii="Arial" w:hAnsi="Arial" w:cs="Arial"/>
          <w:sz w:val="22"/>
          <w:szCs w:val="22"/>
        </w:rPr>
        <w:t>Public health responses to hypertension are grouped into three pillars: prevention, protection and promotion (Caron et al., 2023). Because hypertension is a largely modifiable condition, all three pillars target the behavioural, environmental and health-system factors that raise risk, rather than treating high blood pressure as inevitable. Prevention stops the condition developing; protection uses policy and systems to shield people from things that worsen it; promotion helps people access support. Table 1 shows what each means for hypertension in Lambeth.</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7600"/>
      </w:tblGrid>
      <w:tr w:rsidR="006441BB" w:rsidRPr="006441BB" w14:paraId="6D2C4B6B" w14:textId="77777777" w:rsidTr="00BE404F">
        <w:trPr>
          <w:tblHeader/>
        </w:trPr>
        <w:tc>
          <w:tcPr>
            <w:tcW w:w="1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5D768BDD" w14:textId="77777777" w:rsidR="006441BB" w:rsidRPr="00BE404F" w:rsidRDefault="006441BB" w:rsidP="006441BB">
            <w:pPr>
              <w:spacing w:line="360" w:lineRule="auto"/>
              <w:rPr>
                <w:rFonts w:ascii="Arial" w:hAnsi="Arial" w:cs="Arial"/>
                <w:color w:val="000000" w:themeColor="text1"/>
                <w:sz w:val="22"/>
                <w:szCs w:val="22"/>
              </w:rPr>
            </w:pPr>
            <w:r w:rsidRPr="00BE404F">
              <w:rPr>
                <w:rFonts w:ascii="Arial" w:hAnsi="Arial" w:cs="Arial"/>
                <w:b/>
                <w:bCs/>
                <w:color w:val="000000" w:themeColor="text1"/>
                <w:sz w:val="22"/>
                <w:szCs w:val="22"/>
              </w:rPr>
              <w:t>Pillar</w:t>
            </w:r>
          </w:p>
        </w:tc>
        <w:tc>
          <w:tcPr>
            <w:tcW w:w="7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27E09120" w14:textId="77777777" w:rsidR="006441BB" w:rsidRPr="00BE404F" w:rsidRDefault="006441BB" w:rsidP="006441BB">
            <w:pPr>
              <w:spacing w:line="360" w:lineRule="auto"/>
              <w:rPr>
                <w:rFonts w:ascii="Arial" w:hAnsi="Arial" w:cs="Arial"/>
                <w:color w:val="000000" w:themeColor="text1"/>
                <w:sz w:val="22"/>
                <w:szCs w:val="22"/>
              </w:rPr>
            </w:pPr>
            <w:r w:rsidRPr="00BE404F">
              <w:rPr>
                <w:rFonts w:ascii="Arial" w:hAnsi="Arial" w:cs="Arial"/>
                <w:b/>
                <w:bCs/>
                <w:color w:val="000000" w:themeColor="text1"/>
                <w:sz w:val="22"/>
                <w:szCs w:val="22"/>
              </w:rPr>
              <w:t>What this looks like in Lambeth</w:t>
            </w:r>
          </w:p>
        </w:tc>
      </w:tr>
      <w:tr w:rsidR="006441BB" w:rsidRPr="006441BB" w14:paraId="6E875CDD" w14:textId="77777777" w:rsidTr="00FD69CB">
        <w:tc>
          <w:tcPr>
            <w:tcW w:w="1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57563D0F" w14:textId="77777777" w:rsidR="006441BB" w:rsidRPr="00D664DB" w:rsidRDefault="006441BB" w:rsidP="006441BB">
            <w:pPr>
              <w:spacing w:line="360" w:lineRule="auto"/>
              <w:rPr>
                <w:rFonts w:ascii="Arial" w:hAnsi="Arial" w:cs="Arial"/>
                <w:b/>
                <w:bCs/>
                <w:sz w:val="22"/>
                <w:szCs w:val="22"/>
              </w:rPr>
            </w:pPr>
            <w:r w:rsidRPr="00D664DB">
              <w:rPr>
                <w:rFonts w:ascii="Arial" w:hAnsi="Arial" w:cs="Arial"/>
                <w:b/>
                <w:bCs/>
                <w:sz w:val="22"/>
                <w:szCs w:val="22"/>
              </w:rPr>
              <w:t>Prevention</w:t>
            </w:r>
          </w:p>
        </w:tc>
        <w:tc>
          <w:tcPr>
            <w:tcW w:w="7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22714596" w14:textId="5749C72F"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 xml:space="preserve">Less salt, more exercise, healthy weight, and routine blood pressure checks (lifestyle change alone can cut heart disease risk by over 80% </w:t>
            </w:r>
            <w:r w:rsidR="0047313D">
              <w:rPr>
                <w:rFonts w:ascii="Arial" w:hAnsi="Arial" w:cs="Arial"/>
                <w:sz w:val="22"/>
                <w:szCs w:val="22"/>
              </w:rPr>
              <w:t>(</w:t>
            </w:r>
            <w:r w:rsidRPr="006441BB">
              <w:rPr>
                <w:rFonts w:ascii="Arial" w:hAnsi="Arial" w:cs="Arial"/>
                <w:sz w:val="22"/>
                <w:szCs w:val="22"/>
              </w:rPr>
              <w:t>Keyes</w:t>
            </w:r>
            <w:r w:rsidR="0047313D">
              <w:rPr>
                <w:rFonts w:ascii="Arial" w:hAnsi="Arial" w:cs="Arial"/>
                <w:sz w:val="22"/>
                <w:szCs w:val="22"/>
              </w:rPr>
              <w:t xml:space="preserve"> et al.</w:t>
            </w:r>
            <w:r w:rsidRPr="006441BB">
              <w:rPr>
                <w:rFonts w:ascii="Arial" w:hAnsi="Arial" w:cs="Arial"/>
                <w:sz w:val="22"/>
                <w:szCs w:val="22"/>
              </w:rPr>
              <w:t>, 2025)</w:t>
            </w:r>
          </w:p>
        </w:tc>
      </w:tr>
      <w:tr w:rsidR="006441BB" w:rsidRPr="006441BB" w14:paraId="525F1738" w14:textId="77777777" w:rsidTr="00FD69CB">
        <w:tc>
          <w:tcPr>
            <w:tcW w:w="1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5A026E2A" w14:textId="77777777" w:rsidR="006441BB" w:rsidRPr="00D664DB" w:rsidRDefault="006441BB" w:rsidP="006441BB">
            <w:pPr>
              <w:spacing w:line="360" w:lineRule="auto"/>
              <w:rPr>
                <w:rFonts w:ascii="Arial" w:hAnsi="Arial" w:cs="Arial"/>
                <w:b/>
                <w:bCs/>
                <w:sz w:val="22"/>
                <w:szCs w:val="22"/>
              </w:rPr>
            </w:pPr>
            <w:r w:rsidRPr="00D664DB">
              <w:rPr>
                <w:rFonts w:ascii="Arial" w:hAnsi="Arial" w:cs="Arial"/>
                <w:b/>
                <w:bCs/>
                <w:sz w:val="22"/>
                <w:szCs w:val="22"/>
              </w:rPr>
              <w:lastRenderedPageBreak/>
              <w:t>Protection</w:t>
            </w:r>
          </w:p>
        </w:tc>
        <w:tc>
          <w:tcPr>
            <w:tcW w:w="7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2A49200B"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 xml:space="preserve">Salt-reduction rules for food manufacturers, and protecting Black residents from the unequal, less trusted care shown locally (Yogarajah et al., 2025), via Lambeth </w:t>
            </w:r>
            <w:proofErr w:type="spellStart"/>
            <w:r w:rsidRPr="006441BB">
              <w:rPr>
                <w:rFonts w:ascii="Arial" w:hAnsi="Arial" w:cs="Arial"/>
                <w:sz w:val="22"/>
                <w:szCs w:val="22"/>
              </w:rPr>
              <w:t>Together's</w:t>
            </w:r>
            <w:proofErr w:type="spellEnd"/>
            <w:r w:rsidRPr="006441BB">
              <w:rPr>
                <w:rFonts w:ascii="Arial" w:hAnsi="Arial" w:cs="Arial"/>
                <w:sz w:val="22"/>
                <w:szCs w:val="22"/>
              </w:rPr>
              <w:t xml:space="preserve"> hypertension programme</w:t>
            </w:r>
          </w:p>
        </w:tc>
      </w:tr>
      <w:tr w:rsidR="006441BB" w:rsidRPr="006441BB" w14:paraId="0D020377" w14:textId="77777777" w:rsidTr="00FD69CB">
        <w:tc>
          <w:tcPr>
            <w:tcW w:w="1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250A954A" w14:textId="77777777" w:rsidR="006441BB" w:rsidRPr="00D664DB" w:rsidRDefault="006441BB" w:rsidP="006441BB">
            <w:pPr>
              <w:spacing w:line="360" w:lineRule="auto"/>
              <w:rPr>
                <w:rFonts w:ascii="Arial" w:hAnsi="Arial" w:cs="Arial"/>
                <w:b/>
                <w:bCs/>
                <w:sz w:val="22"/>
                <w:szCs w:val="22"/>
              </w:rPr>
            </w:pPr>
            <w:r w:rsidRPr="00D664DB">
              <w:rPr>
                <w:rFonts w:ascii="Arial" w:hAnsi="Arial" w:cs="Arial"/>
                <w:b/>
                <w:bCs/>
                <w:sz w:val="22"/>
                <w:szCs w:val="22"/>
              </w:rPr>
              <w:t>Promotion</w:t>
            </w:r>
          </w:p>
        </w:tc>
        <w:tc>
          <w:tcPr>
            <w:tcW w:w="7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220DF879"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The Lambeth Health and Wellbeing Bus, offering free blood pressure checks borough-wide (Lambeth Together, 2024)</w:t>
            </w:r>
          </w:p>
        </w:tc>
      </w:tr>
    </w:tbl>
    <w:p w14:paraId="6E5187E1" w14:textId="77777777" w:rsidR="006441BB" w:rsidRPr="00BE404F" w:rsidRDefault="006441BB" w:rsidP="00BE404F">
      <w:pPr>
        <w:pStyle w:val="Heading1"/>
      </w:pPr>
      <w:bookmarkStart w:id="41" w:name="_Toc237951401"/>
      <w:bookmarkStart w:id="42" w:name="_Toc237951507"/>
      <w:bookmarkStart w:id="43" w:name="_Toc237951559"/>
      <w:r w:rsidRPr="00BE404F">
        <w:t>Key Determinants and Risk Factors</w:t>
      </w:r>
      <w:bookmarkEnd w:id="41"/>
      <w:bookmarkEnd w:id="42"/>
      <w:bookmarkEnd w:id="43"/>
    </w:p>
    <w:p w14:paraId="48D6B262" w14:textId="0432147B" w:rsidR="006441BB" w:rsidRPr="006441BB" w:rsidRDefault="006441BB" w:rsidP="006441BB">
      <w:pPr>
        <w:spacing w:after="160" w:line="360" w:lineRule="auto"/>
        <w:jc w:val="both"/>
        <w:rPr>
          <w:rFonts w:ascii="Arial" w:hAnsi="Arial" w:cs="Arial"/>
          <w:sz w:val="22"/>
          <w:szCs w:val="22"/>
        </w:rPr>
      </w:pPr>
      <w:r w:rsidRPr="006441BB">
        <w:rPr>
          <w:rFonts w:ascii="Arial" w:hAnsi="Arial" w:cs="Arial"/>
          <w:sz w:val="22"/>
          <w:szCs w:val="22"/>
        </w:rPr>
        <w:t>Established risk factors include older age, obesity, high salt intake, inactivity, alcohol, chronic stress and family history (WHO, 2023). Black ethnicity is independently associated with risk: a UK-wide cohort of over 400,000 patients found Black/African-Caribbean patients had poorer blood pressure control than White patients, explained by prescribing differences rather than monitoring or engagement (Eastwood et al., 2022). A North</w:t>
      </w:r>
      <w:r w:rsidR="00747ABE">
        <w:rPr>
          <w:rFonts w:ascii="Arial" w:hAnsi="Arial" w:cs="Arial"/>
          <w:sz w:val="22"/>
          <w:szCs w:val="22"/>
        </w:rPr>
        <w:t>-</w:t>
      </w:r>
      <w:r w:rsidRPr="006441BB">
        <w:rPr>
          <w:rFonts w:ascii="Arial" w:hAnsi="Arial" w:cs="Arial"/>
          <w:sz w:val="22"/>
          <w:szCs w:val="22"/>
        </w:rPr>
        <w:t xml:space="preserve">East London cohort similarly found Black ethnicity predicted poorer control independently of monitoring or treatment intensity (Rison et al., 2023). A qualitative </w:t>
      </w:r>
      <w:r w:rsidR="00305C68">
        <w:rPr>
          <w:rFonts w:ascii="Arial" w:hAnsi="Arial" w:cs="Arial"/>
          <w:sz w:val="22"/>
          <w:szCs w:val="22"/>
        </w:rPr>
        <w:t xml:space="preserve">study in </w:t>
      </w:r>
      <w:r w:rsidRPr="006441BB">
        <w:rPr>
          <w:rFonts w:ascii="Arial" w:hAnsi="Arial" w:cs="Arial"/>
          <w:sz w:val="22"/>
          <w:szCs w:val="22"/>
        </w:rPr>
        <w:t>South</w:t>
      </w:r>
      <w:r w:rsidR="00747ABE">
        <w:rPr>
          <w:rFonts w:ascii="Arial" w:hAnsi="Arial" w:cs="Arial"/>
          <w:sz w:val="22"/>
          <w:szCs w:val="22"/>
        </w:rPr>
        <w:t>-</w:t>
      </w:r>
      <w:r w:rsidRPr="006441BB">
        <w:rPr>
          <w:rFonts w:ascii="Arial" w:hAnsi="Arial" w:cs="Arial"/>
          <w:sz w:val="22"/>
          <w:szCs w:val="22"/>
        </w:rPr>
        <w:t>East London identified medical mistrust, rooted in racial discrimination, as a major adherence barrier, distinct from misunderstanding (Yogarajah et al., 2025). Lambeth is a densely populated borough with high deprivation, where a quarter of residents live in poverty (Operose Health, 2023).</w:t>
      </w:r>
    </w:p>
    <w:p w14:paraId="6F8625CD" w14:textId="77777777" w:rsidR="006441BB" w:rsidRPr="00BE404F" w:rsidRDefault="006441BB" w:rsidP="00BE404F">
      <w:pPr>
        <w:pStyle w:val="Heading1"/>
      </w:pPr>
      <w:bookmarkStart w:id="44" w:name="_Toc237951402"/>
      <w:bookmarkStart w:id="45" w:name="_Toc237951508"/>
      <w:bookmarkStart w:id="46" w:name="_Toc237951560"/>
      <w:r w:rsidRPr="00BE404F">
        <w:lastRenderedPageBreak/>
        <w:t>Epidemiological Studies and Health Needs Assessment</w:t>
      </w:r>
      <w:bookmarkEnd w:id="44"/>
      <w:bookmarkEnd w:id="45"/>
      <w:bookmarkEnd w:id="46"/>
    </w:p>
    <w:p w14:paraId="4E66AC7A" w14:textId="7C15BFCC" w:rsidR="006D42E3" w:rsidRDefault="006D42E3" w:rsidP="008A28B1">
      <w:pPr>
        <w:pStyle w:val="Heading1"/>
        <w:spacing w:line="360" w:lineRule="auto"/>
        <w:rPr>
          <w:rFonts w:eastAsia="Times New Roman" w:cs="Arial"/>
          <w:b w:val="0"/>
          <w:color w:val="auto"/>
          <w:kern w:val="0"/>
          <w:sz w:val="22"/>
          <w:szCs w:val="22"/>
          <w:lang w:eastAsia="en-GB"/>
          <w14:ligatures w14:val="none"/>
        </w:rPr>
      </w:pPr>
      <w:bookmarkStart w:id="47" w:name="_Toc237951403"/>
      <w:bookmarkStart w:id="48" w:name="_Toc237951509"/>
      <w:bookmarkStart w:id="49" w:name="_Toc237951561"/>
      <w:r w:rsidRPr="006D42E3">
        <w:rPr>
          <w:rFonts w:eastAsia="Times New Roman" w:cs="Arial"/>
          <w:b w:val="0"/>
          <w:color w:val="auto"/>
          <w:kern w:val="0"/>
          <w:sz w:val="22"/>
          <w:szCs w:val="22"/>
          <w:lang w:eastAsia="en-GB"/>
          <w14:ligatures w14:val="none"/>
        </w:rPr>
        <w:t>Identifying who is most affected by hypertension in Lambeth can be approached using person, place</w:t>
      </w:r>
      <w:r w:rsidR="008A28B1">
        <w:rPr>
          <w:rFonts w:eastAsia="Times New Roman" w:cs="Arial"/>
          <w:b w:val="0"/>
          <w:color w:val="auto"/>
          <w:kern w:val="0"/>
          <w:sz w:val="22"/>
          <w:szCs w:val="22"/>
          <w:lang w:eastAsia="en-GB"/>
          <w14:ligatures w14:val="none"/>
        </w:rPr>
        <w:t>,</w:t>
      </w:r>
      <w:r w:rsidRPr="006D42E3">
        <w:rPr>
          <w:rFonts w:eastAsia="Times New Roman" w:cs="Arial"/>
          <w:b w:val="0"/>
          <w:color w:val="auto"/>
          <w:kern w:val="0"/>
          <w:sz w:val="22"/>
          <w:szCs w:val="22"/>
          <w:lang w:eastAsia="en-GB"/>
          <w14:ligatures w14:val="none"/>
        </w:rPr>
        <w:t xml:space="preserve"> and time (</w:t>
      </w:r>
      <w:r w:rsidR="008A28B1">
        <w:rPr>
          <w:rFonts w:eastAsia="Times New Roman" w:cs="Arial"/>
          <w:b w:val="0"/>
          <w:color w:val="auto"/>
          <w:kern w:val="0"/>
          <w:sz w:val="22"/>
          <w:szCs w:val="22"/>
          <w:lang w:eastAsia="en-GB"/>
          <w14:ligatures w14:val="none"/>
        </w:rPr>
        <w:t>Lesko et al., 2022</w:t>
      </w:r>
      <w:r w:rsidRPr="006D42E3">
        <w:rPr>
          <w:rFonts w:eastAsia="Times New Roman" w:cs="Arial"/>
          <w:b w:val="0"/>
          <w:color w:val="auto"/>
          <w:kern w:val="0"/>
          <w:sz w:val="22"/>
          <w:szCs w:val="22"/>
          <w:lang w:eastAsia="en-GB"/>
          <w14:ligatures w14:val="none"/>
        </w:rPr>
        <w:t xml:space="preserve">), a simple framework for pinpointing which groups carry the greatest burden and where </w:t>
      </w:r>
      <w:r w:rsidR="008A28B1">
        <w:rPr>
          <w:rFonts w:eastAsia="Times New Roman" w:cs="Arial"/>
          <w:b w:val="0"/>
          <w:color w:val="auto"/>
          <w:kern w:val="0"/>
          <w:sz w:val="22"/>
          <w:szCs w:val="22"/>
          <w:lang w:eastAsia="en-GB"/>
          <w14:ligatures w14:val="none"/>
        </w:rPr>
        <w:t>to</w:t>
      </w:r>
      <w:r w:rsidRPr="006D42E3">
        <w:rPr>
          <w:rFonts w:eastAsia="Times New Roman" w:cs="Arial"/>
          <w:b w:val="0"/>
          <w:color w:val="auto"/>
          <w:kern w:val="0"/>
          <w:sz w:val="22"/>
          <w:szCs w:val="22"/>
          <w:lang w:eastAsia="en-GB"/>
          <w14:ligatures w14:val="none"/>
        </w:rPr>
        <w:t xml:space="preserve"> focus</w:t>
      </w:r>
      <w:r w:rsidR="008A28B1">
        <w:rPr>
          <w:rFonts w:eastAsia="Times New Roman" w:cs="Arial"/>
          <w:b w:val="0"/>
          <w:color w:val="auto"/>
          <w:kern w:val="0"/>
          <w:sz w:val="22"/>
          <w:szCs w:val="22"/>
          <w:lang w:eastAsia="en-GB"/>
          <w14:ligatures w14:val="none"/>
        </w:rPr>
        <w:t xml:space="preserve"> intervention</w:t>
      </w:r>
      <w:r w:rsidRPr="006D42E3">
        <w:rPr>
          <w:rFonts w:eastAsia="Times New Roman" w:cs="Arial"/>
          <w:b w:val="0"/>
          <w:color w:val="auto"/>
          <w:kern w:val="0"/>
          <w:sz w:val="22"/>
          <w:szCs w:val="22"/>
          <w:lang w:eastAsia="en-GB"/>
          <w14:ligatures w14:val="none"/>
        </w:rPr>
        <w:t>.</w:t>
      </w:r>
      <w:r>
        <w:rPr>
          <w:rFonts w:eastAsia="Times New Roman" w:cs="Arial"/>
          <w:b w:val="0"/>
          <w:color w:val="auto"/>
          <w:kern w:val="0"/>
          <w:sz w:val="22"/>
          <w:szCs w:val="22"/>
          <w:lang w:eastAsia="en-GB"/>
          <w14:ligatures w14:val="none"/>
        </w:rPr>
        <w:t xml:space="preserve"> </w:t>
      </w:r>
    </w:p>
    <w:p w14:paraId="16D410A6" w14:textId="2B4A7D45" w:rsidR="006D42E3" w:rsidRPr="006D42E3" w:rsidRDefault="006D42E3" w:rsidP="008A28B1">
      <w:pPr>
        <w:pStyle w:val="Heading1"/>
        <w:spacing w:line="360" w:lineRule="auto"/>
        <w:rPr>
          <w:rFonts w:eastAsia="Times New Roman" w:cs="Arial"/>
          <w:b w:val="0"/>
          <w:color w:val="auto"/>
          <w:kern w:val="0"/>
          <w:sz w:val="22"/>
          <w:szCs w:val="22"/>
          <w:lang w:eastAsia="en-GB"/>
          <w14:ligatures w14:val="none"/>
        </w:rPr>
      </w:pPr>
      <w:r w:rsidRPr="006D42E3">
        <w:rPr>
          <w:rFonts w:eastAsia="Times New Roman" w:cs="Arial"/>
          <w:b w:val="0"/>
          <w:color w:val="auto"/>
          <w:kern w:val="0"/>
          <w:sz w:val="22"/>
          <w:szCs w:val="22"/>
          <w:lang w:eastAsia="en-GB"/>
          <w14:ligatures w14:val="none"/>
        </w:rPr>
        <w:t>Person: Hypertension disproportionately affects Black women, with prevalence rising sharply from the thirties to 34%, compared with 13% in White women (</w:t>
      </w:r>
      <w:r>
        <w:rPr>
          <w:rFonts w:eastAsia="Times New Roman" w:cs="Arial"/>
          <w:b w:val="0"/>
          <w:color w:val="auto"/>
          <w:kern w:val="0"/>
          <w:sz w:val="22"/>
          <w:szCs w:val="22"/>
          <w:lang w:eastAsia="en-GB"/>
          <w14:ligatures w14:val="none"/>
        </w:rPr>
        <w:t>Lesko et al., 2022</w:t>
      </w:r>
      <w:r w:rsidRPr="006D42E3">
        <w:rPr>
          <w:rFonts w:eastAsia="Times New Roman" w:cs="Arial"/>
          <w:b w:val="0"/>
          <w:color w:val="auto"/>
          <w:kern w:val="0"/>
          <w:sz w:val="22"/>
          <w:szCs w:val="22"/>
          <w:lang w:eastAsia="en-GB"/>
          <w14:ligatures w14:val="none"/>
        </w:rPr>
        <w:t>). Black women in Lambeth and Southwark have two to three times the rate of long-term conditions, and nearly half of Black Caribbean patients have multimorbidity (King's College London, 2023).</w:t>
      </w:r>
    </w:p>
    <w:p w14:paraId="798EE5D6" w14:textId="229DE9A9" w:rsidR="006D42E3" w:rsidRPr="006D42E3" w:rsidRDefault="006D42E3" w:rsidP="008A28B1">
      <w:pPr>
        <w:pStyle w:val="Heading1"/>
        <w:spacing w:line="360" w:lineRule="auto"/>
        <w:rPr>
          <w:rFonts w:eastAsia="Times New Roman" w:cs="Arial"/>
          <w:b w:val="0"/>
          <w:color w:val="auto"/>
          <w:kern w:val="0"/>
          <w:sz w:val="22"/>
          <w:szCs w:val="22"/>
          <w:lang w:eastAsia="en-GB"/>
          <w14:ligatures w14:val="none"/>
        </w:rPr>
      </w:pPr>
      <w:r w:rsidRPr="006D42E3">
        <w:rPr>
          <w:rFonts w:eastAsia="Times New Roman" w:cs="Arial"/>
          <w:b w:val="0"/>
          <w:color w:val="auto"/>
          <w:kern w:val="0"/>
          <w:sz w:val="22"/>
          <w:szCs w:val="22"/>
          <w:lang w:eastAsia="en-GB"/>
          <w14:ligatures w14:val="none"/>
        </w:rPr>
        <w:t>Place: 24% of Lambeth residents are Black African or Caribbean (ONS, 2023), in a borough where a quarter live in poverty (Operose Health, 2023). A review of 320,094 Lambeth records found Black African ethnicity independently predicted uncontrolled hypertension as did Black Caribbean ethnicity (Yogarajah et al., 2025); Streatham practices showed a 12-point control gap (55% vs 67%) before intervention (Operose Health, 2023).</w:t>
      </w:r>
    </w:p>
    <w:p w14:paraId="72D83802" w14:textId="77777777" w:rsidR="006D42E3" w:rsidRPr="006D42E3" w:rsidRDefault="006D42E3" w:rsidP="008A28B1">
      <w:pPr>
        <w:pStyle w:val="Heading1"/>
        <w:spacing w:line="360" w:lineRule="auto"/>
        <w:rPr>
          <w:rFonts w:eastAsia="Times New Roman" w:cs="Arial"/>
          <w:b w:val="0"/>
          <w:color w:val="auto"/>
          <w:kern w:val="0"/>
          <w:sz w:val="22"/>
          <w:szCs w:val="22"/>
          <w:lang w:eastAsia="en-GB"/>
          <w14:ligatures w14:val="none"/>
        </w:rPr>
      </w:pPr>
      <w:r w:rsidRPr="006D42E3">
        <w:rPr>
          <w:rFonts w:eastAsia="Times New Roman" w:cs="Arial"/>
          <w:b w:val="0"/>
          <w:color w:val="auto"/>
          <w:kern w:val="0"/>
          <w:sz w:val="22"/>
          <w:szCs w:val="22"/>
          <w:lang w:eastAsia="en-GB"/>
          <w14:ligatures w14:val="none"/>
        </w:rPr>
        <w:t>Time: The e-ECHOES study found 78.5% prevalence in African-Caribbean adults over 45, with one in five cases undiagnosed (e-ECHOES study, 2023); 34% of Lambeth adults have higher-than-average blood pressure (Lambeth Together, 2024).</w:t>
      </w:r>
    </w:p>
    <w:p w14:paraId="2C0EF66C" w14:textId="77777777" w:rsidR="006D42E3" w:rsidRDefault="006D42E3" w:rsidP="008A28B1">
      <w:pPr>
        <w:pStyle w:val="Heading1"/>
        <w:spacing w:line="360" w:lineRule="auto"/>
        <w:rPr>
          <w:rFonts w:eastAsia="Times New Roman" w:cs="Arial"/>
          <w:b w:val="0"/>
          <w:color w:val="auto"/>
          <w:kern w:val="0"/>
          <w:sz w:val="22"/>
          <w:szCs w:val="22"/>
          <w:lang w:eastAsia="en-GB"/>
          <w14:ligatures w14:val="none"/>
        </w:rPr>
      </w:pPr>
      <w:r w:rsidRPr="006D42E3">
        <w:rPr>
          <w:rFonts w:eastAsia="Times New Roman" w:cs="Arial"/>
          <w:b w:val="0"/>
          <w:color w:val="auto"/>
          <w:kern w:val="0"/>
          <w:sz w:val="22"/>
          <w:szCs w:val="22"/>
          <w:lang w:eastAsia="en-GB"/>
          <w14:ligatures w14:val="none"/>
        </w:rPr>
        <w:t xml:space="preserve">Together, this points to a clear at-risk group: Black African and Caribbean women aged 40+, particularly those with multimorbidity. </w:t>
      </w:r>
    </w:p>
    <w:p w14:paraId="5919016D" w14:textId="77777777" w:rsidR="00C308E7" w:rsidRPr="00C308E7" w:rsidRDefault="00C308E7" w:rsidP="00C308E7"/>
    <w:p w14:paraId="5E0FC439" w14:textId="77777777" w:rsidR="00C308E7" w:rsidRDefault="006441BB" w:rsidP="00C308E7">
      <w:pPr>
        <w:pStyle w:val="Heading1"/>
      </w:pPr>
      <w:r w:rsidRPr="00BE404F">
        <w:lastRenderedPageBreak/>
        <w:t>Monitoring and Surveillance Approaches</w:t>
      </w:r>
      <w:bookmarkStart w:id="50" w:name="_Toc237951404"/>
      <w:bookmarkStart w:id="51" w:name="_Toc237951510"/>
      <w:bookmarkStart w:id="52" w:name="_Toc237951562"/>
      <w:bookmarkEnd w:id="47"/>
      <w:bookmarkEnd w:id="48"/>
      <w:bookmarkEnd w:id="49"/>
    </w:p>
    <w:p w14:paraId="757ECD09" w14:textId="4E132307" w:rsidR="00C308E7" w:rsidRPr="00C308E7" w:rsidRDefault="00C308E7" w:rsidP="00C308E7">
      <w:pPr>
        <w:pStyle w:val="Heading1"/>
        <w:spacing w:line="360" w:lineRule="auto"/>
      </w:pPr>
      <w:r w:rsidRPr="00C308E7">
        <w:rPr>
          <w:rFonts w:eastAsia="Times New Roman" w:cs="Arial"/>
          <w:b w:val="0"/>
          <w:color w:val="auto"/>
          <w:kern w:val="0"/>
          <w:sz w:val="22"/>
          <w:szCs w:val="22"/>
          <w:lang w:eastAsia="en-GB"/>
          <w14:ligatures w14:val="none"/>
        </w:rPr>
        <w:t>Hypertension in Lambeth is tracked through several linked systems. The Health Survey for England collects periodic national data broken down by ethnicity (NHS Digital, 2022). At GP level, practices keep a hypertension register through the NHS Quality and Outcomes Framework, which provides ongoing surveillance</w:t>
      </w:r>
      <w:r w:rsidR="00F3212E">
        <w:rPr>
          <w:rFonts w:eastAsia="Times New Roman" w:cs="Arial"/>
          <w:b w:val="0"/>
          <w:color w:val="auto"/>
          <w:kern w:val="0"/>
          <w:sz w:val="22"/>
          <w:szCs w:val="22"/>
          <w:lang w:eastAsia="en-GB"/>
          <w14:ligatures w14:val="none"/>
        </w:rPr>
        <w:t>;</w:t>
      </w:r>
      <w:r w:rsidR="00D202DE">
        <w:rPr>
          <w:rFonts w:eastAsia="Times New Roman" w:cs="Arial"/>
          <w:b w:val="0"/>
          <w:color w:val="auto"/>
          <w:kern w:val="0"/>
          <w:sz w:val="22"/>
          <w:szCs w:val="22"/>
          <w:lang w:eastAsia="en-GB"/>
          <w14:ligatures w14:val="none"/>
        </w:rPr>
        <w:t xml:space="preserve"> </w:t>
      </w:r>
      <w:r w:rsidRPr="00C308E7">
        <w:rPr>
          <w:rFonts w:eastAsia="Times New Roman" w:cs="Arial"/>
          <w:b w:val="0"/>
          <w:color w:val="auto"/>
          <w:kern w:val="0"/>
          <w:sz w:val="22"/>
          <w:szCs w:val="22"/>
          <w:lang w:eastAsia="en-GB"/>
          <w14:ligatures w14:val="none"/>
        </w:rPr>
        <w:t xml:space="preserve">a study of 190 North East London practices showed how this routine data can reveal inequities at scale (Rison et al., 2023), and Streatham practices used similar analytics to track blood pressure control by ethnicity in real time (Operose Health, 2023). Nationally, CVDPREVENT compares control rates and prescribing by ethnicity, and has shown higher hospital admissions for hypertension among Black and Asian groups (Raleigh, 2025). Locally, Lambeth </w:t>
      </w:r>
      <w:proofErr w:type="spellStart"/>
      <w:r w:rsidRPr="00C308E7">
        <w:rPr>
          <w:rFonts w:eastAsia="Times New Roman" w:cs="Arial"/>
          <w:b w:val="0"/>
          <w:color w:val="auto"/>
          <w:kern w:val="0"/>
          <w:sz w:val="22"/>
          <w:szCs w:val="22"/>
          <w:lang w:eastAsia="en-GB"/>
          <w14:ligatures w14:val="none"/>
        </w:rPr>
        <w:t>DataNet</w:t>
      </w:r>
      <w:proofErr w:type="spellEnd"/>
      <w:r w:rsidRPr="00C308E7">
        <w:rPr>
          <w:rFonts w:eastAsia="Times New Roman" w:cs="Arial"/>
          <w:b w:val="0"/>
          <w:color w:val="auto"/>
          <w:kern w:val="0"/>
          <w:sz w:val="22"/>
          <w:szCs w:val="22"/>
          <w:lang w:eastAsia="en-GB"/>
          <w14:ligatures w14:val="none"/>
        </w:rPr>
        <w:t xml:space="preserve"> pulls together anonymised GP records and underpins much of the data used in this report (Yogarajah et al., 2025; King's College London, 2023).</w:t>
      </w:r>
    </w:p>
    <w:p w14:paraId="33DDA7CC" w14:textId="05BE6D96" w:rsidR="006441BB" w:rsidRPr="00BE404F" w:rsidRDefault="006441BB" w:rsidP="00BE404F">
      <w:pPr>
        <w:pStyle w:val="Heading1"/>
      </w:pPr>
      <w:r w:rsidRPr="00BE404F">
        <w:t>Public Health Impact and Consequences</w:t>
      </w:r>
      <w:bookmarkEnd w:id="50"/>
      <w:bookmarkEnd w:id="51"/>
      <w:bookmarkEnd w:id="52"/>
    </w:p>
    <w:p w14:paraId="597AFFA5" w14:textId="77777777" w:rsidR="006441BB" w:rsidRPr="006441BB" w:rsidRDefault="006441BB" w:rsidP="006441BB">
      <w:pPr>
        <w:spacing w:after="160" w:line="360" w:lineRule="auto"/>
        <w:jc w:val="both"/>
        <w:rPr>
          <w:rFonts w:ascii="Arial" w:hAnsi="Arial" w:cs="Arial"/>
          <w:sz w:val="22"/>
          <w:szCs w:val="22"/>
        </w:rPr>
      </w:pPr>
      <w:r w:rsidRPr="006441BB">
        <w:rPr>
          <w:rFonts w:ascii="Arial" w:hAnsi="Arial" w:cs="Arial"/>
          <w:sz w:val="22"/>
          <w:szCs w:val="22"/>
        </w:rPr>
        <w:t>Short-term impacts include hypertensive emergencies, kidney injury and pregnancy complications like pre-eclampsia. Longer term, hypertension drives stroke, heart disease and chronic kidney disease. English mortality data (March 2021–January 2023) show hypertension recorded in 27% of deaths among Black Caribbean women and 20% among Black African women, versus 13% among White British women (Raleigh, 2025), shown in Figure 1. Left ventricular hypertrophy, a marker of uncontrolled hypertension, was found in 64% of African-Caribbean adults and linked to higher mortality (e-ECHOES study, 2023). Hypertension rarely occurs alone: Black women with multimorbidity used primary care three times as often as others, rising to six times with co-occurring depression (King's College London, 2023). This means a higher long-term burden on cardiology, renal and primary care services in Lambeth than national averages predict.</w:t>
      </w:r>
    </w:p>
    <w:p w14:paraId="5EAE422B" w14:textId="77777777" w:rsidR="006441BB" w:rsidRPr="006441BB" w:rsidRDefault="006441BB" w:rsidP="006441BB">
      <w:pPr>
        <w:spacing w:before="120" w:after="80" w:line="360" w:lineRule="auto"/>
        <w:jc w:val="center"/>
        <w:rPr>
          <w:rFonts w:ascii="Arial" w:hAnsi="Arial" w:cs="Arial"/>
          <w:sz w:val="22"/>
          <w:szCs w:val="22"/>
        </w:rPr>
      </w:pPr>
      <w:r w:rsidRPr="006441BB">
        <w:rPr>
          <w:rFonts w:ascii="Arial" w:hAnsi="Arial" w:cs="Arial"/>
          <w:noProof/>
          <w:sz w:val="22"/>
          <w:szCs w:val="22"/>
        </w:rPr>
        <w:lastRenderedPageBreak/>
        <w:drawing>
          <wp:inline distT="0" distB="0" distL="0" distR="0" wp14:anchorId="40405733" wp14:editId="57D78AFE">
            <wp:extent cx="5524500" cy="2876550"/>
            <wp:effectExtent l="0" t="0" r="0" b="0"/>
            <wp:docPr id="1" name="Picture 1" descr="A graph of diabe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diabetes&#10;&#10;Description automatically generated"/>
                    <pic:cNvPicPr>
                      <a:picLocks noChangeAspect="1" noChangeArrowheads="1"/>
                    </pic:cNvPicPr>
                  </pic:nvPicPr>
                  <pic:blipFill>
                    <a:blip r:embed="rId10"/>
                    <a:srcRect/>
                    <a:stretch>
                      <a:fillRect/>
                    </a:stretch>
                  </pic:blipFill>
                  <pic:spPr bwMode="auto">
                    <a:xfrm>
                      <a:off x="0" y="0"/>
                      <a:ext cx="5524500" cy="2876550"/>
                    </a:xfrm>
                    <a:prstGeom prst="rect">
                      <a:avLst/>
                    </a:prstGeom>
                  </pic:spPr>
                </pic:pic>
              </a:graphicData>
            </a:graphic>
          </wp:inline>
        </w:drawing>
      </w:r>
    </w:p>
    <w:p w14:paraId="5E2D54AB" w14:textId="77777777" w:rsidR="006441BB" w:rsidRPr="00D767CB" w:rsidRDefault="006441BB" w:rsidP="00BE404F">
      <w:pPr>
        <w:spacing w:after="240" w:line="360" w:lineRule="auto"/>
        <w:rPr>
          <w:rFonts w:ascii="Arial" w:hAnsi="Arial" w:cs="Arial"/>
          <w:sz w:val="20"/>
          <w:szCs w:val="20"/>
        </w:rPr>
      </w:pPr>
      <w:r w:rsidRPr="00D767CB">
        <w:rPr>
          <w:rFonts w:ascii="Arial" w:hAnsi="Arial" w:cs="Arial"/>
          <w:sz w:val="20"/>
          <w:szCs w:val="20"/>
        </w:rPr>
        <w:t>Figure 1. Percent of total deaths involving hypertension or diabetes by ethnicity, women, England, 21 March 2021 to 31 January 2023. Source: Raleigh (2025), The King's Fund.</w:t>
      </w:r>
    </w:p>
    <w:p w14:paraId="0C16174A" w14:textId="77777777" w:rsidR="006441BB" w:rsidRPr="00516F13" w:rsidRDefault="006441BB" w:rsidP="00516F13">
      <w:pPr>
        <w:pStyle w:val="Heading1"/>
      </w:pPr>
      <w:bookmarkStart w:id="53" w:name="_Toc237951405"/>
      <w:bookmarkStart w:id="54" w:name="_Toc237951511"/>
      <w:bookmarkStart w:id="55" w:name="_Toc237951563"/>
      <w:r w:rsidRPr="00516F13">
        <w:t>Designing an Appropriate Health Intervention Programme</w:t>
      </w:r>
      <w:bookmarkEnd w:id="53"/>
      <w:bookmarkEnd w:id="54"/>
      <w:bookmarkEnd w:id="55"/>
    </w:p>
    <w:p w14:paraId="46882C54" w14:textId="39DCA392" w:rsidR="006441BB" w:rsidRPr="006441BB" w:rsidRDefault="006441BB" w:rsidP="006441BB">
      <w:pPr>
        <w:spacing w:after="160" w:line="360" w:lineRule="auto"/>
        <w:jc w:val="both"/>
        <w:rPr>
          <w:rFonts w:ascii="Arial" w:hAnsi="Arial" w:cs="Arial"/>
          <w:sz w:val="22"/>
          <w:szCs w:val="22"/>
        </w:rPr>
      </w:pPr>
      <w:r w:rsidRPr="00DD467C">
        <w:rPr>
          <w:rFonts w:ascii="Arial" w:hAnsi="Arial" w:cs="Arial"/>
          <w:sz w:val="22"/>
          <w:szCs w:val="22"/>
        </w:rPr>
        <w:t xml:space="preserve">Lambeth already has proof </w:t>
      </w:r>
      <w:r w:rsidR="009835A1" w:rsidRPr="00DD467C">
        <w:rPr>
          <w:rFonts w:ascii="Arial" w:hAnsi="Arial" w:cs="Arial"/>
          <w:sz w:val="22"/>
          <w:szCs w:val="22"/>
        </w:rPr>
        <w:t xml:space="preserve">that </w:t>
      </w:r>
      <w:r w:rsidRPr="00DD467C">
        <w:rPr>
          <w:rFonts w:ascii="Arial" w:hAnsi="Arial" w:cs="Arial"/>
          <w:sz w:val="22"/>
          <w:szCs w:val="22"/>
        </w:rPr>
        <w:t>this problem can be solved: a 12-month Streatham GP project closed the Black-White blood pressure control gap entirely, from 55% to 87% (Operose Health, 2023). A borough-wide programme should scale this approach, shown in Table 2.</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5600"/>
      </w:tblGrid>
      <w:tr w:rsidR="006441BB" w:rsidRPr="006441BB" w14:paraId="6192F941" w14:textId="77777777" w:rsidTr="00516F13">
        <w:trPr>
          <w:tblHeader/>
        </w:trPr>
        <w:tc>
          <w:tcPr>
            <w:tcW w:w="3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71196010" w14:textId="77777777" w:rsidR="006441BB" w:rsidRPr="00516F13" w:rsidRDefault="006441BB" w:rsidP="006441BB">
            <w:pPr>
              <w:spacing w:line="360" w:lineRule="auto"/>
              <w:rPr>
                <w:rFonts w:ascii="Arial" w:hAnsi="Arial" w:cs="Arial"/>
                <w:color w:val="000000" w:themeColor="text1"/>
                <w:sz w:val="22"/>
                <w:szCs w:val="22"/>
              </w:rPr>
            </w:pPr>
            <w:r w:rsidRPr="00516F13">
              <w:rPr>
                <w:rFonts w:ascii="Arial" w:hAnsi="Arial" w:cs="Arial"/>
                <w:b/>
                <w:bCs/>
                <w:color w:val="000000" w:themeColor="text1"/>
                <w:sz w:val="22"/>
                <w:szCs w:val="22"/>
              </w:rPr>
              <w:t>What we would do</w:t>
            </w:r>
          </w:p>
        </w:tc>
        <w:tc>
          <w:tcPr>
            <w:tcW w:w="5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758745F0" w14:textId="77777777" w:rsidR="006441BB" w:rsidRPr="00516F13" w:rsidRDefault="006441BB" w:rsidP="006441BB">
            <w:pPr>
              <w:spacing w:line="360" w:lineRule="auto"/>
              <w:rPr>
                <w:rFonts w:ascii="Arial" w:hAnsi="Arial" w:cs="Arial"/>
                <w:color w:val="000000" w:themeColor="text1"/>
                <w:sz w:val="22"/>
                <w:szCs w:val="22"/>
              </w:rPr>
            </w:pPr>
            <w:r w:rsidRPr="00516F13">
              <w:rPr>
                <w:rFonts w:ascii="Arial" w:hAnsi="Arial" w:cs="Arial"/>
                <w:b/>
                <w:bCs/>
                <w:color w:val="000000" w:themeColor="text1"/>
                <w:sz w:val="22"/>
                <w:szCs w:val="22"/>
              </w:rPr>
              <w:t>Why it matters</w:t>
            </w:r>
          </w:p>
        </w:tc>
      </w:tr>
      <w:tr w:rsidR="006441BB" w:rsidRPr="006441BB" w14:paraId="0B15A67D" w14:textId="77777777" w:rsidTr="00FD69CB">
        <w:tc>
          <w:tcPr>
            <w:tcW w:w="3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5E711032"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Contact every patient on hypertension registers (text, phone, letter, home visit)</w:t>
            </w:r>
          </w:p>
        </w:tc>
        <w:tc>
          <w:tcPr>
            <w:tcW w:w="5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32874959"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This closed the gap in Streatham (Operose Health, 2023)</w:t>
            </w:r>
          </w:p>
        </w:tc>
      </w:tr>
      <w:tr w:rsidR="006441BB" w:rsidRPr="006441BB" w14:paraId="5FFABDB7" w14:textId="77777777" w:rsidTr="00FD69CB">
        <w:tc>
          <w:tcPr>
            <w:tcW w:w="3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58A0C401"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Set up dedicated pharmacist clinics for out-of-range readings</w:t>
            </w:r>
          </w:p>
        </w:tc>
        <w:tc>
          <w:tcPr>
            <w:tcW w:w="5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2A8C35DA"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Gives focused follow-up, not a rushed appointment (Operose Health, 2023)</w:t>
            </w:r>
          </w:p>
        </w:tc>
      </w:tr>
      <w:tr w:rsidR="006441BB" w:rsidRPr="006441BB" w14:paraId="581E5B45" w14:textId="77777777" w:rsidTr="00FD69CB">
        <w:tc>
          <w:tcPr>
            <w:tcW w:w="3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314D074C"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Use the Health and Wellbeing Bus for community blood pressure checks</w:t>
            </w:r>
          </w:p>
        </w:tc>
        <w:tc>
          <w:tcPr>
            <w:tcW w:w="5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731DC513"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Reaches people who don't often visit a GP (Lambeth Together, 2024)</w:t>
            </w:r>
          </w:p>
        </w:tc>
      </w:tr>
      <w:tr w:rsidR="006441BB" w:rsidRPr="006441BB" w14:paraId="6B2BC7DE" w14:textId="77777777" w:rsidTr="00FD69CB">
        <w:tc>
          <w:tcPr>
            <w:tcW w:w="3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1FA0392A"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Discuss lifestyle options alongside medication, not just prescribe</w:t>
            </w:r>
          </w:p>
        </w:tc>
        <w:tc>
          <w:tcPr>
            <w:tcW w:w="5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60BDC497" w14:textId="60F24A68"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Mistrust, not misunderstanding, is the main adherence barrier (</w:t>
            </w:r>
            <w:r w:rsidR="000A29DC">
              <w:rPr>
                <w:rFonts w:ascii="Arial" w:hAnsi="Arial" w:cs="Arial"/>
                <w:sz w:val="22"/>
                <w:szCs w:val="22"/>
              </w:rPr>
              <w:t xml:space="preserve">NICE, 2026; </w:t>
            </w:r>
            <w:r w:rsidRPr="006441BB">
              <w:rPr>
                <w:rFonts w:ascii="Arial" w:hAnsi="Arial" w:cs="Arial"/>
                <w:sz w:val="22"/>
                <w:szCs w:val="22"/>
              </w:rPr>
              <w:t>Yogarajah et al., 2025)</w:t>
            </w:r>
          </w:p>
        </w:tc>
      </w:tr>
      <w:tr w:rsidR="006441BB" w:rsidRPr="006441BB" w14:paraId="3761F935" w14:textId="77777777" w:rsidTr="00FD69CB">
        <w:tc>
          <w:tcPr>
            <w:tcW w:w="3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099F88E3"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Manage hypertension alongside co-occurring conditions like depression</w:t>
            </w:r>
          </w:p>
        </w:tc>
        <w:tc>
          <w:tcPr>
            <w:tcW w:w="5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48531BE5"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Multimorbid Black women use primary care six times as often with depression present (King's College London, 2023)</w:t>
            </w:r>
          </w:p>
        </w:tc>
      </w:tr>
      <w:tr w:rsidR="006441BB" w:rsidRPr="006441BB" w14:paraId="46BDEB87" w14:textId="77777777" w:rsidTr="00FD69CB">
        <w:tc>
          <w:tcPr>
            <w:tcW w:w="3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44A23800"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lastRenderedPageBreak/>
              <w:t>Roll out practice by practice, testing as we go</w:t>
            </w:r>
          </w:p>
        </w:tc>
        <w:tc>
          <w:tcPr>
            <w:tcW w:w="56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1E4B385C"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Allows refinement before wider adoption (Operose Health, 2023)</w:t>
            </w:r>
          </w:p>
        </w:tc>
      </w:tr>
    </w:tbl>
    <w:p w14:paraId="7934872C" w14:textId="77777777" w:rsidR="00516F13" w:rsidRDefault="00516F13" w:rsidP="00516F13">
      <w:pPr>
        <w:pStyle w:val="Heading2"/>
        <w:rPr>
          <w:b/>
          <w:bCs/>
        </w:rPr>
      </w:pPr>
    </w:p>
    <w:p w14:paraId="7F01662B" w14:textId="1B2BC515" w:rsidR="006441BB" w:rsidRPr="00516F13" w:rsidRDefault="006441BB" w:rsidP="00516F13">
      <w:pPr>
        <w:pStyle w:val="Heading2"/>
        <w:rPr>
          <w:b/>
          <w:bCs/>
        </w:rPr>
      </w:pPr>
      <w:bookmarkStart w:id="56" w:name="_Toc237951406"/>
      <w:bookmarkStart w:id="57" w:name="_Toc237951512"/>
      <w:bookmarkStart w:id="58" w:name="_Toc237951564"/>
      <w:r w:rsidRPr="00516F13">
        <w:rPr>
          <w:b/>
          <w:bCs/>
        </w:rPr>
        <w:t>Evaluating the Impact of the Intervention</w:t>
      </w:r>
      <w:bookmarkEnd w:id="56"/>
      <w:bookmarkEnd w:id="57"/>
      <w:bookmarkEnd w:id="58"/>
    </w:p>
    <w:p w14:paraId="73B96E70" w14:textId="4CBB4AE5" w:rsidR="006441BB" w:rsidRPr="006441BB" w:rsidRDefault="006441BB" w:rsidP="006441BB">
      <w:pPr>
        <w:spacing w:after="160" w:line="360" w:lineRule="auto"/>
        <w:jc w:val="both"/>
        <w:rPr>
          <w:rFonts w:ascii="Arial" w:hAnsi="Arial" w:cs="Arial"/>
          <w:sz w:val="22"/>
          <w:szCs w:val="22"/>
        </w:rPr>
      </w:pPr>
      <w:r w:rsidRPr="006441BB">
        <w:rPr>
          <w:rFonts w:ascii="Arial" w:hAnsi="Arial" w:cs="Arial"/>
          <w:sz w:val="22"/>
          <w:szCs w:val="22"/>
        </w:rPr>
        <w:t>It is not enough to check whether control improves overall</w:t>
      </w:r>
      <w:r w:rsidR="002536C1">
        <w:rPr>
          <w:rFonts w:ascii="Arial" w:hAnsi="Arial" w:cs="Arial"/>
          <w:sz w:val="22"/>
          <w:szCs w:val="22"/>
        </w:rPr>
        <w:t xml:space="preserve">, </w:t>
      </w:r>
      <w:r w:rsidRPr="006441BB">
        <w:rPr>
          <w:rFonts w:ascii="Arial" w:hAnsi="Arial" w:cs="Arial"/>
          <w:sz w:val="22"/>
          <w:szCs w:val="22"/>
        </w:rPr>
        <w:t>the gap itself could persist. Table 3 sets out five questions the evaluation should answer.</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5200"/>
      </w:tblGrid>
      <w:tr w:rsidR="006441BB" w:rsidRPr="006441BB" w14:paraId="34B32D71" w14:textId="77777777" w:rsidTr="00516F13">
        <w:trPr>
          <w:tblHeader/>
        </w:trPr>
        <w:tc>
          <w:tcPr>
            <w:tcW w:w="40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2BCEB167" w14:textId="77777777" w:rsidR="006441BB" w:rsidRPr="00516F13" w:rsidRDefault="006441BB" w:rsidP="006441BB">
            <w:pPr>
              <w:spacing w:line="360" w:lineRule="auto"/>
              <w:rPr>
                <w:rFonts w:ascii="Arial" w:hAnsi="Arial" w:cs="Arial"/>
                <w:sz w:val="22"/>
                <w:szCs w:val="22"/>
              </w:rPr>
            </w:pPr>
            <w:r w:rsidRPr="00516F13">
              <w:rPr>
                <w:rFonts w:ascii="Arial" w:hAnsi="Arial" w:cs="Arial"/>
                <w:b/>
                <w:bCs/>
                <w:sz w:val="22"/>
                <w:szCs w:val="22"/>
              </w:rPr>
              <w:t>What we check</w:t>
            </w:r>
          </w:p>
        </w:tc>
        <w:tc>
          <w:tcPr>
            <w:tcW w:w="52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337899DB" w14:textId="77777777" w:rsidR="006441BB" w:rsidRPr="00516F13" w:rsidRDefault="006441BB" w:rsidP="006441BB">
            <w:pPr>
              <w:spacing w:line="360" w:lineRule="auto"/>
              <w:rPr>
                <w:rFonts w:ascii="Arial" w:hAnsi="Arial" w:cs="Arial"/>
                <w:sz w:val="22"/>
                <w:szCs w:val="22"/>
              </w:rPr>
            </w:pPr>
            <w:r w:rsidRPr="00516F13">
              <w:rPr>
                <w:rFonts w:ascii="Arial" w:hAnsi="Arial" w:cs="Arial"/>
                <w:b/>
                <w:bCs/>
                <w:sz w:val="22"/>
                <w:szCs w:val="22"/>
              </w:rPr>
              <w:t>How we know</w:t>
            </w:r>
          </w:p>
        </w:tc>
      </w:tr>
      <w:tr w:rsidR="006441BB" w:rsidRPr="006441BB" w14:paraId="01A3EA4C" w14:textId="77777777" w:rsidTr="00FD69CB">
        <w:tc>
          <w:tcPr>
            <w:tcW w:w="40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58E31B72"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Is the programme reaching people?</w:t>
            </w:r>
          </w:p>
        </w:tc>
        <w:tc>
          <w:tcPr>
            <w:tcW w:w="52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1BA0C4A0"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 with a BP check in the last 12 months (QOF/GP records)</w:t>
            </w:r>
          </w:p>
        </w:tc>
      </w:tr>
      <w:tr w:rsidR="006441BB" w:rsidRPr="006441BB" w14:paraId="0F2356A2" w14:textId="77777777" w:rsidTr="00FD69CB">
        <w:tc>
          <w:tcPr>
            <w:tcW w:w="40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0860139E"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Is blood pressure under control?</w:t>
            </w:r>
          </w:p>
        </w:tc>
        <w:tc>
          <w:tcPr>
            <w:tcW w:w="52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68DD5C1B"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 at target, by ethnicity (as in Streatham — Operose Health, 2023)</w:t>
            </w:r>
          </w:p>
        </w:tc>
      </w:tr>
      <w:tr w:rsidR="006441BB" w:rsidRPr="006441BB" w14:paraId="1FEF8E46" w14:textId="77777777" w:rsidTr="00FD69CB">
        <w:tc>
          <w:tcPr>
            <w:tcW w:w="40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59BF466A"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Is the Black-White gap closing?</w:t>
            </w:r>
          </w:p>
        </w:tc>
        <w:tc>
          <w:tcPr>
            <w:tcW w:w="52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19FD27E0"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Size of the gap over time, not just the average (as Rison et al., 2023)</w:t>
            </w:r>
          </w:p>
        </w:tc>
      </w:tr>
      <w:tr w:rsidR="006441BB" w:rsidRPr="006441BB" w14:paraId="28F1ED2F" w14:textId="77777777" w:rsidTr="00FD69CB">
        <w:tc>
          <w:tcPr>
            <w:tcW w:w="40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4431DB5C"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Are strokes/heart failure prevented?</w:t>
            </w:r>
          </w:p>
        </w:tc>
        <w:tc>
          <w:tcPr>
            <w:tcW w:w="52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47B940A6"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 xml:space="preserve">Long-term rates via Lambeth </w:t>
            </w:r>
            <w:proofErr w:type="spellStart"/>
            <w:r w:rsidRPr="006441BB">
              <w:rPr>
                <w:rFonts w:ascii="Arial" w:hAnsi="Arial" w:cs="Arial"/>
                <w:sz w:val="22"/>
                <w:szCs w:val="22"/>
              </w:rPr>
              <w:t>DataNet</w:t>
            </w:r>
            <w:proofErr w:type="spellEnd"/>
            <w:r w:rsidRPr="006441BB">
              <w:rPr>
                <w:rFonts w:ascii="Arial" w:hAnsi="Arial" w:cs="Arial"/>
                <w:sz w:val="22"/>
                <w:szCs w:val="22"/>
              </w:rPr>
              <w:t xml:space="preserve"> vs CVDPREVENT</w:t>
            </w:r>
          </w:p>
        </w:tc>
      </w:tr>
      <w:tr w:rsidR="006441BB" w:rsidRPr="006441BB" w14:paraId="5C40D33E" w14:textId="77777777" w:rsidTr="00FD69CB">
        <w:tc>
          <w:tcPr>
            <w:tcW w:w="40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6424E57C"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Is it worth the cost?</w:t>
            </w:r>
          </w:p>
        </w:tc>
        <w:tc>
          <w:tcPr>
            <w:tcW w:w="5200" w:type="dxa"/>
            <w:tcBorders>
              <w:top w:val="single" w:sz="4" w:space="0" w:color="CBD5E1"/>
              <w:left w:val="single" w:sz="4" w:space="0" w:color="CBD5E1"/>
              <w:bottom w:val="single" w:sz="4" w:space="0" w:color="CBD5E1"/>
              <w:right w:val="single" w:sz="4" w:space="0" w:color="CBD5E1"/>
            </w:tcBorders>
            <w:tcMar>
              <w:top w:w="80" w:type="dxa"/>
              <w:left w:w="100" w:type="dxa"/>
              <w:bottom w:w="80" w:type="dxa"/>
              <w:right w:w="100" w:type="dxa"/>
            </w:tcMar>
          </w:tcPr>
          <w:p w14:paraId="7684B5D6" w14:textId="77777777" w:rsidR="006441BB" w:rsidRPr="006441BB" w:rsidRDefault="006441BB" w:rsidP="006441BB">
            <w:pPr>
              <w:spacing w:line="360" w:lineRule="auto"/>
              <w:rPr>
                <w:rFonts w:ascii="Arial" w:hAnsi="Arial" w:cs="Arial"/>
                <w:sz w:val="22"/>
                <w:szCs w:val="22"/>
              </w:rPr>
            </w:pPr>
            <w:r w:rsidRPr="006441BB">
              <w:rPr>
                <w:rFonts w:ascii="Arial" w:hAnsi="Arial" w:cs="Arial"/>
                <w:sz w:val="22"/>
                <w:szCs w:val="22"/>
              </w:rPr>
              <w:t>Fewer emergency admissions offsetting staff time</w:t>
            </w:r>
          </w:p>
        </w:tc>
      </w:tr>
    </w:tbl>
    <w:p w14:paraId="38022967" w14:textId="77777777" w:rsidR="002536C1" w:rsidRDefault="002536C1" w:rsidP="006441BB">
      <w:pPr>
        <w:spacing w:after="160" w:line="360" w:lineRule="auto"/>
        <w:jc w:val="both"/>
        <w:rPr>
          <w:rFonts w:ascii="Arial" w:hAnsi="Arial" w:cs="Arial"/>
          <w:sz w:val="22"/>
          <w:szCs w:val="22"/>
        </w:rPr>
      </w:pPr>
    </w:p>
    <w:p w14:paraId="3DF4DF25" w14:textId="483518B8" w:rsidR="006441BB" w:rsidRPr="006441BB" w:rsidRDefault="006441BB" w:rsidP="006441BB">
      <w:pPr>
        <w:spacing w:after="160" w:line="360" w:lineRule="auto"/>
        <w:jc w:val="both"/>
        <w:rPr>
          <w:rFonts w:ascii="Arial" w:hAnsi="Arial" w:cs="Arial"/>
          <w:sz w:val="22"/>
          <w:szCs w:val="22"/>
        </w:rPr>
      </w:pPr>
      <w:r w:rsidRPr="006441BB">
        <w:rPr>
          <w:rFonts w:ascii="Arial" w:hAnsi="Arial" w:cs="Arial"/>
          <w:sz w:val="22"/>
          <w:szCs w:val="22"/>
        </w:rPr>
        <w:t>A before-and-after comparison across GP practices, not a controlled trial, is the fairest test, since withholding proactive contact from eligible patients would be hard to justify.</w:t>
      </w:r>
    </w:p>
    <w:p w14:paraId="76215E50" w14:textId="77777777" w:rsidR="006441BB" w:rsidRPr="00516F13" w:rsidRDefault="006441BB" w:rsidP="00516F13">
      <w:pPr>
        <w:pStyle w:val="Heading2"/>
        <w:rPr>
          <w:b/>
          <w:bCs/>
        </w:rPr>
      </w:pPr>
      <w:bookmarkStart w:id="59" w:name="_Toc237951407"/>
      <w:bookmarkStart w:id="60" w:name="_Toc237951513"/>
      <w:bookmarkStart w:id="61" w:name="_Toc237951565"/>
      <w:r w:rsidRPr="00516F13">
        <w:rPr>
          <w:b/>
          <w:bCs/>
        </w:rPr>
        <w:lastRenderedPageBreak/>
        <w:t>Strengths and Weaknesses of the Epidemiological Approach</w:t>
      </w:r>
      <w:bookmarkEnd w:id="59"/>
      <w:bookmarkEnd w:id="60"/>
      <w:bookmarkEnd w:id="61"/>
    </w:p>
    <w:p w14:paraId="33B24653" w14:textId="77777777" w:rsidR="002E69AB" w:rsidRDefault="002E69AB" w:rsidP="002E69AB">
      <w:pPr>
        <w:pStyle w:val="Heading1"/>
        <w:spacing w:line="360" w:lineRule="auto"/>
        <w:rPr>
          <w:rFonts w:eastAsia="Times New Roman" w:cs="Arial"/>
          <w:b w:val="0"/>
          <w:color w:val="auto"/>
          <w:kern w:val="0"/>
          <w:sz w:val="22"/>
          <w:szCs w:val="22"/>
          <w:lang w:eastAsia="en-GB"/>
          <w14:ligatures w14:val="none"/>
        </w:rPr>
      </w:pPr>
      <w:bookmarkStart w:id="62" w:name="_Toc237951408"/>
      <w:bookmarkStart w:id="63" w:name="_Toc237951514"/>
      <w:bookmarkStart w:id="64" w:name="_Toc237951566"/>
      <w:r w:rsidRPr="002E69AB">
        <w:rPr>
          <w:rFonts w:eastAsia="Times New Roman" w:cs="Arial"/>
          <w:b w:val="0"/>
          <w:color w:val="auto"/>
          <w:kern w:val="0"/>
          <w:sz w:val="22"/>
          <w:szCs w:val="22"/>
          <w:lang w:eastAsia="en-GB"/>
          <w14:ligatures w14:val="none"/>
        </w:rPr>
        <w:t>Strengths include the Health Survey for England's representative data, Lambeth's linked dataset, and evidence that the gap is measurable and reducible (Operose Health, 2023). Limitations include the collapsing of Black African and Caribbean categories despite differing prevalence, the correlation between deprivation and ethnicity, and the persistence of disparities after adjustment (Rison et al., 2023). QOF registers only record diagnosed cases, underestimating true prevalence. The Streatham study's limited scope and absence of a control group limit generalizability. Additionally, stroke lagged blood pressure improvements by years, risking underestimation over short periods.</w:t>
      </w:r>
    </w:p>
    <w:p w14:paraId="2B2F9206" w14:textId="5CB55608" w:rsidR="006441BB" w:rsidRPr="00516F13" w:rsidRDefault="006441BB" w:rsidP="00516F13">
      <w:pPr>
        <w:pStyle w:val="Heading1"/>
      </w:pPr>
      <w:r w:rsidRPr="00516F13">
        <w:t>Conclusion</w:t>
      </w:r>
      <w:bookmarkEnd w:id="62"/>
      <w:bookmarkEnd w:id="63"/>
      <w:bookmarkEnd w:id="64"/>
    </w:p>
    <w:p w14:paraId="5B01B9FC" w14:textId="77777777" w:rsidR="006441BB" w:rsidRPr="006441BB" w:rsidRDefault="006441BB" w:rsidP="006441BB">
      <w:pPr>
        <w:spacing w:after="160" w:line="360" w:lineRule="auto"/>
        <w:jc w:val="both"/>
        <w:rPr>
          <w:rFonts w:ascii="Arial" w:hAnsi="Arial" w:cs="Arial"/>
          <w:sz w:val="22"/>
          <w:szCs w:val="22"/>
        </w:rPr>
      </w:pPr>
      <w:r w:rsidRPr="006441BB">
        <w:rPr>
          <w:rFonts w:ascii="Arial" w:hAnsi="Arial" w:cs="Arial"/>
          <w:sz w:val="22"/>
          <w:szCs w:val="22"/>
        </w:rPr>
        <w:t>Hypertension disproportionately affects Black African and Caribbean women nationally and in Lambeth, where this population is unusually large and local data confirm the problem is independent of deprivation and screening frequency. Lambeth already has proof of concept: one primary care network eliminated its control gap within 12 months using systematic recall, pharmacist clinics and culturally aware engagement (Operose Health, 2023). Scaling this model borough-wide, alongside coordinated multimorbidity care and multidimensional impact evaluation, offers the clearest path to closing this inequality.</w:t>
      </w:r>
    </w:p>
    <w:p w14:paraId="6C48CF29" w14:textId="77777777" w:rsidR="006441BB" w:rsidRDefault="006441BB" w:rsidP="006441BB">
      <w:pPr>
        <w:spacing w:before="300"/>
      </w:pPr>
    </w:p>
    <w:p w14:paraId="2C1ACFC4" w14:textId="77777777" w:rsidR="00516F13" w:rsidRDefault="00516F13" w:rsidP="00287760">
      <w:pPr>
        <w:pStyle w:val="Heading1"/>
      </w:pPr>
    </w:p>
    <w:p w14:paraId="3E4D55C8" w14:textId="77777777" w:rsidR="009A4ABF" w:rsidRDefault="009A4ABF" w:rsidP="009A4ABF">
      <w:pPr>
        <w:rPr>
          <w:lang w:eastAsia="en-US"/>
        </w:rPr>
      </w:pPr>
    </w:p>
    <w:p w14:paraId="42EB39F4" w14:textId="77777777" w:rsidR="009A4ABF" w:rsidRDefault="009A4ABF" w:rsidP="009A4ABF">
      <w:pPr>
        <w:rPr>
          <w:lang w:eastAsia="en-US"/>
        </w:rPr>
      </w:pPr>
    </w:p>
    <w:p w14:paraId="0E458FD5" w14:textId="77777777" w:rsidR="009A4ABF" w:rsidRDefault="009A4ABF" w:rsidP="009A4ABF">
      <w:pPr>
        <w:rPr>
          <w:lang w:eastAsia="en-US"/>
        </w:rPr>
      </w:pPr>
    </w:p>
    <w:p w14:paraId="58B13F9E" w14:textId="77777777" w:rsidR="009A4ABF" w:rsidRDefault="009A4ABF" w:rsidP="009A4ABF">
      <w:pPr>
        <w:rPr>
          <w:lang w:eastAsia="en-US"/>
        </w:rPr>
      </w:pPr>
    </w:p>
    <w:p w14:paraId="6781E4BF" w14:textId="77777777" w:rsidR="009A4ABF" w:rsidRDefault="009A4ABF" w:rsidP="009A4ABF">
      <w:pPr>
        <w:rPr>
          <w:lang w:eastAsia="en-US"/>
        </w:rPr>
      </w:pPr>
    </w:p>
    <w:p w14:paraId="6A9FB6E2" w14:textId="77777777" w:rsidR="009A4ABF" w:rsidRDefault="009A4ABF" w:rsidP="009A4ABF">
      <w:pPr>
        <w:rPr>
          <w:lang w:eastAsia="en-US"/>
        </w:rPr>
      </w:pPr>
    </w:p>
    <w:p w14:paraId="573F3764" w14:textId="77777777" w:rsidR="009A4ABF" w:rsidRDefault="009A4ABF" w:rsidP="009A4ABF">
      <w:pPr>
        <w:rPr>
          <w:lang w:eastAsia="en-US"/>
        </w:rPr>
      </w:pPr>
    </w:p>
    <w:p w14:paraId="4D47D83D" w14:textId="77777777" w:rsidR="009A4ABF" w:rsidRDefault="009A4ABF" w:rsidP="009A4ABF">
      <w:pPr>
        <w:rPr>
          <w:lang w:eastAsia="en-US"/>
        </w:rPr>
      </w:pPr>
    </w:p>
    <w:p w14:paraId="15AA2F28" w14:textId="77777777" w:rsidR="009A4ABF" w:rsidRDefault="009A4ABF" w:rsidP="009A4ABF">
      <w:pPr>
        <w:rPr>
          <w:lang w:eastAsia="en-US"/>
        </w:rPr>
      </w:pPr>
    </w:p>
    <w:p w14:paraId="72CBCA69" w14:textId="77777777" w:rsidR="009A4ABF" w:rsidRDefault="009A4ABF" w:rsidP="009A4ABF">
      <w:pPr>
        <w:rPr>
          <w:lang w:eastAsia="en-US"/>
        </w:rPr>
      </w:pPr>
    </w:p>
    <w:p w14:paraId="005D3EB6" w14:textId="77777777" w:rsidR="009A4ABF" w:rsidRDefault="009A4ABF" w:rsidP="009A4ABF">
      <w:pPr>
        <w:rPr>
          <w:lang w:eastAsia="en-US"/>
        </w:rPr>
      </w:pPr>
    </w:p>
    <w:p w14:paraId="4713F8FE" w14:textId="77777777" w:rsidR="009A4ABF" w:rsidRDefault="009A4ABF" w:rsidP="009A4ABF">
      <w:pPr>
        <w:rPr>
          <w:lang w:eastAsia="en-US"/>
        </w:rPr>
      </w:pPr>
    </w:p>
    <w:p w14:paraId="1D622B2B" w14:textId="77777777" w:rsidR="009A4ABF" w:rsidRDefault="009A4ABF" w:rsidP="009A4ABF">
      <w:pPr>
        <w:rPr>
          <w:lang w:eastAsia="en-US"/>
        </w:rPr>
      </w:pPr>
    </w:p>
    <w:p w14:paraId="6D8E9420" w14:textId="77777777" w:rsidR="009A4ABF" w:rsidRDefault="009A4ABF" w:rsidP="009A4ABF">
      <w:pPr>
        <w:rPr>
          <w:lang w:eastAsia="en-US"/>
        </w:rPr>
      </w:pPr>
    </w:p>
    <w:p w14:paraId="46AB6467" w14:textId="77777777" w:rsidR="009A4ABF" w:rsidRDefault="009A4ABF" w:rsidP="009A4ABF">
      <w:pPr>
        <w:rPr>
          <w:lang w:eastAsia="en-US"/>
        </w:rPr>
      </w:pPr>
    </w:p>
    <w:p w14:paraId="4A508ADC" w14:textId="77777777" w:rsidR="009A4ABF" w:rsidRDefault="009A4ABF" w:rsidP="009A4ABF">
      <w:pPr>
        <w:rPr>
          <w:lang w:eastAsia="en-US"/>
        </w:rPr>
      </w:pPr>
    </w:p>
    <w:p w14:paraId="1020CCEA" w14:textId="77777777" w:rsidR="009A4ABF" w:rsidRDefault="009A4ABF" w:rsidP="009A4ABF">
      <w:pPr>
        <w:rPr>
          <w:lang w:eastAsia="en-US"/>
        </w:rPr>
      </w:pPr>
    </w:p>
    <w:p w14:paraId="2A4EFFCB" w14:textId="77777777" w:rsidR="009A4ABF" w:rsidRDefault="009A4ABF" w:rsidP="009A4ABF">
      <w:pPr>
        <w:rPr>
          <w:lang w:eastAsia="en-US"/>
        </w:rPr>
      </w:pPr>
    </w:p>
    <w:p w14:paraId="58932557" w14:textId="77777777" w:rsidR="00516F13" w:rsidRPr="00516F13" w:rsidRDefault="00516F13" w:rsidP="00516F13">
      <w:pPr>
        <w:rPr>
          <w:lang w:eastAsia="en-US"/>
        </w:rPr>
      </w:pPr>
    </w:p>
    <w:p w14:paraId="50D4C6CE" w14:textId="445FD929" w:rsidR="00E9332C" w:rsidRPr="00287760" w:rsidRDefault="002A26B6" w:rsidP="00287760">
      <w:pPr>
        <w:pStyle w:val="Heading1"/>
      </w:pPr>
      <w:bookmarkStart w:id="65" w:name="_Toc237951409"/>
      <w:bookmarkStart w:id="66" w:name="_Toc237951515"/>
      <w:bookmarkStart w:id="67" w:name="_Toc237951567"/>
      <w:r w:rsidRPr="00287760">
        <w:lastRenderedPageBreak/>
        <w:t>References</w:t>
      </w:r>
      <w:bookmarkEnd w:id="65"/>
      <w:bookmarkEnd w:id="66"/>
      <w:bookmarkEnd w:id="67"/>
      <w:r w:rsidRPr="00287760">
        <w:t xml:space="preserve"> </w:t>
      </w:r>
    </w:p>
    <w:p w14:paraId="0DDBB810" w14:textId="77777777" w:rsidR="00E9332C" w:rsidRPr="00616255" w:rsidRDefault="00E9332C" w:rsidP="004E0657">
      <w:pPr>
        <w:jc w:val="both"/>
        <w:rPr>
          <w:rFonts w:ascii="Arial" w:hAnsi="Arial" w:cs="Arial"/>
          <w:color w:val="000000" w:themeColor="text1"/>
          <w:sz w:val="22"/>
          <w:szCs w:val="22"/>
        </w:rPr>
      </w:pPr>
    </w:p>
    <w:p w14:paraId="4130EE84" w14:textId="77777777" w:rsidR="00E9332C" w:rsidRPr="009A4ABF" w:rsidRDefault="00E9332C" w:rsidP="009A4ABF">
      <w:pPr>
        <w:ind w:left="360"/>
        <w:rPr>
          <w:rFonts w:ascii="Arial" w:hAnsi="Arial" w:cs="Arial"/>
          <w:sz w:val="22"/>
          <w:szCs w:val="22"/>
        </w:rPr>
      </w:pPr>
      <w:r w:rsidRPr="009A4ABF">
        <w:rPr>
          <w:rFonts w:ascii="Arial" w:hAnsi="Arial" w:cs="Arial"/>
          <w:sz w:val="22"/>
          <w:szCs w:val="22"/>
        </w:rPr>
        <w:t xml:space="preserve">Amedor, G.E.A. and Giussani, D.A. (2026) ‘Physiological mechanisms mediating socio-environmental influences on pregnancy outcomes in Black people’, </w:t>
      </w:r>
      <w:r w:rsidRPr="009A4ABF">
        <w:rPr>
          <w:rFonts w:ascii="Arial" w:hAnsi="Arial" w:cs="Arial"/>
          <w:i/>
          <w:iCs/>
          <w:sz w:val="22"/>
          <w:szCs w:val="22"/>
        </w:rPr>
        <w:t>Trends in endocrinology and metabolism</w:t>
      </w:r>
      <w:r w:rsidRPr="009A4ABF">
        <w:rPr>
          <w:rFonts w:ascii="Arial" w:hAnsi="Arial" w:cs="Arial"/>
          <w:sz w:val="22"/>
          <w:szCs w:val="22"/>
        </w:rPr>
        <w:t xml:space="preserve"> [Preprint]. Available at: </w:t>
      </w:r>
      <w:hyperlink r:id="rId11" w:history="1">
        <w:r w:rsidRPr="009A4ABF">
          <w:rPr>
            <w:rStyle w:val="Hyperlink"/>
            <w:rFonts w:ascii="Arial" w:hAnsi="Arial" w:cs="Arial"/>
            <w:sz w:val="22"/>
            <w:szCs w:val="22"/>
          </w:rPr>
          <w:t>https://doi.org/10.1016/j.tem.2026.03.003</w:t>
        </w:r>
      </w:hyperlink>
      <w:r w:rsidRPr="009A4ABF">
        <w:rPr>
          <w:rFonts w:ascii="Arial" w:hAnsi="Arial" w:cs="Arial"/>
          <w:sz w:val="22"/>
          <w:szCs w:val="22"/>
        </w:rPr>
        <w:t>. (Accessed: 18 August 2026).</w:t>
      </w:r>
    </w:p>
    <w:p w14:paraId="512BD0D4" w14:textId="77777777" w:rsidR="00E9332C" w:rsidRPr="00616255" w:rsidRDefault="00E9332C" w:rsidP="009A4ABF">
      <w:pPr>
        <w:rPr>
          <w:rFonts w:ascii="Arial" w:hAnsi="Arial" w:cs="Arial"/>
          <w:sz w:val="22"/>
          <w:szCs w:val="22"/>
        </w:rPr>
      </w:pPr>
    </w:p>
    <w:p w14:paraId="604B7C85" w14:textId="5131889A"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Anya (2024) </w:t>
      </w:r>
      <w:r w:rsidRPr="009A4ABF">
        <w:rPr>
          <w:rFonts w:ascii="Arial" w:hAnsi="Arial" w:cs="Arial"/>
          <w:i/>
          <w:iCs/>
          <w:sz w:val="22"/>
          <w:szCs w:val="22"/>
        </w:rPr>
        <w:t>Tackling Black Maternal Health Disparities in the UK</w:t>
      </w:r>
      <w:r w:rsidRPr="009A4ABF">
        <w:rPr>
          <w:rFonts w:ascii="Arial" w:hAnsi="Arial" w:cs="Arial"/>
          <w:sz w:val="22"/>
          <w:szCs w:val="22"/>
        </w:rPr>
        <w:t xml:space="preserve">. Available at: </w:t>
      </w:r>
      <w:hyperlink r:id="rId12" w:history="1">
        <w:r w:rsidRPr="009A4ABF">
          <w:rPr>
            <w:rStyle w:val="Hyperlink"/>
            <w:rFonts w:ascii="Arial" w:hAnsi="Arial" w:cs="Arial"/>
            <w:sz w:val="22"/>
            <w:szCs w:val="22"/>
          </w:rPr>
          <w:t>https://anya.health/black-maternity-disparities/</w:t>
        </w:r>
      </w:hyperlink>
      <w:r w:rsidRPr="009A4ABF">
        <w:rPr>
          <w:rFonts w:ascii="Arial" w:hAnsi="Arial" w:cs="Arial"/>
          <w:sz w:val="22"/>
          <w:szCs w:val="22"/>
        </w:rPr>
        <w:t xml:space="preserve"> </w:t>
      </w:r>
      <w:bookmarkStart w:id="68" w:name="OLE_LINK15"/>
      <w:bookmarkStart w:id="69" w:name="OLE_LINK16"/>
      <w:r w:rsidRPr="009A4ABF">
        <w:rPr>
          <w:rFonts w:ascii="Arial" w:hAnsi="Arial" w:cs="Arial"/>
          <w:sz w:val="22"/>
          <w:szCs w:val="22"/>
        </w:rPr>
        <w:t>(Accessed: 18 August 2026).</w:t>
      </w:r>
      <w:bookmarkEnd w:id="68"/>
      <w:bookmarkEnd w:id="69"/>
    </w:p>
    <w:p w14:paraId="2F6E5406" w14:textId="54E87D18"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Arechvo, A., Voicu, D., Gil, M.M., Syngelaki, A., Akolekar, R. and Nicolaides, K.H. (2022) 'Maternal race and pre-eclampsia: Cohort study and systematic review with meta-analysis', </w:t>
      </w:r>
      <w:r w:rsidRPr="009A4ABF">
        <w:rPr>
          <w:rFonts w:ascii="Arial" w:hAnsi="Arial" w:cs="Arial"/>
          <w:i/>
          <w:iCs/>
          <w:sz w:val="22"/>
          <w:szCs w:val="22"/>
        </w:rPr>
        <w:t>BJOG: An International Journal of Obstetrics &amp; Gynaecology</w:t>
      </w:r>
      <w:r w:rsidRPr="009A4ABF">
        <w:rPr>
          <w:rFonts w:ascii="Arial" w:hAnsi="Arial" w:cs="Arial"/>
          <w:sz w:val="22"/>
          <w:szCs w:val="22"/>
        </w:rPr>
        <w:t xml:space="preserve">, 129(12), pp. 2082–2093. Available at: </w:t>
      </w:r>
      <w:hyperlink r:id="rId13" w:history="1">
        <w:r w:rsidRPr="009A4ABF">
          <w:rPr>
            <w:rStyle w:val="Hyperlink"/>
            <w:rFonts w:ascii="Arial" w:hAnsi="Arial" w:cs="Arial"/>
            <w:sz w:val="22"/>
            <w:szCs w:val="22"/>
          </w:rPr>
          <w:t>https://obgyn.onlinelibrary.wiley.com/doi/abs/10.1111/1471-0528.17240</w:t>
        </w:r>
      </w:hyperlink>
      <w:r w:rsidRPr="009A4ABF">
        <w:rPr>
          <w:rFonts w:ascii="Arial" w:hAnsi="Arial" w:cs="Arial"/>
          <w:sz w:val="22"/>
          <w:szCs w:val="22"/>
        </w:rPr>
        <w:t xml:space="preserve"> (Accessed: 18 August 2026).</w:t>
      </w:r>
    </w:p>
    <w:p w14:paraId="369A2A8B" w14:textId="781C8EEA"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Caron, R.M., Noel, K., Reed, R.N., Sibel, J. and Smith, H.J. (2023) 'Health promotion, health protection, and disease prevention: challenges and opportunities in a dynamic landscape', </w:t>
      </w:r>
      <w:r w:rsidRPr="009A4ABF">
        <w:rPr>
          <w:rFonts w:ascii="Arial" w:hAnsi="Arial" w:cs="Arial"/>
          <w:i/>
          <w:iCs/>
          <w:sz w:val="22"/>
          <w:szCs w:val="22"/>
        </w:rPr>
        <w:t>AJPM Focus</w:t>
      </w:r>
      <w:r w:rsidRPr="009A4ABF">
        <w:rPr>
          <w:rFonts w:ascii="Arial" w:hAnsi="Arial" w:cs="Arial"/>
          <w:sz w:val="22"/>
          <w:szCs w:val="22"/>
        </w:rPr>
        <w:t>, 3(1), 100167.</w:t>
      </w:r>
      <w:r w:rsidR="00CF0627" w:rsidRPr="00CF0627">
        <w:t xml:space="preserve"> </w:t>
      </w:r>
      <w:r w:rsidR="00CF0627" w:rsidRPr="009A4ABF">
        <w:rPr>
          <w:rFonts w:ascii="Arial" w:hAnsi="Arial" w:cs="Arial"/>
          <w:sz w:val="22"/>
          <w:szCs w:val="22"/>
        </w:rPr>
        <w:t xml:space="preserve">Available at: </w:t>
      </w:r>
      <w:hyperlink r:id="rId14" w:history="1">
        <w:r w:rsidR="00CF0627" w:rsidRPr="009A4ABF">
          <w:rPr>
            <w:rStyle w:val="Hyperlink"/>
            <w:rFonts w:ascii="Arial" w:hAnsi="Arial" w:cs="Arial"/>
            <w:sz w:val="22"/>
            <w:szCs w:val="22"/>
          </w:rPr>
          <w:t>https://doi.org/10.1016/j.focus.2023.100167</w:t>
        </w:r>
      </w:hyperlink>
      <w:r w:rsidR="00CF0627" w:rsidRPr="009A4ABF">
        <w:rPr>
          <w:rFonts w:ascii="Arial" w:hAnsi="Arial" w:cs="Arial"/>
          <w:sz w:val="22"/>
          <w:szCs w:val="22"/>
        </w:rPr>
        <w:t xml:space="preserve">. (Accessed: 18 August 2026). </w:t>
      </w:r>
    </w:p>
    <w:p w14:paraId="535EF175" w14:textId="72446895" w:rsidR="00E9332C" w:rsidRPr="009A4ABF" w:rsidRDefault="00623A2E" w:rsidP="009A4ABF">
      <w:pPr>
        <w:ind w:left="360"/>
        <w:rPr>
          <w:rFonts w:ascii="Arial" w:hAnsi="Arial" w:cs="Arial"/>
          <w:sz w:val="22"/>
          <w:szCs w:val="22"/>
        </w:rPr>
      </w:pPr>
      <w:r w:rsidRPr="009A4ABF">
        <w:rPr>
          <w:rFonts w:ascii="Arial" w:hAnsi="Arial" w:cs="Arial"/>
          <w:sz w:val="22"/>
          <w:szCs w:val="22"/>
        </w:rPr>
        <w:t>Connelly</w:t>
      </w:r>
      <w:r w:rsidR="00E9332C" w:rsidRPr="009A4ABF">
        <w:rPr>
          <w:rFonts w:ascii="Arial" w:hAnsi="Arial" w:cs="Arial"/>
          <w:sz w:val="22"/>
          <w:szCs w:val="22"/>
        </w:rPr>
        <w:t xml:space="preserve">, M. </w:t>
      </w:r>
      <w:r w:rsidR="00E9332C" w:rsidRPr="009A4ABF">
        <w:rPr>
          <w:rFonts w:ascii="Arial" w:hAnsi="Arial" w:cs="Arial"/>
          <w:i/>
          <w:iCs/>
          <w:sz w:val="22"/>
          <w:szCs w:val="22"/>
        </w:rPr>
        <w:t>et al.</w:t>
      </w:r>
      <w:r w:rsidR="00E9332C" w:rsidRPr="009A4ABF">
        <w:rPr>
          <w:rFonts w:ascii="Arial" w:hAnsi="Arial" w:cs="Arial"/>
          <w:sz w:val="22"/>
          <w:szCs w:val="22"/>
        </w:rPr>
        <w:t xml:space="preserve"> (2023) ‘Exploring Black and South Asian women’s experiences of help-seeking and engagement in perinatal mental health services in the UK’, </w:t>
      </w:r>
      <w:r w:rsidR="00E9332C" w:rsidRPr="009A4ABF">
        <w:rPr>
          <w:rFonts w:ascii="Arial" w:hAnsi="Arial" w:cs="Arial"/>
          <w:i/>
          <w:iCs/>
          <w:sz w:val="22"/>
          <w:szCs w:val="22"/>
        </w:rPr>
        <w:t>Frontiers in psychiatry</w:t>
      </w:r>
      <w:r w:rsidR="00E9332C" w:rsidRPr="009A4ABF">
        <w:rPr>
          <w:rFonts w:ascii="Arial" w:hAnsi="Arial" w:cs="Arial"/>
          <w:sz w:val="22"/>
          <w:szCs w:val="22"/>
        </w:rPr>
        <w:t xml:space="preserve">, 14, p. 1119998. Available at: </w:t>
      </w:r>
      <w:hyperlink r:id="rId15" w:history="1">
        <w:r w:rsidR="00E9332C" w:rsidRPr="009A4ABF">
          <w:rPr>
            <w:rStyle w:val="Hyperlink"/>
            <w:rFonts w:ascii="Arial" w:hAnsi="Arial" w:cs="Arial"/>
            <w:sz w:val="22"/>
            <w:szCs w:val="22"/>
          </w:rPr>
          <w:t>https://doi.org/10.3389/fpsyt.2023.1119998</w:t>
        </w:r>
      </w:hyperlink>
      <w:r w:rsidR="00E9332C" w:rsidRPr="009A4ABF">
        <w:rPr>
          <w:rFonts w:ascii="Arial" w:hAnsi="Arial" w:cs="Arial"/>
          <w:sz w:val="22"/>
          <w:szCs w:val="22"/>
        </w:rPr>
        <w:t xml:space="preserve">. </w:t>
      </w:r>
      <w:r w:rsidR="00C33152" w:rsidRPr="009A4ABF">
        <w:rPr>
          <w:rFonts w:ascii="Arial" w:hAnsi="Arial" w:cs="Arial"/>
          <w:sz w:val="22"/>
          <w:szCs w:val="22"/>
        </w:rPr>
        <w:t>(Accessed: 18 August 2026).</w:t>
      </w:r>
    </w:p>
    <w:p w14:paraId="4B55B87C" w14:textId="77777777" w:rsidR="00C33152" w:rsidRPr="00616255" w:rsidRDefault="00C33152" w:rsidP="009A4ABF">
      <w:pPr>
        <w:rPr>
          <w:rFonts w:ascii="Arial" w:hAnsi="Arial" w:cs="Arial"/>
          <w:sz w:val="22"/>
          <w:szCs w:val="22"/>
        </w:rPr>
      </w:pPr>
    </w:p>
    <w:p w14:paraId="5718F2C2"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Dayo, E., Christy, K. and Habte, R. (2023) 'Health in colour: black women, racism, and maternal health', </w:t>
      </w:r>
      <w:r w:rsidRPr="009A4ABF">
        <w:rPr>
          <w:rStyle w:val="Emphasis"/>
          <w:rFonts w:ascii="Arial" w:eastAsiaTheme="majorEastAsia" w:hAnsi="Arial" w:cs="Arial"/>
          <w:sz w:val="22"/>
          <w:szCs w:val="22"/>
        </w:rPr>
        <w:t>Lancet Regional Health – Americas</w:t>
      </w:r>
      <w:r w:rsidRPr="009A4ABF">
        <w:rPr>
          <w:rFonts w:ascii="Arial" w:hAnsi="Arial" w:cs="Arial"/>
          <w:sz w:val="22"/>
          <w:szCs w:val="22"/>
        </w:rPr>
        <w:t xml:space="preserve">, 17, 100408. Available at: </w:t>
      </w:r>
      <w:hyperlink r:id="rId16" w:history="1">
        <w:r w:rsidRPr="009A4ABF">
          <w:rPr>
            <w:rStyle w:val="Hyperlink"/>
            <w:rFonts w:ascii="Arial" w:hAnsi="Arial" w:cs="Arial"/>
            <w:sz w:val="22"/>
            <w:szCs w:val="22"/>
          </w:rPr>
          <w:t>https://pmc.ncbi.nlm.nih.gov/articles/PMC9735204/</w:t>
        </w:r>
      </w:hyperlink>
      <w:r w:rsidRPr="009A4ABF">
        <w:rPr>
          <w:rFonts w:ascii="Arial" w:hAnsi="Arial" w:cs="Arial"/>
          <w:sz w:val="22"/>
          <w:szCs w:val="22"/>
        </w:rPr>
        <w:t xml:space="preserve"> </w:t>
      </w:r>
    </w:p>
    <w:p w14:paraId="7325D052" w14:textId="69AE66D1"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e-ECHOES study (2023) 'Left ventricular hypertrophy and mortality in ethnic minority groups in the UK: e-ECHOES study'. Available at: </w:t>
      </w:r>
      <w:hyperlink r:id="rId17" w:history="1">
        <w:r w:rsidR="00C33152" w:rsidRPr="009A4ABF">
          <w:rPr>
            <w:rStyle w:val="Hyperlink"/>
            <w:rFonts w:ascii="Arial" w:hAnsi="Arial" w:cs="Arial"/>
            <w:sz w:val="22"/>
            <w:szCs w:val="22"/>
          </w:rPr>
          <w:t>https://www.ncbi.nlm.nih.gov/pmc/articles/PMC10712994/</w:t>
        </w:r>
      </w:hyperlink>
      <w:r w:rsidR="00C33152" w:rsidRPr="009A4ABF">
        <w:rPr>
          <w:rFonts w:ascii="Arial" w:hAnsi="Arial" w:cs="Arial"/>
          <w:sz w:val="22"/>
          <w:szCs w:val="22"/>
        </w:rPr>
        <w:t xml:space="preserve"> </w:t>
      </w:r>
      <w:r w:rsidRPr="009A4ABF">
        <w:rPr>
          <w:rFonts w:ascii="Arial" w:hAnsi="Arial" w:cs="Arial"/>
          <w:sz w:val="22"/>
          <w:szCs w:val="22"/>
        </w:rPr>
        <w:t>(Accessed: 18 August 2026).</w:t>
      </w:r>
    </w:p>
    <w:p w14:paraId="0CB5BD72" w14:textId="397DE65B"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Eastwood, S.V., Hughes, A.D., Tomlinson, L., Mathur, R., Smeeth, L., Bhaskaran, K. and Chaturvedi, N. (2022) 'Ethnic differences in hypertension management, medication use and blood pressure control in UK primary care, 2006–2019: a retrospective cohort study', </w:t>
      </w:r>
      <w:r w:rsidRPr="009A4ABF">
        <w:rPr>
          <w:rFonts w:ascii="Arial" w:hAnsi="Arial" w:cs="Arial"/>
          <w:i/>
          <w:iCs/>
          <w:sz w:val="22"/>
          <w:szCs w:val="22"/>
        </w:rPr>
        <w:t>Lancet Regional Health – Europe</w:t>
      </w:r>
      <w:r w:rsidRPr="009A4ABF">
        <w:rPr>
          <w:rFonts w:ascii="Arial" w:hAnsi="Arial" w:cs="Arial"/>
          <w:sz w:val="22"/>
          <w:szCs w:val="22"/>
        </w:rPr>
        <w:t xml:space="preserve">, 25, 100557. Available at: </w:t>
      </w:r>
      <w:hyperlink r:id="rId18" w:history="1">
        <w:r w:rsidR="004E0657" w:rsidRPr="009A4ABF">
          <w:rPr>
            <w:rStyle w:val="Hyperlink"/>
            <w:rFonts w:ascii="Arial" w:hAnsi="Arial" w:cs="Arial"/>
            <w:sz w:val="22"/>
            <w:szCs w:val="22"/>
          </w:rPr>
          <w:t>https://www.thelancet.com/journals/lanepe/article/PIIS2666-7762(22)00253-8/fulltext</w:t>
        </w:r>
      </w:hyperlink>
      <w:r w:rsidR="004E0657" w:rsidRPr="009A4ABF">
        <w:rPr>
          <w:rFonts w:ascii="Arial" w:hAnsi="Arial" w:cs="Arial"/>
          <w:sz w:val="22"/>
          <w:szCs w:val="22"/>
        </w:rPr>
        <w:t xml:space="preserve"> </w:t>
      </w:r>
      <w:r w:rsidRPr="009A4ABF">
        <w:rPr>
          <w:rFonts w:ascii="Arial" w:hAnsi="Arial" w:cs="Arial"/>
          <w:sz w:val="22"/>
          <w:szCs w:val="22"/>
        </w:rPr>
        <w:t xml:space="preserve"> (Accessed: 18 August 2026).</w:t>
      </w:r>
    </w:p>
    <w:p w14:paraId="0E43A2F7"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Five X More (2025) </w:t>
      </w:r>
      <w:r w:rsidRPr="009A4ABF">
        <w:rPr>
          <w:rStyle w:val="Emphasis"/>
          <w:rFonts w:ascii="Arial" w:eastAsiaTheme="majorEastAsia" w:hAnsi="Arial" w:cs="Arial"/>
          <w:sz w:val="22"/>
          <w:szCs w:val="22"/>
        </w:rPr>
        <w:t>Our Story</w:t>
      </w:r>
      <w:r w:rsidRPr="009A4ABF">
        <w:rPr>
          <w:rFonts w:ascii="Arial" w:hAnsi="Arial" w:cs="Arial"/>
          <w:sz w:val="22"/>
          <w:szCs w:val="22"/>
        </w:rPr>
        <w:t xml:space="preserve">. Available at: </w:t>
      </w:r>
      <w:hyperlink r:id="rId19" w:history="1">
        <w:r w:rsidRPr="009A4ABF">
          <w:rPr>
            <w:rStyle w:val="Hyperlink"/>
            <w:rFonts w:ascii="Arial" w:hAnsi="Arial" w:cs="Arial"/>
            <w:sz w:val="22"/>
            <w:szCs w:val="22"/>
          </w:rPr>
          <w:t>https://fivexmore.org/meet-the-team</w:t>
        </w:r>
      </w:hyperlink>
      <w:r w:rsidRPr="009A4ABF">
        <w:rPr>
          <w:rFonts w:ascii="Arial" w:hAnsi="Arial" w:cs="Arial"/>
          <w:sz w:val="22"/>
          <w:szCs w:val="22"/>
        </w:rPr>
        <w:t xml:space="preserve"> (Accessed: 18 August 2026).</w:t>
      </w:r>
    </w:p>
    <w:p w14:paraId="53CF904E"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Five X More (2026) </w:t>
      </w:r>
      <w:r w:rsidRPr="009A4ABF">
        <w:rPr>
          <w:rStyle w:val="Emphasis"/>
          <w:rFonts w:ascii="Arial" w:eastAsiaTheme="majorEastAsia" w:hAnsi="Arial" w:cs="Arial"/>
          <w:sz w:val="22"/>
          <w:szCs w:val="22"/>
        </w:rPr>
        <w:t>Black Maternity Experiences Report 2025</w:t>
      </w:r>
      <w:r w:rsidRPr="009A4ABF">
        <w:rPr>
          <w:rFonts w:ascii="Arial" w:hAnsi="Arial" w:cs="Arial"/>
          <w:sz w:val="22"/>
          <w:szCs w:val="22"/>
        </w:rPr>
        <w:t xml:space="preserve">. Available at: </w:t>
      </w:r>
      <w:hyperlink r:id="rId20" w:history="1">
        <w:r w:rsidRPr="009A4ABF">
          <w:rPr>
            <w:rStyle w:val="Hyperlink"/>
            <w:rFonts w:ascii="Arial" w:eastAsiaTheme="majorEastAsia" w:hAnsi="Arial" w:cs="Arial"/>
            <w:sz w:val="22"/>
            <w:szCs w:val="22"/>
          </w:rPr>
          <w:t>https://fivexmore.org/black-maternity-experiences-report-2025</w:t>
        </w:r>
      </w:hyperlink>
      <w:r w:rsidRPr="009A4ABF">
        <w:rPr>
          <w:rFonts w:ascii="Arial" w:hAnsi="Arial" w:cs="Arial"/>
          <w:sz w:val="22"/>
          <w:szCs w:val="22"/>
        </w:rPr>
        <w:t xml:space="preserve"> (Accessed: 18 August 2026).</w:t>
      </w:r>
    </w:p>
    <w:p w14:paraId="5CDFF17A"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Future Care Capital (2024) </w:t>
      </w:r>
      <w:r w:rsidRPr="009A4ABF">
        <w:rPr>
          <w:rFonts w:ascii="Arial" w:hAnsi="Arial" w:cs="Arial"/>
          <w:i/>
          <w:iCs/>
          <w:sz w:val="22"/>
          <w:szCs w:val="22"/>
        </w:rPr>
        <w:t xml:space="preserve">Black mothers, hospitalisation and perinatal mental health. </w:t>
      </w:r>
      <w:r w:rsidRPr="009A4ABF">
        <w:rPr>
          <w:rFonts w:ascii="Arial" w:hAnsi="Arial" w:cs="Arial"/>
          <w:sz w:val="22"/>
          <w:szCs w:val="22"/>
        </w:rPr>
        <w:t xml:space="preserve">Available at: </w:t>
      </w:r>
      <w:hyperlink r:id="rId21" w:history="1">
        <w:r w:rsidRPr="009A4ABF">
          <w:rPr>
            <w:rStyle w:val="Hyperlink"/>
            <w:rFonts w:ascii="Arial" w:hAnsi="Arial" w:cs="Arial"/>
            <w:sz w:val="22"/>
            <w:szCs w:val="22"/>
          </w:rPr>
          <w:t>https://futurecarecapital.org.uk/latest/black-mothers-hospitalisation-and-perinatal-mental-health/</w:t>
        </w:r>
      </w:hyperlink>
      <w:r w:rsidRPr="009A4ABF">
        <w:rPr>
          <w:rFonts w:ascii="Arial" w:hAnsi="Arial" w:cs="Arial"/>
          <w:sz w:val="22"/>
          <w:szCs w:val="22"/>
        </w:rPr>
        <w:t xml:space="preserve"> (Accessed: 18 August 2026).</w:t>
      </w:r>
    </w:p>
    <w:p w14:paraId="7986255F" w14:textId="77777777" w:rsidR="005A59A3"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GOV.UK (2022) </w:t>
      </w:r>
      <w:r w:rsidRPr="009A4ABF">
        <w:rPr>
          <w:rFonts w:ascii="Arial" w:hAnsi="Arial" w:cs="Arial"/>
          <w:i/>
          <w:iCs/>
          <w:sz w:val="22"/>
          <w:szCs w:val="22"/>
        </w:rPr>
        <w:t>New taskforce to level up maternity care and tackle disparities. Department of Health and Social Care</w:t>
      </w:r>
      <w:r w:rsidRPr="009A4ABF">
        <w:rPr>
          <w:rFonts w:ascii="Arial" w:hAnsi="Arial" w:cs="Arial"/>
          <w:sz w:val="22"/>
          <w:szCs w:val="22"/>
        </w:rPr>
        <w:t xml:space="preserve">. Available at: </w:t>
      </w:r>
      <w:hyperlink r:id="rId22" w:history="1">
        <w:r w:rsidRPr="009A4ABF">
          <w:rPr>
            <w:rStyle w:val="Hyperlink"/>
            <w:rFonts w:ascii="Arial" w:hAnsi="Arial" w:cs="Arial"/>
            <w:sz w:val="22"/>
            <w:szCs w:val="22"/>
          </w:rPr>
          <w:t>https://www.gov.uk/government/news/new-taskforce-to-level-up-maternity-care-and-tackle-disparities</w:t>
        </w:r>
      </w:hyperlink>
      <w:r w:rsidRPr="009A4ABF">
        <w:rPr>
          <w:rFonts w:ascii="Arial" w:hAnsi="Arial" w:cs="Arial"/>
          <w:sz w:val="22"/>
          <w:szCs w:val="22"/>
        </w:rPr>
        <w:t xml:space="preserve"> (Accessed: 18 August 2026). </w:t>
      </w:r>
    </w:p>
    <w:p w14:paraId="045FA4DC" w14:textId="304415A1" w:rsidR="005A59A3" w:rsidRPr="009A4ABF" w:rsidRDefault="005A59A3" w:rsidP="009A4ABF">
      <w:pPr>
        <w:spacing w:after="120"/>
        <w:ind w:left="360"/>
        <w:rPr>
          <w:rFonts w:ascii="Arial" w:hAnsi="Arial" w:cs="Arial"/>
          <w:sz w:val="22"/>
          <w:szCs w:val="22"/>
        </w:rPr>
      </w:pPr>
      <w:r w:rsidRPr="009A4ABF">
        <w:rPr>
          <w:rFonts w:ascii="Arial" w:hAnsi="Arial" w:cs="Arial"/>
          <w:sz w:val="22"/>
          <w:szCs w:val="22"/>
        </w:rPr>
        <w:t xml:space="preserve">Hayanga, B., Stafford, M. and Bécares, L. (2023) ‘Ethnic inequalities in multiple long-term health conditions in the United Kingdom: a systematic review and narrative </w:t>
      </w:r>
      <w:r w:rsidRPr="009A4ABF">
        <w:rPr>
          <w:rFonts w:ascii="Arial" w:hAnsi="Arial" w:cs="Arial"/>
          <w:sz w:val="22"/>
          <w:szCs w:val="22"/>
        </w:rPr>
        <w:lastRenderedPageBreak/>
        <w:t xml:space="preserve">synthesis’, </w:t>
      </w:r>
      <w:r w:rsidRPr="009A4ABF">
        <w:rPr>
          <w:rFonts w:ascii="Arial" w:hAnsi="Arial" w:cs="Arial"/>
          <w:i/>
          <w:iCs/>
          <w:sz w:val="22"/>
          <w:szCs w:val="22"/>
        </w:rPr>
        <w:t>BMC public health</w:t>
      </w:r>
      <w:r w:rsidRPr="009A4ABF">
        <w:rPr>
          <w:rFonts w:ascii="Arial" w:hAnsi="Arial" w:cs="Arial"/>
          <w:sz w:val="22"/>
          <w:szCs w:val="22"/>
        </w:rPr>
        <w:t xml:space="preserve">, 23(1). Available at: </w:t>
      </w:r>
      <w:hyperlink r:id="rId23" w:history="1">
        <w:r w:rsidRPr="009A4ABF">
          <w:rPr>
            <w:rStyle w:val="Hyperlink"/>
            <w:rFonts w:ascii="Arial" w:hAnsi="Arial" w:cs="Arial"/>
            <w:sz w:val="22"/>
            <w:szCs w:val="22"/>
          </w:rPr>
          <w:t>https://doi.org/10.1186/s12889-022-14940-w</w:t>
        </w:r>
      </w:hyperlink>
      <w:r w:rsidRPr="009A4ABF">
        <w:rPr>
          <w:rFonts w:ascii="Arial" w:hAnsi="Arial" w:cs="Arial"/>
          <w:sz w:val="22"/>
          <w:szCs w:val="22"/>
        </w:rPr>
        <w:t>. (Accessed: 18 August 2026).</w:t>
      </w:r>
    </w:p>
    <w:p w14:paraId="25C7B734"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Kamombo, O. (2020) 'Maternal mortality five times higher in black women than white women, says report', </w:t>
      </w:r>
      <w:r w:rsidRPr="009A4ABF">
        <w:rPr>
          <w:rStyle w:val="Emphasis"/>
          <w:rFonts w:ascii="Arial" w:eastAsiaTheme="majorEastAsia" w:hAnsi="Arial" w:cs="Arial"/>
          <w:sz w:val="22"/>
          <w:szCs w:val="22"/>
        </w:rPr>
        <w:t>Voice of London</w:t>
      </w:r>
      <w:r w:rsidRPr="009A4ABF">
        <w:rPr>
          <w:rFonts w:ascii="Arial" w:hAnsi="Arial" w:cs="Arial"/>
          <w:sz w:val="22"/>
          <w:szCs w:val="22"/>
        </w:rPr>
        <w:t xml:space="preserve">, 2 December. Available at: </w:t>
      </w:r>
      <w:hyperlink r:id="rId24" w:history="1">
        <w:r w:rsidRPr="009A4ABF">
          <w:rPr>
            <w:rStyle w:val="Hyperlink"/>
            <w:rFonts w:ascii="Arial" w:eastAsiaTheme="majorEastAsia" w:hAnsi="Arial" w:cs="Arial"/>
            <w:sz w:val="22"/>
            <w:szCs w:val="22"/>
          </w:rPr>
          <w:t>https://blog.westminster.ac.uk/thevoiceoflondon/maternal-mortality-five-times-higher-in-black-women-than-white-women-says-report/</w:t>
        </w:r>
      </w:hyperlink>
      <w:r w:rsidRPr="009A4ABF">
        <w:rPr>
          <w:rFonts w:ascii="Arial" w:hAnsi="Arial" w:cs="Arial"/>
          <w:sz w:val="22"/>
          <w:szCs w:val="22"/>
        </w:rPr>
        <w:t xml:space="preserve"> (Accessed: 18 August 2026).</w:t>
      </w:r>
    </w:p>
    <w:p w14:paraId="79CC1589" w14:textId="032088BE"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Keyes, D., Turfe, H. and Das, J.M. (2025) </w:t>
      </w:r>
      <w:r w:rsidRPr="009A4ABF">
        <w:rPr>
          <w:rFonts w:ascii="Arial" w:hAnsi="Arial" w:cs="Arial"/>
          <w:i/>
          <w:iCs/>
          <w:sz w:val="22"/>
          <w:szCs w:val="22"/>
        </w:rPr>
        <w:t>Prevention Strategies.</w:t>
      </w:r>
      <w:r w:rsidRPr="009A4ABF">
        <w:rPr>
          <w:rFonts w:ascii="Arial" w:hAnsi="Arial" w:cs="Arial"/>
          <w:sz w:val="22"/>
          <w:szCs w:val="22"/>
        </w:rPr>
        <w:t xml:space="preserve"> Available at: </w:t>
      </w:r>
      <w:hyperlink r:id="rId25" w:history="1">
        <w:r w:rsidR="0047313D" w:rsidRPr="009A4ABF">
          <w:rPr>
            <w:rStyle w:val="Hyperlink"/>
            <w:rFonts w:ascii="Arial" w:hAnsi="Arial" w:cs="Arial"/>
            <w:sz w:val="22"/>
            <w:szCs w:val="22"/>
          </w:rPr>
          <w:t>https://www.ncbi.nlm.nih.gov/books/NBK537222/</w:t>
        </w:r>
      </w:hyperlink>
      <w:r w:rsidR="0047313D" w:rsidRPr="009A4ABF">
        <w:rPr>
          <w:rFonts w:ascii="Arial" w:hAnsi="Arial" w:cs="Arial"/>
          <w:sz w:val="22"/>
          <w:szCs w:val="22"/>
        </w:rPr>
        <w:t xml:space="preserve"> </w:t>
      </w:r>
      <w:r w:rsidRPr="009A4ABF">
        <w:rPr>
          <w:rFonts w:ascii="Arial" w:hAnsi="Arial" w:cs="Arial"/>
          <w:sz w:val="22"/>
          <w:szCs w:val="22"/>
        </w:rPr>
        <w:t xml:space="preserve"> (Accessed: 18 August 2026).</w:t>
      </w:r>
    </w:p>
    <w:p w14:paraId="25632C32" w14:textId="66E207A4"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King's College London (2023) </w:t>
      </w:r>
      <w:r w:rsidRPr="009A4ABF">
        <w:rPr>
          <w:rFonts w:ascii="Arial" w:hAnsi="Arial" w:cs="Arial"/>
          <w:i/>
          <w:iCs/>
          <w:sz w:val="22"/>
          <w:szCs w:val="22"/>
        </w:rPr>
        <w:t xml:space="preserve">Black women face the worst health inequalities in South London. </w:t>
      </w:r>
      <w:r w:rsidRPr="009A4ABF">
        <w:rPr>
          <w:rFonts w:ascii="Arial" w:hAnsi="Arial" w:cs="Arial"/>
          <w:sz w:val="22"/>
          <w:szCs w:val="22"/>
        </w:rPr>
        <w:t xml:space="preserve">Available at: </w:t>
      </w:r>
      <w:hyperlink r:id="rId26" w:history="1">
        <w:r w:rsidR="004E0657" w:rsidRPr="009A4ABF">
          <w:rPr>
            <w:rStyle w:val="Hyperlink"/>
            <w:rFonts w:ascii="Arial" w:hAnsi="Arial" w:cs="Arial"/>
            <w:sz w:val="22"/>
            <w:szCs w:val="22"/>
          </w:rPr>
          <w:t>https://www.kcl.ac.uk/news/black-women-face-the-worst-health-inequalities-in-south-london</w:t>
        </w:r>
      </w:hyperlink>
      <w:r w:rsidR="004E0657" w:rsidRPr="009A4ABF">
        <w:rPr>
          <w:rFonts w:ascii="Arial" w:hAnsi="Arial" w:cs="Arial"/>
          <w:sz w:val="22"/>
          <w:szCs w:val="22"/>
        </w:rPr>
        <w:t xml:space="preserve"> </w:t>
      </w:r>
      <w:r w:rsidRPr="009A4ABF">
        <w:rPr>
          <w:rFonts w:ascii="Arial" w:hAnsi="Arial" w:cs="Arial"/>
          <w:sz w:val="22"/>
          <w:szCs w:val="22"/>
        </w:rPr>
        <w:t>(Accessed: 18 August 2026).</w:t>
      </w:r>
    </w:p>
    <w:p w14:paraId="68A34491" w14:textId="43A2441F"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Lambeth Together (2023) </w:t>
      </w:r>
      <w:r w:rsidRPr="009A4ABF">
        <w:rPr>
          <w:rFonts w:ascii="Arial" w:hAnsi="Arial" w:cs="Arial"/>
          <w:i/>
          <w:iCs/>
          <w:sz w:val="22"/>
          <w:szCs w:val="22"/>
        </w:rPr>
        <w:t>Lambeth GPs close equalities gap to improve life chances for people with high blood pressure</w:t>
      </w:r>
      <w:r w:rsidRPr="009A4ABF">
        <w:rPr>
          <w:rFonts w:ascii="Arial" w:hAnsi="Arial" w:cs="Arial"/>
          <w:sz w:val="22"/>
          <w:szCs w:val="22"/>
        </w:rPr>
        <w:t xml:space="preserve">. Available at: </w:t>
      </w:r>
      <w:hyperlink r:id="rId27" w:history="1">
        <w:r w:rsidR="004E0657" w:rsidRPr="009A4ABF">
          <w:rPr>
            <w:rStyle w:val="Hyperlink"/>
            <w:rFonts w:ascii="Arial" w:hAnsi="Arial" w:cs="Arial"/>
            <w:sz w:val="22"/>
            <w:szCs w:val="22"/>
          </w:rPr>
          <w:t>https://www.lambethtogether.net/news/lambeth-gps-close-equalities-gap-to-improve-life-chances-for-people-with-high-blood-pressure/</w:t>
        </w:r>
      </w:hyperlink>
      <w:r w:rsidR="004E0657" w:rsidRPr="009A4ABF">
        <w:rPr>
          <w:rFonts w:ascii="Arial" w:hAnsi="Arial" w:cs="Arial"/>
          <w:sz w:val="22"/>
          <w:szCs w:val="22"/>
        </w:rPr>
        <w:t xml:space="preserve"> </w:t>
      </w:r>
      <w:r w:rsidRPr="009A4ABF">
        <w:rPr>
          <w:rFonts w:ascii="Arial" w:hAnsi="Arial" w:cs="Arial"/>
          <w:sz w:val="22"/>
          <w:szCs w:val="22"/>
        </w:rPr>
        <w:t>(Accessed: 18 August 2026).</w:t>
      </w:r>
    </w:p>
    <w:p w14:paraId="6F44E745" w14:textId="357D1376" w:rsidR="00973E59"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Lambeth Together (2024) </w:t>
      </w:r>
      <w:r w:rsidRPr="000A29DC">
        <w:rPr>
          <w:rFonts w:ascii="Arial" w:hAnsi="Arial" w:cs="Arial"/>
          <w:i/>
          <w:iCs/>
          <w:sz w:val="22"/>
          <w:szCs w:val="22"/>
        </w:rPr>
        <w:t xml:space="preserve">Hypertension Workstream. Neighbourhood and Wellbeing Delivery Alliance. </w:t>
      </w:r>
      <w:r w:rsidRPr="009A4ABF">
        <w:rPr>
          <w:rFonts w:ascii="Arial" w:hAnsi="Arial" w:cs="Arial"/>
          <w:sz w:val="22"/>
          <w:szCs w:val="22"/>
        </w:rPr>
        <w:t xml:space="preserve">Available at: </w:t>
      </w:r>
      <w:hyperlink r:id="rId28" w:history="1">
        <w:r w:rsidR="000A29DC" w:rsidRPr="00AD26F6">
          <w:rPr>
            <w:rStyle w:val="Hyperlink"/>
            <w:rFonts w:ascii="Arial" w:hAnsi="Arial" w:cs="Arial"/>
            <w:sz w:val="22"/>
            <w:szCs w:val="22"/>
          </w:rPr>
          <w:t>https://www.lambethtogether.net/delivery-alliances/nwda/about-old/nwda-current-projects/hypertension/</w:t>
        </w:r>
      </w:hyperlink>
      <w:r w:rsidR="000A29DC">
        <w:rPr>
          <w:rFonts w:ascii="Arial" w:hAnsi="Arial" w:cs="Arial"/>
          <w:sz w:val="22"/>
          <w:szCs w:val="22"/>
        </w:rPr>
        <w:t xml:space="preserve"> </w:t>
      </w:r>
      <w:r w:rsidRPr="009A4ABF">
        <w:rPr>
          <w:rFonts w:ascii="Arial" w:hAnsi="Arial" w:cs="Arial"/>
          <w:sz w:val="22"/>
          <w:szCs w:val="22"/>
        </w:rPr>
        <w:t>(Accessed: 18 August 2026).</w:t>
      </w:r>
    </w:p>
    <w:p w14:paraId="2AF70214" w14:textId="678BAADA" w:rsidR="00973E59" w:rsidRPr="009A4ABF" w:rsidRDefault="00973E59" w:rsidP="009A4ABF">
      <w:pPr>
        <w:spacing w:after="120"/>
        <w:ind w:left="360"/>
        <w:rPr>
          <w:rFonts w:ascii="Arial" w:hAnsi="Arial" w:cs="Arial"/>
          <w:sz w:val="22"/>
          <w:szCs w:val="22"/>
        </w:rPr>
      </w:pPr>
      <w:r w:rsidRPr="009A4ABF">
        <w:rPr>
          <w:rFonts w:ascii="Arial" w:hAnsi="Arial" w:cs="Arial"/>
          <w:sz w:val="22"/>
          <w:szCs w:val="22"/>
        </w:rPr>
        <w:t xml:space="preserve">Lesko, C.R., Fox, M.P. and Edwards, J.K. (2022) ‘A Framework for Descriptive Epidemiology’, </w:t>
      </w:r>
      <w:r w:rsidRPr="009A4ABF">
        <w:rPr>
          <w:rFonts w:ascii="Arial" w:hAnsi="Arial" w:cs="Arial"/>
          <w:i/>
          <w:iCs/>
          <w:sz w:val="22"/>
          <w:szCs w:val="22"/>
        </w:rPr>
        <w:t>American journal of epidemiology</w:t>
      </w:r>
      <w:r w:rsidRPr="009A4ABF">
        <w:rPr>
          <w:rFonts w:ascii="Arial" w:hAnsi="Arial" w:cs="Arial"/>
          <w:sz w:val="22"/>
          <w:szCs w:val="22"/>
        </w:rPr>
        <w:t xml:space="preserve">, 191(12), pp. 2063–2070. Available at: </w:t>
      </w:r>
      <w:hyperlink r:id="rId29" w:history="1">
        <w:r w:rsidRPr="009A4ABF">
          <w:rPr>
            <w:rStyle w:val="Hyperlink"/>
            <w:rFonts w:ascii="Arial" w:hAnsi="Arial" w:cs="Arial"/>
            <w:sz w:val="22"/>
            <w:szCs w:val="22"/>
          </w:rPr>
          <w:t>https://doi.org/10.1093/aje/kwac115</w:t>
        </w:r>
      </w:hyperlink>
      <w:r w:rsidRPr="009A4ABF">
        <w:rPr>
          <w:rFonts w:ascii="Arial" w:hAnsi="Arial" w:cs="Arial"/>
          <w:sz w:val="22"/>
          <w:szCs w:val="22"/>
        </w:rPr>
        <w:t>. (Accessed: 18 August 2026).</w:t>
      </w:r>
    </w:p>
    <w:p w14:paraId="5BADB6AD" w14:textId="77777777" w:rsidR="00B24A95" w:rsidRPr="009A4ABF" w:rsidRDefault="005639C9" w:rsidP="009A4ABF">
      <w:pPr>
        <w:spacing w:after="120"/>
        <w:ind w:left="360"/>
        <w:rPr>
          <w:rFonts w:ascii="Arial" w:hAnsi="Arial" w:cs="Arial"/>
          <w:sz w:val="22"/>
          <w:szCs w:val="22"/>
        </w:rPr>
      </w:pPr>
      <w:r w:rsidRPr="009A4ABF">
        <w:rPr>
          <w:rFonts w:ascii="Arial" w:hAnsi="Arial" w:cs="Arial"/>
          <w:sz w:val="22"/>
          <w:szCs w:val="22"/>
        </w:rPr>
        <w:t xml:space="preserve">Mazhar, S., Rafi, U. and Noreen, A. (2023) ‘Hypertension: Causes, Symptoms, Treatment and Prevention’, </w:t>
      </w:r>
      <w:r w:rsidRPr="009A4ABF">
        <w:rPr>
          <w:rFonts w:ascii="Arial" w:hAnsi="Arial" w:cs="Arial"/>
          <w:i/>
          <w:iCs/>
          <w:sz w:val="22"/>
          <w:szCs w:val="22"/>
        </w:rPr>
        <w:t>Pakistan BioMedical Journal</w:t>
      </w:r>
      <w:r w:rsidRPr="009A4ABF">
        <w:rPr>
          <w:rFonts w:ascii="Arial" w:hAnsi="Arial" w:cs="Arial"/>
          <w:sz w:val="22"/>
          <w:szCs w:val="22"/>
        </w:rPr>
        <w:t xml:space="preserve">. Available at: doi: </w:t>
      </w:r>
      <w:hyperlink r:id="rId30" w:history="1">
        <w:r w:rsidR="00B24A95" w:rsidRPr="009A4ABF">
          <w:rPr>
            <w:rStyle w:val="Hyperlink"/>
            <w:rFonts w:ascii="Arial" w:hAnsi="Arial" w:cs="Arial"/>
            <w:sz w:val="22"/>
            <w:szCs w:val="22"/>
          </w:rPr>
          <w:t>https://www.pakistanbmj.com/journal/index.php/pbmj/article/view/858</w:t>
        </w:r>
      </w:hyperlink>
      <w:r w:rsidR="00B24A95" w:rsidRPr="009A4ABF">
        <w:rPr>
          <w:rFonts w:ascii="Arial" w:hAnsi="Arial" w:cs="Arial"/>
          <w:sz w:val="22"/>
          <w:szCs w:val="22"/>
        </w:rPr>
        <w:t xml:space="preserve"> (Accessed: 19 August 2026).</w:t>
      </w:r>
    </w:p>
    <w:p w14:paraId="082C0930" w14:textId="18E9C816"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MBRRACE-UK (2026) </w:t>
      </w:r>
      <w:r w:rsidRPr="009A4ABF">
        <w:rPr>
          <w:rFonts w:ascii="Arial" w:hAnsi="Arial" w:cs="Arial"/>
          <w:i/>
          <w:iCs/>
          <w:sz w:val="22"/>
          <w:szCs w:val="22"/>
        </w:rPr>
        <w:t>Data Brief: Maternal Mortality 2022–24. Oxford: National Perinatal Epidemiology Unit.</w:t>
      </w:r>
      <w:r w:rsidRPr="009A4ABF">
        <w:rPr>
          <w:rFonts w:ascii="Arial" w:hAnsi="Arial" w:cs="Arial"/>
          <w:sz w:val="22"/>
          <w:szCs w:val="22"/>
        </w:rPr>
        <w:t xml:space="preserve"> Available at: </w:t>
      </w:r>
      <w:hyperlink r:id="rId31" w:history="1">
        <w:r w:rsidRPr="009A4ABF">
          <w:rPr>
            <w:rStyle w:val="Hyperlink"/>
            <w:rFonts w:ascii="Arial" w:hAnsi="Arial" w:cs="Arial"/>
            <w:sz w:val="22"/>
            <w:szCs w:val="22"/>
          </w:rPr>
          <w:t>https://www.npeu.ox.ac.uk/mbrrace-uk/data-brief/maternal-mortality-2022-2024</w:t>
        </w:r>
      </w:hyperlink>
      <w:r w:rsidRPr="009A4ABF">
        <w:rPr>
          <w:rFonts w:ascii="Arial" w:hAnsi="Arial" w:cs="Arial"/>
          <w:sz w:val="22"/>
          <w:szCs w:val="22"/>
        </w:rPr>
        <w:t xml:space="preserve">  (Accessed: 18 August 2026).</w:t>
      </w:r>
    </w:p>
    <w:p w14:paraId="1C691DDA" w14:textId="4CD65A52"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NHS Digital (2022) </w:t>
      </w:r>
      <w:r w:rsidRPr="00623A2E">
        <w:rPr>
          <w:rFonts w:ascii="Arial" w:hAnsi="Arial" w:cs="Arial"/>
          <w:i/>
          <w:iCs/>
          <w:sz w:val="22"/>
          <w:szCs w:val="22"/>
        </w:rPr>
        <w:t>Health Survey for England additional analyses, ethnicity and health, 2011–19: Blood pressure</w:t>
      </w:r>
      <w:r w:rsidRPr="009A4ABF">
        <w:rPr>
          <w:rFonts w:ascii="Arial" w:hAnsi="Arial" w:cs="Arial"/>
          <w:sz w:val="22"/>
          <w:szCs w:val="22"/>
        </w:rPr>
        <w:t xml:space="preserve">. Available at: </w:t>
      </w:r>
      <w:hyperlink r:id="rId32" w:history="1">
        <w:r w:rsidR="000A29DC" w:rsidRPr="00AD26F6">
          <w:rPr>
            <w:rStyle w:val="Hyperlink"/>
            <w:rFonts w:ascii="Arial" w:hAnsi="Arial" w:cs="Arial"/>
            <w:sz w:val="22"/>
            <w:szCs w:val="22"/>
          </w:rPr>
          <w:t>https://digital.nhs.uk/data-and-information/publications/statistical/health-survey-england-additional-analyses/ethnicity-and-health-2011-2019-experimental-statistics/blood-pressure</w:t>
        </w:r>
      </w:hyperlink>
      <w:r w:rsidR="000A29DC">
        <w:rPr>
          <w:rFonts w:ascii="Arial" w:hAnsi="Arial" w:cs="Arial"/>
          <w:sz w:val="22"/>
          <w:szCs w:val="22"/>
        </w:rPr>
        <w:t xml:space="preserve"> </w:t>
      </w:r>
      <w:r w:rsidRPr="009A4ABF">
        <w:rPr>
          <w:rFonts w:ascii="Arial" w:hAnsi="Arial" w:cs="Arial"/>
          <w:sz w:val="22"/>
          <w:szCs w:val="22"/>
        </w:rPr>
        <w:t>(Accessed: 18 August 2026).</w:t>
      </w:r>
    </w:p>
    <w:p w14:paraId="07AAFC81" w14:textId="77777777" w:rsidR="00E9332C" w:rsidRPr="009A4ABF" w:rsidRDefault="00E9332C" w:rsidP="009A4ABF">
      <w:pPr>
        <w:spacing w:after="120"/>
        <w:ind w:left="360"/>
        <w:rPr>
          <w:rFonts w:ascii="Arial" w:hAnsi="Arial" w:cs="Arial"/>
          <w:i/>
          <w:iCs/>
          <w:sz w:val="22"/>
          <w:szCs w:val="22"/>
        </w:rPr>
      </w:pPr>
      <w:r w:rsidRPr="009A4ABF">
        <w:rPr>
          <w:rFonts w:ascii="Arial" w:hAnsi="Arial" w:cs="Arial"/>
          <w:sz w:val="22"/>
          <w:szCs w:val="22"/>
        </w:rPr>
        <w:t xml:space="preserve">NHS England (2023) </w:t>
      </w:r>
      <w:r w:rsidRPr="009A4ABF">
        <w:rPr>
          <w:rFonts w:ascii="Arial" w:hAnsi="Arial" w:cs="Arial"/>
          <w:i/>
          <w:iCs/>
          <w:sz w:val="22"/>
          <w:szCs w:val="22"/>
        </w:rPr>
        <w:t xml:space="preserve">Three-Year Delivery Plan for Maternity and Neonatal Services. London: NHS England. </w:t>
      </w:r>
      <w:r w:rsidRPr="009A4ABF">
        <w:rPr>
          <w:rFonts w:ascii="Arial" w:hAnsi="Arial" w:cs="Arial"/>
          <w:sz w:val="22"/>
          <w:szCs w:val="22"/>
        </w:rPr>
        <w:t>Available at:</w:t>
      </w:r>
      <w:r w:rsidRPr="009A4ABF">
        <w:rPr>
          <w:rFonts w:ascii="Arial" w:hAnsi="Arial" w:cs="Arial"/>
          <w:i/>
          <w:iCs/>
          <w:sz w:val="22"/>
          <w:szCs w:val="22"/>
        </w:rPr>
        <w:t xml:space="preserve"> </w:t>
      </w:r>
      <w:hyperlink r:id="rId33" w:history="1">
        <w:r w:rsidRPr="009A4ABF">
          <w:rPr>
            <w:rStyle w:val="Hyperlink"/>
            <w:rFonts w:ascii="Arial" w:hAnsi="Arial" w:cs="Arial"/>
            <w:sz w:val="22"/>
            <w:szCs w:val="22"/>
          </w:rPr>
          <w:t>https://www.england.nhs.uk/publication/three-year-delivery-plan-for-maternity-and-neonatal-services/</w:t>
        </w:r>
      </w:hyperlink>
      <w:r w:rsidRPr="009A4ABF">
        <w:rPr>
          <w:rFonts w:ascii="Arial" w:hAnsi="Arial" w:cs="Arial"/>
          <w:i/>
          <w:iCs/>
          <w:sz w:val="22"/>
          <w:szCs w:val="22"/>
        </w:rPr>
        <w:t xml:space="preserve"> </w:t>
      </w:r>
      <w:r w:rsidRPr="009A4ABF">
        <w:rPr>
          <w:rFonts w:ascii="Arial" w:hAnsi="Arial" w:cs="Arial"/>
          <w:sz w:val="22"/>
          <w:szCs w:val="22"/>
        </w:rPr>
        <w:t>(Accessed: 18 August 2026).</w:t>
      </w:r>
    </w:p>
    <w:p w14:paraId="45A59F34" w14:textId="5FE97C4D"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NICE (20</w:t>
      </w:r>
      <w:r w:rsidR="00C83A42">
        <w:rPr>
          <w:rFonts w:ascii="Arial" w:hAnsi="Arial" w:cs="Arial"/>
          <w:sz w:val="22"/>
          <w:szCs w:val="22"/>
        </w:rPr>
        <w:t>2</w:t>
      </w:r>
      <w:r w:rsidR="005B6BB3">
        <w:rPr>
          <w:rFonts w:ascii="Arial" w:hAnsi="Arial" w:cs="Arial"/>
          <w:sz w:val="22"/>
          <w:szCs w:val="22"/>
        </w:rPr>
        <w:t>6</w:t>
      </w:r>
      <w:r w:rsidRPr="009A4ABF">
        <w:rPr>
          <w:rFonts w:ascii="Arial" w:hAnsi="Arial" w:cs="Arial"/>
          <w:sz w:val="22"/>
          <w:szCs w:val="22"/>
        </w:rPr>
        <w:t xml:space="preserve">) </w:t>
      </w:r>
      <w:r w:rsidRPr="00623A2E">
        <w:rPr>
          <w:rFonts w:ascii="Arial" w:hAnsi="Arial" w:cs="Arial"/>
          <w:i/>
          <w:iCs/>
          <w:sz w:val="22"/>
          <w:szCs w:val="22"/>
        </w:rPr>
        <w:t xml:space="preserve">Hypertension in adults: diagnosis and management (NG136). </w:t>
      </w:r>
      <w:r w:rsidR="005B6BB3" w:rsidRPr="009A4ABF">
        <w:rPr>
          <w:rFonts w:ascii="Arial" w:hAnsi="Arial" w:cs="Arial"/>
          <w:sz w:val="22"/>
          <w:szCs w:val="22"/>
        </w:rPr>
        <w:t>Available at:</w:t>
      </w:r>
      <w:r w:rsidR="005B6BB3" w:rsidRPr="009A4ABF">
        <w:rPr>
          <w:rFonts w:ascii="Arial" w:hAnsi="Arial" w:cs="Arial"/>
          <w:i/>
          <w:iCs/>
          <w:sz w:val="22"/>
          <w:szCs w:val="22"/>
        </w:rPr>
        <w:t xml:space="preserve"> </w:t>
      </w:r>
      <w:hyperlink r:id="rId34" w:history="1">
        <w:r w:rsidR="005B6BB3" w:rsidRPr="00AD26F6">
          <w:rPr>
            <w:rStyle w:val="Hyperlink"/>
            <w:rFonts w:ascii="Arial" w:hAnsi="Arial" w:cs="Arial"/>
            <w:sz w:val="22"/>
            <w:szCs w:val="22"/>
          </w:rPr>
          <w:t>https://www.nice.org.uk/guidance/ng136</w:t>
        </w:r>
      </w:hyperlink>
      <w:r w:rsidR="005B6BB3">
        <w:rPr>
          <w:rFonts w:ascii="Arial" w:hAnsi="Arial" w:cs="Arial"/>
          <w:sz w:val="22"/>
          <w:szCs w:val="22"/>
        </w:rPr>
        <w:t xml:space="preserve"> </w:t>
      </w:r>
      <w:r w:rsidR="005B6BB3" w:rsidRPr="009A4ABF">
        <w:rPr>
          <w:rFonts w:ascii="Arial" w:hAnsi="Arial" w:cs="Arial"/>
          <w:sz w:val="22"/>
          <w:szCs w:val="22"/>
        </w:rPr>
        <w:t>(Accessed: 18 August 2026).</w:t>
      </w:r>
    </w:p>
    <w:p w14:paraId="7DD96C86" w14:textId="418FB3BA"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ONS (2023) </w:t>
      </w:r>
      <w:r w:rsidRPr="005B6BB3">
        <w:rPr>
          <w:rFonts w:ascii="Arial" w:hAnsi="Arial" w:cs="Arial"/>
          <w:i/>
          <w:iCs/>
          <w:sz w:val="22"/>
          <w:szCs w:val="22"/>
        </w:rPr>
        <w:t xml:space="preserve">How life has changed in Lambeth: Census 2021. Office for National Statistics. </w:t>
      </w:r>
      <w:r w:rsidRPr="009A4ABF">
        <w:rPr>
          <w:rFonts w:ascii="Arial" w:hAnsi="Arial" w:cs="Arial"/>
          <w:sz w:val="22"/>
          <w:szCs w:val="22"/>
        </w:rPr>
        <w:t xml:space="preserve">Available at: </w:t>
      </w:r>
      <w:hyperlink r:id="rId35" w:history="1">
        <w:r w:rsidR="000A29DC" w:rsidRPr="00AD26F6">
          <w:rPr>
            <w:rStyle w:val="Hyperlink"/>
            <w:rFonts w:ascii="Arial" w:hAnsi="Arial" w:cs="Arial"/>
            <w:sz w:val="22"/>
            <w:szCs w:val="22"/>
          </w:rPr>
          <w:t>https://www.ons.gov.uk/visualisations/censusareachanges/E09000022/</w:t>
        </w:r>
      </w:hyperlink>
      <w:r w:rsidR="000A29DC">
        <w:rPr>
          <w:rFonts w:ascii="Arial" w:hAnsi="Arial" w:cs="Arial"/>
          <w:sz w:val="22"/>
          <w:szCs w:val="22"/>
        </w:rPr>
        <w:t xml:space="preserve"> </w:t>
      </w:r>
      <w:r w:rsidRPr="009A4ABF">
        <w:rPr>
          <w:rFonts w:ascii="Arial" w:hAnsi="Arial" w:cs="Arial"/>
          <w:sz w:val="22"/>
          <w:szCs w:val="22"/>
        </w:rPr>
        <w:t>(Accessed: 18 August 2026).</w:t>
      </w:r>
    </w:p>
    <w:p w14:paraId="19253A55" w14:textId="6C7A8242"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Operose Health (2023) </w:t>
      </w:r>
      <w:r w:rsidRPr="009A4ABF">
        <w:rPr>
          <w:rFonts w:ascii="Arial" w:hAnsi="Arial" w:cs="Arial"/>
          <w:i/>
          <w:iCs/>
          <w:sz w:val="22"/>
          <w:szCs w:val="22"/>
        </w:rPr>
        <w:t>Eradicating health inequalities for BAME patients with high blood pressure in Lambeth. AT Medics Streatham Case Study.</w:t>
      </w:r>
      <w:r w:rsidRPr="009A4ABF">
        <w:rPr>
          <w:rFonts w:ascii="Arial" w:hAnsi="Arial" w:cs="Arial"/>
          <w:sz w:val="22"/>
          <w:szCs w:val="22"/>
        </w:rPr>
        <w:t xml:space="preserve"> Available at: </w:t>
      </w:r>
      <w:hyperlink r:id="rId36" w:history="1">
        <w:r w:rsidR="00071AC3" w:rsidRPr="009A4ABF">
          <w:rPr>
            <w:rStyle w:val="Hyperlink"/>
            <w:rFonts w:ascii="Arial" w:hAnsi="Arial" w:cs="Arial"/>
            <w:sz w:val="22"/>
            <w:szCs w:val="22"/>
          </w:rPr>
          <w:t>https://www.operosehealth.co.uk/hubfs/OperoseHealth_June2023/pdf/AT%20Medics%20High%20BP%20Lambeth%20Case%20Study.pdf</w:t>
        </w:r>
      </w:hyperlink>
      <w:r w:rsidR="00071AC3" w:rsidRPr="009A4ABF">
        <w:rPr>
          <w:rFonts w:ascii="Arial" w:hAnsi="Arial" w:cs="Arial"/>
          <w:sz w:val="22"/>
          <w:szCs w:val="22"/>
        </w:rPr>
        <w:t xml:space="preserve"> </w:t>
      </w:r>
      <w:r w:rsidRPr="009A4ABF">
        <w:rPr>
          <w:rFonts w:ascii="Arial" w:hAnsi="Arial" w:cs="Arial"/>
          <w:sz w:val="22"/>
          <w:szCs w:val="22"/>
        </w:rPr>
        <w:t>(Accessed: 18 August 2026).</w:t>
      </w:r>
    </w:p>
    <w:p w14:paraId="443B86B3" w14:textId="6E74DD43"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lastRenderedPageBreak/>
        <w:t xml:space="preserve">Raleigh, V. (2025) </w:t>
      </w:r>
      <w:r w:rsidRPr="000A29DC">
        <w:rPr>
          <w:rFonts w:ascii="Arial" w:hAnsi="Arial" w:cs="Arial"/>
          <w:i/>
          <w:iCs/>
          <w:sz w:val="22"/>
          <w:szCs w:val="22"/>
        </w:rPr>
        <w:t>The health of women from ethnic minority groups in England. The King's Fund.</w:t>
      </w:r>
      <w:r w:rsidRPr="009A4ABF">
        <w:rPr>
          <w:rFonts w:ascii="Arial" w:hAnsi="Arial" w:cs="Arial"/>
          <w:sz w:val="22"/>
          <w:szCs w:val="22"/>
        </w:rPr>
        <w:t xml:space="preserve"> Available at: </w:t>
      </w:r>
      <w:hyperlink r:id="rId37" w:history="1">
        <w:r w:rsidR="000A29DC" w:rsidRPr="00AD26F6">
          <w:rPr>
            <w:rStyle w:val="Hyperlink"/>
            <w:rFonts w:ascii="Arial" w:hAnsi="Arial" w:cs="Arial"/>
            <w:sz w:val="22"/>
            <w:szCs w:val="22"/>
          </w:rPr>
          <w:t>https://www.kingsfund.org.uk/insight-and-analysis/long-reads/the-health-of-women-from-ethnic-minority-groups-england</w:t>
        </w:r>
      </w:hyperlink>
      <w:r w:rsidR="000A29DC">
        <w:rPr>
          <w:rFonts w:ascii="Arial" w:hAnsi="Arial" w:cs="Arial"/>
          <w:sz w:val="22"/>
          <w:szCs w:val="22"/>
        </w:rPr>
        <w:t xml:space="preserve"> </w:t>
      </w:r>
      <w:r w:rsidRPr="009A4ABF">
        <w:rPr>
          <w:rFonts w:ascii="Arial" w:hAnsi="Arial" w:cs="Arial"/>
          <w:sz w:val="22"/>
          <w:szCs w:val="22"/>
        </w:rPr>
        <w:t>(Accessed: 18 August 2026).</w:t>
      </w:r>
    </w:p>
    <w:p w14:paraId="5CA412FB"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Rison, S., Redfern, O., Dostal, I., Carvalho, C., Mathur, R., Raisi-Estabragh, Z. and Robson, J. (2023) 'Inequities in hypertension management: observational cross-sectional study in </w:t>
      </w:r>
      <w:proofErr w:type="gramStart"/>
      <w:r w:rsidRPr="009A4ABF">
        <w:rPr>
          <w:rFonts w:ascii="Arial" w:hAnsi="Arial" w:cs="Arial"/>
          <w:sz w:val="22"/>
          <w:szCs w:val="22"/>
        </w:rPr>
        <w:t>North East</w:t>
      </w:r>
      <w:proofErr w:type="gramEnd"/>
      <w:r w:rsidRPr="009A4ABF">
        <w:rPr>
          <w:rFonts w:ascii="Arial" w:hAnsi="Arial" w:cs="Arial"/>
          <w:sz w:val="22"/>
          <w:szCs w:val="22"/>
        </w:rPr>
        <w:t xml:space="preserve"> London using electronic health records', </w:t>
      </w:r>
      <w:r w:rsidRPr="000A29DC">
        <w:rPr>
          <w:rFonts w:ascii="Arial" w:hAnsi="Arial" w:cs="Arial"/>
          <w:i/>
          <w:iCs/>
          <w:sz w:val="22"/>
          <w:szCs w:val="22"/>
        </w:rPr>
        <w:t>British Journal of General Practice</w:t>
      </w:r>
      <w:r w:rsidRPr="009A4ABF">
        <w:rPr>
          <w:rFonts w:ascii="Arial" w:hAnsi="Arial" w:cs="Arial"/>
          <w:sz w:val="22"/>
          <w:szCs w:val="22"/>
        </w:rPr>
        <w:t>, 73(736), pp. e798–e806. doi: 10.3399/BJGP.2023.0077.</w:t>
      </w:r>
    </w:p>
    <w:p w14:paraId="1D790B24"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Thomas, T. (2024) 'Black mothers twice as likely to be hospitalised with perinatal mental illness', </w:t>
      </w:r>
      <w:r w:rsidRPr="009A4ABF">
        <w:rPr>
          <w:rFonts w:ascii="Arial" w:hAnsi="Arial" w:cs="Arial"/>
          <w:i/>
          <w:iCs/>
          <w:sz w:val="22"/>
          <w:szCs w:val="22"/>
        </w:rPr>
        <w:t>The Guardian</w:t>
      </w:r>
      <w:r w:rsidRPr="009A4ABF">
        <w:rPr>
          <w:rFonts w:ascii="Arial" w:hAnsi="Arial" w:cs="Arial"/>
          <w:sz w:val="22"/>
          <w:szCs w:val="22"/>
        </w:rPr>
        <w:t xml:space="preserve">, 6 May. Available at: </w:t>
      </w:r>
      <w:hyperlink r:id="rId38" w:history="1">
        <w:r w:rsidRPr="009A4ABF">
          <w:rPr>
            <w:rFonts w:ascii="Arial" w:hAnsi="Arial" w:cs="Arial"/>
            <w:color w:val="0000FF"/>
            <w:sz w:val="22"/>
            <w:szCs w:val="22"/>
            <w:u w:val="single"/>
          </w:rPr>
          <w:t>https://www.theguardian.com/world/article/2024/may/06/black-mothers-twice-likely-white-hospitalised-perinatal-mental-illness</w:t>
        </w:r>
      </w:hyperlink>
      <w:r w:rsidRPr="009A4ABF">
        <w:rPr>
          <w:rFonts w:ascii="Arial" w:hAnsi="Arial" w:cs="Arial"/>
          <w:sz w:val="22"/>
          <w:szCs w:val="22"/>
        </w:rPr>
        <w:t xml:space="preserve"> (Accessed: 18 August 2026). </w:t>
      </w:r>
    </w:p>
    <w:p w14:paraId="47AD2364"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University of Cambridge (2026) </w:t>
      </w:r>
      <w:r w:rsidRPr="009A4ABF">
        <w:rPr>
          <w:rFonts w:ascii="Arial" w:hAnsi="Arial" w:cs="Arial"/>
          <w:i/>
          <w:iCs/>
          <w:sz w:val="22"/>
          <w:szCs w:val="22"/>
        </w:rPr>
        <w:t>Racism and socioeconomic stress may alter pregnancy biology, leaving black women nearly three times more likely to die</w:t>
      </w:r>
      <w:r w:rsidRPr="009A4ABF">
        <w:rPr>
          <w:rFonts w:ascii="Arial" w:hAnsi="Arial" w:cs="Arial"/>
          <w:sz w:val="22"/>
          <w:szCs w:val="22"/>
        </w:rPr>
        <w:t xml:space="preserve">. Available at: </w:t>
      </w:r>
      <w:hyperlink r:id="rId39" w:history="1">
        <w:r w:rsidRPr="009A4ABF">
          <w:rPr>
            <w:rStyle w:val="Hyperlink"/>
            <w:rFonts w:ascii="Arial" w:hAnsi="Arial" w:cs="Arial"/>
            <w:sz w:val="22"/>
            <w:szCs w:val="22"/>
          </w:rPr>
          <w:t>https://www.cam.ac.uk/research/news/racism-and-socioeconomic-stress-may-alter-pregnancy-biology-leaving-black-women-nearly-three-times</w:t>
        </w:r>
      </w:hyperlink>
      <w:r w:rsidRPr="009A4ABF">
        <w:rPr>
          <w:rFonts w:ascii="Arial" w:hAnsi="Arial" w:cs="Arial"/>
          <w:sz w:val="22"/>
          <w:szCs w:val="22"/>
        </w:rPr>
        <w:t xml:space="preserve">  (Accessed: 18 August 2026).</w:t>
      </w:r>
    </w:p>
    <w:p w14:paraId="58339FD3" w14:textId="77777777"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Women and Equalities Committee (2023) </w:t>
      </w:r>
      <w:r w:rsidRPr="009A4ABF">
        <w:rPr>
          <w:rFonts w:ascii="Arial" w:hAnsi="Arial" w:cs="Arial"/>
          <w:i/>
          <w:iCs/>
          <w:sz w:val="22"/>
          <w:szCs w:val="22"/>
        </w:rPr>
        <w:t xml:space="preserve">Black Maternal Health: Third Report of Session 2022–23. London: House of Commons. </w:t>
      </w:r>
      <w:r w:rsidRPr="009A4ABF">
        <w:rPr>
          <w:rFonts w:ascii="Arial" w:hAnsi="Arial" w:cs="Arial"/>
          <w:sz w:val="22"/>
          <w:szCs w:val="22"/>
        </w:rPr>
        <w:t xml:space="preserve">Available at: </w:t>
      </w:r>
      <w:hyperlink r:id="rId40" w:history="1">
        <w:r w:rsidRPr="009A4ABF">
          <w:rPr>
            <w:rStyle w:val="Hyperlink"/>
            <w:rFonts w:ascii="Arial" w:hAnsi="Arial" w:cs="Arial"/>
            <w:sz w:val="22"/>
            <w:szCs w:val="22"/>
          </w:rPr>
          <w:t>https://publications.parliament.uk/pa/cm5803/cmselect/cmwomeq/94/report.html</w:t>
        </w:r>
      </w:hyperlink>
      <w:r w:rsidRPr="009A4ABF">
        <w:rPr>
          <w:rFonts w:ascii="Arial" w:hAnsi="Arial" w:cs="Arial"/>
          <w:sz w:val="22"/>
          <w:szCs w:val="22"/>
        </w:rPr>
        <w:t xml:space="preserve">  (Accessed: 18 August 2026).</w:t>
      </w:r>
    </w:p>
    <w:p w14:paraId="12DEA95B" w14:textId="29A54A4B" w:rsidR="00C95206" w:rsidRPr="009A4ABF" w:rsidRDefault="00C95206" w:rsidP="009A4ABF">
      <w:pPr>
        <w:spacing w:after="120"/>
        <w:ind w:left="360"/>
        <w:rPr>
          <w:rFonts w:ascii="Arial" w:hAnsi="Arial" w:cs="Arial"/>
          <w:sz w:val="22"/>
          <w:szCs w:val="22"/>
        </w:rPr>
      </w:pPr>
      <w:r w:rsidRPr="009A4ABF">
        <w:rPr>
          <w:rFonts w:ascii="Arial" w:hAnsi="Arial" w:cs="Arial"/>
          <w:sz w:val="22"/>
          <w:szCs w:val="22"/>
        </w:rPr>
        <w:t xml:space="preserve">World Health Organization (2025) </w:t>
      </w:r>
      <w:r w:rsidR="00352EE2" w:rsidRPr="009A4ABF">
        <w:rPr>
          <w:rFonts w:ascii="Arial" w:hAnsi="Arial" w:cs="Arial"/>
          <w:i/>
          <w:iCs/>
          <w:sz w:val="22"/>
          <w:szCs w:val="22"/>
        </w:rPr>
        <w:t xml:space="preserve">Noncommunicable diseases. </w:t>
      </w:r>
      <w:r w:rsidR="00352EE2" w:rsidRPr="009A4ABF">
        <w:rPr>
          <w:rFonts w:ascii="Arial" w:hAnsi="Arial" w:cs="Arial"/>
          <w:sz w:val="22"/>
          <w:szCs w:val="22"/>
        </w:rPr>
        <w:t xml:space="preserve">Available at: </w:t>
      </w:r>
      <w:hyperlink r:id="rId41" w:history="1">
        <w:r w:rsidR="002C6780" w:rsidRPr="009A4ABF">
          <w:rPr>
            <w:rStyle w:val="Hyperlink"/>
            <w:rFonts w:ascii="Arial" w:hAnsi="Arial" w:cs="Arial"/>
            <w:sz w:val="22"/>
            <w:szCs w:val="22"/>
          </w:rPr>
          <w:t>https://www.who.int/news-room/fact-sheets/detail/noncommunicable-diseases</w:t>
        </w:r>
      </w:hyperlink>
      <w:r w:rsidR="002C6780" w:rsidRPr="009A4ABF">
        <w:rPr>
          <w:rFonts w:ascii="Arial" w:hAnsi="Arial" w:cs="Arial"/>
          <w:sz w:val="22"/>
          <w:szCs w:val="22"/>
        </w:rPr>
        <w:t xml:space="preserve"> </w:t>
      </w:r>
      <w:r w:rsidR="00352EE2" w:rsidRPr="009A4ABF">
        <w:rPr>
          <w:rFonts w:ascii="Arial" w:hAnsi="Arial" w:cs="Arial"/>
          <w:sz w:val="22"/>
          <w:szCs w:val="22"/>
        </w:rPr>
        <w:t>(Accessed: 18 August 2026).</w:t>
      </w:r>
    </w:p>
    <w:p w14:paraId="4F873C17" w14:textId="48CA1B96" w:rsidR="00E9332C"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World Health Organization (2023) Global report on hypertension: the race against a silent killer. Geneva: WHO. Available at: </w:t>
      </w:r>
      <w:hyperlink r:id="rId42" w:history="1">
        <w:r w:rsidR="00EB4C4C" w:rsidRPr="009A4ABF">
          <w:rPr>
            <w:rStyle w:val="Hyperlink"/>
            <w:rFonts w:ascii="Arial" w:hAnsi="Arial" w:cs="Arial"/>
            <w:sz w:val="22"/>
            <w:szCs w:val="22"/>
          </w:rPr>
          <w:t>https://www.who.int/news/item/19-09-2023-first-who-report-details-devastating-impact-of-hypertension-and-ways-to-stop-it</w:t>
        </w:r>
      </w:hyperlink>
      <w:r w:rsidR="00EB4C4C" w:rsidRPr="009A4ABF">
        <w:rPr>
          <w:rFonts w:ascii="Arial" w:hAnsi="Arial" w:cs="Arial"/>
          <w:sz w:val="22"/>
          <w:szCs w:val="22"/>
        </w:rPr>
        <w:t xml:space="preserve"> </w:t>
      </w:r>
      <w:r w:rsidRPr="009A4ABF">
        <w:rPr>
          <w:rFonts w:ascii="Arial" w:hAnsi="Arial" w:cs="Arial"/>
          <w:sz w:val="22"/>
          <w:szCs w:val="22"/>
        </w:rPr>
        <w:t xml:space="preserve"> (Accessed: 18 August 2026).</w:t>
      </w:r>
    </w:p>
    <w:p w14:paraId="0E94336C" w14:textId="2A17538A" w:rsidR="004A0ABB" w:rsidRPr="009A4ABF" w:rsidRDefault="00E9332C" w:rsidP="009A4ABF">
      <w:pPr>
        <w:spacing w:after="120"/>
        <w:ind w:left="360"/>
        <w:rPr>
          <w:rFonts w:ascii="Arial" w:hAnsi="Arial" w:cs="Arial"/>
          <w:sz w:val="22"/>
          <w:szCs w:val="22"/>
        </w:rPr>
      </w:pPr>
      <w:r w:rsidRPr="009A4ABF">
        <w:rPr>
          <w:rFonts w:ascii="Arial" w:hAnsi="Arial" w:cs="Arial"/>
          <w:sz w:val="22"/>
          <w:szCs w:val="22"/>
        </w:rPr>
        <w:t xml:space="preserve">Yogarajah, N., Griffiths, K., Bramham, K. and Baraniak, A. (2025) 'Exploring adherence to antihypertensive medication in Black African and Black Caribbean residents in </w:t>
      </w:r>
      <w:proofErr w:type="gramStart"/>
      <w:r w:rsidRPr="009A4ABF">
        <w:rPr>
          <w:rFonts w:ascii="Arial" w:hAnsi="Arial" w:cs="Arial"/>
          <w:sz w:val="22"/>
          <w:szCs w:val="22"/>
        </w:rPr>
        <w:t>South East</w:t>
      </w:r>
      <w:proofErr w:type="gramEnd"/>
      <w:r w:rsidRPr="009A4ABF">
        <w:rPr>
          <w:rFonts w:ascii="Arial" w:hAnsi="Arial" w:cs="Arial"/>
          <w:sz w:val="22"/>
          <w:szCs w:val="22"/>
        </w:rPr>
        <w:t xml:space="preserve"> London: a qualitative study', </w:t>
      </w:r>
      <w:r w:rsidRPr="009A4ABF">
        <w:rPr>
          <w:rFonts w:ascii="Arial" w:hAnsi="Arial" w:cs="Arial"/>
          <w:i/>
          <w:iCs/>
          <w:sz w:val="22"/>
          <w:szCs w:val="22"/>
        </w:rPr>
        <w:t>BJGP Open</w:t>
      </w:r>
      <w:r w:rsidRPr="009A4ABF">
        <w:rPr>
          <w:rFonts w:ascii="Arial" w:hAnsi="Arial" w:cs="Arial"/>
          <w:sz w:val="22"/>
          <w:szCs w:val="22"/>
        </w:rPr>
        <w:t xml:space="preserve">. </w:t>
      </w:r>
      <w:r w:rsidR="004A0ABB" w:rsidRPr="009A4ABF">
        <w:rPr>
          <w:rFonts w:ascii="Arial" w:hAnsi="Arial" w:cs="Arial"/>
          <w:sz w:val="22"/>
          <w:szCs w:val="22"/>
        </w:rPr>
        <w:t xml:space="preserve">Available at: </w:t>
      </w:r>
      <w:hyperlink r:id="rId43" w:history="1">
        <w:r w:rsidR="00F3116E" w:rsidRPr="009A4ABF">
          <w:rPr>
            <w:rStyle w:val="Hyperlink"/>
            <w:rFonts w:ascii="Arial" w:hAnsi="Arial" w:cs="Arial"/>
            <w:sz w:val="22"/>
            <w:szCs w:val="22"/>
          </w:rPr>
          <w:t>https://pubmed.ncbi.nlm.nih.gov/40389279/</w:t>
        </w:r>
      </w:hyperlink>
      <w:r w:rsidR="00F3116E" w:rsidRPr="009A4ABF">
        <w:rPr>
          <w:rFonts w:ascii="Arial" w:hAnsi="Arial" w:cs="Arial"/>
          <w:sz w:val="22"/>
          <w:szCs w:val="22"/>
        </w:rPr>
        <w:t xml:space="preserve"> </w:t>
      </w:r>
      <w:r w:rsidR="004A0ABB" w:rsidRPr="009A4ABF">
        <w:rPr>
          <w:rFonts w:ascii="Arial" w:hAnsi="Arial" w:cs="Arial"/>
          <w:sz w:val="22"/>
          <w:szCs w:val="22"/>
        </w:rPr>
        <w:t>(Accessed: 18 August 2026).</w:t>
      </w:r>
    </w:p>
    <w:p w14:paraId="1219216A" w14:textId="66856836" w:rsidR="00E9332C" w:rsidRPr="004E0657" w:rsidRDefault="00E9332C" w:rsidP="009A4ABF">
      <w:pPr>
        <w:spacing w:after="120"/>
        <w:ind w:left="360"/>
        <w:rPr>
          <w:rFonts w:ascii="Arial" w:hAnsi="Arial" w:cs="Arial"/>
          <w:sz w:val="22"/>
          <w:szCs w:val="22"/>
        </w:rPr>
      </w:pPr>
    </w:p>
    <w:sectPr w:rsidR="00E9332C" w:rsidRPr="004E0657" w:rsidSect="00386FEF">
      <w:footerReference w:type="even" r:id="rId44"/>
      <w:footerReference w:type="default" r:id="rId45"/>
      <w:pgSz w:w="11906" w:h="16838"/>
      <w:pgMar w:top="1440" w:right="1440" w:bottom="1440" w:left="1440" w:header="708" w:footer="708" w:gutter="0"/>
      <w:pgBorders w:offsetFrom="page">
        <w:top w:val="single" w:sz="4" w:space="24" w:color="0F9ED5" w:themeColor="accent4"/>
        <w:left w:val="single" w:sz="4" w:space="24" w:color="0F9ED5" w:themeColor="accent4"/>
        <w:bottom w:val="single" w:sz="4" w:space="24" w:color="0F9ED5" w:themeColor="accent4"/>
        <w:right w:val="single" w:sz="4" w:space="24" w:color="0F9ED5" w:themeColor="accent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A7C08" w14:textId="77777777" w:rsidR="00C701FB" w:rsidRDefault="00C701FB" w:rsidP="00FA3D31">
      <w:r>
        <w:separator/>
      </w:r>
    </w:p>
  </w:endnote>
  <w:endnote w:type="continuationSeparator" w:id="0">
    <w:p w14:paraId="28E0B6EB" w14:textId="77777777" w:rsidR="00C701FB" w:rsidRDefault="00C701FB" w:rsidP="00FA3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5021892"/>
      <w:docPartObj>
        <w:docPartGallery w:val="Page Numbers (Bottom of Page)"/>
        <w:docPartUnique/>
      </w:docPartObj>
    </w:sdtPr>
    <w:sdtEndPr>
      <w:rPr>
        <w:rStyle w:val="PageNumber"/>
      </w:rPr>
    </w:sdtEndPr>
    <w:sdtContent>
      <w:p w14:paraId="43E37629" w14:textId="06D25CFC" w:rsidR="00616255" w:rsidRDefault="00616255" w:rsidP="00AD26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2EA101" w14:textId="77777777" w:rsidR="00616255" w:rsidRDefault="006162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8018988"/>
      <w:docPartObj>
        <w:docPartGallery w:val="Page Numbers (Bottom of Page)"/>
        <w:docPartUnique/>
      </w:docPartObj>
    </w:sdtPr>
    <w:sdtEndPr>
      <w:rPr>
        <w:rStyle w:val="PageNumber"/>
      </w:rPr>
    </w:sdtEndPr>
    <w:sdtContent>
      <w:p w14:paraId="7D7AFFF9" w14:textId="4C19FB3C" w:rsidR="00616255" w:rsidRDefault="00616255" w:rsidP="00AD26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29F3CD" w14:textId="77777777" w:rsidR="00616255" w:rsidRDefault="006162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6700E" w14:textId="77777777" w:rsidR="00C701FB" w:rsidRDefault="00C701FB" w:rsidP="00FA3D31">
      <w:r>
        <w:separator/>
      </w:r>
    </w:p>
  </w:footnote>
  <w:footnote w:type="continuationSeparator" w:id="0">
    <w:p w14:paraId="5002E874" w14:textId="77777777" w:rsidR="00C701FB" w:rsidRDefault="00C701FB" w:rsidP="00FA3D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471391"/>
    <w:multiLevelType w:val="hybridMultilevel"/>
    <w:tmpl w:val="DBD29C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C2B43"/>
    <w:multiLevelType w:val="hybridMultilevel"/>
    <w:tmpl w:val="A7DAE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2A3A50"/>
    <w:multiLevelType w:val="hybridMultilevel"/>
    <w:tmpl w:val="A24239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2128784">
    <w:abstractNumId w:val="0"/>
  </w:num>
  <w:num w:numId="2" w16cid:durableId="875696453">
    <w:abstractNumId w:val="1"/>
  </w:num>
  <w:num w:numId="3" w16cid:durableId="14233309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FEF"/>
    <w:rsid w:val="00034C22"/>
    <w:rsid w:val="00055D30"/>
    <w:rsid w:val="00066B1F"/>
    <w:rsid w:val="00071AC3"/>
    <w:rsid w:val="00091AC7"/>
    <w:rsid w:val="000A0FE9"/>
    <w:rsid w:val="000A29DC"/>
    <w:rsid w:val="000D3C1D"/>
    <w:rsid w:val="000E4713"/>
    <w:rsid w:val="000E6636"/>
    <w:rsid w:val="00117E9B"/>
    <w:rsid w:val="00133610"/>
    <w:rsid w:val="00137B46"/>
    <w:rsid w:val="0014648E"/>
    <w:rsid w:val="00151D43"/>
    <w:rsid w:val="00163AA0"/>
    <w:rsid w:val="00184E1A"/>
    <w:rsid w:val="001865C4"/>
    <w:rsid w:val="00190D60"/>
    <w:rsid w:val="001B3624"/>
    <w:rsid w:val="001B4F47"/>
    <w:rsid w:val="001C3514"/>
    <w:rsid w:val="001C77B0"/>
    <w:rsid w:val="001F01C6"/>
    <w:rsid w:val="002003F6"/>
    <w:rsid w:val="00200FC5"/>
    <w:rsid w:val="002536C1"/>
    <w:rsid w:val="002541AB"/>
    <w:rsid w:val="0025486A"/>
    <w:rsid w:val="00287760"/>
    <w:rsid w:val="002A26B6"/>
    <w:rsid w:val="002B5E10"/>
    <w:rsid w:val="002C6780"/>
    <w:rsid w:val="002D3409"/>
    <w:rsid w:val="002E09B3"/>
    <w:rsid w:val="002E69AB"/>
    <w:rsid w:val="002F7DC8"/>
    <w:rsid w:val="003014D9"/>
    <w:rsid w:val="00305C68"/>
    <w:rsid w:val="00347A6D"/>
    <w:rsid w:val="00352EE2"/>
    <w:rsid w:val="0035509E"/>
    <w:rsid w:val="0036475A"/>
    <w:rsid w:val="00386FEF"/>
    <w:rsid w:val="003C225C"/>
    <w:rsid w:val="003C68B6"/>
    <w:rsid w:val="0041008D"/>
    <w:rsid w:val="00414182"/>
    <w:rsid w:val="00466C59"/>
    <w:rsid w:val="0047313D"/>
    <w:rsid w:val="00474C84"/>
    <w:rsid w:val="004A0ABB"/>
    <w:rsid w:val="004E0657"/>
    <w:rsid w:val="004E6EB8"/>
    <w:rsid w:val="00514219"/>
    <w:rsid w:val="00516F13"/>
    <w:rsid w:val="00531BD6"/>
    <w:rsid w:val="005639C9"/>
    <w:rsid w:val="005745FF"/>
    <w:rsid w:val="00580879"/>
    <w:rsid w:val="005A59A3"/>
    <w:rsid w:val="005B1D6C"/>
    <w:rsid w:val="005B6BB3"/>
    <w:rsid w:val="005B6EA5"/>
    <w:rsid w:val="005E53A4"/>
    <w:rsid w:val="005F1635"/>
    <w:rsid w:val="00616255"/>
    <w:rsid w:val="00623A2E"/>
    <w:rsid w:val="00623B5C"/>
    <w:rsid w:val="006377B9"/>
    <w:rsid w:val="006441BB"/>
    <w:rsid w:val="0068082E"/>
    <w:rsid w:val="006850BF"/>
    <w:rsid w:val="0069769B"/>
    <w:rsid w:val="006D42E3"/>
    <w:rsid w:val="00747ABE"/>
    <w:rsid w:val="00772A27"/>
    <w:rsid w:val="007A4EB8"/>
    <w:rsid w:val="007B33CD"/>
    <w:rsid w:val="007B60D8"/>
    <w:rsid w:val="007D7A3E"/>
    <w:rsid w:val="00806A21"/>
    <w:rsid w:val="008078B7"/>
    <w:rsid w:val="0082713D"/>
    <w:rsid w:val="00843418"/>
    <w:rsid w:val="008472B9"/>
    <w:rsid w:val="008550FC"/>
    <w:rsid w:val="008949AE"/>
    <w:rsid w:val="008A28B1"/>
    <w:rsid w:val="008A4A46"/>
    <w:rsid w:val="008D5D2D"/>
    <w:rsid w:val="008F17D8"/>
    <w:rsid w:val="00925EE3"/>
    <w:rsid w:val="00926565"/>
    <w:rsid w:val="00950563"/>
    <w:rsid w:val="00973E59"/>
    <w:rsid w:val="00982D29"/>
    <w:rsid w:val="009835A1"/>
    <w:rsid w:val="009A4ABF"/>
    <w:rsid w:val="009B5904"/>
    <w:rsid w:val="009D4164"/>
    <w:rsid w:val="009E39DC"/>
    <w:rsid w:val="00A10CA8"/>
    <w:rsid w:val="00A21975"/>
    <w:rsid w:val="00A466C0"/>
    <w:rsid w:val="00A62851"/>
    <w:rsid w:val="00A72144"/>
    <w:rsid w:val="00AC42C1"/>
    <w:rsid w:val="00AD3C1C"/>
    <w:rsid w:val="00B1267D"/>
    <w:rsid w:val="00B16570"/>
    <w:rsid w:val="00B24A95"/>
    <w:rsid w:val="00B27B67"/>
    <w:rsid w:val="00B4706A"/>
    <w:rsid w:val="00B66913"/>
    <w:rsid w:val="00B77BF1"/>
    <w:rsid w:val="00B8300C"/>
    <w:rsid w:val="00B95FAF"/>
    <w:rsid w:val="00BA5E1A"/>
    <w:rsid w:val="00BB1A9B"/>
    <w:rsid w:val="00BB3E28"/>
    <w:rsid w:val="00BC735B"/>
    <w:rsid w:val="00BE404F"/>
    <w:rsid w:val="00C208C5"/>
    <w:rsid w:val="00C25088"/>
    <w:rsid w:val="00C26B72"/>
    <w:rsid w:val="00C308E7"/>
    <w:rsid w:val="00C3184B"/>
    <w:rsid w:val="00C31B99"/>
    <w:rsid w:val="00C33152"/>
    <w:rsid w:val="00C52A4E"/>
    <w:rsid w:val="00C701FB"/>
    <w:rsid w:val="00C83A42"/>
    <w:rsid w:val="00C87C55"/>
    <w:rsid w:val="00C94A0A"/>
    <w:rsid w:val="00C95206"/>
    <w:rsid w:val="00CA69A0"/>
    <w:rsid w:val="00CE319F"/>
    <w:rsid w:val="00CF0627"/>
    <w:rsid w:val="00CF445B"/>
    <w:rsid w:val="00D02F21"/>
    <w:rsid w:val="00D0722A"/>
    <w:rsid w:val="00D202DE"/>
    <w:rsid w:val="00D54392"/>
    <w:rsid w:val="00D664DB"/>
    <w:rsid w:val="00D67BD9"/>
    <w:rsid w:val="00D767CB"/>
    <w:rsid w:val="00DC1C7F"/>
    <w:rsid w:val="00DC744C"/>
    <w:rsid w:val="00DD467C"/>
    <w:rsid w:val="00E0568A"/>
    <w:rsid w:val="00E10085"/>
    <w:rsid w:val="00E3570B"/>
    <w:rsid w:val="00E37DA6"/>
    <w:rsid w:val="00E47893"/>
    <w:rsid w:val="00E83E5A"/>
    <w:rsid w:val="00E9264E"/>
    <w:rsid w:val="00E9332C"/>
    <w:rsid w:val="00EB4C4C"/>
    <w:rsid w:val="00EB50CF"/>
    <w:rsid w:val="00F0350A"/>
    <w:rsid w:val="00F253F3"/>
    <w:rsid w:val="00F3116E"/>
    <w:rsid w:val="00F3212E"/>
    <w:rsid w:val="00F635A5"/>
    <w:rsid w:val="00FA3D31"/>
    <w:rsid w:val="00FA42B5"/>
    <w:rsid w:val="00FD0871"/>
    <w:rsid w:val="00FD1C22"/>
    <w:rsid w:val="67381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8A6D3"/>
  <w15:chartTrackingRefBased/>
  <w15:docId w15:val="{E0DC3848-7F26-4EBE-B166-A37A3E54D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514"/>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43418"/>
    <w:pPr>
      <w:keepNext/>
      <w:keepLines/>
      <w:spacing w:before="360" w:after="80" w:line="278" w:lineRule="auto"/>
      <w:outlineLvl w:val="0"/>
    </w:pPr>
    <w:rPr>
      <w:rFonts w:ascii="Arial" w:eastAsiaTheme="majorEastAsia" w:hAnsi="Arial" w:cstheme="majorBidi"/>
      <w:b/>
      <w:color w:val="000000" w:themeColor="text1"/>
      <w:kern w:val="2"/>
      <w:sz w:val="28"/>
      <w:szCs w:val="40"/>
      <w:lang w:eastAsia="en-US"/>
      <w14:ligatures w14:val="standardContextual"/>
    </w:rPr>
  </w:style>
  <w:style w:type="paragraph" w:styleId="Heading2">
    <w:name w:val="heading 2"/>
    <w:basedOn w:val="Normal"/>
    <w:next w:val="Normal"/>
    <w:link w:val="Heading2Char"/>
    <w:uiPriority w:val="9"/>
    <w:unhideWhenUsed/>
    <w:qFormat/>
    <w:rsid w:val="00843418"/>
    <w:pPr>
      <w:keepNext/>
      <w:keepLines/>
      <w:spacing w:before="160" w:after="80" w:line="278" w:lineRule="auto"/>
      <w:outlineLvl w:val="1"/>
    </w:pPr>
    <w:rPr>
      <w:rFonts w:ascii="Arial" w:eastAsiaTheme="majorEastAsia" w:hAnsi="Arial" w:cstheme="majorBidi"/>
      <w:color w:val="000000" w:themeColor="text1"/>
      <w:kern w:val="2"/>
      <w:szCs w:val="32"/>
      <w:lang w:eastAsia="en-US"/>
      <w14:ligatures w14:val="standardContextual"/>
    </w:rPr>
  </w:style>
  <w:style w:type="paragraph" w:styleId="Heading3">
    <w:name w:val="heading 3"/>
    <w:basedOn w:val="Normal"/>
    <w:next w:val="Normal"/>
    <w:link w:val="Heading3Char"/>
    <w:uiPriority w:val="9"/>
    <w:unhideWhenUsed/>
    <w:qFormat/>
    <w:rsid w:val="00386FE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386FEF"/>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386FEF"/>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386FEF"/>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386FEF"/>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386FEF"/>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386FEF"/>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418"/>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843418"/>
    <w:rPr>
      <w:rFonts w:ascii="Arial" w:eastAsiaTheme="majorEastAsia" w:hAnsi="Arial" w:cstheme="majorBidi"/>
      <w:color w:val="000000" w:themeColor="text1"/>
      <w:szCs w:val="32"/>
    </w:rPr>
  </w:style>
  <w:style w:type="character" w:customStyle="1" w:styleId="Heading3Char">
    <w:name w:val="Heading 3 Char"/>
    <w:basedOn w:val="DefaultParagraphFont"/>
    <w:link w:val="Heading3"/>
    <w:uiPriority w:val="9"/>
    <w:rsid w:val="00386F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6F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6F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6F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6F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6F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6FEF"/>
    <w:rPr>
      <w:rFonts w:eastAsiaTheme="majorEastAsia" w:cstheme="majorBidi"/>
      <w:color w:val="272727" w:themeColor="text1" w:themeTint="D8"/>
    </w:rPr>
  </w:style>
  <w:style w:type="paragraph" w:styleId="Title">
    <w:name w:val="Title"/>
    <w:basedOn w:val="Normal"/>
    <w:next w:val="Normal"/>
    <w:link w:val="TitleChar"/>
    <w:uiPriority w:val="10"/>
    <w:qFormat/>
    <w:rsid w:val="004E0657"/>
    <w:pPr>
      <w:spacing w:after="80"/>
      <w:contextualSpacing/>
    </w:pPr>
    <w:rPr>
      <w:rFonts w:ascii="Arial" w:eastAsiaTheme="majorEastAsia" w:hAnsi="Arial" w:cstheme="majorBidi"/>
      <w:spacing w:val="-10"/>
      <w:kern w:val="28"/>
      <w:sz w:val="28"/>
      <w:szCs w:val="56"/>
      <w:lang w:eastAsia="en-US"/>
      <w14:ligatures w14:val="standardContextual"/>
    </w:rPr>
  </w:style>
  <w:style w:type="character" w:customStyle="1" w:styleId="TitleChar">
    <w:name w:val="Title Char"/>
    <w:basedOn w:val="DefaultParagraphFont"/>
    <w:link w:val="Title"/>
    <w:uiPriority w:val="10"/>
    <w:rsid w:val="004E0657"/>
    <w:rPr>
      <w:rFonts w:ascii="Arial" w:eastAsiaTheme="majorEastAsia" w:hAnsi="Arial" w:cstheme="majorBidi"/>
      <w:spacing w:val="-10"/>
      <w:kern w:val="28"/>
      <w:sz w:val="28"/>
      <w:szCs w:val="56"/>
    </w:rPr>
  </w:style>
  <w:style w:type="paragraph" w:styleId="Subtitle">
    <w:name w:val="Subtitle"/>
    <w:basedOn w:val="Normal"/>
    <w:next w:val="Normal"/>
    <w:link w:val="SubtitleChar"/>
    <w:uiPriority w:val="11"/>
    <w:qFormat/>
    <w:rsid w:val="00386FE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386F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6FEF"/>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386FEF"/>
    <w:rPr>
      <w:i/>
      <w:iCs/>
      <w:color w:val="404040" w:themeColor="text1" w:themeTint="BF"/>
    </w:rPr>
  </w:style>
  <w:style w:type="paragraph" w:styleId="ListParagraph">
    <w:name w:val="List Paragraph"/>
    <w:basedOn w:val="Normal"/>
    <w:uiPriority w:val="34"/>
    <w:qFormat/>
    <w:rsid w:val="00386FEF"/>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386FEF"/>
    <w:rPr>
      <w:i/>
      <w:iCs/>
      <w:color w:val="0F4761" w:themeColor="accent1" w:themeShade="BF"/>
    </w:rPr>
  </w:style>
  <w:style w:type="paragraph" w:styleId="IntenseQuote">
    <w:name w:val="Intense Quote"/>
    <w:basedOn w:val="Normal"/>
    <w:next w:val="Normal"/>
    <w:link w:val="IntenseQuoteChar"/>
    <w:uiPriority w:val="30"/>
    <w:qFormat/>
    <w:rsid w:val="00386FE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386FEF"/>
    <w:rPr>
      <w:i/>
      <w:iCs/>
      <w:color w:val="0F4761" w:themeColor="accent1" w:themeShade="BF"/>
    </w:rPr>
  </w:style>
  <w:style w:type="character" w:styleId="IntenseReference">
    <w:name w:val="Intense Reference"/>
    <w:basedOn w:val="DefaultParagraphFont"/>
    <w:uiPriority w:val="32"/>
    <w:qFormat/>
    <w:rsid w:val="00386FEF"/>
    <w:rPr>
      <w:b/>
      <w:bCs/>
      <w:smallCaps/>
      <w:color w:val="0F4761" w:themeColor="accent1" w:themeShade="BF"/>
      <w:spacing w:val="5"/>
    </w:rPr>
  </w:style>
  <w:style w:type="paragraph" w:styleId="Header">
    <w:name w:val="header"/>
    <w:basedOn w:val="Normal"/>
    <w:link w:val="HeaderChar"/>
    <w:uiPriority w:val="99"/>
    <w:unhideWhenUsed/>
    <w:rsid w:val="00FA3D31"/>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FA3D31"/>
  </w:style>
  <w:style w:type="paragraph" w:styleId="Footer">
    <w:name w:val="footer"/>
    <w:basedOn w:val="Normal"/>
    <w:link w:val="FooterChar"/>
    <w:uiPriority w:val="99"/>
    <w:unhideWhenUsed/>
    <w:rsid w:val="00FA3D31"/>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FA3D31"/>
  </w:style>
  <w:style w:type="paragraph" w:styleId="NormalWeb">
    <w:name w:val="Normal (Web)"/>
    <w:basedOn w:val="Normal"/>
    <w:uiPriority w:val="99"/>
    <w:semiHidden/>
    <w:unhideWhenUsed/>
    <w:rsid w:val="007B60D8"/>
    <w:pPr>
      <w:spacing w:before="100" w:beforeAutospacing="1" w:after="100" w:afterAutospacing="1"/>
    </w:pPr>
  </w:style>
  <w:style w:type="paragraph" w:styleId="NoSpacing">
    <w:name w:val="No Spacing"/>
    <w:link w:val="NoSpacingChar"/>
    <w:uiPriority w:val="1"/>
    <w:qFormat/>
    <w:rsid w:val="007B60D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B60D8"/>
    <w:rPr>
      <w:rFonts w:eastAsiaTheme="minorEastAsia"/>
      <w:kern w:val="0"/>
      <w:sz w:val="22"/>
      <w:szCs w:val="22"/>
      <w:lang w:val="en-US"/>
      <w14:ligatures w14:val="none"/>
    </w:rPr>
  </w:style>
  <w:style w:type="character" w:styleId="Emphasis">
    <w:name w:val="Emphasis"/>
    <w:basedOn w:val="DefaultParagraphFont"/>
    <w:uiPriority w:val="20"/>
    <w:qFormat/>
    <w:rsid w:val="00843418"/>
    <w:rPr>
      <w:i/>
      <w:iCs/>
    </w:rPr>
  </w:style>
  <w:style w:type="character" w:styleId="Hyperlink">
    <w:name w:val="Hyperlink"/>
    <w:basedOn w:val="DefaultParagraphFont"/>
    <w:uiPriority w:val="99"/>
    <w:unhideWhenUsed/>
    <w:rsid w:val="00843418"/>
    <w:rPr>
      <w:color w:val="467886" w:themeColor="hyperlink"/>
      <w:u w:val="single"/>
    </w:rPr>
  </w:style>
  <w:style w:type="character" w:styleId="UnresolvedMention">
    <w:name w:val="Unresolved Mention"/>
    <w:basedOn w:val="DefaultParagraphFont"/>
    <w:uiPriority w:val="99"/>
    <w:semiHidden/>
    <w:unhideWhenUsed/>
    <w:rsid w:val="00843418"/>
    <w:rPr>
      <w:color w:val="605E5C"/>
      <w:shd w:val="clear" w:color="auto" w:fill="E1DFDD"/>
    </w:rPr>
  </w:style>
  <w:style w:type="character" w:styleId="PageNumber">
    <w:name w:val="page number"/>
    <w:basedOn w:val="DefaultParagraphFont"/>
    <w:uiPriority w:val="99"/>
    <w:semiHidden/>
    <w:unhideWhenUsed/>
    <w:rsid w:val="00616255"/>
  </w:style>
  <w:style w:type="character" w:styleId="FollowedHyperlink">
    <w:name w:val="FollowedHyperlink"/>
    <w:basedOn w:val="DefaultParagraphFont"/>
    <w:uiPriority w:val="99"/>
    <w:semiHidden/>
    <w:unhideWhenUsed/>
    <w:rsid w:val="00623B5C"/>
    <w:rPr>
      <w:color w:val="96607D" w:themeColor="followedHyperlink"/>
      <w:u w:val="single"/>
    </w:rPr>
  </w:style>
  <w:style w:type="paragraph" w:styleId="TOCHeading">
    <w:name w:val="TOC Heading"/>
    <w:basedOn w:val="Heading1"/>
    <w:next w:val="Normal"/>
    <w:uiPriority w:val="39"/>
    <w:unhideWhenUsed/>
    <w:qFormat/>
    <w:rsid w:val="00516F13"/>
    <w:pPr>
      <w:spacing w:before="480" w:after="0" w:line="276" w:lineRule="auto"/>
      <w:outlineLvl w:val="9"/>
    </w:pPr>
    <w:rPr>
      <w:rFonts w:asciiTheme="majorHAnsi" w:hAnsiTheme="majorHAnsi"/>
      <w:bCs/>
      <w:color w:val="0F4761" w:themeColor="accent1" w:themeShade="BF"/>
      <w:kern w:val="0"/>
      <w:szCs w:val="28"/>
      <w:lang w:val="en-US"/>
      <w14:ligatures w14:val="none"/>
    </w:rPr>
  </w:style>
  <w:style w:type="paragraph" w:styleId="TOC1">
    <w:name w:val="toc 1"/>
    <w:basedOn w:val="Normal"/>
    <w:next w:val="Normal"/>
    <w:autoRedefine/>
    <w:uiPriority w:val="39"/>
    <w:unhideWhenUsed/>
    <w:rsid w:val="00516F13"/>
    <w:pPr>
      <w:spacing w:before="120"/>
    </w:pPr>
    <w:rPr>
      <w:rFonts w:asciiTheme="minorHAnsi" w:hAnsiTheme="minorHAnsi"/>
      <w:b/>
      <w:bCs/>
      <w:i/>
      <w:iCs/>
    </w:rPr>
  </w:style>
  <w:style w:type="paragraph" w:styleId="TOC2">
    <w:name w:val="toc 2"/>
    <w:basedOn w:val="Normal"/>
    <w:next w:val="Normal"/>
    <w:autoRedefine/>
    <w:uiPriority w:val="39"/>
    <w:unhideWhenUsed/>
    <w:rsid w:val="00516F13"/>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516F13"/>
    <w:pPr>
      <w:ind w:left="480"/>
    </w:pPr>
    <w:rPr>
      <w:rFonts w:asciiTheme="minorHAnsi" w:hAnsiTheme="minorHAnsi"/>
      <w:sz w:val="20"/>
      <w:szCs w:val="20"/>
    </w:rPr>
  </w:style>
  <w:style w:type="paragraph" w:styleId="TOC4">
    <w:name w:val="toc 4"/>
    <w:basedOn w:val="Normal"/>
    <w:next w:val="Normal"/>
    <w:autoRedefine/>
    <w:uiPriority w:val="39"/>
    <w:semiHidden/>
    <w:unhideWhenUsed/>
    <w:rsid w:val="00516F13"/>
    <w:pPr>
      <w:ind w:left="720"/>
    </w:pPr>
    <w:rPr>
      <w:rFonts w:asciiTheme="minorHAnsi" w:hAnsiTheme="minorHAnsi"/>
      <w:sz w:val="20"/>
      <w:szCs w:val="20"/>
    </w:rPr>
  </w:style>
  <w:style w:type="paragraph" w:styleId="TOC5">
    <w:name w:val="toc 5"/>
    <w:basedOn w:val="Normal"/>
    <w:next w:val="Normal"/>
    <w:autoRedefine/>
    <w:uiPriority w:val="39"/>
    <w:semiHidden/>
    <w:unhideWhenUsed/>
    <w:rsid w:val="00516F13"/>
    <w:pPr>
      <w:ind w:left="960"/>
    </w:pPr>
    <w:rPr>
      <w:rFonts w:asciiTheme="minorHAnsi" w:hAnsiTheme="minorHAnsi"/>
      <w:sz w:val="20"/>
      <w:szCs w:val="20"/>
    </w:rPr>
  </w:style>
  <w:style w:type="paragraph" w:styleId="TOC6">
    <w:name w:val="toc 6"/>
    <w:basedOn w:val="Normal"/>
    <w:next w:val="Normal"/>
    <w:autoRedefine/>
    <w:uiPriority w:val="39"/>
    <w:semiHidden/>
    <w:unhideWhenUsed/>
    <w:rsid w:val="00516F13"/>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516F13"/>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516F13"/>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516F13"/>
    <w:pPr>
      <w:ind w:left="1920"/>
    </w:pPr>
    <w:rPr>
      <w:rFonts w:asciiTheme="minorHAnsi" w:hAnsiTheme="minorHAnsi"/>
      <w:sz w:val="20"/>
      <w:szCs w:val="20"/>
    </w:rPr>
  </w:style>
  <w:style w:type="paragraph" w:customStyle="1" w:styleId="font-claude-response-body">
    <w:name w:val="font-claude-response-body"/>
    <w:basedOn w:val="Normal"/>
    <w:rsid w:val="005745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842270">
      <w:bodyDiv w:val="1"/>
      <w:marLeft w:val="0"/>
      <w:marRight w:val="0"/>
      <w:marTop w:val="0"/>
      <w:marBottom w:val="0"/>
      <w:divBdr>
        <w:top w:val="none" w:sz="0" w:space="0" w:color="auto"/>
        <w:left w:val="none" w:sz="0" w:space="0" w:color="auto"/>
        <w:bottom w:val="none" w:sz="0" w:space="0" w:color="auto"/>
        <w:right w:val="none" w:sz="0" w:space="0" w:color="auto"/>
      </w:divBdr>
    </w:div>
    <w:div w:id="588386251">
      <w:bodyDiv w:val="1"/>
      <w:marLeft w:val="0"/>
      <w:marRight w:val="0"/>
      <w:marTop w:val="0"/>
      <w:marBottom w:val="0"/>
      <w:divBdr>
        <w:top w:val="none" w:sz="0" w:space="0" w:color="auto"/>
        <w:left w:val="none" w:sz="0" w:space="0" w:color="auto"/>
        <w:bottom w:val="none" w:sz="0" w:space="0" w:color="auto"/>
        <w:right w:val="none" w:sz="0" w:space="0" w:color="auto"/>
      </w:divBdr>
      <w:divsChild>
        <w:div w:id="544756466">
          <w:marLeft w:val="0"/>
          <w:marRight w:val="0"/>
          <w:marTop w:val="0"/>
          <w:marBottom w:val="0"/>
          <w:divBdr>
            <w:top w:val="none" w:sz="0" w:space="0" w:color="auto"/>
            <w:left w:val="none" w:sz="0" w:space="0" w:color="auto"/>
            <w:bottom w:val="none" w:sz="0" w:space="0" w:color="auto"/>
            <w:right w:val="none" w:sz="0" w:space="0" w:color="auto"/>
          </w:divBdr>
          <w:divsChild>
            <w:div w:id="142877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998374">
      <w:bodyDiv w:val="1"/>
      <w:marLeft w:val="0"/>
      <w:marRight w:val="0"/>
      <w:marTop w:val="0"/>
      <w:marBottom w:val="0"/>
      <w:divBdr>
        <w:top w:val="none" w:sz="0" w:space="0" w:color="auto"/>
        <w:left w:val="none" w:sz="0" w:space="0" w:color="auto"/>
        <w:bottom w:val="none" w:sz="0" w:space="0" w:color="auto"/>
        <w:right w:val="none" w:sz="0" w:space="0" w:color="auto"/>
      </w:divBdr>
    </w:div>
    <w:div w:id="1541283917">
      <w:bodyDiv w:val="1"/>
      <w:marLeft w:val="0"/>
      <w:marRight w:val="0"/>
      <w:marTop w:val="0"/>
      <w:marBottom w:val="0"/>
      <w:divBdr>
        <w:top w:val="none" w:sz="0" w:space="0" w:color="auto"/>
        <w:left w:val="none" w:sz="0" w:space="0" w:color="auto"/>
        <w:bottom w:val="none" w:sz="0" w:space="0" w:color="auto"/>
        <w:right w:val="none" w:sz="0" w:space="0" w:color="auto"/>
      </w:divBdr>
      <w:divsChild>
        <w:div w:id="1209099533">
          <w:marLeft w:val="0"/>
          <w:marRight w:val="0"/>
          <w:marTop w:val="0"/>
          <w:marBottom w:val="0"/>
          <w:divBdr>
            <w:top w:val="none" w:sz="0" w:space="0" w:color="auto"/>
            <w:left w:val="none" w:sz="0" w:space="0" w:color="auto"/>
            <w:bottom w:val="none" w:sz="0" w:space="0" w:color="auto"/>
            <w:right w:val="none" w:sz="0" w:space="0" w:color="auto"/>
          </w:divBdr>
          <w:divsChild>
            <w:div w:id="70649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bgyn.onlinelibrary.wiley.com/doi/abs/10.1111/1471-0528.17240" TargetMode="External"/><Relationship Id="rId18" Type="http://schemas.openxmlformats.org/officeDocument/2006/relationships/hyperlink" Target="https://www.thelancet.com/journals/lanepe/article/PIIS2666-7762(22)00253-8/fulltext" TargetMode="External"/><Relationship Id="rId26" Type="http://schemas.openxmlformats.org/officeDocument/2006/relationships/hyperlink" Target="https://www.kcl.ac.uk/news/black-women-face-the-worst-health-inequalities-in-south-london" TargetMode="External"/><Relationship Id="rId39" Type="http://schemas.openxmlformats.org/officeDocument/2006/relationships/hyperlink" Target="https://www.cam.ac.uk/research/news/racism-and-socioeconomic-stress-may-alter-pregnancy-biology-leaving-black-women-nearly-three-times" TargetMode="External"/><Relationship Id="rId21" Type="http://schemas.openxmlformats.org/officeDocument/2006/relationships/hyperlink" Target="https://futurecarecapital.org.uk/latest/black-mothers-hospitalisation-and-perinatal-mental-health/" TargetMode="External"/><Relationship Id="rId34" Type="http://schemas.openxmlformats.org/officeDocument/2006/relationships/hyperlink" Target="https://www.nice.org.uk/guidance/ng136" TargetMode="External"/><Relationship Id="rId42" Type="http://schemas.openxmlformats.org/officeDocument/2006/relationships/hyperlink" Target="https://www.who.int/news/item/19-09-2023-first-who-report-details-devastating-impact-of-hypertension-and-ways-to-stop-it"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mc.ncbi.nlm.nih.gov/articles/PMC9735204/" TargetMode="External"/><Relationship Id="rId29" Type="http://schemas.openxmlformats.org/officeDocument/2006/relationships/hyperlink" Target="https://doi.org/10.1093/aje/kwac1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tem.2026.03.003" TargetMode="External"/><Relationship Id="rId24" Type="http://schemas.openxmlformats.org/officeDocument/2006/relationships/hyperlink" Target="https://blog.westminster.ac.uk/thevoiceoflondon/maternal-mortality-five-times-higher-in-black-women-than-white-women-says-report/" TargetMode="External"/><Relationship Id="rId32" Type="http://schemas.openxmlformats.org/officeDocument/2006/relationships/hyperlink" Target="https://digital.nhs.uk/data-and-information/publications/statistical/health-survey-england-additional-analyses/ethnicity-and-health-2011-2019-experimental-statistics/blood-pressure" TargetMode="External"/><Relationship Id="rId37" Type="http://schemas.openxmlformats.org/officeDocument/2006/relationships/hyperlink" Target="https://www.kingsfund.org.uk/insight-and-analysis/long-reads/the-health-of-women-from-ethnic-minority-groups-england" TargetMode="External"/><Relationship Id="rId40" Type="http://schemas.openxmlformats.org/officeDocument/2006/relationships/hyperlink" Target="https://publications.parliament.uk/pa/cm5803/cmselect/cmwomeq/94/report.html"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3389/fpsyt.2023.1119998" TargetMode="External"/><Relationship Id="rId23" Type="http://schemas.openxmlformats.org/officeDocument/2006/relationships/hyperlink" Target="https://doi.org/10.1186/s12889-022-14940-w" TargetMode="External"/><Relationship Id="rId28" Type="http://schemas.openxmlformats.org/officeDocument/2006/relationships/hyperlink" Target="https://www.lambethtogether.net/delivery-alliances/nwda/about-old/nwda-current-projects/hypertension/" TargetMode="External"/><Relationship Id="rId36" Type="http://schemas.openxmlformats.org/officeDocument/2006/relationships/hyperlink" Target="https://www.operosehealth.co.uk/hubfs/OperoseHealth_June2023/pdf/AT%20Medics%20High%20BP%20Lambeth%20Case%20Study.pdf" TargetMode="External"/><Relationship Id="rId10" Type="http://schemas.openxmlformats.org/officeDocument/2006/relationships/image" Target="media/image3.png"/><Relationship Id="rId19" Type="http://schemas.openxmlformats.org/officeDocument/2006/relationships/hyperlink" Target="https://fivexmore.org/meet-the-team" TargetMode="External"/><Relationship Id="rId31" Type="http://schemas.openxmlformats.org/officeDocument/2006/relationships/hyperlink" Target="https://www.npeu.ox.ac.uk/mbrrace-uk/data-brief/maternal-mortality-2022-2024"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focus.2023.100167" TargetMode="External"/><Relationship Id="rId22" Type="http://schemas.openxmlformats.org/officeDocument/2006/relationships/hyperlink" Target="https://www.gov.uk/government/news/new-taskforce-to-level-up-maternity-care-and-tackle-disparities" TargetMode="External"/><Relationship Id="rId27" Type="http://schemas.openxmlformats.org/officeDocument/2006/relationships/hyperlink" Target="https://www.lambethtogether.net/news/lambeth-gps-close-equalities-gap-to-improve-life-chances-for-people-with-high-blood-pressure/" TargetMode="External"/><Relationship Id="rId30" Type="http://schemas.openxmlformats.org/officeDocument/2006/relationships/hyperlink" Target="https://www.pakistanbmj.com/journal/index.php/pbmj/article/view/858" TargetMode="External"/><Relationship Id="rId35" Type="http://schemas.openxmlformats.org/officeDocument/2006/relationships/hyperlink" Target="https://www.ons.gov.uk/visualisations/censusareachanges/E09000022/" TargetMode="External"/><Relationship Id="rId43" Type="http://schemas.openxmlformats.org/officeDocument/2006/relationships/hyperlink" Target="https://pubmed.ncbi.nlm.nih.gov/40389279/"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anya.health/black-maternity-disparities/" TargetMode="External"/><Relationship Id="rId17" Type="http://schemas.openxmlformats.org/officeDocument/2006/relationships/hyperlink" Target="https://www.ncbi.nlm.nih.gov/pmc/articles/PMC10712994/" TargetMode="External"/><Relationship Id="rId25" Type="http://schemas.openxmlformats.org/officeDocument/2006/relationships/hyperlink" Target="https://www.ncbi.nlm.nih.gov/books/NBK537222/" TargetMode="External"/><Relationship Id="rId33" Type="http://schemas.openxmlformats.org/officeDocument/2006/relationships/hyperlink" Target="https://www.england.nhs.uk/publication/three-year-delivery-plan-for-maternity-and-neonatal-services/" TargetMode="External"/><Relationship Id="rId38" Type="http://schemas.openxmlformats.org/officeDocument/2006/relationships/hyperlink" Target="https://www.theguardian.com/world/article/2024/may/06/black-mothers-twice-likely-white-hospitalised-perinatal-mental-illness" TargetMode="External"/><Relationship Id="rId46" Type="http://schemas.openxmlformats.org/officeDocument/2006/relationships/fontTable" Target="fontTable.xml"/><Relationship Id="rId20" Type="http://schemas.openxmlformats.org/officeDocument/2006/relationships/hyperlink" Target="https://fivexmore.org/black-maternity-experiences-report-2025" TargetMode="External"/><Relationship Id="rId41" Type="http://schemas.openxmlformats.org/officeDocument/2006/relationships/hyperlink" Target="https://www.who.int/news-room/fact-sheets/detail/noncommunicable-dise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395D5-BD43-3B40-81F5-34C06DDE8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4988</Words>
  <Characters>28434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Maureen McDermott (2243145)</dc:creator>
  <cp:keywords/>
  <dc:description/>
  <cp:lastModifiedBy>Sharon Maureen McDermott (2243145)</cp:lastModifiedBy>
  <cp:revision>2</cp:revision>
  <dcterms:created xsi:type="dcterms:W3CDTF">2026-08-19T11:29:00Z</dcterms:created>
  <dcterms:modified xsi:type="dcterms:W3CDTF">2026-08-19T11:29:00Z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50c3a2db-18f6-4529-a114-2a9fe7b32029</vt:lpwstr>
  </property>
</Properties>
</file>