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Statement of Financial Position and Ratios</w:t>
      </w: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Balba Mihai Ionut</w:t>
      </w: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Module:Accounting Fundamentals                                                                         </w:t>
      </w:r>
    </w:p>
    <w:p>
      <w:pPr>
        <w:spacing w:before="0" w:after="160" w:line="480"/>
        <w:ind w:right="0" w:left="720" w:firstLine="0"/>
        <w:jc w:val="center"/>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Date:30/08/2021</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160" w:line="259"/>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1: Kedison PLC</w:t>
      </w:r>
    </w:p>
    <w:p>
      <w:pPr>
        <w:numPr>
          <w:ilvl w:val="0"/>
          <w:numId w:val="5"/>
        </w:numPr>
        <w:spacing w:before="0" w:after="160" w:line="480"/>
        <w:ind w:right="0" w:left="1080" w:hanging="360"/>
        <w:jc w:val="left"/>
        <w:rPr>
          <w:rFonts w:ascii="Times New Roman" w:hAnsi="Times New Roman" w:cs="Times New Roman" w:eastAsia="Times New Roman"/>
          <w:b/>
          <w:color w:val="auto"/>
          <w:spacing w:val="0"/>
          <w:position w:val="0"/>
          <w:sz w:val="24"/>
          <w:shd w:fill="auto" w:val="clear"/>
        </w:rPr>
      </w:pPr>
    </w:p>
    <w:p>
      <w:pPr>
        <w:spacing w:before="0" w:after="160" w:line="480"/>
        <w:ind w:right="0" w:left="108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Profit and Loss Statement</w:t>
      </w:r>
    </w:p>
    <w:tbl>
      <w:tblPr/>
      <w:tblGrid>
        <w:gridCol w:w="1698"/>
        <w:gridCol w:w="4546"/>
        <w:gridCol w:w="1556"/>
      </w:tblGrid>
      <w:tr>
        <w:trPr>
          <w:trHeight w:val="312" w:hRule="auto"/>
          <w:jc w:val="left"/>
        </w:trPr>
        <w:tc>
          <w:tcPr>
            <w:tcW w:w="7800" w:type="dxa"/>
            <w:gridSpan w:val="3"/>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center"/>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Kedison plc Profit and Loss Statement for Year Ending 31st December 2020</w:t>
            </w:r>
          </w:p>
        </w:tc>
      </w:tr>
      <w:tr>
        <w:trPr>
          <w:trHeight w:val="324" w:hRule="auto"/>
          <w:jc w:val="left"/>
        </w:trPr>
        <w:tc>
          <w:tcPr>
            <w:tcW w:w="1698" w:type="dxa"/>
            <w:tcBorders>
              <w:top w:val="single" w:color="000000" w:sz="0"/>
              <w:left w:val="single" w:color="000000" w:sz="4"/>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1556"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 </w:t>
            </w:r>
          </w:p>
        </w:tc>
      </w:tr>
      <w:tr>
        <w:trPr>
          <w:trHeight w:val="312" w:hRule="auto"/>
          <w:jc w:val="left"/>
        </w:trPr>
        <w:tc>
          <w:tcPr>
            <w:tcW w:w="1698" w:type="dxa"/>
            <w:tcBorders>
              <w:top w:val="single" w:color="000000" w:sz="8"/>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8"/>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Sales and Revenues</w:t>
            </w:r>
          </w:p>
        </w:tc>
        <w:tc>
          <w:tcPr>
            <w:tcW w:w="1556" w:type="dxa"/>
            <w:tcBorders>
              <w:top w:val="single" w:color="000000" w:sz="8"/>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Sales</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826,650.00 </w:t>
            </w:r>
          </w:p>
        </w:tc>
      </w:tr>
      <w:tr>
        <w:trPr>
          <w:trHeight w:val="324" w:hRule="auto"/>
          <w:jc w:val="left"/>
        </w:trPr>
        <w:tc>
          <w:tcPr>
            <w:tcW w:w="1698" w:type="dxa"/>
            <w:tcBorders>
              <w:top w:val="single" w:color="000000" w:sz="0"/>
              <w:left w:val="single" w:color="000000" w:sz="8"/>
              <w:bottom w:val="single" w:color="000000" w:sz="8"/>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Total Revenue</w:t>
            </w:r>
          </w:p>
        </w:tc>
        <w:tc>
          <w:tcPr>
            <w:tcW w:w="4546" w:type="dxa"/>
            <w:tcBorders>
              <w:top w:val="single" w:color="000000" w:sz="0"/>
              <w:left w:val="single" w:color="000000" w:sz="0"/>
              <w:bottom w:val="single" w:color="000000" w:sz="8"/>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1556" w:type="dxa"/>
            <w:tcBorders>
              <w:top w:val="single" w:color="000000" w:sz="0"/>
              <w:left w:val="single" w:color="000000" w:sz="0"/>
              <w:bottom w:val="single" w:color="000000" w:sz="6"/>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826,650.00 </w:t>
            </w:r>
          </w:p>
        </w:tc>
      </w:tr>
      <w:tr>
        <w:trPr>
          <w:trHeight w:val="312" w:hRule="auto"/>
          <w:jc w:val="left"/>
        </w:trPr>
        <w:tc>
          <w:tcPr>
            <w:tcW w:w="1698" w:type="dxa"/>
            <w:tcBorders>
              <w:top w:val="single" w:color="000000" w:sz="8"/>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8"/>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Operating Expenses</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Cost of Sales</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(578,650.00)</w:t>
            </w:r>
          </w:p>
        </w:tc>
      </w:tr>
      <w:tr>
        <w:trPr>
          <w:trHeight w:val="324"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Gross Profit</w:t>
            </w:r>
          </w:p>
        </w:tc>
        <w:tc>
          <w:tcPr>
            <w:tcW w:w="1556" w:type="dxa"/>
            <w:tcBorders>
              <w:top w:val="single" w:color="000000" w:sz="0"/>
              <w:left w:val="single" w:color="000000" w:sz="0"/>
              <w:bottom w:val="single" w:color="000000" w:sz="6"/>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248,000.00 </w:t>
            </w:r>
          </w:p>
        </w:tc>
      </w:tr>
      <w:tr>
        <w:trPr>
          <w:trHeight w:val="324"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Ordinary Dividend paid</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(20,000.00)</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Preference dividend paid</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(30,000.00)</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Administrative Expenses</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(2,000.00)</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Directors Remuneration</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(5,000.00)</w:t>
            </w:r>
          </w:p>
        </w:tc>
      </w:tr>
      <w:tr>
        <w:trPr>
          <w:trHeight w:val="312" w:hRule="auto"/>
          <w:jc w:val="left"/>
        </w:trPr>
        <w:tc>
          <w:tcPr>
            <w:tcW w:w="1698" w:type="dxa"/>
            <w:tcBorders>
              <w:top w:val="single" w:color="000000" w:sz="0"/>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Distribution cost</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(28,000.00)</w:t>
            </w:r>
          </w:p>
        </w:tc>
      </w:tr>
      <w:tr>
        <w:trPr>
          <w:trHeight w:val="324" w:hRule="auto"/>
          <w:jc w:val="left"/>
        </w:trPr>
        <w:tc>
          <w:tcPr>
            <w:tcW w:w="1698" w:type="dxa"/>
            <w:tcBorders>
              <w:top w:val="single" w:color="000000" w:sz="0"/>
              <w:left w:val="single" w:color="000000" w:sz="8"/>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Earning before interest and Taxation</w:t>
            </w:r>
          </w:p>
        </w:tc>
        <w:tc>
          <w:tcPr>
            <w:tcW w:w="1556" w:type="dxa"/>
            <w:tcBorders>
              <w:top w:val="single" w:color="000000" w:sz="0"/>
              <w:left w:val="single" w:color="000000" w:sz="0"/>
              <w:bottom w:val="single" w:color="000000" w:sz="6"/>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191,000.00 </w:t>
            </w:r>
          </w:p>
        </w:tc>
      </w:tr>
      <w:tr>
        <w:trPr>
          <w:trHeight w:val="324" w:hRule="auto"/>
          <w:jc w:val="left"/>
        </w:trPr>
        <w:tc>
          <w:tcPr>
            <w:tcW w:w="1698" w:type="dxa"/>
            <w:tcBorders>
              <w:top w:val="single" w:color="000000" w:sz="4"/>
              <w:left w:val="single" w:color="000000" w:sz="8"/>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4"/>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Interest Paid</w:t>
            </w:r>
          </w:p>
        </w:tc>
        <w:tc>
          <w:tcPr>
            <w:tcW w:w="1556" w:type="dxa"/>
            <w:tcBorders>
              <w:top w:val="single" w:color="000000" w:sz="0"/>
              <w:left w:val="single" w:color="000000" w:sz="0"/>
              <w:bottom w:val="single" w:color="000000" w:sz="4"/>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(5,000.00)</w:t>
            </w:r>
          </w:p>
        </w:tc>
      </w:tr>
      <w:tr>
        <w:trPr>
          <w:trHeight w:val="324" w:hRule="auto"/>
          <w:jc w:val="left"/>
        </w:trPr>
        <w:tc>
          <w:tcPr>
            <w:tcW w:w="1698" w:type="dxa"/>
            <w:tcBorders>
              <w:top w:val="single" w:color="000000" w:sz="0"/>
              <w:left w:val="single" w:color="000000" w:sz="8"/>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 </w:t>
            </w:r>
          </w:p>
        </w:tc>
        <w:tc>
          <w:tcPr>
            <w:tcW w:w="4546"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Earnings after interest and before taxation</w:t>
            </w:r>
          </w:p>
        </w:tc>
        <w:tc>
          <w:tcPr>
            <w:tcW w:w="1556" w:type="dxa"/>
            <w:tcBorders>
              <w:top w:val="single" w:color="000000" w:sz="0"/>
              <w:left w:val="single" w:color="000000" w:sz="0"/>
              <w:bottom w:val="single" w:color="000000" w:sz="6"/>
              <w:right w:val="single" w:color="000000" w:sz="8"/>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186,000.00 </w:t>
            </w:r>
          </w:p>
        </w:tc>
      </w:tr>
      <w:tr>
        <w:trPr>
          <w:trHeight w:val="324" w:hRule="auto"/>
          <w:jc w:val="left"/>
        </w:trPr>
        <w:tc>
          <w:tcPr>
            <w:tcW w:w="1698" w:type="dxa"/>
            <w:tcBorders>
              <w:top w:val="single" w:color="000000" w:sz="4"/>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4546" w:type="dxa"/>
            <w:tcBorders>
              <w:top w:val="single" w:color="000000" w:sz="4"/>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Taxation</w:t>
            </w:r>
          </w:p>
        </w:tc>
        <w:tc>
          <w:tcPr>
            <w:tcW w:w="155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(68,000.00)</w:t>
            </w:r>
          </w:p>
        </w:tc>
      </w:tr>
      <w:tr>
        <w:trPr>
          <w:trHeight w:val="324" w:hRule="auto"/>
          <w:jc w:val="left"/>
        </w:trPr>
        <w:tc>
          <w:tcPr>
            <w:tcW w:w="1698"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Net Income</w:t>
            </w:r>
          </w:p>
        </w:tc>
        <w:tc>
          <w:tcPr>
            <w:tcW w:w="4546"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1556" w:type="dxa"/>
            <w:tcBorders>
              <w:top w:val="single" w:color="000000" w:sz="0"/>
              <w:left w:val="single" w:color="000000" w:sz="0"/>
              <w:bottom w:val="single" w:color="000000" w:sz="6"/>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118,000.00 </w:t>
            </w:r>
          </w:p>
        </w:tc>
      </w:tr>
    </w:tbl>
    <w:p>
      <w:pPr>
        <w:spacing w:before="0" w:after="160" w:line="24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Statement of Financial position</w:t>
      </w:r>
    </w:p>
    <w:tbl>
      <w:tblPr/>
      <w:tblGrid>
        <w:gridCol w:w="4360"/>
        <w:gridCol w:w="2980"/>
      </w:tblGrid>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center"/>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Statement of Financial Position</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amount in£ </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ASSETS </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righ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r>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u w:val="single"/>
                <w:shd w:fill="auto" w:val="clear"/>
              </w:rPr>
              <w:t xml:space="preserve">Non-current Assets Property</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Plant and Equipment</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632,730 </w:t>
            </w:r>
          </w:p>
        </w:tc>
      </w:tr>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u w:val="single"/>
                <w:shd w:fill="auto" w:val="clear"/>
              </w:rPr>
              <w:t xml:space="preserve">Current Assets</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Cash in Bank</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12,900 </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Debtors</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170,125 </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Stocks at 31st December 2020</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330,600 </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Current Assets</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513,625 </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righ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Total Assets</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center"/>
          </w:tcPr>
          <w:p>
            <w:pPr>
              <w:spacing w:before="0" w:after="0" w:line="240"/>
              <w:ind w:right="0" w:left="0" w:firstLine="0"/>
              <w:jc w:val="righ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1,146,355 </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righ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r>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EQUITY AND LIABILITIES</w:t>
            </w:r>
          </w:p>
        </w:tc>
      </w:tr>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u w:val="single"/>
                <w:shd w:fill="auto" w:val="clear"/>
              </w:rPr>
              <w:t xml:space="preserve">Liabilities</w:t>
            </w:r>
          </w:p>
        </w:tc>
      </w:tr>
      <w:tr>
        <w:trPr>
          <w:trHeight w:val="312"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Non-current Liabilities</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4% Debentures</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(100,000)</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(100,000)</w:t>
            </w:r>
          </w:p>
        </w:tc>
      </w:tr>
      <w:tr>
        <w:trPr>
          <w:trHeight w:val="324"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u w:val="single"/>
                <w:shd w:fill="auto" w:val="clear"/>
              </w:rPr>
              <w:t xml:space="preserve">Current Liabilities</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Preference Dividend paid</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(30,000)</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Administrative expense</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(30,000)</w:t>
            </w:r>
          </w:p>
        </w:tc>
      </w:tr>
      <w:tr>
        <w:trPr>
          <w:trHeight w:val="312" w:hRule="auto"/>
          <w:jc w:val="left"/>
        </w:trPr>
        <w:tc>
          <w:tcPr>
            <w:tcW w:w="4360" w:type="dxa"/>
            <w:tcBorders>
              <w:top w:val="single" w:color="000000" w:sz="0"/>
              <w:left w:val="single" w:color="000000" w:sz="4"/>
              <w:bottom w:val="single" w:color="000000" w:sz="0"/>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Directors’ remuneration</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(5,000)</w:t>
            </w:r>
          </w:p>
        </w:tc>
      </w:tr>
      <w:tr>
        <w:trPr>
          <w:trHeight w:val="312" w:hRule="auto"/>
          <w:jc w:val="left"/>
        </w:trPr>
        <w:tc>
          <w:tcPr>
            <w:tcW w:w="4360" w:type="dxa"/>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Trade creditors</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(171,355)</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Tax</w:t>
            </w:r>
          </w:p>
        </w:tc>
        <w:tc>
          <w:tcPr>
            <w:tcW w:w="2980" w:type="dxa"/>
            <w:tcBorders>
              <w:top w:val="single" w:color="000000" w:sz="0"/>
              <w:left w:val="single" w:color="000000" w:sz="0"/>
              <w:bottom w:val="single" w:color="000000" w:sz="0"/>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(68,000)</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w:t>
            </w:r>
          </w:p>
        </w:tc>
        <w:tc>
          <w:tcPr>
            <w:tcW w:w="2980" w:type="dxa"/>
            <w:tcBorders>
              <w:top w:val="single" w:color="000000" w:sz="4"/>
              <w:left w:val="single" w:color="000000" w:sz="0"/>
              <w:bottom w:val="single" w:color="000000" w:sz="6"/>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(304,355)</w:t>
            </w:r>
          </w:p>
        </w:tc>
      </w:tr>
      <w:tr>
        <w:trPr>
          <w:trHeight w:val="336"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Total liability</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                                (404,355)</w:t>
            </w:r>
          </w:p>
        </w:tc>
      </w:tr>
      <w:tr>
        <w:trPr>
          <w:trHeight w:val="336"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Net Assets</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                                  742,000 </w:t>
            </w:r>
          </w:p>
        </w:tc>
      </w:tr>
      <w:tr>
        <w:trPr>
          <w:trHeight w:val="324" w:hRule="auto"/>
          <w:jc w:val="left"/>
        </w:trPr>
        <w:tc>
          <w:tcPr>
            <w:tcW w:w="7340" w:type="dxa"/>
            <w:gridSpan w:val="2"/>
            <w:tcBorders>
              <w:top w:val="single" w:color="000000" w:sz="4"/>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u w:val="single"/>
                <w:shd w:fill="auto" w:val="clear"/>
              </w:rPr>
              <w:t xml:space="preserve">Equity</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£ 1 ordinary shares </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310,000 </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10% £ 1 preference shares</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bottom"/>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300,000 </w:t>
            </w:r>
          </w:p>
        </w:tc>
      </w:tr>
      <w:tr>
        <w:trPr>
          <w:trHeight w:val="312"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Retained Earnings</w:t>
            </w:r>
          </w:p>
        </w:tc>
        <w:tc>
          <w:tcPr>
            <w:tcW w:w="2980" w:type="dxa"/>
            <w:tcBorders>
              <w:top w:val="single" w:color="000000" w:sz="0"/>
              <w:left w:val="single" w:color="000000" w:sz="0"/>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color w:val="000000"/>
                <w:spacing w:val="0"/>
                <w:position w:val="0"/>
                <w:sz w:val="24"/>
                <w:shd w:fill="auto" w:val="clear"/>
              </w:rPr>
              <w:t xml:space="preserve">                                  132,000 </w:t>
            </w:r>
          </w:p>
        </w:tc>
      </w:tr>
      <w:tr>
        <w:trPr>
          <w:trHeight w:val="324" w:hRule="auto"/>
          <w:jc w:val="left"/>
        </w:trPr>
        <w:tc>
          <w:tcPr>
            <w:tcW w:w="4360" w:type="dxa"/>
            <w:tcBorders>
              <w:top w:val="single" w:color="000000" w:sz="0"/>
              <w:left w:val="single" w:color="000000" w:sz="4"/>
              <w:bottom w:val="single" w:color="000000" w:sz="4"/>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Total Equity</w:t>
            </w:r>
          </w:p>
        </w:tc>
        <w:tc>
          <w:tcPr>
            <w:tcW w:w="2980" w:type="dxa"/>
            <w:tcBorders>
              <w:top w:val="single" w:color="000000" w:sz="0"/>
              <w:left w:val="single" w:color="000000" w:sz="0"/>
              <w:bottom w:val="single" w:color="000000" w:sz="6"/>
              <w:right w:val="single" w:color="000000" w:sz="4"/>
            </w:tcBorders>
            <w:shd w:color="auto" w:fill="auto" w:val="clear"/>
            <w:tcMar>
              <w:left w:w="108" w:type="dxa"/>
              <w:right w:w="108" w:type="dxa"/>
            </w:tcMar>
            <w:vAlign w:val="center"/>
          </w:tcPr>
          <w:p>
            <w:pPr>
              <w:spacing w:before="0" w:after="0" w:line="240"/>
              <w:ind w:right="0" w:left="0" w:firstLine="0"/>
              <w:jc w:val="left"/>
              <w:rPr>
                <w:spacing w:val="0"/>
                <w:position w:val="0"/>
                <w:shd w:fill="auto" w:val="clear"/>
              </w:rPr>
            </w:pPr>
            <w:r>
              <w:rPr>
                <w:rFonts w:ascii="Times New Roman" w:hAnsi="Times New Roman" w:cs="Times New Roman" w:eastAsia="Times New Roman"/>
                <w:b/>
                <w:color w:val="000000"/>
                <w:spacing w:val="0"/>
                <w:position w:val="0"/>
                <w:sz w:val="24"/>
                <w:shd w:fill="auto" w:val="clear"/>
              </w:rPr>
              <w:t xml:space="preserve">                                  742,000 </w:t>
            </w:r>
          </w:p>
        </w:tc>
      </w:tr>
    </w:tbl>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b. The statement of financial position of Kedison PLC is balancing because the business is financially healthy. The sum of the entity liability and equity is equal to the total investment that is the total assets. This means that the net assets are equals to total equity and this tells that the company is able to bring return on investment to boost investor confidence </w:t>
      </w:r>
      <w:r>
        <w:rPr>
          <w:rFonts w:ascii="Times New Roman" w:hAnsi="Times New Roman" w:cs="Times New Roman" w:eastAsia="Times New Roman"/>
          <w:color w:val="000000"/>
          <w:spacing w:val="0"/>
          <w:position w:val="0"/>
          <w:sz w:val="24"/>
          <w:shd w:fill="FFFFFF" w:val="clear"/>
        </w:rPr>
        <w:t xml:space="preserve">(Elliott and Elliott, 2019)</w:t>
      </w:r>
      <w:r>
        <w:rPr>
          <w:rFonts w:ascii="Times New Roman" w:hAnsi="Times New Roman" w:cs="Times New Roman" w:eastAsia="Times New Roman"/>
          <w:color w:val="auto"/>
          <w:spacing w:val="0"/>
          <w:position w:val="0"/>
          <w:sz w:val="24"/>
          <w:shd w:fill="auto" w:val="clear"/>
        </w:rPr>
        <w:t xml:space="preserve">.</w:t>
      </w:r>
    </w:p>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p>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Question 2: Chocco PLC</w:t>
      </w:r>
    </w:p>
    <w:p>
      <w:pPr>
        <w:numPr>
          <w:ilvl w:val="0"/>
          <w:numId w:val="154"/>
        </w:numPr>
        <w:spacing w:before="0" w:after="160" w:line="48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Ratios for Chocco plc for 2020 and 2019</w:t>
      </w:r>
    </w:p>
    <w:p>
      <w:pPr>
        <w:spacing w:before="0" w:after="160" w:line="480"/>
        <w:ind w:right="0" w:left="720" w:firstLine="0"/>
        <w:jc w:val="left"/>
        <w:rPr>
          <w:rFonts w:ascii="Times New Roman" w:hAnsi="Times New Roman" w:cs="Times New Roman" w:eastAsia="Times New Roman"/>
          <w:b/>
          <w:color w:val="auto"/>
          <w:spacing w:val="0"/>
          <w:position w:val="0"/>
          <w:sz w:val="24"/>
          <w:shd w:fill="auto" w:val="clear"/>
        </w:rPr>
      </w:pPr>
    </w:p>
    <w:p>
      <w:pPr>
        <w:numPr>
          <w:ilvl w:val="0"/>
          <w:numId w:val="156"/>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Return On Capital Employed (ROCE)</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ROCE=Average profit/Average investment</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Average profit=Earnings before Interest and taxation</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Average investment= Total Assets-current liabilities</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2019 ROCE; Earning before interests and taxation= £720 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Total Assets= £10,087 m- £3,046 m</w:t>
      </w:r>
    </w:p>
    <w:p>
      <w:pPr>
        <w:spacing w:before="0" w:after="160" w:line="480"/>
        <w:ind w:right="0" w:left="360" w:firstLine="26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=£7,041 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=£720 m/£7,041 m*100%</w:t>
      </w:r>
    </w:p>
    <w:p>
      <w:pPr>
        <w:spacing w:before="0" w:after="160" w:line="480"/>
        <w:ind w:right="0" w:left="360" w:firstLine="14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10.23%</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2020 ROCE; Earning before taxation= £846 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Total Assets= £9,736 m-£2,511 m</w:t>
      </w:r>
    </w:p>
    <w:p>
      <w:pPr>
        <w:spacing w:before="0" w:after="160" w:line="480"/>
        <w:ind w:right="0" w:left="360" w:firstLine="270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=£7,225 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ab/>
        <w:tab/>
        <w:t xml:space="preserve">      =£846 m/£7,225 m*100%</w:t>
      </w:r>
    </w:p>
    <w:p>
      <w:pPr>
        <w:spacing w:before="0" w:after="160" w:line="480"/>
        <w:ind w:right="0" w:left="360" w:firstLine="14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11.71%</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(Písa</w:t>
      </w:r>
      <w:r>
        <w:rPr>
          <w:rFonts w:ascii="Times New Roman" w:hAnsi="Times New Roman" w:cs="Times New Roman" w:eastAsia="Times New Roman"/>
          <w:color w:val="000000"/>
          <w:spacing w:val="0"/>
          <w:position w:val="0"/>
          <w:sz w:val="24"/>
          <w:shd w:fill="FFFFFF" w:val="clear"/>
        </w:rPr>
        <w:t xml:space="preserve">ř, 2019)</w:t>
      </w:r>
    </w:p>
    <w:p>
      <w:pPr>
        <w:numPr>
          <w:ilvl w:val="0"/>
          <w:numId w:val="166"/>
        </w:numPr>
        <w:spacing w:before="0" w:after="160" w:line="480"/>
        <w:ind w:right="0" w:left="-9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Return on Equity (ROE)</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 Income/ Shareholders’ Equity</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2019, net income= £366m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Average share price= £4</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Shareholders’ equity= £1,371 m * 4</w:t>
      </w:r>
    </w:p>
    <w:p>
      <w:pPr>
        <w:spacing w:before="0" w:after="160" w:line="480"/>
        <w:ind w:right="0" w:left="0" w:firstLine="180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£5,484m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ROE= £366m/£5,484m</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=0.0667</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=6.67%</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2020, net income= £431m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Average share price= £5.12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Shareholders’ equity= £1,371 m * 5.12</w:t>
      </w:r>
    </w:p>
    <w:p>
      <w:pPr>
        <w:spacing w:before="0" w:after="160" w:line="480"/>
        <w:ind w:right="0" w:left="0" w:firstLine="180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£7,019.52m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ROE= £431m/£7,019.52m</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=0.0614</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=6.14%</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(Fernandus and Widjaja, 2020)</w:t>
      </w:r>
    </w:p>
    <w:p>
      <w:pPr>
        <w:numPr>
          <w:ilvl w:val="0"/>
          <w:numId w:val="176"/>
        </w:numPr>
        <w:spacing w:before="0" w:after="160" w:line="480"/>
        <w:ind w:right="0" w:left="-9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Earnings per share (EPS)</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EPS= Net income /Outstanding Shares</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Net Income= £366m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Outstanding shares= £1,371m</w:t>
      </w:r>
    </w:p>
    <w:p>
      <w:pPr>
        <w:spacing w:before="0" w:after="160" w:line="480"/>
        <w:ind w:right="0" w:left="360" w:hanging="9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EPS=£366m/£1,371m</w:t>
      </w:r>
    </w:p>
    <w:p>
      <w:pPr>
        <w:spacing w:before="0" w:after="160" w:line="480"/>
        <w:ind w:right="0" w:left="360" w:firstLine="27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=0.2667</w:t>
      </w:r>
    </w:p>
    <w:p>
      <w:pPr>
        <w:spacing w:before="0" w:after="160" w:line="480"/>
        <w:ind w:right="0" w:left="360" w:firstLine="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=26.67%</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 Net Income= £431m</w:t>
      </w:r>
    </w:p>
    <w:p>
      <w:pPr>
        <w:spacing w:before="0" w:after="160" w:line="480"/>
        <w:ind w:right="0" w:left="36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Outstanding shares= £1,371m</w:t>
      </w:r>
    </w:p>
    <w:p>
      <w:pPr>
        <w:spacing w:before="0" w:after="160" w:line="480"/>
        <w:ind w:right="0" w:left="360" w:firstLine="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=£431m/£1,371m</w:t>
      </w:r>
    </w:p>
    <w:p>
      <w:pPr>
        <w:spacing w:before="0" w:after="160" w:line="480"/>
        <w:ind w:right="0" w:left="360" w:firstLine="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=0.3144</w:t>
      </w:r>
    </w:p>
    <w:p>
      <w:pPr>
        <w:spacing w:before="0" w:after="160" w:line="480"/>
        <w:ind w:right="0" w:left="36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=31.44%</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(Budiyarno and Prasetyoningrum, 2021)</w:t>
      </w:r>
    </w:p>
    <w:p>
      <w:pPr>
        <w:numPr>
          <w:ilvl w:val="0"/>
          <w:numId w:val="185"/>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 Profit Margin (NPM)</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NPM= Net Income/Revenue</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 Income= revenue-cost of sales-operation and other expenses-interest-tax</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 income=£366m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Revenue= £6441m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NPM= £366m/£6441m</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=0.0568 or 5.68%</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Net income=£431m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Revenue= £6,738m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NPM= £431m/£6,738m</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=0.064 or 6.4 %</w:t>
      </w: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(Nariswari and Nugraha, 2020)</w:t>
      </w:r>
    </w:p>
    <w:p>
      <w:pPr>
        <w:numPr>
          <w:ilvl w:val="0"/>
          <w:numId w:val="191"/>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Turnover= Total sale/ (Assets at the beginning asset at the end/2)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sales= £6441 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at the beginning= 10,087</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at the end= 2,912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=10,087+2,912/2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=6,499.5</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turnover ratio= £6441 m/6,499.5</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=0.991</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sales= £6,738 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at the beginning= 9,736</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at the end= 3,088</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=9,736+3,088/2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=6,412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Asset turnover ratio= £6,738 m/6,412</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=0.991</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=1.05</w:t>
      </w:r>
    </w:p>
    <w:p>
      <w:pPr>
        <w:numPr>
          <w:ilvl w:val="0"/>
          <w:numId w:val="196"/>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Stock holding days= inventory/Cost of sales*365</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 Stock holding days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Inventory=659</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Cost of sales= 3,096</w:t>
      </w:r>
    </w:p>
    <w:p>
      <w:pPr>
        <w:spacing w:before="0" w:after="160" w:line="480"/>
        <w:ind w:right="0" w:left="0" w:firstLine="16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=659/3,096*100</w:t>
      </w:r>
    </w:p>
    <w:p>
      <w:pPr>
        <w:spacing w:before="0" w:after="160" w:line="480"/>
        <w:ind w:right="0" w:left="0" w:firstLine="17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=77.69 days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 Stock holding days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Inventory=708</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Cost of sales= 3,235</w:t>
      </w:r>
    </w:p>
    <w:p>
      <w:pPr>
        <w:spacing w:before="0" w:after="160" w:line="480"/>
        <w:ind w:right="0" w:left="0" w:firstLine="162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=708/3,235*100</w:t>
      </w:r>
    </w:p>
    <w:p>
      <w:pPr>
        <w:spacing w:before="0" w:after="160" w:line="480"/>
        <w:ind w:right="0" w:left="0" w:firstLine="17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=77.69 days</w:t>
      </w:r>
    </w:p>
    <w:p>
      <w:pPr>
        <w:spacing w:before="0" w:after="160" w:line="480"/>
        <w:ind w:right="0" w:left="0" w:firstLine="171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=79.88 days</w:t>
      </w:r>
    </w:p>
    <w:p>
      <w:pPr>
        <w:numPr>
          <w:ilvl w:val="0"/>
          <w:numId w:val="203"/>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Debtors’ collection Period= Annual accounts receivables/Total net sales*365</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Annual accounts receivables= 1,287</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net sales=6,441</w:t>
      </w:r>
    </w:p>
    <w:p>
      <w:pPr>
        <w:spacing w:before="0" w:after="160" w:line="480"/>
        <w:ind w:right="0" w:left="0" w:firstLine="23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=1,287/6,441*365</w:t>
      </w:r>
    </w:p>
    <w:p>
      <w:pPr>
        <w:spacing w:before="0" w:after="160" w:line="480"/>
        <w:ind w:right="0" w:left="0" w:firstLine="23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=72.93 days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Annual accounts receivables= 1,249</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net sales=6,738</w:t>
      </w:r>
    </w:p>
    <w:p>
      <w:pPr>
        <w:spacing w:before="0" w:after="160" w:line="480"/>
        <w:ind w:right="0" w:left="0" w:firstLine="23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=1,249/6,738*365</w:t>
      </w:r>
    </w:p>
    <w:p>
      <w:pPr>
        <w:spacing w:before="0" w:after="160" w:line="480"/>
        <w:ind w:right="0" w:left="0" w:firstLine="234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=67.66 days</w:t>
      </w:r>
    </w:p>
    <w:p>
      <w:pPr>
        <w:numPr>
          <w:ilvl w:val="0"/>
          <w:numId w:val="208"/>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Ratio= Current Assets/Current Liabilities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w:t>
        <w:br/>
        <w:t xml:space="preserve">Current Assets= 2,355</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Liabilities= 3,046</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=2,355/3,046</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=0.77</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br/>
        <w:t xml:space="preserve">Current Assets= 2,303</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Liabilities= 2,511</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=2,303/2,511</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=0.92</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000000"/>
          <w:spacing w:val="0"/>
          <w:position w:val="0"/>
          <w:sz w:val="24"/>
          <w:shd w:fill="FFFFFF" w:val="clear"/>
        </w:rPr>
        <w:t xml:space="preserve">(Nariswari and Nugraha, 2020)</w:t>
      </w:r>
    </w:p>
    <w:p>
      <w:pPr>
        <w:numPr>
          <w:ilvl w:val="0"/>
          <w:numId w:val="214"/>
        </w:numPr>
        <w:spacing w:before="0" w:after="160" w:line="480"/>
        <w:ind w:right="0" w:left="9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Gearing Ratio= Earning Before Interest and Tax/Total Interest</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EBIT= 720</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Interest= 181</w:t>
      </w:r>
    </w:p>
    <w:p>
      <w:pPr>
        <w:spacing w:before="0" w:after="160" w:line="480"/>
        <w:ind w:right="0" w:left="720" w:firstLine="12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=720/181</w:t>
      </w:r>
    </w:p>
    <w:p>
      <w:pPr>
        <w:spacing w:before="0" w:after="160" w:line="480"/>
        <w:ind w:right="0" w:left="720" w:firstLine="12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=3.98</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EBIT= 846</w:t>
      </w:r>
    </w:p>
    <w:p>
      <w:pPr>
        <w:spacing w:before="0" w:after="160" w:line="480"/>
        <w:ind w:right="0" w:left="72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Interest= 226</w:t>
      </w:r>
    </w:p>
    <w:p>
      <w:pPr>
        <w:spacing w:before="0" w:after="160" w:line="480"/>
        <w:ind w:right="0" w:left="720" w:firstLine="12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=846/226</w:t>
      </w:r>
    </w:p>
    <w:p>
      <w:pPr>
        <w:spacing w:before="0" w:after="160" w:line="480"/>
        <w:ind w:right="0" w:left="720" w:firstLine="12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=3.74</w:t>
      </w:r>
    </w:p>
    <w:p>
      <w:pPr>
        <w:numPr>
          <w:ilvl w:val="0"/>
          <w:numId w:val="219"/>
        </w:numPr>
        <w:spacing w:before="0" w:after="160" w:line="480"/>
        <w:ind w:right="0" w:left="0" w:hanging="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Inventor Cover= Total Assets-current liabilities</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2019</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Assets= 10,087</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liabilities=3,046</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=10,087-3,046</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=£7,041 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2020</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Total Assets= 9,736</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Current liabilities=2,511</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=9,736-2,511</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=£7,225 m</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numPr>
          <w:ilvl w:val="0"/>
          <w:numId w:val="225"/>
        </w:numPr>
        <w:spacing w:before="0" w:after="160" w:line="480"/>
        <w:ind w:right="0" w:left="720" w:hanging="36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Financial Performance and Position of Chocco plc</w:t>
      </w:r>
    </w:p>
    <w:p>
      <w:pPr>
        <w:spacing w:before="0" w:after="160" w:line="480"/>
        <w:ind w:right="0" w:left="0" w:firstLine="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Chocco plc recorded £7,433 m of non-current assets in 2020 a drop from £7,732 million in 2019 and this could be associated to depreciation of value of the same. Total liability dropped in 2019 to 2020 and recorded an increase in net assets for the company. The net value of the company is equal to the total equity for the two years which mean that Chocco has a balance sheet. From ROCE ration, Chocco plc is doing well as it records above 10% for both year and an increase from 2019 to 2021. Return on equity for both year 1s below 6% which is poor considering the standard of 14 percent and this could discourage investor confident </w:t>
      </w:r>
      <w:r>
        <w:rPr>
          <w:rFonts w:ascii="Times New Roman" w:hAnsi="Times New Roman" w:cs="Times New Roman" w:eastAsia="Times New Roman"/>
          <w:color w:val="000000"/>
          <w:spacing w:val="0"/>
          <w:position w:val="0"/>
          <w:sz w:val="24"/>
          <w:shd w:fill="FFFFFF" w:val="clear"/>
        </w:rPr>
        <w:t xml:space="preserve">(Elliott and Elliott, 2019)</w:t>
      </w:r>
      <w:r>
        <w:rPr>
          <w:rFonts w:ascii="Times New Roman" w:hAnsi="Times New Roman" w:cs="Times New Roman" w:eastAsia="Times New Roman"/>
          <w:color w:val="auto"/>
          <w:spacing w:val="0"/>
          <w:position w:val="0"/>
          <w:sz w:val="24"/>
          <w:shd w:fill="auto" w:val="clear"/>
        </w:rPr>
        <w:t xml:space="preserve">. </w:t>
      </w:r>
    </w:p>
    <w:p>
      <w:pPr>
        <w:spacing w:before="0" w:after="160" w:line="480"/>
        <w:ind w:right="0" w:left="0" w:firstLine="36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They recorded a current ratio of 0.77% and 0.92% for 2019 and 2020 consecutively. This means that Chocco plc have a problem meeting their short-term financial obligation but there is hope as there is increase from the subsequent year. Recording a net profit margin of above 5% for the two years indicate that they are able to contain their overhead and operating costs. The standard DSI is 30 days. However, Chocco Plc recorded over 70 days DSI which that they are not managing their inventory well. This may mean that they are inefficient in their debt collection or that their terms of payment are flexible. Having made increasing profits for the two years, it means that they are doing well financially </w:t>
      </w:r>
      <w:r>
        <w:rPr>
          <w:rFonts w:ascii="Times New Roman" w:hAnsi="Times New Roman" w:cs="Times New Roman" w:eastAsia="Times New Roman"/>
          <w:color w:val="000000"/>
          <w:spacing w:val="0"/>
          <w:position w:val="0"/>
          <w:sz w:val="24"/>
          <w:shd w:fill="FFFFFF" w:val="clear"/>
        </w:rPr>
        <w:t xml:space="preserve">(Fernandus and Widjaja, 2020)</w:t>
      </w:r>
      <w:r>
        <w:rPr>
          <w:rFonts w:ascii="Times New Roman" w:hAnsi="Times New Roman" w:cs="Times New Roman" w:eastAsia="Times New Roman"/>
          <w:color w:val="auto"/>
          <w:spacing w:val="0"/>
          <w:position w:val="0"/>
          <w:sz w:val="24"/>
          <w:shd w:fill="auto" w:val="clear"/>
        </w:rPr>
        <w:t xml:space="preserve">.</w:t>
      </w:r>
    </w:p>
    <w:p>
      <w:pPr>
        <w:spacing w:before="0" w:after="160" w:line="480"/>
        <w:ind w:right="0" w:left="0" w:firstLine="135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234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p>
      <w:pPr>
        <w:spacing w:before="0" w:after="160" w:line="480"/>
        <w:ind w:right="0" w:left="0" w:firstLine="450"/>
        <w:jc w:val="left"/>
        <w:rPr>
          <w:rFonts w:ascii="Times New Roman" w:hAnsi="Times New Roman" w:cs="Times New Roman" w:eastAsia="Times New Roman"/>
          <w:color w:val="auto"/>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00" w:line="240"/>
        <w:ind w:right="0" w:left="0" w:firstLine="0"/>
        <w:jc w:val="center"/>
        <w:rPr>
          <w:rFonts w:ascii="Times New Roman" w:hAnsi="Times New Roman" w:cs="Times New Roman" w:eastAsia="Times New Roman"/>
          <w:b/>
          <w:color w:val="000000"/>
          <w:spacing w:val="0"/>
          <w:position w:val="0"/>
          <w:sz w:val="24"/>
          <w:shd w:fill="auto" w:val="clear"/>
        </w:rPr>
      </w:pPr>
    </w:p>
    <w:p>
      <w:pPr>
        <w:spacing w:before="0" w:after="100" w:line="480"/>
        <w:ind w:right="0" w:left="0" w:firstLine="0"/>
        <w:jc w:val="center"/>
        <w:rPr>
          <w:rFonts w:ascii="Times New Roman" w:hAnsi="Times New Roman" w:cs="Times New Roman" w:eastAsia="Times New Roman"/>
          <w:b/>
          <w:color w:val="000000"/>
          <w:spacing w:val="0"/>
          <w:position w:val="0"/>
          <w:sz w:val="24"/>
          <w:shd w:fill="auto" w:val="clear"/>
        </w:rPr>
      </w:pPr>
      <w:r>
        <w:rPr>
          <w:rFonts w:ascii="Times New Roman" w:hAnsi="Times New Roman" w:cs="Times New Roman" w:eastAsia="Times New Roman"/>
          <w:b/>
          <w:color w:val="000000"/>
          <w:spacing w:val="0"/>
          <w:position w:val="0"/>
          <w:sz w:val="24"/>
          <w:shd w:fill="auto" w:val="clear"/>
        </w:rPr>
        <w:t xml:space="preserve">Bibliography</w:t>
      </w:r>
    </w:p>
    <w:p>
      <w:pPr>
        <w:spacing w:before="0" w:after="180" w:line="480"/>
        <w:ind w:right="0" w:left="450" w:hanging="4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Budiyarno, A. and Prasetyoningrum, A., 2021. Pengaruh Dividend Per Share, Earning Per Share, dan Price Earning Ratio terhadap Harga Saham Syariah. </w:t>
      </w:r>
      <w:r>
        <w:rPr>
          <w:rFonts w:ascii="Times New Roman" w:hAnsi="Times New Roman" w:cs="Times New Roman" w:eastAsia="Times New Roman"/>
          <w:i/>
          <w:color w:val="000000"/>
          <w:spacing w:val="0"/>
          <w:position w:val="0"/>
          <w:sz w:val="24"/>
          <w:shd w:fill="auto" w:val="clear"/>
        </w:rPr>
        <w:t xml:space="preserve">Management &amp; Accounting Expose</w:t>
      </w:r>
      <w:r>
        <w:rPr>
          <w:rFonts w:ascii="Times New Roman" w:hAnsi="Times New Roman" w:cs="Times New Roman" w:eastAsia="Times New Roman"/>
          <w:color w:val="000000"/>
          <w:spacing w:val="0"/>
          <w:position w:val="0"/>
          <w:sz w:val="24"/>
          <w:shd w:fill="auto" w:val="clear"/>
        </w:rPr>
        <w:t xml:space="preserve">, 2(2), pp.134-145.</w:t>
      </w:r>
    </w:p>
    <w:p>
      <w:pPr>
        <w:spacing w:before="0" w:after="180" w:line="480"/>
        <w:ind w:right="0" w:left="450" w:hanging="4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Elliott, B. and Elliott, J., 2019. </w:t>
      </w:r>
      <w:r>
        <w:rPr>
          <w:rFonts w:ascii="Times New Roman" w:hAnsi="Times New Roman" w:cs="Times New Roman" w:eastAsia="Times New Roman"/>
          <w:i/>
          <w:color w:val="000000"/>
          <w:spacing w:val="0"/>
          <w:position w:val="0"/>
          <w:sz w:val="24"/>
          <w:shd w:fill="auto" w:val="clear"/>
        </w:rPr>
        <w:t xml:space="preserve">Financial Accounting and Reporting</w:t>
      </w:r>
      <w:r>
        <w:rPr>
          <w:rFonts w:ascii="Times New Roman" w:hAnsi="Times New Roman" w:cs="Times New Roman" w:eastAsia="Times New Roman"/>
          <w:color w:val="000000"/>
          <w:spacing w:val="0"/>
          <w:position w:val="0"/>
          <w:sz w:val="24"/>
          <w:shd w:fill="auto" w:val="clear"/>
        </w:rPr>
        <w:t xml:space="preserve">. Harlow, United Kingdom: Pearson Education Limited.</w:t>
      </w:r>
    </w:p>
    <w:p>
      <w:pPr>
        <w:spacing w:before="0" w:after="180" w:line="480"/>
        <w:ind w:right="0" w:left="450" w:hanging="4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Fernandus, M. and Widjaja, I., 2020. Pengaruh Metode Economic Value Added (EVA), Return On Asset (ROA), Return On Equity (ROE), dan Debt To Equity Ratio (DER) Terhadap Return Saham. </w:t>
      </w:r>
      <w:r>
        <w:rPr>
          <w:rFonts w:ascii="Times New Roman" w:hAnsi="Times New Roman" w:cs="Times New Roman" w:eastAsia="Times New Roman"/>
          <w:i/>
          <w:color w:val="000000"/>
          <w:spacing w:val="0"/>
          <w:position w:val="0"/>
          <w:sz w:val="24"/>
          <w:shd w:fill="auto" w:val="clear"/>
        </w:rPr>
        <w:t xml:space="preserve">Jurnal Manajemen Bisnis dan Kewirausahaan</w:t>
      </w:r>
      <w:r>
        <w:rPr>
          <w:rFonts w:ascii="Times New Roman" w:hAnsi="Times New Roman" w:cs="Times New Roman" w:eastAsia="Times New Roman"/>
          <w:color w:val="000000"/>
          <w:spacing w:val="0"/>
          <w:position w:val="0"/>
          <w:sz w:val="24"/>
          <w:shd w:fill="auto" w:val="clear"/>
        </w:rPr>
        <w:t xml:space="preserve">, 4(5), p.230.</w:t>
      </w:r>
    </w:p>
    <w:p>
      <w:pPr>
        <w:spacing w:before="0" w:after="180" w:line="480"/>
        <w:ind w:right="0" w:left="450" w:hanging="4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Nariswari, T. and Nugraha, N., 2020. Profit Growth : Impact of Net Profit Margin, Gross Profit Margin and Total Assests Turnover. </w:t>
      </w:r>
      <w:r>
        <w:rPr>
          <w:rFonts w:ascii="Times New Roman" w:hAnsi="Times New Roman" w:cs="Times New Roman" w:eastAsia="Times New Roman"/>
          <w:i/>
          <w:color w:val="000000"/>
          <w:spacing w:val="0"/>
          <w:position w:val="0"/>
          <w:sz w:val="24"/>
          <w:shd w:fill="auto" w:val="clear"/>
        </w:rPr>
        <w:t xml:space="preserve">International Journal of Finance &amp; Banking Studies (2147-4486)</w:t>
      </w:r>
      <w:r>
        <w:rPr>
          <w:rFonts w:ascii="Times New Roman" w:hAnsi="Times New Roman" w:cs="Times New Roman" w:eastAsia="Times New Roman"/>
          <w:color w:val="000000"/>
          <w:spacing w:val="0"/>
          <w:position w:val="0"/>
          <w:sz w:val="24"/>
          <w:shd w:fill="auto" w:val="clear"/>
        </w:rPr>
        <w:t xml:space="preserve">, 9(4), pp.87-96.</w:t>
      </w:r>
    </w:p>
    <w:p>
      <w:pPr>
        <w:spacing w:before="0" w:after="180" w:line="480"/>
        <w:ind w:right="0" w:left="450" w:hanging="450"/>
        <w:jc w:val="left"/>
        <w:rPr>
          <w:rFonts w:ascii="Times New Roman" w:hAnsi="Times New Roman" w:cs="Times New Roman" w:eastAsia="Times New Roman"/>
          <w:color w:val="000000"/>
          <w:spacing w:val="0"/>
          <w:position w:val="0"/>
          <w:sz w:val="24"/>
          <w:shd w:fill="auto" w:val="clear"/>
        </w:rPr>
      </w:pPr>
      <w:r>
        <w:rPr>
          <w:rFonts w:ascii="Times New Roman" w:hAnsi="Times New Roman" w:cs="Times New Roman" w:eastAsia="Times New Roman"/>
          <w:color w:val="000000"/>
          <w:spacing w:val="0"/>
          <w:position w:val="0"/>
          <w:sz w:val="24"/>
          <w:shd w:fill="auto" w:val="clear"/>
        </w:rPr>
        <w:t xml:space="preserve">Písa</w:t>
      </w:r>
      <w:r>
        <w:rPr>
          <w:rFonts w:ascii="Times New Roman" w:hAnsi="Times New Roman" w:cs="Times New Roman" w:eastAsia="Times New Roman"/>
          <w:color w:val="000000"/>
          <w:spacing w:val="0"/>
          <w:position w:val="0"/>
          <w:sz w:val="24"/>
          <w:shd w:fill="auto" w:val="clear"/>
        </w:rPr>
        <w:t xml:space="preserve">ř, P., 2019. European SMEs’ value management based on controlling, financial analysis and ratios </w:t>
      </w:r>
      <w:r>
        <w:rPr>
          <w:rFonts w:ascii="Times New Roman" w:hAnsi="Times New Roman" w:cs="Times New Roman" w:eastAsia="Times New Roman"/>
          <w:color w:val="000000"/>
          <w:spacing w:val="0"/>
          <w:position w:val="0"/>
          <w:sz w:val="24"/>
          <w:shd w:fill="auto" w:val="clear"/>
        </w:rPr>
        <w:t xml:space="preserve">–</w:t>
      </w:r>
      <w:r>
        <w:rPr>
          <w:rFonts w:ascii="Times New Roman" w:hAnsi="Times New Roman" w:cs="Times New Roman" w:eastAsia="Times New Roman"/>
          <w:color w:val="000000"/>
          <w:spacing w:val="0"/>
          <w:position w:val="0"/>
          <w:sz w:val="24"/>
          <w:shd w:fill="auto" w:val="clear"/>
        </w:rPr>
        <w:t xml:space="preserve"> empirical study.</w:t>
      </w:r>
      <w:r>
        <w:rPr>
          <w:rFonts w:ascii="Times New Roman" w:hAnsi="Times New Roman" w:cs="Times New Roman" w:eastAsia="Times New Roman"/>
          <w:color w:val="000000"/>
          <w:spacing w:val="0"/>
          <w:position w:val="0"/>
          <w:sz w:val="24"/>
          <w:shd w:fill="auto" w:val="clear"/>
        </w:rPr>
        <w:t xml:space="preserve"> </w:t>
      </w:r>
      <w:r>
        <w:rPr>
          <w:rFonts w:ascii="Times New Roman" w:hAnsi="Times New Roman" w:cs="Times New Roman" w:eastAsia="Times New Roman"/>
          <w:i/>
          <w:color w:val="000000"/>
          <w:spacing w:val="0"/>
          <w:position w:val="0"/>
          <w:sz w:val="24"/>
          <w:shd w:fill="auto" w:val="clear"/>
        </w:rPr>
        <w:t xml:space="preserve">Investment Management and Financial Innovations</w:t>
      </w:r>
      <w:r>
        <w:rPr>
          <w:rFonts w:ascii="Times New Roman" w:hAnsi="Times New Roman" w:cs="Times New Roman" w:eastAsia="Times New Roman"/>
          <w:color w:val="000000"/>
          <w:spacing w:val="0"/>
          <w:position w:val="0"/>
          <w:sz w:val="24"/>
          <w:shd w:fill="auto" w:val="clear"/>
        </w:rPr>
        <w:t xml:space="preserve">, 16(4), pp.277-289.</w:t>
      </w:r>
    </w:p>
    <w:p>
      <w:pPr>
        <w:spacing w:before="0" w:after="160" w:line="48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abstractNum w:abstractNumId="12">
    <w:lvl w:ilvl="0">
      <w:start w:val="1"/>
      <w:numFmt w:val="bullet"/>
      <w:lvlText w:val="•"/>
    </w:lvl>
  </w:abstractNum>
  <w:abstractNum w:abstractNumId="18">
    <w:lvl w:ilvl="0">
      <w:start w:val="1"/>
      <w:numFmt w:val="bullet"/>
      <w:lvlText w:val="•"/>
    </w:lvl>
  </w:abstractNum>
  <w:abstractNum w:abstractNumId="24">
    <w:lvl w:ilvl="0">
      <w:start w:val="1"/>
      <w:numFmt w:val="bullet"/>
      <w:lvlText w:val="•"/>
    </w:lvl>
  </w:abstractNum>
  <w:abstractNum w:abstractNumId="30">
    <w:lvl w:ilvl="0">
      <w:start w:val="1"/>
      <w:numFmt w:val="bullet"/>
      <w:lvlText w:val="•"/>
    </w:lvl>
  </w:abstractNum>
  <w:abstractNum w:abstractNumId="36">
    <w:lvl w:ilvl="0">
      <w:start w:val="1"/>
      <w:numFmt w:val="bullet"/>
      <w:lvlText w:val="•"/>
    </w:lvl>
  </w:abstractNum>
  <w:abstractNum w:abstractNumId="42">
    <w:lvl w:ilvl="0">
      <w:start w:val="1"/>
      <w:numFmt w:val="bullet"/>
      <w:lvlText w:val="•"/>
    </w:lvl>
  </w:abstractNum>
  <w:abstractNum w:abstractNumId="48">
    <w:lvl w:ilvl="0">
      <w:start w:val="1"/>
      <w:numFmt w:val="bullet"/>
      <w:lvlText w:val="•"/>
    </w:lvl>
  </w:abstractNum>
  <w:abstractNum w:abstractNumId="54">
    <w:lvl w:ilvl="0">
      <w:start w:val="1"/>
      <w:numFmt w:val="bullet"/>
      <w:lvlText w:val="•"/>
    </w:lvl>
  </w:abstractNum>
  <w:abstractNum w:abstractNumId="60">
    <w:lvl w:ilvl="0">
      <w:start w:val="1"/>
      <w:numFmt w:val="bullet"/>
      <w:lvlText w:val="•"/>
    </w:lvl>
  </w:abstractNum>
  <w:abstractNum w:abstractNumId="66">
    <w:lvl w:ilvl="0">
      <w:start w:val="1"/>
      <w:numFmt w:val="bullet"/>
      <w:lvlText w:val="•"/>
    </w:lvl>
  </w:abstractNum>
  <w:abstractNum w:abstractNumId="72">
    <w:lvl w:ilvl="0">
      <w:start w:val="1"/>
      <w:numFmt w:val="bullet"/>
      <w:lvlText w:val="•"/>
    </w:lvl>
  </w:abstractNum>
  <w:num w:numId="5">
    <w:abstractNumId w:val="72"/>
  </w:num>
  <w:num w:numId="154">
    <w:abstractNumId w:val="66"/>
  </w:num>
  <w:num w:numId="156">
    <w:abstractNumId w:val="60"/>
  </w:num>
  <w:num w:numId="166">
    <w:abstractNumId w:val="54"/>
  </w:num>
  <w:num w:numId="176">
    <w:abstractNumId w:val="48"/>
  </w:num>
  <w:num w:numId="185">
    <w:abstractNumId w:val="42"/>
  </w:num>
  <w:num w:numId="191">
    <w:abstractNumId w:val="36"/>
  </w:num>
  <w:num w:numId="196">
    <w:abstractNumId w:val="30"/>
  </w:num>
  <w:num w:numId="203">
    <w:abstractNumId w:val="24"/>
  </w:num>
  <w:num w:numId="208">
    <w:abstractNumId w:val="18"/>
  </w:num>
  <w:num w:numId="214">
    <w:abstractNumId w:val="12"/>
  </w:num>
  <w:num w:numId="219">
    <w:abstractNumId w:val="6"/>
  </w:num>
  <w:num w:numId="225">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