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41348" w14:textId="77777777" w:rsidR="000573E1" w:rsidRDefault="00493529">
      <w:pPr>
        <w:jc w:val="center"/>
        <w:rPr>
          <w:rFonts w:ascii="Arial" w:eastAsia="Arial" w:hAnsi="Arial" w:cs="Arial"/>
          <w:b/>
          <w:bCs/>
          <w:color w:val="000000"/>
          <w:sz w:val="28"/>
          <w:szCs w:val="28"/>
        </w:rPr>
      </w:pPr>
      <w:r>
        <w:rPr>
          <w:rFonts w:ascii="Arial" w:eastAsia="Arial" w:hAnsi="Arial" w:cs="Arial"/>
          <w:noProof/>
          <w:color w:val="000000"/>
        </w:rPr>
        <w:drawing>
          <wp:inline distT="0" distB="0" distL="0" distR="0" wp14:anchorId="20F3F962" wp14:editId="4AB2EA5C">
            <wp:extent cx="2874079" cy="1353089"/>
            <wp:effectExtent l="0" t="0" r="0" b="0"/>
            <wp:docPr id="11988440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74079" cy="1353089"/>
                    </a:xfrm>
                    <a:prstGeom prst="rect">
                      <a:avLst/>
                    </a:prstGeom>
                    <a:ln/>
                  </pic:spPr>
                </pic:pic>
              </a:graphicData>
            </a:graphic>
          </wp:inline>
        </w:drawing>
      </w:r>
    </w:p>
    <w:p w14:paraId="18B47CC3" w14:textId="77777777" w:rsidR="000573E1" w:rsidRDefault="000573E1">
      <w:pPr>
        <w:jc w:val="center"/>
        <w:rPr>
          <w:rFonts w:ascii="Arial" w:eastAsia="Arial" w:hAnsi="Arial" w:cs="Arial"/>
          <w:b/>
          <w:bCs/>
          <w:color w:val="000000"/>
          <w:sz w:val="36"/>
          <w:szCs w:val="36"/>
        </w:rPr>
      </w:pPr>
    </w:p>
    <w:p w14:paraId="5F2302E1" w14:textId="77777777" w:rsidR="000573E1" w:rsidRDefault="00493529">
      <w:pPr>
        <w:jc w:val="center"/>
        <w:rPr>
          <w:rFonts w:ascii="Arial" w:eastAsia="Arial" w:hAnsi="Arial" w:cs="Arial"/>
          <w:b/>
          <w:bCs/>
          <w:color w:val="000000"/>
          <w:sz w:val="28"/>
          <w:szCs w:val="28"/>
        </w:rPr>
      </w:pPr>
      <w:r>
        <w:rPr>
          <w:rFonts w:ascii="Arial" w:eastAsia="Arial" w:hAnsi="Arial" w:cs="Arial"/>
          <w:b/>
          <w:bCs/>
          <w:color w:val="000000"/>
          <w:sz w:val="28"/>
          <w:szCs w:val="28"/>
        </w:rPr>
        <w:t>Programme: Master of Business Administration</w:t>
      </w:r>
    </w:p>
    <w:p w14:paraId="5D325ADC" w14:textId="77777777" w:rsidR="000573E1" w:rsidRDefault="000573E1">
      <w:pPr>
        <w:jc w:val="center"/>
        <w:rPr>
          <w:rFonts w:ascii="Arial" w:eastAsia="Arial" w:hAnsi="Arial" w:cs="Arial"/>
          <w:b/>
          <w:bCs/>
          <w:color w:val="000000"/>
          <w:sz w:val="28"/>
          <w:szCs w:val="28"/>
        </w:rPr>
      </w:pPr>
    </w:p>
    <w:p w14:paraId="6FD4A40D" w14:textId="77777777" w:rsidR="000573E1" w:rsidRDefault="00493529">
      <w:pPr>
        <w:jc w:val="center"/>
        <w:rPr>
          <w:rFonts w:ascii="Arial" w:eastAsia="Arial" w:hAnsi="Arial" w:cs="Arial"/>
          <w:b/>
          <w:bCs/>
          <w:color w:val="000000"/>
          <w:sz w:val="28"/>
          <w:szCs w:val="28"/>
        </w:rPr>
      </w:pPr>
      <w:r>
        <w:rPr>
          <w:rFonts w:ascii="Arial" w:eastAsia="Arial" w:hAnsi="Arial" w:cs="Arial"/>
          <w:b/>
          <w:bCs/>
          <w:color w:val="000000"/>
          <w:sz w:val="28"/>
          <w:szCs w:val="28"/>
        </w:rPr>
        <w:t>Module code: LCMB7026</w:t>
      </w:r>
    </w:p>
    <w:p w14:paraId="4BA689C6" w14:textId="77777777" w:rsidR="000573E1" w:rsidRDefault="00493529">
      <w:pPr>
        <w:jc w:val="center"/>
        <w:rPr>
          <w:rFonts w:ascii="Arial" w:eastAsia="Arial" w:hAnsi="Arial" w:cs="Arial"/>
          <w:b/>
          <w:bCs/>
          <w:color w:val="000000"/>
          <w:sz w:val="28"/>
          <w:szCs w:val="28"/>
        </w:rPr>
      </w:pPr>
      <w:r>
        <w:rPr>
          <w:rFonts w:ascii="Arial" w:eastAsia="Arial" w:hAnsi="Arial" w:cs="Arial"/>
          <w:b/>
          <w:bCs/>
          <w:color w:val="000000"/>
          <w:sz w:val="28"/>
          <w:szCs w:val="28"/>
        </w:rPr>
        <w:t>Module: International Marketing: Principles and Practices</w:t>
      </w:r>
    </w:p>
    <w:p w14:paraId="4F003EEE" w14:textId="77777777" w:rsidR="000573E1" w:rsidRDefault="000573E1">
      <w:pPr>
        <w:jc w:val="center"/>
        <w:rPr>
          <w:rFonts w:ascii="Arial" w:eastAsia="Arial" w:hAnsi="Arial" w:cs="Arial"/>
          <w:b/>
          <w:bCs/>
          <w:sz w:val="28"/>
          <w:szCs w:val="28"/>
        </w:rPr>
      </w:pPr>
    </w:p>
    <w:p w14:paraId="577B0DAC" w14:textId="77777777" w:rsidR="000573E1" w:rsidRDefault="00493529">
      <w:pPr>
        <w:jc w:val="center"/>
        <w:rPr>
          <w:rFonts w:ascii="Arial" w:eastAsia="Arial" w:hAnsi="Arial" w:cs="Arial"/>
          <w:b/>
          <w:bCs/>
          <w:sz w:val="28"/>
          <w:szCs w:val="28"/>
        </w:rPr>
      </w:pPr>
      <w:r>
        <w:rPr>
          <w:rFonts w:ascii="Arial" w:eastAsia="Arial" w:hAnsi="Arial" w:cs="Arial"/>
          <w:b/>
          <w:bCs/>
          <w:sz w:val="28"/>
          <w:szCs w:val="28"/>
        </w:rPr>
        <w:t>International Marketing Strategy of Deliveroo and Personal Reflection</w:t>
      </w:r>
    </w:p>
    <w:p w14:paraId="26C857D4" w14:textId="77777777" w:rsidR="000573E1" w:rsidRDefault="000573E1">
      <w:pPr>
        <w:jc w:val="center"/>
        <w:rPr>
          <w:rFonts w:ascii="Arial" w:eastAsia="Arial" w:hAnsi="Arial" w:cs="Arial"/>
          <w:b/>
          <w:bCs/>
          <w:color w:val="000000"/>
          <w:sz w:val="28"/>
          <w:szCs w:val="28"/>
        </w:rPr>
      </w:pPr>
    </w:p>
    <w:p w14:paraId="6EDE1968" w14:textId="77777777" w:rsidR="000573E1" w:rsidRDefault="00493529">
      <w:pPr>
        <w:jc w:val="center"/>
        <w:rPr>
          <w:rFonts w:ascii="Arial" w:eastAsia="Arial" w:hAnsi="Arial" w:cs="Arial"/>
          <w:b/>
          <w:bCs/>
          <w:color w:val="000000"/>
          <w:sz w:val="28"/>
          <w:szCs w:val="28"/>
        </w:rPr>
      </w:pPr>
      <w:r>
        <w:rPr>
          <w:rFonts w:ascii="Arial" w:eastAsia="Arial" w:hAnsi="Arial" w:cs="Arial"/>
          <w:b/>
          <w:bCs/>
          <w:color w:val="000000"/>
          <w:sz w:val="28"/>
          <w:szCs w:val="28"/>
        </w:rPr>
        <w:t>Lecturer: Dian Mayasari (Birmingham) and Tushara Balendran (London)</w:t>
      </w:r>
    </w:p>
    <w:p w14:paraId="5981B03A" w14:textId="77777777" w:rsidR="000573E1" w:rsidRDefault="000573E1">
      <w:pPr>
        <w:jc w:val="center"/>
        <w:rPr>
          <w:rFonts w:ascii="Arial" w:eastAsia="Arial" w:hAnsi="Arial" w:cs="Arial"/>
        </w:rPr>
      </w:pPr>
    </w:p>
    <w:p w14:paraId="5F528E3D" w14:textId="77777777" w:rsidR="000573E1" w:rsidRDefault="000573E1">
      <w:pPr>
        <w:jc w:val="center"/>
        <w:rPr>
          <w:rFonts w:ascii="Arial" w:eastAsia="Arial" w:hAnsi="Arial" w:cs="Arial"/>
        </w:rPr>
      </w:pPr>
    </w:p>
    <w:p w14:paraId="7D27ACF2" w14:textId="739ADF92" w:rsidR="000573E1" w:rsidRDefault="00493529">
      <w:pPr>
        <w:jc w:val="center"/>
        <w:rPr>
          <w:rFonts w:ascii="Arial" w:eastAsia="Arial" w:hAnsi="Arial" w:cs="Arial"/>
        </w:rPr>
      </w:pPr>
      <w:r>
        <w:rPr>
          <w:rFonts w:ascii="Arial" w:eastAsia="Arial" w:hAnsi="Arial" w:cs="Arial"/>
        </w:rPr>
        <w:t xml:space="preserve">Student Name: </w:t>
      </w:r>
      <w:r w:rsidR="00614B0B">
        <w:rPr>
          <w:rFonts w:ascii="Arial" w:eastAsia="Arial" w:hAnsi="Arial" w:cs="Arial"/>
          <w:lang w:val="ro-RO"/>
        </w:rPr>
        <w:t xml:space="preserve">Bogdan Pacuraru </w:t>
      </w:r>
    </w:p>
    <w:p w14:paraId="7622CA9A" w14:textId="7E54490F" w:rsidR="000573E1" w:rsidRDefault="00493529">
      <w:pPr>
        <w:jc w:val="center"/>
        <w:rPr>
          <w:rFonts w:ascii="Arial" w:eastAsia="Arial" w:hAnsi="Arial" w:cs="Arial"/>
        </w:rPr>
      </w:pPr>
      <w:r>
        <w:rPr>
          <w:rFonts w:ascii="Arial" w:eastAsia="Arial" w:hAnsi="Arial" w:cs="Arial"/>
        </w:rPr>
        <w:t xml:space="preserve">Student ID: </w:t>
      </w:r>
      <w:r w:rsidR="00614B0B">
        <w:rPr>
          <w:rFonts w:ascii="Arial" w:eastAsia="Arial" w:hAnsi="Arial" w:cs="Arial"/>
          <w:lang w:val="ro-RO"/>
        </w:rPr>
        <w:t>2245496</w:t>
      </w:r>
    </w:p>
    <w:p w14:paraId="2FC37E8A" w14:textId="77777777" w:rsidR="000573E1" w:rsidRDefault="00493529">
      <w:pPr>
        <w:jc w:val="center"/>
        <w:rPr>
          <w:rFonts w:ascii="Arial" w:eastAsia="Arial" w:hAnsi="Arial" w:cs="Arial"/>
        </w:rPr>
      </w:pPr>
      <w:r>
        <w:rPr>
          <w:rFonts w:ascii="Arial" w:eastAsia="Arial" w:hAnsi="Arial" w:cs="Arial"/>
        </w:rPr>
        <w:t>Final Word Count: 5052</w:t>
      </w:r>
    </w:p>
    <w:p w14:paraId="79DA5310" w14:textId="77777777" w:rsidR="000573E1" w:rsidRDefault="00493529">
      <w:pPr>
        <w:jc w:val="center"/>
        <w:rPr>
          <w:rFonts w:ascii="Arial" w:eastAsia="Arial" w:hAnsi="Arial" w:cs="Arial"/>
        </w:rPr>
      </w:pPr>
      <w:r>
        <w:rPr>
          <w:rFonts w:ascii="Arial" w:eastAsia="Arial" w:hAnsi="Arial" w:cs="Arial"/>
        </w:rPr>
        <w:t>Submission date: Birmingham, Thursday 16th Nov 2026 by 2 PM</w:t>
      </w:r>
    </w:p>
    <w:p w14:paraId="47B19256" w14:textId="77777777" w:rsidR="000573E1" w:rsidRDefault="000573E1">
      <w:pPr>
        <w:jc w:val="center"/>
        <w:rPr>
          <w:rFonts w:ascii="Arial" w:eastAsia="Arial" w:hAnsi="Arial" w:cs="Arial"/>
        </w:rPr>
      </w:pPr>
    </w:p>
    <w:p w14:paraId="0247BAF2" w14:textId="77777777" w:rsidR="000573E1" w:rsidRDefault="000573E1">
      <w:pPr>
        <w:jc w:val="center"/>
        <w:rPr>
          <w:rFonts w:ascii="Arial" w:eastAsia="Arial" w:hAnsi="Arial" w:cs="Arial"/>
          <w:b/>
          <w:bCs/>
          <w:color w:val="000000"/>
          <w:sz w:val="28"/>
          <w:szCs w:val="28"/>
        </w:rPr>
      </w:pPr>
    </w:p>
    <w:p w14:paraId="14DB9741" w14:textId="77777777" w:rsidR="000573E1" w:rsidRDefault="00493529">
      <w:pPr>
        <w:rPr>
          <w:rFonts w:ascii="Arial" w:eastAsia="Arial" w:hAnsi="Arial" w:cs="Arial"/>
          <w:b/>
          <w:bCs/>
          <w:color w:val="000000"/>
          <w:sz w:val="28"/>
          <w:szCs w:val="28"/>
        </w:rPr>
      </w:pPr>
      <w:r>
        <w:br w:type="page"/>
      </w:r>
    </w:p>
    <w:p w14:paraId="47465B14" w14:textId="77777777" w:rsidR="000573E1" w:rsidRDefault="00493529">
      <w:pPr>
        <w:jc w:val="center"/>
        <w:rPr>
          <w:rFonts w:ascii="Arial" w:eastAsia="Arial" w:hAnsi="Arial" w:cs="Arial"/>
          <w:b/>
          <w:bCs/>
          <w:color w:val="000000"/>
          <w:sz w:val="28"/>
          <w:szCs w:val="28"/>
        </w:rPr>
      </w:pPr>
      <w:r>
        <w:rPr>
          <w:rFonts w:ascii="Arial" w:eastAsia="Arial" w:hAnsi="Arial" w:cs="Arial"/>
          <w:b/>
          <w:bCs/>
          <w:color w:val="000000"/>
          <w:sz w:val="28"/>
          <w:szCs w:val="28"/>
        </w:rPr>
        <w:t>Table of contents</w:t>
      </w:r>
    </w:p>
    <w:sdt>
      <w:sdtPr>
        <w:id w:val="-1614523204"/>
        <w:docPartObj>
          <w:docPartGallery w:val="Table of Contents"/>
          <w:docPartUnique/>
        </w:docPartObj>
      </w:sdtPr>
      <w:sdtEndPr/>
      <w:sdtContent>
        <w:p w14:paraId="7120DD2A" w14:textId="77777777" w:rsidR="000573E1" w:rsidRDefault="00493529">
          <w:pPr>
            <w:pBdr>
              <w:top w:val="nil"/>
              <w:left w:val="nil"/>
              <w:bottom w:val="nil"/>
              <w:right w:val="nil"/>
              <w:between w:val="nil"/>
            </w:pBdr>
            <w:tabs>
              <w:tab w:val="right" w:pos="9019"/>
            </w:tabs>
            <w:spacing w:after="100"/>
            <w:rPr>
              <w:rFonts w:ascii="Arial" w:eastAsia="Arial" w:hAnsi="Arial" w:cs="Arial"/>
              <w:color w:val="000000"/>
            </w:rPr>
          </w:pPr>
          <w:r>
            <w:fldChar w:fldCharType="begin"/>
          </w:r>
          <w:r>
            <w:instrText xml:space="preserve"> TOC \h \u \z \t "Heading 1,1,Heading 2,2,Heading 3,3,Heading 4,4,Heading 5,5,Heading 6,6,"</w:instrText>
          </w:r>
          <w:r>
            <w:fldChar w:fldCharType="separate"/>
          </w:r>
          <w:hyperlink w:anchor="_heading=h.5z5bgp7gztii">
            <w:r>
              <w:rPr>
                <w:rFonts w:ascii="Arial" w:eastAsia="Arial" w:hAnsi="Arial" w:cs="Arial"/>
                <w:color w:val="000000"/>
              </w:rPr>
              <w:t>Task 1: Report</w:t>
            </w:r>
            <w:r>
              <w:rPr>
                <w:rFonts w:ascii="Arial" w:eastAsia="Arial" w:hAnsi="Arial" w:cs="Arial"/>
                <w:color w:val="000000"/>
              </w:rPr>
              <w:tab/>
              <w:t>3</w:t>
            </w:r>
          </w:hyperlink>
        </w:p>
        <w:p w14:paraId="14D1785D" w14:textId="77777777" w:rsidR="000573E1" w:rsidRDefault="00493529">
          <w:pPr>
            <w:pBdr>
              <w:top w:val="nil"/>
              <w:left w:val="nil"/>
              <w:bottom w:val="nil"/>
              <w:right w:val="nil"/>
              <w:between w:val="nil"/>
            </w:pBdr>
            <w:tabs>
              <w:tab w:val="right" w:pos="9019"/>
            </w:tabs>
            <w:spacing w:after="100"/>
            <w:ind w:left="240"/>
            <w:rPr>
              <w:rFonts w:ascii="Arial" w:eastAsia="Arial" w:hAnsi="Arial" w:cs="Arial"/>
              <w:color w:val="000000"/>
            </w:rPr>
          </w:pPr>
          <w:hyperlink w:anchor="_heading=h.vvtka5tmtki0">
            <w:r>
              <w:rPr>
                <w:rFonts w:ascii="Arial" w:eastAsia="Arial" w:hAnsi="Arial" w:cs="Arial"/>
                <w:color w:val="000000"/>
              </w:rPr>
              <w:t>a. Introduction</w:t>
            </w:r>
            <w:r>
              <w:rPr>
                <w:rFonts w:ascii="Arial" w:eastAsia="Arial" w:hAnsi="Arial" w:cs="Arial"/>
                <w:color w:val="000000"/>
              </w:rPr>
              <w:tab/>
              <w:t>3</w:t>
            </w:r>
          </w:hyperlink>
        </w:p>
        <w:p w14:paraId="43035509" w14:textId="77777777" w:rsidR="000573E1" w:rsidRDefault="00493529">
          <w:pPr>
            <w:pBdr>
              <w:top w:val="nil"/>
              <w:left w:val="nil"/>
              <w:bottom w:val="nil"/>
              <w:right w:val="nil"/>
              <w:between w:val="nil"/>
            </w:pBdr>
            <w:tabs>
              <w:tab w:val="right" w:pos="9019"/>
            </w:tabs>
            <w:spacing w:after="100"/>
            <w:ind w:left="240"/>
            <w:rPr>
              <w:rFonts w:ascii="Arial" w:eastAsia="Arial" w:hAnsi="Arial" w:cs="Arial"/>
              <w:color w:val="000000"/>
            </w:rPr>
          </w:pPr>
          <w:hyperlink w:anchor="_heading=h.op2lmqifyvb8">
            <w:r>
              <w:rPr>
                <w:rFonts w:ascii="Arial" w:eastAsia="Arial" w:hAnsi="Arial" w:cs="Arial"/>
                <w:color w:val="000000"/>
              </w:rPr>
              <w:t>b. Brand Profile</w:t>
            </w:r>
            <w:r>
              <w:rPr>
                <w:rFonts w:ascii="Arial" w:eastAsia="Arial" w:hAnsi="Arial" w:cs="Arial"/>
                <w:color w:val="000000"/>
              </w:rPr>
              <w:tab/>
              <w:t>3</w:t>
            </w:r>
          </w:hyperlink>
        </w:p>
        <w:p w14:paraId="71E21E85" w14:textId="77777777" w:rsidR="000573E1" w:rsidRDefault="00493529">
          <w:pPr>
            <w:pBdr>
              <w:top w:val="nil"/>
              <w:left w:val="nil"/>
              <w:bottom w:val="nil"/>
              <w:right w:val="nil"/>
              <w:between w:val="nil"/>
            </w:pBdr>
            <w:tabs>
              <w:tab w:val="right" w:pos="9019"/>
            </w:tabs>
            <w:spacing w:after="100"/>
            <w:ind w:left="240"/>
            <w:rPr>
              <w:rFonts w:ascii="Arial" w:eastAsia="Arial" w:hAnsi="Arial" w:cs="Arial"/>
              <w:color w:val="000000"/>
            </w:rPr>
          </w:pPr>
          <w:hyperlink w:anchor="_heading=h.rrg6jbxcb7z6">
            <w:r>
              <w:rPr>
                <w:rFonts w:ascii="Arial" w:eastAsia="Arial" w:hAnsi="Arial" w:cs="Arial"/>
                <w:color w:val="000000"/>
              </w:rPr>
              <w:t>c. Situational Analysis</w:t>
            </w:r>
            <w:r>
              <w:rPr>
                <w:rFonts w:ascii="Arial" w:eastAsia="Arial" w:hAnsi="Arial" w:cs="Arial"/>
                <w:color w:val="000000"/>
              </w:rPr>
              <w:tab/>
              <w:t>4</w:t>
            </w:r>
          </w:hyperlink>
        </w:p>
        <w:p w14:paraId="0AB9D5DF" w14:textId="77777777" w:rsidR="000573E1" w:rsidRDefault="00493529">
          <w:pPr>
            <w:pBdr>
              <w:top w:val="nil"/>
              <w:left w:val="nil"/>
              <w:bottom w:val="nil"/>
              <w:right w:val="nil"/>
              <w:between w:val="nil"/>
            </w:pBdr>
            <w:tabs>
              <w:tab w:val="right" w:pos="9019"/>
            </w:tabs>
            <w:spacing w:after="100"/>
            <w:ind w:left="480"/>
            <w:rPr>
              <w:rFonts w:ascii="Arial" w:eastAsia="Arial" w:hAnsi="Arial" w:cs="Arial"/>
              <w:color w:val="000000"/>
            </w:rPr>
          </w:pPr>
          <w:hyperlink w:anchor="_heading=h.p16it8yd2n5z">
            <w:r>
              <w:rPr>
                <w:rFonts w:ascii="Arial" w:eastAsia="Arial" w:hAnsi="Arial" w:cs="Arial"/>
                <w:color w:val="000000"/>
              </w:rPr>
              <w:t>PESTLE</w:t>
            </w:r>
            <w:r>
              <w:rPr>
                <w:rFonts w:ascii="Arial" w:eastAsia="Arial" w:hAnsi="Arial" w:cs="Arial"/>
                <w:color w:val="000000"/>
              </w:rPr>
              <w:tab/>
              <w:t>4</w:t>
            </w:r>
          </w:hyperlink>
        </w:p>
        <w:p w14:paraId="164E81BD" w14:textId="77777777" w:rsidR="000573E1" w:rsidRDefault="00493529">
          <w:pPr>
            <w:pBdr>
              <w:top w:val="nil"/>
              <w:left w:val="nil"/>
              <w:bottom w:val="nil"/>
              <w:right w:val="nil"/>
              <w:between w:val="nil"/>
            </w:pBdr>
            <w:tabs>
              <w:tab w:val="right" w:pos="9019"/>
            </w:tabs>
            <w:spacing w:after="100"/>
            <w:ind w:left="480"/>
            <w:rPr>
              <w:rFonts w:ascii="Arial" w:eastAsia="Arial" w:hAnsi="Arial" w:cs="Arial"/>
              <w:color w:val="000000"/>
            </w:rPr>
          </w:pPr>
          <w:hyperlink w:anchor="_heading=h.9abxmo73uco6">
            <w:r>
              <w:rPr>
                <w:rFonts w:ascii="Arial" w:eastAsia="Arial" w:hAnsi="Arial" w:cs="Arial"/>
                <w:color w:val="000000"/>
              </w:rPr>
              <w:t>Hofstede’s country culture  comparison</w:t>
            </w:r>
            <w:r>
              <w:rPr>
                <w:rFonts w:ascii="Arial" w:eastAsia="Arial" w:hAnsi="Arial" w:cs="Arial"/>
                <w:color w:val="000000"/>
              </w:rPr>
              <w:tab/>
              <w:t>10</w:t>
            </w:r>
          </w:hyperlink>
        </w:p>
        <w:p w14:paraId="5CD3EC33" w14:textId="77777777" w:rsidR="000573E1" w:rsidRDefault="00493529">
          <w:pPr>
            <w:pBdr>
              <w:top w:val="nil"/>
              <w:left w:val="nil"/>
              <w:bottom w:val="nil"/>
              <w:right w:val="nil"/>
              <w:between w:val="nil"/>
            </w:pBdr>
            <w:tabs>
              <w:tab w:val="right" w:pos="9019"/>
            </w:tabs>
            <w:spacing w:after="100"/>
            <w:ind w:left="240"/>
            <w:rPr>
              <w:rFonts w:ascii="Arial" w:eastAsia="Arial" w:hAnsi="Arial" w:cs="Arial"/>
              <w:color w:val="000000"/>
            </w:rPr>
          </w:pPr>
          <w:hyperlink w:anchor="_heading=h.uiszdqe9g0x1">
            <w:r>
              <w:rPr>
                <w:rFonts w:ascii="Arial" w:eastAsia="Arial" w:hAnsi="Arial" w:cs="Arial"/>
                <w:color w:val="000000"/>
              </w:rPr>
              <w:t>d. International STP and Marketing Mix (7Ps)</w:t>
            </w:r>
            <w:r>
              <w:rPr>
                <w:rFonts w:ascii="Arial" w:eastAsia="Arial" w:hAnsi="Arial" w:cs="Arial"/>
                <w:color w:val="000000"/>
              </w:rPr>
              <w:tab/>
              <w:t>11</w:t>
            </w:r>
          </w:hyperlink>
        </w:p>
        <w:p w14:paraId="491957BD" w14:textId="77777777" w:rsidR="000573E1" w:rsidRDefault="00493529">
          <w:pPr>
            <w:pBdr>
              <w:top w:val="nil"/>
              <w:left w:val="nil"/>
              <w:bottom w:val="nil"/>
              <w:right w:val="nil"/>
              <w:between w:val="nil"/>
            </w:pBdr>
            <w:tabs>
              <w:tab w:val="right" w:pos="9019"/>
            </w:tabs>
            <w:spacing w:after="100"/>
            <w:ind w:left="480"/>
            <w:rPr>
              <w:rFonts w:ascii="Arial" w:eastAsia="Arial" w:hAnsi="Arial" w:cs="Arial"/>
              <w:color w:val="000000"/>
            </w:rPr>
          </w:pPr>
          <w:hyperlink w:anchor="_heading=h.5o0wlyxyhfta">
            <w:r>
              <w:rPr>
                <w:rFonts w:ascii="Arial" w:eastAsia="Arial" w:hAnsi="Arial" w:cs="Arial"/>
                <w:color w:val="000000"/>
              </w:rPr>
              <w:t>STP Analysis</w:t>
            </w:r>
            <w:r>
              <w:rPr>
                <w:rFonts w:ascii="Arial" w:eastAsia="Arial" w:hAnsi="Arial" w:cs="Arial"/>
                <w:color w:val="000000"/>
              </w:rPr>
              <w:tab/>
              <w:t>11</w:t>
            </w:r>
          </w:hyperlink>
        </w:p>
        <w:p w14:paraId="6C47C71F" w14:textId="77777777" w:rsidR="000573E1" w:rsidRDefault="00493529">
          <w:pPr>
            <w:pBdr>
              <w:top w:val="nil"/>
              <w:left w:val="nil"/>
              <w:bottom w:val="nil"/>
              <w:right w:val="nil"/>
              <w:between w:val="nil"/>
            </w:pBdr>
            <w:tabs>
              <w:tab w:val="right" w:pos="9019"/>
            </w:tabs>
            <w:spacing w:after="100"/>
            <w:ind w:left="480"/>
            <w:rPr>
              <w:rFonts w:ascii="Arial" w:eastAsia="Arial" w:hAnsi="Arial" w:cs="Arial"/>
              <w:color w:val="000000"/>
            </w:rPr>
          </w:pPr>
          <w:hyperlink w:anchor="_heading=h.lhrmmw26qkuk">
            <w:r>
              <w:rPr>
                <w:rFonts w:ascii="Arial" w:eastAsia="Arial" w:hAnsi="Arial" w:cs="Arial"/>
                <w:color w:val="000000"/>
              </w:rPr>
              <w:t>Marketing Mix (7Ps)</w:t>
            </w:r>
            <w:r>
              <w:rPr>
                <w:rFonts w:ascii="Arial" w:eastAsia="Arial" w:hAnsi="Arial" w:cs="Arial"/>
                <w:color w:val="000000"/>
              </w:rPr>
              <w:tab/>
              <w:t>15</w:t>
            </w:r>
          </w:hyperlink>
        </w:p>
        <w:p w14:paraId="18AEEBD2" w14:textId="77777777" w:rsidR="000573E1" w:rsidRDefault="00493529">
          <w:pPr>
            <w:pBdr>
              <w:top w:val="nil"/>
              <w:left w:val="nil"/>
              <w:bottom w:val="nil"/>
              <w:right w:val="nil"/>
              <w:between w:val="nil"/>
            </w:pBdr>
            <w:tabs>
              <w:tab w:val="right" w:pos="9019"/>
            </w:tabs>
            <w:spacing w:after="100"/>
            <w:ind w:left="240"/>
            <w:rPr>
              <w:rFonts w:ascii="Arial" w:eastAsia="Arial" w:hAnsi="Arial" w:cs="Arial"/>
              <w:color w:val="000000"/>
            </w:rPr>
          </w:pPr>
          <w:hyperlink w:anchor="_heading=h.8wv0up13okj6">
            <w:r>
              <w:rPr>
                <w:rFonts w:ascii="Arial" w:eastAsia="Arial" w:hAnsi="Arial" w:cs="Arial"/>
                <w:color w:val="000000"/>
              </w:rPr>
              <w:t>e. Market Entry Strategy</w:t>
            </w:r>
            <w:r>
              <w:rPr>
                <w:rFonts w:ascii="Arial" w:eastAsia="Arial" w:hAnsi="Arial" w:cs="Arial"/>
                <w:color w:val="000000"/>
              </w:rPr>
              <w:tab/>
              <w:t>17</w:t>
            </w:r>
          </w:hyperlink>
        </w:p>
        <w:p w14:paraId="09999F00" w14:textId="77777777" w:rsidR="000573E1" w:rsidRDefault="00493529">
          <w:pPr>
            <w:pBdr>
              <w:top w:val="nil"/>
              <w:left w:val="nil"/>
              <w:bottom w:val="nil"/>
              <w:right w:val="nil"/>
              <w:between w:val="nil"/>
            </w:pBdr>
            <w:tabs>
              <w:tab w:val="right" w:pos="9019"/>
            </w:tabs>
            <w:spacing w:after="100"/>
            <w:ind w:left="240"/>
            <w:rPr>
              <w:rFonts w:ascii="Arial" w:eastAsia="Arial" w:hAnsi="Arial" w:cs="Arial"/>
              <w:color w:val="000000"/>
            </w:rPr>
          </w:pPr>
          <w:hyperlink w:anchor="_heading=h.pvaf2trrvuyd">
            <w:r>
              <w:rPr>
                <w:rFonts w:ascii="Arial" w:eastAsia="Arial" w:hAnsi="Arial" w:cs="Arial"/>
                <w:color w:val="000000"/>
              </w:rPr>
              <w:t>f. Ethical and Sustainability Considerations</w:t>
            </w:r>
            <w:r>
              <w:rPr>
                <w:rFonts w:ascii="Arial" w:eastAsia="Arial" w:hAnsi="Arial" w:cs="Arial"/>
                <w:color w:val="000000"/>
              </w:rPr>
              <w:tab/>
              <w:t>18</w:t>
            </w:r>
          </w:hyperlink>
        </w:p>
        <w:p w14:paraId="65756FF4" w14:textId="77777777" w:rsidR="000573E1" w:rsidRDefault="00493529">
          <w:pPr>
            <w:pBdr>
              <w:top w:val="nil"/>
              <w:left w:val="nil"/>
              <w:bottom w:val="nil"/>
              <w:right w:val="nil"/>
              <w:between w:val="nil"/>
            </w:pBdr>
            <w:tabs>
              <w:tab w:val="right" w:pos="9019"/>
            </w:tabs>
            <w:spacing w:after="100"/>
            <w:ind w:left="240"/>
            <w:rPr>
              <w:rFonts w:ascii="Arial" w:eastAsia="Arial" w:hAnsi="Arial" w:cs="Arial"/>
              <w:color w:val="000000"/>
            </w:rPr>
          </w:pPr>
          <w:hyperlink w:anchor="_heading=h.szswlobuawa1">
            <w:r>
              <w:rPr>
                <w:rFonts w:ascii="Arial" w:eastAsia="Arial" w:hAnsi="Arial" w:cs="Arial"/>
                <w:color w:val="000000"/>
              </w:rPr>
              <w:t>g. Conclusion</w:t>
            </w:r>
            <w:r>
              <w:rPr>
                <w:rFonts w:ascii="Arial" w:eastAsia="Arial" w:hAnsi="Arial" w:cs="Arial"/>
                <w:color w:val="000000"/>
              </w:rPr>
              <w:tab/>
              <w:t>19</w:t>
            </w:r>
          </w:hyperlink>
        </w:p>
        <w:p w14:paraId="6554E33E" w14:textId="77777777" w:rsidR="000573E1" w:rsidRDefault="00493529">
          <w:pPr>
            <w:pBdr>
              <w:top w:val="nil"/>
              <w:left w:val="nil"/>
              <w:bottom w:val="nil"/>
              <w:right w:val="nil"/>
              <w:between w:val="nil"/>
            </w:pBdr>
            <w:tabs>
              <w:tab w:val="right" w:pos="9019"/>
            </w:tabs>
            <w:spacing w:after="100"/>
            <w:ind w:left="240"/>
            <w:rPr>
              <w:rFonts w:ascii="Arial" w:eastAsia="Arial" w:hAnsi="Arial" w:cs="Arial"/>
              <w:color w:val="000000"/>
            </w:rPr>
          </w:pPr>
          <w:hyperlink w:anchor="_heading=h.s3fzypvggkld">
            <w:r>
              <w:rPr>
                <w:rFonts w:ascii="Arial" w:eastAsia="Arial" w:hAnsi="Arial" w:cs="Arial"/>
                <w:color w:val="000000"/>
              </w:rPr>
              <w:t>h. References</w:t>
            </w:r>
            <w:r>
              <w:rPr>
                <w:rFonts w:ascii="Arial" w:eastAsia="Arial" w:hAnsi="Arial" w:cs="Arial"/>
                <w:color w:val="000000"/>
              </w:rPr>
              <w:tab/>
              <w:t>20</w:t>
            </w:r>
          </w:hyperlink>
        </w:p>
        <w:p w14:paraId="049EA82E" w14:textId="77777777" w:rsidR="000573E1" w:rsidRDefault="00493529">
          <w:pPr>
            <w:pBdr>
              <w:top w:val="nil"/>
              <w:left w:val="nil"/>
              <w:bottom w:val="nil"/>
              <w:right w:val="nil"/>
              <w:between w:val="nil"/>
            </w:pBdr>
            <w:tabs>
              <w:tab w:val="right" w:pos="9019"/>
            </w:tabs>
            <w:spacing w:after="100"/>
            <w:rPr>
              <w:rFonts w:ascii="Arial" w:eastAsia="Arial" w:hAnsi="Arial" w:cs="Arial"/>
              <w:color w:val="000000"/>
            </w:rPr>
          </w:pPr>
          <w:hyperlink w:anchor="_heading=h.vag37yv4e2br">
            <w:r>
              <w:rPr>
                <w:rFonts w:ascii="Arial" w:eastAsia="Arial" w:hAnsi="Arial" w:cs="Arial"/>
                <w:color w:val="000000"/>
              </w:rPr>
              <w:t>Task 2: Reflection</w:t>
            </w:r>
            <w:r>
              <w:rPr>
                <w:rFonts w:ascii="Arial" w:eastAsia="Arial" w:hAnsi="Arial" w:cs="Arial"/>
                <w:color w:val="000000"/>
              </w:rPr>
              <w:tab/>
              <w:t>24</w:t>
            </w:r>
          </w:hyperlink>
        </w:p>
        <w:p w14:paraId="55A69A57" w14:textId="77777777" w:rsidR="000573E1" w:rsidRDefault="00493529">
          <w:pPr>
            <w:pBdr>
              <w:top w:val="nil"/>
              <w:left w:val="nil"/>
              <w:bottom w:val="nil"/>
              <w:right w:val="nil"/>
              <w:between w:val="nil"/>
            </w:pBdr>
            <w:tabs>
              <w:tab w:val="left" w:pos="720"/>
              <w:tab w:val="right" w:pos="9019"/>
            </w:tabs>
            <w:spacing w:after="100"/>
            <w:ind w:left="240"/>
            <w:rPr>
              <w:rFonts w:ascii="Arial" w:eastAsia="Arial" w:hAnsi="Arial" w:cs="Arial"/>
              <w:color w:val="000000"/>
            </w:rPr>
          </w:pPr>
          <w:hyperlink w:anchor="_heading=h.vs8yz3ixksjj">
            <w:r>
              <w:rPr>
                <w:rFonts w:ascii="Arial" w:eastAsia="Arial" w:hAnsi="Arial" w:cs="Arial"/>
                <w:color w:val="000000"/>
              </w:rPr>
              <w:t>a. Introduction</w:t>
            </w:r>
            <w:r>
              <w:rPr>
                <w:rFonts w:ascii="Arial" w:eastAsia="Arial" w:hAnsi="Arial" w:cs="Arial"/>
                <w:color w:val="000000"/>
              </w:rPr>
              <w:tab/>
              <w:t>24</w:t>
            </w:r>
          </w:hyperlink>
        </w:p>
        <w:p w14:paraId="737BED32" w14:textId="77777777" w:rsidR="000573E1" w:rsidRDefault="00493529">
          <w:pPr>
            <w:pBdr>
              <w:top w:val="nil"/>
              <w:left w:val="nil"/>
              <w:bottom w:val="nil"/>
              <w:right w:val="nil"/>
              <w:between w:val="nil"/>
            </w:pBdr>
            <w:tabs>
              <w:tab w:val="left" w:pos="720"/>
              <w:tab w:val="right" w:pos="9019"/>
            </w:tabs>
            <w:spacing w:after="100"/>
            <w:ind w:left="240"/>
            <w:rPr>
              <w:rFonts w:ascii="Arial" w:eastAsia="Arial" w:hAnsi="Arial" w:cs="Arial"/>
              <w:color w:val="000000"/>
            </w:rPr>
          </w:pPr>
          <w:hyperlink w:anchor="_heading=h.kgsqyxl3yece">
            <w:r>
              <w:rPr>
                <w:rFonts w:ascii="Arial" w:eastAsia="Arial" w:hAnsi="Arial" w:cs="Arial"/>
                <w:color w:val="000000"/>
              </w:rPr>
              <w:t>b. Reflective Analysis</w:t>
            </w:r>
            <w:r>
              <w:rPr>
                <w:rFonts w:ascii="Arial" w:eastAsia="Arial" w:hAnsi="Arial" w:cs="Arial"/>
                <w:color w:val="000000"/>
              </w:rPr>
              <w:tab/>
              <w:t>24</w:t>
            </w:r>
          </w:hyperlink>
        </w:p>
        <w:p w14:paraId="74477F16" w14:textId="77777777" w:rsidR="000573E1" w:rsidRDefault="00493529">
          <w:pPr>
            <w:pBdr>
              <w:top w:val="nil"/>
              <w:left w:val="nil"/>
              <w:bottom w:val="nil"/>
              <w:right w:val="nil"/>
              <w:between w:val="nil"/>
            </w:pBdr>
            <w:tabs>
              <w:tab w:val="left" w:pos="720"/>
              <w:tab w:val="right" w:pos="9019"/>
            </w:tabs>
            <w:spacing w:after="100"/>
            <w:ind w:left="240"/>
            <w:rPr>
              <w:rFonts w:ascii="Arial" w:eastAsia="Arial" w:hAnsi="Arial" w:cs="Arial"/>
              <w:color w:val="000000"/>
            </w:rPr>
          </w:pPr>
          <w:hyperlink w:anchor="_heading=h.vsaoe04af7sb">
            <w:r>
              <w:rPr>
                <w:rFonts w:ascii="Arial" w:eastAsia="Arial" w:hAnsi="Arial" w:cs="Arial"/>
                <w:color w:val="000000"/>
              </w:rPr>
              <w:t>c. Conclusion</w:t>
            </w:r>
            <w:r>
              <w:rPr>
                <w:rFonts w:ascii="Arial" w:eastAsia="Arial" w:hAnsi="Arial" w:cs="Arial"/>
                <w:color w:val="000000"/>
              </w:rPr>
              <w:tab/>
              <w:t>27</w:t>
            </w:r>
          </w:hyperlink>
        </w:p>
        <w:p w14:paraId="75E36CCB" w14:textId="77777777" w:rsidR="000573E1" w:rsidRDefault="00493529">
          <w:pPr>
            <w:pBdr>
              <w:top w:val="nil"/>
              <w:left w:val="nil"/>
              <w:bottom w:val="nil"/>
              <w:right w:val="nil"/>
              <w:between w:val="nil"/>
            </w:pBdr>
            <w:tabs>
              <w:tab w:val="left" w:pos="720"/>
              <w:tab w:val="right" w:pos="9019"/>
            </w:tabs>
            <w:spacing w:after="100"/>
            <w:ind w:left="240"/>
            <w:rPr>
              <w:rFonts w:ascii="Arial" w:eastAsia="Arial" w:hAnsi="Arial" w:cs="Arial"/>
              <w:color w:val="000000"/>
            </w:rPr>
          </w:pPr>
          <w:hyperlink w:anchor="_heading=h.8x1sa5vm1j52">
            <w:r>
              <w:rPr>
                <w:rFonts w:ascii="Arial" w:eastAsia="Arial" w:hAnsi="Arial" w:cs="Arial"/>
                <w:color w:val="000000"/>
              </w:rPr>
              <w:t>d. References</w:t>
            </w:r>
            <w:r>
              <w:rPr>
                <w:rFonts w:ascii="Arial" w:eastAsia="Arial" w:hAnsi="Arial" w:cs="Arial"/>
                <w:color w:val="000000"/>
              </w:rPr>
              <w:tab/>
              <w:t>28</w:t>
            </w:r>
          </w:hyperlink>
        </w:p>
        <w:p w14:paraId="30D1A70D" w14:textId="77777777" w:rsidR="000573E1" w:rsidRDefault="00493529">
          <w:pPr>
            <w:widowControl w:val="0"/>
            <w:tabs>
              <w:tab w:val="right" w:pos="12000"/>
            </w:tabs>
            <w:spacing w:before="60"/>
            <w:ind w:left="360"/>
            <w:rPr>
              <w:rFonts w:ascii="Arial" w:eastAsia="Arial" w:hAnsi="Arial" w:cs="Arial"/>
              <w:color w:val="000000"/>
            </w:rPr>
          </w:pPr>
          <w:r>
            <w:fldChar w:fldCharType="end"/>
          </w:r>
        </w:p>
      </w:sdtContent>
    </w:sdt>
    <w:p w14:paraId="76026893" w14:textId="77777777" w:rsidR="000573E1" w:rsidRDefault="000573E1">
      <w:pPr>
        <w:rPr>
          <w:rFonts w:ascii="Arial" w:eastAsia="Arial" w:hAnsi="Arial" w:cs="Arial"/>
          <w:color w:val="000000"/>
        </w:rPr>
      </w:pPr>
    </w:p>
    <w:p w14:paraId="5572BAD9" w14:textId="77777777" w:rsidR="000573E1" w:rsidRDefault="000573E1">
      <w:pPr>
        <w:rPr>
          <w:rFonts w:ascii="Arial" w:eastAsia="Arial" w:hAnsi="Arial" w:cs="Arial"/>
          <w:color w:val="000000"/>
        </w:rPr>
      </w:pPr>
    </w:p>
    <w:p w14:paraId="2D7702CE" w14:textId="77777777" w:rsidR="000573E1" w:rsidRDefault="00493529">
      <w:pPr>
        <w:pStyle w:val="Titlu1"/>
        <w:rPr>
          <w:rFonts w:ascii="Arial" w:eastAsia="Arial" w:hAnsi="Arial" w:cs="Arial"/>
          <w:color w:val="000000"/>
        </w:rPr>
      </w:pPr>
      <w:bookmarkStart w:id="0" w:name="_heading=h.5z5bgp7gztii" w:colFirst="0" w:colLast="0"/>
      <w:bookmarkEnd w:id="0"/>
      <w:r>
        <w:br w:type="page"/>
      </w:r>
    </w:p>
    <w:p w14:paraId="49B368DC" w14:textId="77777777" w:rsidR="000573E1" w:rsidRDefault="00493529">
      <w:pPr>
        <w:pStyle w:val="Titlu1"/>
        <w:rPr>
          <w:rFonts w:ascii="Arial" w:eastAsia="Arial" w:hAnsi="Arial" w:cs="Arial"/>
          <w:color w:val="000000"/>
        </w:rPr>
      </w:pPr>
      <w:r>
        <w:rPr>
          <w:rFonts w:ascii="Arial" w:eastAsia="Arial" w:hAnsi="Arial" w:cs="Arial"/>
          <w:color w:val="000000"/>
        </w:rPr>
        <w:t xml:space="preserve">Task 1: Report </w:t>
      </w:r>
    </w:p>
    <w:p w14:paraId="02CA9977" w14:textId="77777777" w:rsidR="000573E1" w:rsidRDefault="00493529">
      <w:pPr>
        <w:pStyle w:val="Titlu2"/>
        <w:rPr>
          <w:rFonts w:ascii="Arial" w:eastAsia="Arial" w:hAnsi="Arial" w:cs="Arial"/>
          <w:color w:val="000000"/>
        </w:rPr>
      </w:pPr>
      <w:bookmarkStart w:id="1" w:name="_heading=h.vvtka5tmtki0" w:colFirst="0" w:colLast="0"/>
      <w:bookmarkEnd w:id="1"/>
      <w:r>
        <w:rPr>
          <w:rFonts w:ascii="Arial" w:eastAsia="Arial" w:hAnsi="Arial" w:cs="Arial"/>
          <w:color w:val="000000"/>
        </w:rPr>
        <w:t xml:space="preserve">a. Introduction </w:t>
      </w:r>
    </w:p>
    <w:p w14:paraId="316E2008" w14:textId="77777777" w:rsidR="000573E1" w:rsidRDefault="00493529">
      <w:pPr>
        <w:rPr>
          <w:rFonts w:ascii="Arial" w:eastAsia="Arial" w:hAnsi="Arial" w:cs="Arial"/>
          <w:color w:val="000000"/>
        </w:rPr>
      </w:pPr>
      <w:r>
        <w:rPr>
          <w:rFonts w:ascii="Arial" w:eastAsia="Arial" w:hAnsi="Arial" w:cs="Arial"/>
          <w:color w:val="000000"/>
        </w:rPr>
        <w:t>International marketing strategy is a corporate effort to develop marketing and promotional campaigns that can enhance the brand reach globally. In this report, Deliveroo is selected as the company and the USA and Japan as the prospective markets where the company will enter. This report will provide a brief overview of Deliveroo followed by a situational analysis using PESTLE and Hofstede cultural dimension analysis. The STP and marketing mix will be conducted, along with market entry modes being selected,</w:t>
      </w:r>
      <w:r>
        <w:rPr>
          <w:rFonts w:ascii="Arial" w:eastAsia="Arial" w:hAnsi="Arial" w:cs="Arial"/>
          <w:color w:val="000000"/>
        </w:rPr>
        <w:t xml:space="preserve"> and ethical and sustainable considerations for entering both markets will be evaluated. </w:t>
      </w:r>
    </w:p>
    <w:p w14:paraId="68CF966B" w14:textId="77777777" w:rsidR="000573E1" w:rsidRDefault="00493529">
      <w:pPr>
        <w:pStyle w:val="Titlu2"/>
        <w:rPr>
          <w:rFonts w:ascii="Arial" w:eastAsia="Arial" w:hAnsi="Arial" w:cs="Arial"/>
          <w:color w:val="000000"/>
        </w:rPr>
      </w:pPr>
      <w:bookmarkStart w:id="2" w:name="_heading=h.op2lmqifyvb8" w:colFirst="0" w:colLast="0"/>
      <w:bookmarkEnd w:id="2"/>
      <w:r>
        <w:rPr>
          <w:rFonts w:ascii="Arial" w:eastAsia="Arial" w:hAnsi="Arial" w:cs="Arial"/>
          <w:color w:val="000000"/>
        </w:rPr>
        <w:t>b. Brand Profile</w:t>
      </w:r>
    </w:p>
    <w:p w14:paraId="7ECA6A99" w14:textId="77777777" w:rsidR="000573E1" w:rsidRDefault="00493529">
      <w:pPr>
        <w:rPr>
          <w:rFonts w:ascii="Arial" w:eastAsia="Arial" w:hAnsi="Arial" w:cs="Arial"/>
          <w:color w:val="000000"/>
        </w:rPr>
      </w:pPr>
      <w:r>
        <w:rPr>
          <w:rFonts w:ascii="Arial" w:eastAsia="Arial" w:hAnsi="Arial" w:cs="Arial"/>
          <w:color w:val="000000"/>
        </w:rPr>
        <w:t xml:space="preserve">Deliveroo is a UK-based food delivery and technology company established in 2013 and headquartered in London (Deliveroo, 2026a). Will Shu and Greg Orlowski founded the firm to transform how people consume food by making it feasible to access healthier meals in their neighbourhood. </w:t>
      </w:r>
    </w:p>
    <w:p w14:paraId="366866B8" w14:textId="77777777" w:rsidR="000573E1" w:rsidRDefault="00493529">
      <w:pP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4CD5A962" wp14:editId="3BCFE5E6">
            <wp:extent cx="2411986" cy="1123391"/>
            <wp:effectExtent l="12700" t="12700" r="12700" b="12700"/>
            <wp:docPr id="11988440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11986" cy="1123391"/>
                    </a:xfrm>
                    <a:prstGeom prst="rect">
                      <a:avLst/>
                    </a:prstGeom>
                    <a:ln w="12700">
                      <a:solidFill>
                        <a:srgbClr val="000000"/>
                      </a:solidFill>
                      <a:prstDash val="solid"/>
                    </a:ln>
                  </pic:spPr>
                </pic:pic>
              </a:graphicData>
            </a:graphic>
          </wp:inline>
        </w:drawing>
      </w:r>
    </w:p>
    <w:p w14:paraId="5E397357" w14:textId="77777777" w:rsidR="000573E1" w:rsidRDefault="00493529">
      <w:pPr>
        <w:jc w:val="center"/>
        <w:rPr>
          <w:rFonts w:ascii="Arial" w:eastAsia="Arial" w:hAnsi="Arial" w:cs="Arial"/>
          <w:b/>
          <w:bCs/>
          <w:color w:val="000000"/>
        </w:rPr>
      </w:pPr>
      <w:r>
        <w:rPr>
          <w:rFonts w:ascii="Arial" w:eastAsia="Arial" w:hAnsi="Arial" w:cs="Arial"/>
          <w:b/>
          <w:bCs/>
          <w:color w:val="000000"/>
        </w:rPr>
        <w:t>Figure 1: Company logo</w:t>
      </w:r>
    </w:p>
    <w:p w14:paraId="5D0AA9EB" w14:textId="77777777" w:rsidR="000573E1" w:rsidRDefault="00493529">
      <w:pPr>
        <w:jc w:val="center"/>
        <w:rPr>
          <w:rFonts w:ascii="Arial" w:eastAsia="Arial" w:hAnsi="Arial" w:cs="Arial"/>
          <w:color w:val="000000"/>
        </w:rPr>
      </w:pPr>
      <w:r>
        <w:rPr>
          <w:rFonts w:ascii="Arial" w:eastAsia="Arial" w:hAnsi="Arial" w:cs="Arial"/>
          <w:color w:val="000000"/>
        </w:rPr>
        <w:t>(Source: Deliveroo, 2026a)</w:t>
      </w:r>
    </w:p>
    <w:p w14:paraId="7D2589FD" w14:textId="77777777" w:rsidR="000573E1" w:rsidRDefault="00493529">
      <w:pPr>
        <w:rPr>
          <w:rFonts w:ascii="Arial" w:eastAsia="Arial" w:hAnsi="Arial" w:cs="Arial"/>
          <w:color w:val="000000"/>
        </w:rPr>
      </w:pPr>
      <w:r>
        <w:rPr>
          <w:rFonts w:ascii="Arial" w:eastAsia="Arial" w:hAnsi="Arial" w:cs="Arial"/>
          <w:color w:val="000000"/>
        </w:rPr>
        <w:t xml:space="preserve">Deliveroo operates with a mission statement of transforming the manner in which consumers tend to shop and eat food, while connecting customers directly to the restaurants, supermarkets and the delivery riders. Following this mission statement, Deliveroo (2026a) highlighted that, in the current operational terms, Deliveroo functions in a hyperlocal three-sided marketplace, where the customers/clients are connected to the restaurants, and riders to fulfil their needs. </w:t>
      </w:r>
    </w:p>
    <w:p w14:paraId="242BA526" w14:textId="77777777" w:rsidR="000573E1" w:rsidRDefault="00493529">
      <w:pPr>
        <w:jc w:val="center"/>
        <w:rPr>
          <w:rFonts w:ascii="Arial" w:eastAsia="Arial" w:hAnsi="Arial" w:cs="Arial"/>
        </w:rPr>
      </w:pPr>
      <w:r>
        <w:rPr>
          <w:rFonts w:ascii="Times New Roman" w:eastAsia="Times New Roman" w:hAnsi="Times New Roman" w:cs="Times New Roman"/>
          <w:noProof/>
        </w:rPr>
        <w:drawing>
          <wp:inline distT="114300" distB="114300" distL="114300" distR="114300" wp14:anchorId="31B38578" wp14:editId="4F14090F">
            <wp:extent cx="5731200" cy="927100"/>
            <wp:effectExtent l="12700" t="12700" r="12700" b="12700"/>
            <wp:docPr id="11988440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927100"/>
                    </a:xfrm>
                    <a:prstGeom prst="rect">
                      <a:avLst/>
                    </a:prstGeom>
                    <a:ln w="12700">
                      <a:solidFill>
                        <a:srgbClr val="000000"/>
                      </a:solidFill>
                      <a:prstDash val="solid"/>
                    </a:ln>
                  </pic:spPr>
                </pic:pic>
              </a:graphicData>
            </a:graphic>
          </wp:inline>
        </w:drawing>
      </w:r>
    </w:p>
    <w:p w14:paraId="396B6E68" w14:textId="77777777" w:rsidR="000573E1" w:rsidRDefault="00493529">
      <w:pP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4EAC74B1" wp14:editId="490587E3">
            <wp:extent cx="4740591" cy="3394011"/>
            <wp:effectExtent l="12700" t="12700" r="12700" b="12700"/>
            <wp:docPr id="119884403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740591" cy="3394011"/>
                    </a:xfrm>
                    <a:prstGeom prst="rect">
                      <a:avLst/>
                    </a:prstGeom>
                    <a:ln w="12700">
                      <a:solidFill>
                        <a:srgbClr val="000000"/>
                      </a:solidFill>
                      <a:prstDash val="solid"/>
                    </a:ln>
                  </pic:spPr>
                </pic:pic>
              </a:graphicData>
            </a:graphic>
          </wp:inline>
        </w:drawing>
      </w:r>
    </w:p>
    <w:p w14:paraId="6977702F" w14:textId="77777777" w:rsidR="000573E1" w:rsidRDefault="00493529">
      <w:pPr>
        <w:jc w:val="center"/>
        <w:rPr>
          <w:rFonts w:ascii="Arial" w:eastAsia="Arial" w:hAnsi="Arial" w:cs="Arial"/>
          <w:b/>
          <w:bCs/>
          <w:color w:val="000000"/>
        </w:rPr>
      </w:pPr>
      <w:r>
        <w:rPr>
          <w:rFonts w:ascii="Arial" w:eastAsia="Arial" w:hAnsi="Arial" w:cs="Arial"/>
          <w:b/>
          <w:bCs/>
          <w:color w:val="000000"/>
        </w:rPr>
        <w:t>Figure 2: Operational locations of Deliveroo</w:t>
      </w:r>
    </w:p>
    <w:p w14:paraId="2617A433" w14:textId="77777777" w:rsidR="000573E1" w:rsidRDefault="00493529">
      <w:pPr>
        <w:jc w:val="center"/>
        <w:rPr>
          <w:rFonts w:ascii="Arial" w:eastAsia="Arial" w:hAnsi="Arial" w:cs="Arial"/>
          <w:color w:val="000000"/>
        </w:rPr>
      </w:pPr>
      <w:r>
        <w:rPr>
          <w:rFonts w:ascii="Arial" w:eastAsia="Arial" w:hAnsi="Arial" w:cs="Arial"/>
          <w:color w:val="000000"/>
        </w:rPr>
        <w:t>(Source: Deliveroo, 2026c)</w:t>
      </w:r>
    </w:p>
    <w:p w14:paraId="74030C4B" w14:textId="77777777" w:rsidR="000573E1" w:rsidRDefault="00493529">
      <w:pPr>
        <w:rPr>
          <w:rFonts w:ascii="Arial" w:eastAsia="Arial" w:hAnsi="Arial" w:cs="Arial"/>
          <w:color w:val="000000"/>
        </w:rPr>
      </w:pPr>
      <w:r>
        <w:rPr>
          <w:rFonts w:ascii="Arial" w:eastAsia="Arial" w:hAnsi="Arial" w:cs="Arial"/>
          <w:color w:val="000000"/>
        </w:rPr>
        <w:t>Apart from this, the company has an operational presence in 12 countries, with over 800 locations where they serve customers (Deliveroo, 2026c). Their delivery operations are supported by 200,000 shops or restaurants, while around 180,000 riders are linked with the company and restaurants to deliver products to customers' doorsteps in a timely and efficient manner (Deliver</w:t>
      </w:r>
      <w:r>
        <w:rPr>
          <w:rFonts w:ascii="Arial" w:eastAsia="Arial" w:hAnsi="Arial" w:cs="Arial"/>
        </w:rPr>
        <w:t xml:space="preserve">oo, 2026c). </w:t>
      </w:r>
      <w:r>
        <w:rPr>
          <w:rFonts w:ascii="Arial" w:eastAsia="Arial" w:hAnsi="Arial" w:cs="Arial"/>
        </w:rPr>
        <w:t>In October 2025, Deliveroo was acquired by DoorDash under Part 26 of the UK Companies Act (DoorDash, 2025). Focusing on financial performance, the company, as of 2025, generated revenue of £2.1 billion, which was a 2% YoY increase. Besides this, the company's gross transaction volume was worth £7.8 billion, with a user base of 7.6 million, mainly concentrated in the UK (Curry, 2026). Compared to the 2025 financial performance, Deliveroo became one of the top 5 food delivery companies</w:t>
      </w:r>
      <w:r>
        <w:rPr>
          <w:rFonts w:ascii="Arial" w:eastAsia="Arial" w:hAnsi="Arial" w:cs="Arial"/>
          <w:color w:val="000000"/>
        </w:rPr>
        <w:t xml:space="preserve"> internationally; in 2023, the company’s global revenue was estimated at £2 billion (Statista, 2025). These figures demonstrate the operational and financial excellence of the firm. </w:t>
      </w:r>
    </w:p>
    <w:p w14:paraId="33FB9C4C" w14:textId="77777777" w:rsidR="000573E1" w:rsidRDefault="00493529">
      <w:pPr>
        <w:pStyle w:val="Titlu2"/>
        <w:rPr>
          <w:rFonts w:ascii="Arial" w:eastAsia="Arial" w:hAnsi="Arial" w:cs="Arial"/>
          <w:color w:val="000000"/>
        </w:rPr>
      </w:pPr>
      <w:bookmarkStart w:id="3" w:name="_heading=h.rrg6jbxcb7z6" w:colFirst="0" w:colLast="0"/>
      <w:bookmarkEnd w:id="3"/>
      <w:r>
        <w:rPr>
          <w:rFonts w:ascii="Arial" w:eastAsia="Arial" w:hAnsi="Arial" w:cs="Arial"/>
          <w:color w:val="000000"/>
        </w:rPr>
        <w:t>c.</w:t>
      </w:r>
      <w:r>
        <w:rPr>
          <w:rFonts w:ascii="Arial" w:eastAsia="Arial" w:hAnsi="Arial" w:cs="Arial"/>
          <w:color w:val="000000"/>
          <w:sz w:val="30"/>
          <w:szCs w:val="30"/>
        </w:rPr>
        <w:t xml:space="preserve"> </w:t>
      </w:r>
      <w:r>
        <w:rPr>
          <w:rFonts w:ascii="Arial" w:eastAsia="Arial" w:hAnsi="Arial" w:cs="Arial"/>
          <w:color w:val="000000"/>
        </w:rPr>
        <w:t xml:space="preserve">Situational Analysis </w:t>
      </w:r>
    </w:p>
    <w:p w14:paraId="56A7DD9C" w14:textId="77777777" w:rsidR="000573E1" w:rsidRDefault="00493529">
      <w:pPr>
        <w:pStyle w:val="Titlu3"/>
        <w:rPr>
          <w:rFonts w:ascii="Arial" w:eastAsia="Arial" w:hAnsi="Arial" w:cs="Arial"/>
          <w:color w:val="000000"/>
        </w:rPr>
      </w:pPr>
      <w:bookmarkStart w:id="4" w:name="_heading=h.p16it8yd2n5z" w:colFirst="0" w:colLast="0"/>
      <w:bookmarkEnd w:id="4"/>
      <w:r>
        <w:rPr>
          <w:rFonts w:ascii="Arial" w:eastAsia="Arial" w:hAnsi="Arial" w:cs="Arial"/>
          <w:color w:val="000000"/>
        </w:rPr>
        <w:t>PESTLE</w:t>
      </w:r>
    </w:p>
    <w:tbl>
      <w:tblPr>
        <w:tblStyle w:val="a4"/>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425"/>
        <w:gridCol w:w="3510"/>
        <w:gridCol w:w="4065"/>
      </w:tblGrid>
      <w:tr w:rsidR="000573E1" w14:paraId="06F249CA" w14:textId="77777777">
        <w:tc>
          <w:tcPr>
            <w:tcW w:w="1425" w:type="dxa"/>
            <w:tcMar>
              <w:top w:w="100" w:type="dxa"/>
              <w:left w:w="100" w:type="dxa"/>
              <w:bottom w:w="100" w:type="dxa"/>
              <w:right w:w="100" w:type="dxa"/>
            </w:tcMar>
          </w:tcPr>
          <w:p w14:paraId="00ED86E3" w14:textId="77777777" w:rsidR="000573E1" w:rsidRDefault="00493529">
            <w:pPr>
              <w:widowControl w:val="0"/>
              <w:jc w:val="center"/>
              <w:rPr>
                <w:rFonts w:ascii="Arial" w:eastAsia="Arial" w:hAnsi="Arial" w:cs="Arial"/>
                <w:b/>
                <w:bCs/>
                <w:color w:val="000000"/>
              </w:rPr>
            </w:pPr>
            <w:r>
              <w:rPr>
                <w:rFonts w:ascii="Arial" w:eastAsia="Arial" w:hAnsi="Arial" w:cs="Arial"/>
                <w:b/>
                <w:bCs/>
                <w:color w:val="000000"/>
              </w:rPr>
              <w:t>PESTLE Factors</w:t>
            </w:r>
          </w:p>
        </w:tc>
        <w:tc>
          <w:tcPr>
            <w:tcW w:w="3510" w:type="dxa"/>
            <w:tcMar>
              <w:top w:w="100" w:type="dxa"/>
              <w:left w:w="100" w:type="dxa"/>
              <w:bottom w:w="100" w:type="dxa"/>
              <w:right w:w="100" w:type="dxa"/>
            </w:tcMar>
          </w:tcPr>
          <w:p w14:paraId="335C6471" w14:textId="77777777" w:rsidR="000573E1" w:rsidRDefault="00493529">
            <w:pPr>
              <w:widowControl w:val="0"/>
              <w:jc w:val="center"/>
              <w:rPr>
                <w:rFonts w:ascii="Arial" w:eastAsia="Arial" w:hAnsi="Arial" w:cs="Arial"/>
                <w:b/>
                <w:bCs/>
                <w:color w:val="000000"/>
              </w:rPr>
            </w:pPr>
            <w:r>
              <w:rPr>
                <w:rFonts w:ascii="Arial" w:eastAsia="Arial" w:hAnsi="Arial" w:cs="Arial"/>
                <w:b/>
                <w:bCs/>
                <w:color w:val="000000"/>
              </w:rPr>
              <w:t>United States of America</w:t>
            </w:r>
          </w:p>
        </w:tc>
        <w:tc>
          <w:tcPr>
            <w:tcW w:w="4065" w:type="dxa"/>
            <w:tcMar>
              <w:top w:w="100" w:type="dxa"/>
              <w:left w:w="100" w:type="dxa"/>
              <w:bottom w:w="100" w:type="dxa"/>
              <w:right w:w="100" w:type="dxa"/>
            </w:tcMar>
          </w:tcPr>
          <w:p w14:paraId="7A8622CF" w14:textId="77777777" w:rsidR="000573E1" w:rsidRDefault="00493529">
            <w:pPr>
              <w:widowControl w:val="0"/>
              <w:jc w:val="center"/>
              <w:rPr>
                <w:rFonts w:ascii="Arial" w:eastAsia="Arial" w:hAnsi="Arial" w:cs="Arial"/>
                <w:b/>
                <w:bCs/>
                <w:color w:val="000000"/>
              </w:rPr>
            </w:pPr>
            <w:r>
              <w:rPr>
                <w:rFonts w:ascii="Arial" w:eastAsia="Arial" w:hAnsi="Arial" w:cs="Arial"/>
                <w:b/>
                <w:bCs/>
                <w:color w:val="000000"/>
              </w:rPr>
              <w:t>Japan</w:t>
            </w:r>
          </w:p>
        </w:tc>
      </w:tr>
      <w:tr w:rsidR="000573E1" w14:paraId="0D777C94" w14:textId="77777777">
        <w:tc>
          <w:tcPr>
            <w:tcW w:w="1425" w:type="dxa"/>
            <w:tcMar>
              <w:top w:w="100" w:type="dxa"/>
              <w:left w:w="100" w:type="dxa"/>
              <w:bottom w:w="100" w:type="dxa"/>
              <w:right w:w="100" w:type="dxa"/>
            </w:tcMar>
          </w:tcPr>
          <w:p w14:paraId="1805795E" w14:textId="77777777" w:rsidR="000573E1" w:rsidRDefault="00493529">
            <w:pPr>
              <w:widowControl w:val="0"/>
              <w:rPr>
                <w:rFonts w:ascii="Arial" w:eastAsia="Arial" w:hAnsi="Arial" w:cs="Arial"/>
                <w:b/>
                <w:bCs/>
                <w:color w:val="000000"/>
              </w:rPr>
            </w:pPr>
            <w:r>
              <w:rPr>
                <w:rFonts w:ascii="Arial" w:eastAsia="Arial" w:hAnsi="Arial" w:cs="Arial"/>
                <w:b/>
                <w:bCs/>
                <w:color w:val="000000"/>
              </w:rPr>
              <w:t>Political</w:t>
            </w:r>
          </w:p>
        </w:tc>
        <w:tc>
          <w:tcPr>
            <w:tcW w:w="3510" w:type="dxa"/>
            <w:tcMar>
              <w:top w:w="100" w:type="dxa"/>
              <w:left w:w="100" w:type="dxa"/>
              <w:bottom w:w="100" w:type="dxa"/>
              <w:right w:w="100" w:type="dxa"/>
            </w:tcMar>
          </w:tcPr>
          <w:p w14:paraId="250DBA5B" w14:textId="77777777" w:rsidR="000573E1" w:rsidRDefault="00493529">
            <w:pPr>
              <w:widowControl w:val="0"/>
              <w:numPr>
                <w:ilvl w:val="0"/>
                <w:numId w:val="1"/>
              </w:numPr>
              <w:rPr>
                <w:rFonts w:ascii="Arial" w:eastAsia="Arial" w:hAnsi="Arial" w:cs="Arial"/>
              </w:rPr>
            </w:pPr>
            <w:r>
              <w:rPr>
                <w:rFonts w:ascii="Arial" w:eastAsia="Arial" w:hAnsi="Arial" w:cs="Arial"/>
              </w:rPr>
              <w:t xml:space="preserve">USA scored -0.1 as of 2024 in Political stability, where -2.5 is weak and 2.5 is strong, implying the US political scenario is quite unpredictable </w:t>
            </w:r>
            <w:r>
              <w:t xml:space="preserve">     </w:t>
            </w:r>
            <w:r>
              <w:rPr>
                <w:rFonts w:ascii="Arial" w:eastAsia="Arial" w:hAnsi="Arial" w:cs="Arial"/>
              </w:rPr>
              <w:t>(The Global Economy, 2025a)</w:t>
            </w:r>
          </w:p>
          <w:p w14:paraId="1AB2F92C" w14:textId="77777777" w:rsidR="000573E1" w:rsidRDefault="00493529">
            <w:pPr>
              <w:widowControl w:val="0"/>
              <w:numPr>
                <w:ilvl w:val="0"/>
                <w:numId w:val="1"/>
              </w:numPr>
              <w:rPr>
                <w:rFonts w:ascii="Arial" w:eastAsia="Arial" w:hAnsi="Arial" w:cs="Arial"/>
              </w:rPr>
            </w:pPr>
            <w:r>
              <w:rPr>
                <w:rFonts w:ascii="Arial" w:eastAsia="Arial" w:hAnsi="Arial" w:cs="Arial"/>
              </w:rPr>
              <w:t>State rules like Assembly Bill 578 of California require food delivery companies to have mandatory human support and refund policies for customers (Liberto, 2026)</w:t>
            </w:r>
          </w:p>
          <w:p w14:paraId="5F0DC4BB" w14:textId="77777777" w:rsidR="000573E1" w:rsidRDefault="00493529">
            <w:pPr>
              <w:widowControl w:val="0"/>
              <w:numPr>
                <w:ilvl w:val="0"/>
                <w:numId w:val="1"/>
              </w:numPr>
              <w:rPr>
                <w:rFonts w:ascii="Arial" w:eastAsia="Arial" w:hAnsi="Arial" w:cs="Arial"/>
              </w:rPr>
            </w:pPr>
            <w:r>
              <w:rPr>
                <w:rFonts w:ascii="Arial" w:eastAsia="Arial" w:hAnsi="Arial" w:cs="Arial"/>
              </w:rPr>
              <w:t>The US government supports and protects Gig workers like delivery personnel and riders from antitrust liabilities (Federal Trade Commission, 2025)</w:t>
            </w:r>
          </w:p>
          <w:p w14:paraId="2E41192B"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Regulatory compliance can negatively impact Deliveroo’s</w:t>
            </w:r>
            <w:r>
              <w:rPr>
                <w:rFonts w:ascii="Arial" w:eastAsia="Arial" w:hAnsi="Arial" w:cs="Arial"/>
              </w:rPr>
              <w:t xml:space="preserve"> financial prospects by raising operational costs because of varied state regulations and political unpredictability. Conversely, customer trust, rider/gig worker retention and operational legitimacy can be bolstered by safeguarding stakeholders’ rights and meeting customer support obligations.</w:t>
            </w:r>
          </w:p>
        </w:tc>
        <w:tc>
          <w:tcPr>
            <w:tcW w:w="4065" w:type="dxa"/>
            <w:tcMar>
              <w:top w:w="100" w:type="dxa"/>
              <w:left w:w="100" w:type="dxa"/>
              <w:bottom w:w="100" w:type="dxa"/>
              <w:right w:w="100" w:type="dxa"/>
            </w:tcMar>
          </w:tcPr>
          <w:p w14:paraId="126F5B4B" w14:textId="77777777" w:rsidR="000573E1" w:rsidRDefault="00493529">
            <w:pPr>
              <w:widowControl w:val="0"/>
              <w:numPr>
                <w:ilvl w:val="0"/>
                <w:numId w:val="4"/>
              </w:numPr>
              <w:rPr>
                <w:rFonts w:ascii="Arial" w:eastAsia="Arial" w:hAnsi="Arial" w:cs="Arial"/>
              </w:rPr>
            </w:pPr>
            <w:r>
              <w:rPr>
                <w:rFonts w:ascii="Arial" w:eastAsia="Arial" w:hAnsi="Arial" w:cs="Arial"/>
              </w:rPr>
              <w:t>Japanese Political stability was 1.13 as of 2024, implying that Japan’s political environment is sound and predictable (The Global Economy, 2025b)</w:t>
            </w:r>
          </w:p>
          <w:p w14:paraId="550E0976" w14:textId="77777777" w:rsidR="000573E1" w:rsidRDefault="00493529">
            <w:pPr>
              <w:widowControl w:val="0"/>
              <w:numPr>
                <w:ilvl w:val="0"/>
                <w:numId w:val="4"/>
              </w:numPr>
              <w:rPr>
                <w:rFonts w:ascii="Arial" w:eastAsia="Arial" w:hAnsi="Arial" w:cs="Arial"/>
              </w:rPr>
            </w:pPr>
            <w:r>
              <w:rPr>
                <w:rFonts w:ascii="Arial" w:eastAsia="Arial" w:hAnsi="Arial" w:cs="Arial"/>
              </w:rPr>
              <w:t>Japanese government has developed an integrated package of services for food distribution and delivery to support and foster a sound business environment (Global.Fujitsu, 2025)</w:t>
            </w:r>
          </w:p>
          <w:p w14:paraId="168DDD12" w14:textId="77777777" w:rsidR="000573E1" w:rsidRDefault="00493529">
            <w:pPr>
              <w:widowControl w:val="0"/>
              <w:numPr>
                <w:ilvl w:val="0"/>
                <w:numId w:val="4"/>
              </w:numPr>
              <w:rPr>
                <w:rFonts w:ascii="Arial" w:eastAsia="Arial" w:hAnsi="Arial" w:cs="Arial"/>
              </w:rPr>
            </w:pPr>
            <w:r>
              <w:rPr>
                <w:rFonts w:ascii="Arial" w:eastAsia="Arial" w:hAnsi="Arial" w:cs="Arial"/>
              </w:rPr>
              <w:t>“The Freelance Act, 2024” prohibits “kaitataki” practices, where gig workers and freelancers are paid significantly lower than the ordinary price paid for similar work (Cloete, 2024)</w:t>
            </w:r>
          </w:p>
          <w:p w14:paraId="5B66AFEA"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xml:space="preserve">: </w:t>
            </w:r>
            <w:r>
              <w:rPr>
                <w:rFonts w:ascii="Arial" w:eastAsia="Arial" w:hAnsi="Arial" w:cs="Arial"/>
              </w:rPr>
              <w:t>While Deliveroo's market entry is positive due to Japan's political stability, government delivery programs and the Freelance Act's protections can improve operational conditions. However, Deliveroo's labor costs might rise as a result of responsibilities for fair gig workers' compensation, even for less money.</w:t>
            </w:r>
          </w:p>
        </w:tc>
      </w:tr>
      <w:tr w:rsidR="000573E1" w14:paraId="21E05E4C" w14:textId="77777777">
        <w:tc>
          <w:tcPr>
            <w:tcW w:w="1425" w:type="dxa"/>
            <w:tcMar>
              <w:top w:w="100" w:type="dxa"/>
              <w:left w:w="100" w:type="dxa"/>
              <w:bottom w:w="100" w:type="dxa"/>
              <w:right w:w="100" w:type="dxa"/>
            </w:tcMar>
          </w:tcPr>
          <w:p w14:paraId="3BF2E1B4" w14:textId="77777777" w:rsidR="000573E1" w:rsidRDefault="00493529">
            <w:pPr>
              <w:widowControl w:val="0"/>
              <w:rPr>
                <w:rFonts w:ascii="Arial" w:eastAsia="Arial" w:hAnsi="Arial" w:cs="Arial"/>
                <w:b/>
                <w:bCs/>
                <w:color w:val="000000"/>
              </w:rPr>
            </w:pPr>
            <w:r>
              <w:rPr>
                <w:rFonts w:ascii="Arial" w:eastAsia="Arial" w:hAnsi="Arial" w:cs="Arial"/>
                <w:b/>
                <w:bCs/>
                <w:color w:val="000000"/>
              </w:rPr>
              <w:t>Economic</w:t>
            </w:r>
          </w:p>
        </w:tc>
        <w:tc>
          <w:tcPr>
            <w:tcW w:w="3510" w:type="dxa"/>
            <w:tcMar>
              <w:top w:w="100" w:type="dxa"/>
              <w:left w:w="100" w:type="dxa"/>
              <w:bottom w:w="100" w:type="dxa"/>
              <w:right w:w="100" w:type="dxa"/>
            </w:tcMar>
          </w:tcPr>
          <w:p w14:paraId="6FC9891C" w14:textId="77777777" w:rsidR="000573E1" w:rsidRDefault="00493529">
            <w:pPr>
              <w:widowControl w:val="0"/>
              <w:numPr>
                <w:ilvl w:val="0"/>
                <w:numId w:val="8"/>
              </w:numPr>
              <w:rPr>
                <w:rFonts w:ascii="Arial" w:eastAsia="Arial" w:hAnsi="Arial" w:cs="Arial"/>
              </w:rPr>
            </w:pPr>
            <w:r>
              <w:rPr>
                <w:rFonts w:ascii="Arial" w:eastAsia="Arial" w:hAnsi="Arial" w:cs="Arial"/>
              </w:rPr>
              <w:t>The US GDP as of 2025 was $30.77 trillion (World Bank, 2026b)</w:t>
            </w:r>
          </w:p>
          <w:p w14:paraId="219DE565" w14:textId="77777777" w:rsidR="000573E1" w:rsidRDefault="00493529">
            <w:pPr>
              <w:widowControl w:val="0"/>
              <w:jc w:val="center"/>
              <w:rPr>
                <w:rFonts w:ascii="Arial" w:eastAsia="Arial" w:hAnsi="Arial" w:cs="Arial"/>
              </w:rPr>
            </w:pPr>
            <w:r>
              <w:rPr>
                <w:rFonts w:ascii="Arial" w:eastAsia="Arial" w:hAnsi="Arial" w:cs="Arial"/>
                <w:noProof/>
              </w:rPr>
              <w:drawing>
                <wp:inline distT="114300" distB="114300" distL="114300" distR="114300" wp14:anchorId="743AE448" wp14:editId="12548FAD">
                  <wp:extent cx="2173234" cy="1176338"/>
                  <wp:effectExtent l="12700" t="12700" r="12700" b="12700"/>
                  <wp:docPr id="11988440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173234" cy="1176338"/>
                          </a:xfrm>
                          <a:prstGeom prst="rect">
                            <a:avLst/>
                          </a:prstGeom>
                          <a:ln w="12700">
                            <a:solidFill>
                              <a:srgbClr val="000000"/>
                            </a:solidFill>
                            <a:prstDash val="solid"/>
                          </a:ln>
                        </pic:spPr>
                      </pic:pic>
                    </a:graphicData>
                  </a:graphic>
                </wp:inline>
              </w:drawing>
            </w:r>
          </w:p>
          <w:p w14:paraId="41760EA9" w14:textId="77777777" w:rsidR="000573E1" w:rsidRDefault="00493529">
            <w:pPr>
              <w:widowControl w:val="0"/>
              <w:jc w:val="center"/>
              <w:rPr>
                <w:rFonts w:ascii="Arial" w:eastAsia="Arial" w:hAnsi="Arial" w:cs="Arial"/>
                <w:b/>
                <w:bCs/>
              </w:rPr>
            </w:pPr>
            <w:r>
              <w:rPr>
                <w:rFonts w:ascii="Arial" w:eastAsia="Arial" w:hAnsi="Arial" w:cs="Arial"/>
                <w:b/>
                <w:bCs/>
              </w:rPr>
              <w:t>Figure 2: US GDP</w:t>
            </w:r>
          </w:p>
          <w:p w14:paraId="691D415C" w14:textId="77777777" w:rsidR="000573E1" w:rsidRDefault="00493529">
            <w:pPr>
              <w:widowControl w:val="0"/>
              <w:jc w:val="center"/>
              <w:rPr>
                <w:rFonts w:ascii="Arial" w:eastAsia="Arial" w:hAnsi="Arial" w:cs="Arial"/>
              </w:rPr>
            </w:pPr>
            <w:r>
              <w:rPr>
                <w:rFonts w:ascii="Arial" w:eastAsia="Arial" w:hAnsi="Arial" w:cs="Arial"/>
              </w:rPr>
              <w:t>(Source: World Bank, 2026b)</w:t>
            </w:r>
          </w:p>
          <w:p w14:paraId="226149B4" w14:textId="77777777" w:rsidR="000573E1" w:rsidRDefault="00493529">
            <w:pPr>
              <w:widowControl w:val="0"/>
              <w:numPr>
                <w:ilvl w:val="0"/>
                <w:numId w:val="10"/>
              </w:numPr>
              <w:jc w:val="left"/>
              <w:rPr>
                <w:rFonts w:ascii="Arial" w:eastAsia="Arial" w:hAnsi="Arial" w:cs="Arial"/>
              </w:rPr>
            </w:pPr>
            <w:r>
              <w:rPr>
                <w:rFonts w:ascii="Arial" w:eastAsia="Arial" w:hAnsi="Arial" w:cs="Arial"/>
              </w:rPr>
              <w:t>The inflation rate was 3.4% in July 2026, down from 3.5% in June 2026 (Trading Economics, 2025c)</w:t>
            </w:r>
          </w:p>
          <w:p w14:paraId="09554BB8" w14:textId="77777777" w:rsidR="000573E1" w:rsidRDefault="00493529">
            <w:pPr>
              <w:widowControl w:val="0"/>
              <w:numPr>
                <w:ilvl w:val="0"/>
                <w:numId w:val="10"/>
              </w:numPr>
              <w:jc w:val="left"/>
              <w:rPr>
                <w:rFonts w:ascii="Arial" w:eastAsia="Arial" w:hAnsi="Arial" w:cs="Arial"/>
              </w:rPr>
            </w:pPr>
            <w:r>
              <w:rPr>
                <w:rFonts w:ascii="Arial" w:eastAsia="Arial" w:hAnsi="Arial" w:cs="Arial"/>
              </w:rPr>
              <w:t>US food delivery market value, as of 2025, was $34.88 billion (£25.73 billion) (IMARC Group, 2025)</w:t>
            </w:r>
          </w:p>
          <w:p w14:paraId="284696B4"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xml:space="preserve">: With a monumental and world's largest GDP, and a food delivery market valuation of $34.88 billion (£25.73 billion), this can positively impact Deliveroo to operate feasibly and grow. However, 3.4% inflation can pose a negative outcome </w:t>
            </w:r>
            <w:r>
              <w:rPr>
                <w:rFonts w:ascii="Arial" w:eastAsia="Arial" w:hAnsi="Arial" w:cs="Arial"/>
              </w:rPr>
              <w:t>as it may raise the operating costs for restaurants and riders, which will affect Deliveroo's pricing.</w:t>
            </w:r>
          </w:p>
        </w:tc>
        <w:tc>
          <w:tcPr>
            <w:tcW w:w="4065" w:type="dxa"/>
            <w:tcMar>
              <w:top w:w="100" w:type="dxa"/>
              <w:left w:w="100" w:type="dxa"/>
              <w:bottom w:w="100" w:type="dxa"/>
              <w:right w:w="100" w:type="dxa"/>
            </w:tcMar>
          </w:tcPr>
          <w:p w14:paraId="37104E75" w14:textId="77777777" w:rsidR="000573E1" w:rsidRDefault="00493529">
            <w:pPr>
              <w:widowControl w:val="0"/>
              <w:numPr>
                <w:ilvl w:val="0"/>
                <w:numId w:val="11"/>
              </w:numPr>
              <w:rPr>
                <w:rFonts w:ascii="Arial" w:eastAsia="Arial" w:hAnsi="Arial" w:cs="Arial"/>
              </w:rPr>
            </w:pPr>
            <w:r>
              <w:rPr>
                <w:rFonts w:ascii="Arial" w:eastAsia="Arial" w:hAnsi="Arial" w:cs="Arial"/>
              </w:rPr>
              <w:t>The Japanese GDP as of 2025 was $4.44 trillion (World Bank, 2026a)</w:t>
            </w:r>
          </w:p>
          <w:p w14:paraId="079EBAE5" w14:textId="77777777" w:rsidR="000573E1" w:rsidRDefault="00493529">
            <w:pPr>
              <w:widowControl w:val="0"/>
              <w:rPr>
                <w:rFonts w:ascii="Arial" w:eastAsia="Arial" w:hAnsi="Arial" w:cs="Arial"/>
              </w:rPr>
            </w:pPr>
            <w:r>
              <w:rPr>
                <w:rFonts w:ascii="Arial" w:eastAsia="Arial" w:hAnsi="Arial" w:cs="Arial"/>
                <w:noProof/>
              </w:rPr>
              <w:drawing>
                <wp:inline distT="114300" distB="114300" distL="114300" distR="114300" wp14:anchorId="51189A84" wp14:editId="37EC9C69">
                  <wp:extent cx="2195513" cy="1167826"/>
                  <wp:effectExtent l="12700" t="12700" r="12700" b="12700"/>
                  <wp:docPr id="119884403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2195513" cy="1167826"/>
                          </a:xfrm>
                          <a:prstGeom prst="rect">
                            <a:avLst/>
                          </a:prstGeom>
                          <a:ln w="12700">
                            <a:solidFill>
                              <a:srgbClr val="000000"/>
                            </a:solidFill>
                            <a:prstDash val="solid"/>
                          </a:ln>
                        </pic:spPr>
                      </pic:pic>
                    </a:graphicData>
                  </a:graphic>
                </wp:inline>
              </w:drawing>
            </w:r>
          </w:p>
          <w:p w14:paraId="6F74953E" w14:textId="77777777" w:rsidR="000573E1" w:rsidRDefault="00493529">
            <w:pPr>
              <w:widowControl w:val="0"/>
              <w:jc w:val="center"/>
              <w:rPr>
                <w:rFonts w:ascii="Arial" w:eastAsia="Arial" w:hAnsi="Arial" w:cs="Arial"/>
                <w:b/>
                <w:bCs/>
              </w:rPr>
            </w:pPr>
            <w:r>
              <w:rPr>
                <w:rFonts w:ascii="Arial" w:eastAsia="Arial" w:hAnsi="Arial" w:cs="Arial"/>
                <w:b/>
                <w:bCs/>
              </w:rPr>
              <w:t>Figure 3: Japan GDP</w:t>
            </w:r>
          </w:p>
          <w:p w14:paraId="668E5240" w14:textId="77777777" w:rsidR="000573E1" w:rsidRDefault="00493529">
            <w:pPr>
              <w:widowControl w:val="0"/>
              <w:jc w:val="center"/>
              <w:rPr>
                <w:rFonts w:ascii="Arial" w:eastAsia="Arial" w:hAnsi="Arial" w:cs="Arial"/>
              </w:rPr>
            </w:pPr>
            <w:r>
              <w:rPr>
                <w:rFonts w:ascii="Arial" w:eastAsia="Arial" w:hAnsi="Arial" w:cs="Arial"/>
              </w:rPr>
              <w:t>(Source: World Bank, 2026a)</w:t>
            </w:r>
          </w:p>
          <w:p w14:paraId="7CF63C49" w14:textId="77777777" w:rsidR="000573E1" w:rsidRDefault="00493529">
            <w:pPr>
              <w:widowControl w:val="0"/>
              <w:numPr>
                <w:ilvl w:val="0"/>
                <w:numId w:val="13"/>
              </w:numPr>
              <w:jc w:val="left"/>
              <w:rPr>
                <w:rFonts w:ascii="Arial" w:eastAsia="Arial" w:hAnsi="Arial" w:cs="Arial"/>
              </w:rPr>
            </w:pPr>
            <w:r>
              <w:rPr>
                <w:rFonts w:ascii="Arial" w:eastAsia="Arial" w:hAnsi="Arial" w:cs="Arial"/>
              </w:rPr>
              <w:t>The inflation rate was 1.90% in July 2026, increased from 1.60% in June 2026 (Trading Economics, 2025a)</w:t>
            </w:r>
          </w:p>
          <w:p w14:paraId="0D73B0F6" w14:textId="77777777" w:rsidR="000573E1" w:rsidRDefault="00493529">
            <w:pPr>
              <w:widowControl w:val="0"/>
              <w:numPr>
                <w:ilvl w:val="0"/>
                <w:numId w:val="13"/>
              </w:numPr>
              <w:jc w:val="left"/>
              <w:rPr>
                <w:rFonts w:ascii="Arial" w:eastAsia="Arial" w:hAnsi="Arial" w:cs="Arial"/>
              </w:rPr>
            </w:pPr>
            <w:r>
              <w:rPr>
                <w:rFonts w:ascii="Arial" w:eastAsia="Arial" w:hAnsi="Arial" w:cs="Arial"/>
              </w:rPr>
              <w:t>Japanese food delivery market value was $18 billion in 2024 (£13.28 billion) (Grandviewresearch, 2025)</w:t>
            </w:r>
          </w:p>
          <w:p w14:paraId="2A588B2F"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xml:space="preserve">: </w:t>
            </w:r>
            <w:r>
              <w:rPr>
                <w:rFonts w:ascii="Arial" w:eastAsia="Arial" w:hAnsi="Arial" w:cs="Arial"/>
              </w:rPr>
              <w:t>A strong GDP and a $18 billion (£13.28 billion) food delivery market value in 2024 can positively attract Deliveroo to serve customers in Japan. However, higher inflation rates, which increased from 1.60% in June to 1.90% in July, can negatively impact Deliveroo’s profit margins by increasing operational costs.</w:t>
            </w:r>
          </w:p>
        </w:tc>
      </w:tr>
      <w:tr w:rsidR="000573E1" w14:paraId="6B2BD0FA" w14:textId="77777777">
        <w:tc>
          <w:tcPr>
            <w:tcW w:w="1425" w:type="dxa"/>
            <w:tcMar>
              <w:top w:w="100" w:type="dxa"/>
              <w:left w:w="100" w:type="dxa"/>
              <w:bottom w:w="100" w:type="dxa"/>
              <w:right w:w="100" w:type="dxa"/>
            </w:tcMar>
          </w:tcPr>
          <w:p w14:paraId="378E4361" w14:textId="77777777" w:rsidR="000573E1" w:rsidRDefault="00493529">
            <w:pPr>
              <w:widowControl w:val="0"/>
              <w:rPr>
                <w:rFonts w:ascii="Arial" w:eastAsia="Arial" w:hAnsi="Arial" w:cs="Arial"/>
                <w:b/>
                <w:bCs/>
                <w:color w:val="000000"/>
              </w:rPr>
            </w:pPr>
            <w:r>
              <w:rPr>
                <w:rFonts w:ascii="Arial" w:eastAsia="Arial" w:hAnsi="Arial" w:cs="Arial"/>
                <w:b/>
                <w:bCs/>
                <w:color w:val="000000"/>
              </w:rPr>
              <w:t>Social</w:t>
            </w:r>
          </w:p>
        </w:tc>
        <w:tc>
          <w:tcPr>
            <w:tcW w:w="3510" w:type="dxa"/>
            <w:tcMar>
              <w:top w:w="100" w:type="dxa"/>
              <w:left w:w="100" w:type="dxa"/>
              <w:bottom w:w="100" w:type="dxa"/>
              <w:right w:w="100" w:type="dxa"/>
            </w:tcMar>
          </w:tcPr>
          <w:p w14:paraId="67BBBBCC" w14:textId="77777777" w:rsidR="000573E1" w:rsidRDefault="00493529">
            <w:pPr>
              <w:widowControl w:val="0"/>
              <w:numPr>
                <w:ilvl w:val="0"/>
                <w:numId w:val="14"/>
              </w:numPr>
              <w:rPr>
                <w:rFonts w:ascii="Arial" w:eastAsia="Arial" w:hAnsi="Arial" w:cs="Arial"/>
              </w:rPr>
            </w:pPr>
            <w:r>
              <w:rPr>
                <w:rFonts w:ascii="Arial" w:eastAsia="Arial" w:hAnsi="Arial" w:cs="Arial"/>
              </w:rPr>
              <w:t>42.8% of the population aged 25-39 and 41.5% aged 40-54 hold a bachelor’s degree or higher as of 2024 (Census Gov, 2025)</w:t>
            </w:r>
          </w:p>
          <w:p w14:paraId="28207FF7" w14:textId="77777777" w:rsidR="000573E1" w:rsidRDefault="00493529">
            <w:pPr>
              <w:widowControl w:val="0"/>
              <w:numPr>
                <w:ilvl w:val="0"/>
                <w:numId w:val="14"/>
              </w:numPr>
              <w:rPr>
                <w:rFonts w:ascii="Arial" w:eastAsia="Arial" w:hAnsi="Arial" w:cs="Arial"/>
              </w:rPr>
            </w:pPr>
            <w:r>
              <w:rPr>
                <w:rFonts w:ascii="Arial" w:eastAsia="Arial" w:hAnsi="Arial" w:cs="Arial"/>
              </w:rPr>
              <w:t>The national unemployment rate of the US, as of August 2026, was 4.1%, whereas the youth unemployment rate was 9.10% in August 2026, increased from 8.50% in July 2026 (Trading Economics, 2025d)</w:t>
            </w:r>
          </w:p>
          <w:p w14:paraId="01D9EE11" w14:textId="77777777" w:rsidR="000573E1" w:rsidRDefault="00493529">
            <w:pPr>
              <w:widowControl w:val="0"/>
              <w:jc w:val="center"/>
              <w:rPr>
                <w:rFonts w:ascii="Arial" w:eastAsia="Arial" w:hAnsi="Arial" w:cs="Arial"/>
              </w:rPr>
            </w:pPr>
            <w:r>
              <w:rPr>
                <w:rFonts w:ascii="Arial" w:eastAsia="Arial" w:hAnsi="Arial" w:cs="Arial"/>
                <w:noProof/>
              </w:rPr>
              <w:drawing>
                <wp:inline distT="114300" distB="114300" distL="114300" distR="114300" wp14:anchorId="0B39358D" wp14:editId="2CC807B0">
                  <wp:extent cx="2005013" cy="942975"/>
                  <wp:effectExtent l="12700" t="12700" r="12700" b="12700"/>
                  <wp:docPr id="119884403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2005013" cy="942975"/>
                          </a:xfrm>
                          <a:prstGeom prst="rect">
                            <a:avLst/>
                          </a:prstGeom>
                          <a:ln w="12700">
                            <a:solidFill>
                              <a:srgbClr val="000000"/>
                            </a:solidFill>
                            <a:prstDash val="solid"/>
                          </a:ln>
                        </pic:spPr>
                      </pic:pic>
                    </a:graphicData>
                  </a:graphic>
                </wp:inline>
              </w:drawing>
            </w:r>
          </w:p>
          <w:p w14:paraId="208EB2A8" w14:textId="77777777" w:rsidR="000573E1" w:rsidRDefault="00493529">
            <w:pPr>
              <w:widowControl w:val="0"/>
              <w:jc w:val="center"/>
              <w:rPr>
                <w:rFonts w:ascii="Arial" w:eastAsia="Arial" w:hAnsi="Arial" w:cs="Arial"/>
                <w:b/>
                <w:bCs/>
              </w:rPr>
            </w:pPr>
            <w:r>
              <w:rPr>
                <w:rFonts w:ascii="Arial" w:eastAsia="Arial" w:hAnsi="Arial" w:cs="Arial"/>
                <w:b/>
                <w:bCs/>
              </w:rPr>
              <w:t>Figure 4: US Unemployment rate</w:t>
            </w:r>
          </w:p>
          <w:p w14:paraId="1D689E85" w14:textId="77777777" w:rsidR="000573E1" w:rsidRDefault="00493529">
            <w:pPr>
              <w:widowControl w:val="0"/>
              <w:jc w:val="center"/>
              <w:rPr>
                <w:rFonts w:ascii="Arial" w:eastAsia="Arial" w:hAnsi="Arial" w:cs="Arial"/>
              </w:rPr>
            </w:pPr>
            <w:r>
              <w:rPr>
                <w:rFonts w:ascii="Arial" w:eastAsia="Arial" w:hAnsi="Arial" w:cs="Arial"/>
              </w:rPr>
              <w:t>(Source: Trading Economics, 2026d)</w:t>
            </w:r>
          </w:p>
          <w:p w14:paraId="5196035F"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Higher educational qualification of 42.8% among the younger population between 25-39 will create opportunities for Deliveroo to gain a skilled workforce</w:t>
            </w:r>
            <w:r>
              <w:rPr>
                <w:rFonts w:ascii="Arial" w:eastAsia="Arial" w:hAnsi="Arial" w:cs="Arial"/>
              </w:rPr>
              <w:t>. Nevertheless, higher youth unemployment rates can also allow Deliveroo to recruit more gig workers/riders and deliver food.</w:t>
            </w:r>
          </w:p>
        </w:tc>
        <w:tc>
          <w:tcPr>
            <w:tcW w:w="4065" w:type="dxa"/>
            <w:tcMar>
              <w:top w:w="100" w:type="dxa"/>
              <w:left w:w="100" w:type="dxa"/>
              <w:bottom w:w="100" w:type="dxa"/>
              <w:right w:w="100" w:type="dxa"/>
            </w:tcMar>
          </w:tcPr>
          <w:p w14:paraId="030C300D" w14:textId="77777777" w:rsidR="000573E1" w:rsidRDefault="00493529">
            <w:pPr>
              <w:widowControl w:val="0"/>
              <w:numPr>
                <w:ilvl w:val="0"/>
                <w:numId w:val="15"/>
              </w:numPr>
              <w:rPr>
                <w:rFonts w:ascii="Arial" w:eastAsia="Arial" w:hAnsi="Arial" w:cs="Arial"/>
              </w:rPr>
            </w:pPr>
            <w:r>
              <w:rPr>
                <w:rFonts w:ascii="Arial" w:eastAsia="Arial" w:hAnsi="Arial" w:cs="Arial"/>
              </w:rPr>
              <w:t>The Tertiary attainment (completed higher education) of the Japanese population has increased to 66% in 2024 from 62% in 2019 (OECD, 2025)</w:t>
            </w:r>
          </w:p>
          <w:p w14:paraId="059C22B7" w14:textId="77777777" w:rsidR="000573E1" w:rsidRDefault="00493529">
            <w:pPr>
              <w:widowControl w:val="0"/>
              <w:numPr>
                <w:ilvl w:val="0"/>
                <w:numId w:val="15"/>
              </w:numPr>
              <w:rPr>
                <w:rFonts w:ascii="Arial" w:eastAsia="Arial" w:hAnsi="Arial" w:cs="Arial"/>
              </w:rPr>
            </w:pPr>
            <w:r>
              <w:rPr>
                <w:rFonts w:ascii="Arial" w:eastAsia="Arial" w:hAnsi="Arial" w:cs="Arial"/>
              </w:rPr>
              <w:t>Japanese unemployment rate, as of July 2026, was 2.40%, whereas the youth unemployment rate decreased from 4.20% in June 2026 to 3.40% in July 2026 (Trading Economics, 2025b)</w:t>
            </w:r>
          </w:p>
          <w:p w14:paraId="51EC7E9A" w14:textId="77777777" w:rsidR="000573E1" w:rsidRDefault="00493529">
            <w:pPr>
              <w:widowControl w:val="0"/>
              <w:jc w:val="center"/>
              <w:rPr>
                <w:rFonts w:ascii="Arial" w:eastAsia="Arial" w:hAnsi="Arial" w:cs="Arial"/>
              </w:rPr>
            </w:pPr>
            <w:r>
              <w:rPr>
                <w:rFonts w:ascii="Arial" w:eastAsia="Arial" w:hAnsi="Arial" w:cs="Arial"/>
                <w:noProof/>
              </w:rPr>
              <w:drawing>
                <wp:inline distT="114300" distB="114300" distL="114300" distR="114300" wp14:anchorId="10DBBDE3" wp14:editId="591063DD">
                  <wp:extent cx="2238375" cy="1044067"/>
                  <wp:effectExtent l="12700" t="12700" r="12700" b="12700"/>
                  <wp:docPr id="119884404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2238375" cy="1044067"/>
                          </a:xfrm>
                          <a:prstGeom prst="rect">
                            <a:avLst/>
                          </a:prstGeom>
                          <a:ln w="12700">
                            <a:solidFill>
                              <a:srgbClr val="000000"/>
                            </a:solidFill>
                            <a:prstDash val="solid"/>
                          </a:ln>
                        </pic:spPr>
                      </pic:pic>
                    </a:graphicData>
                  </a:graphic>
                </wp:inline>
              </w:drawing>
            </w:r>
          </w:p>
          <w:p w14:paraId="78C1CCA7" w14:textId="77777777" w:rsidR="000573E1" w:rsidRDefault="00493529">
            <w:pPr>
              <w:widowControl w:val="0"/>
              <w:jc w:val="center"/>
              <w:rPr>
                <w:rFonts w:ascii="Arial" w:eastAsia="Arial" w:hAnsi="Arial" w:cs="Arial"/>
                <w:b/>
                <w:bCs/>
              </w:rPr>
            </w:pPr>
            <w:r>
              <w:rPr>
                <w:rFonts w:ascii="Arial" w:eastAsia="Arial" w:hAnsi="Arial" w:cs="Arial"/>
                <w:b/>
                <w:bCs/>
              </w:rPr>
              <w:t>Figure 5: Japan Unemployment rate</w:t>
            </w:r>
          </w:p>
          <w:p w14:paraId="3DD51EC0" w14:textId="77777777" w:rsidR="000573E1" w:rsidRDefault="00493529">
            <w:pPr>
              <w:widowControl w:val="0"/>
              <w:jc w:val="center"/>
              <w:rPr>
                <w:rFonts w:ascii="Arial" w:eastAsia="Arial" w:hAnsi="Arial" w:cs="Arial"/>
              </w:rPr>
            </w:pPr>
            <w:r>
              <w:rPr>
                <w:rFonts w:ascii="Arial" w:eastAsia="Arial" w:hAnsi="Arial" w:cs="Arial"/>
              </w:rPr>
              <w:t>(Source: Trading Economics, 2026b)</w:t>
            </w:r>
          </w:p>
          <w:p w14:paraId="34097DCC"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Japan’s high level of tertiary attainment of 66% can create more job opportunities while creating scope to operate efficiently for the company. However, low unemployment rates can negatively impact Deliveroo because of this; rider scarcity may occur, while narrowing the scope for Deliveroo to hire skilled riders.</w:t>
            </w:r>
          </w:p>
        </w:tc>
      </w:tr>
      <w:tr w:rsidR="000573E1" w14:paraId="10956098" w14:textId="77777777">
        <w:tc>
          <w:tcPr>
            <w:tcW w:w="1425" w:type="dxa"/>
            <w:tcMar>
              <w:top w:w="100" w:type="dxa"/>
              <w:left w:w="100" w:type="dxa"/>
              <w:bottom w:w="100" w:type="dxa"/>
              <w:right w:w="100" w:type="dxa"/>
            </w:tcMar>
          </w:tcPr>
          <w:p w14:paraId="0AFCE6CF" w14:textId="77777777" w:rsidR="000573E1" w:rsidRDefault="00493529">
            <w:pPr>
              <w:widowControl w:val="0"/>
              <w:rPr>
                <w:rFonts w:ascii="Arial" w:eastAsia="Arial" w:hAnsi="Arial" w:cs="Arial"/>
                <w:b/>
                <w:bCs/>
                <w:color w:val="000000"/>
              </w:rPr>
            </w:pPr>
            <w:r>
              <w:rPr>
                <w:rFonts w:ascii="Arial" w:eastAsia="Arial" w:hAnsi="Arial" w:cs="Arial"/>
                <w:b/>
                <w:bCs/>
                <w:color w:val="000000"/>
              </w:rPr>
              <w:t>Technology</w:t>
            </w:r>
          </w:p>
        </w:tc>
        <w:tc>
          <w:tcPr>
            <w:tcW w:w="3510" w:type="dxa"/>
            <w:tcMar>
              <w:top w:w="100" w:type="dxa"/>
              <w:left w:w="100" w:type="dxa"/>
              <w:bottom w:w="100" w:type="dxa"/>
              <w:right w:w="100" w:type="dxa"/>
            </w:tcMar>
          </w:tcPr>
          <w:p w14:paraId="232F3A8A" w14:textId="77777777" w:rsidR="000573E1" w:rsidRDefault="00493529">
            <w:pPr>
              <w:widowControl w:val="0"/>
              <w:numPr>
                <w:ilvl w:val="0"/>
                <w:numId w:val="16"/>
              </w:numPr>
              <w:rPr>
                <w:rFonts w:ascii="Arial" w:eastAsia="Arial" w:hAnsi="Arial" w:cs="Arial"/>
              </w:rPr>
            </w:pPr>
            <w:r>
              <w:rPr>
                <w:rFonts w:ascii="Arial" w:eastAsia="Arial" w:hAnsi="Arial" w:cs="Arial"/>
              </w:rPr>
              <w:t>USA ranked 3rd in the Global Innovation Index 2025 (WIPO, 2025)</w:t>
            </w:r>
          </w:p>
          <w:p w14:paraId="65E58178" w14:textId="77777777" w:rsidR="000573E1" w:rsidRDefault="00493529">
            <w:pPr>
              <w:widowControl w:val="0"/>
              <w:jc w:val="center"/>
              <w:rPr>
                <w:rFonts w:ascii="Arial" w:eastAsia="Arial" w:hAnsi="Arial" w:cs="Arial"/>
              </w:rPr>
            </w:pPr>
            <w:r>
              <w:rPr>
                <w:rFonts w:ascii="Arial" w:eastAsia="Arial" w:hAnsi="Arial" w:cs="Arial"/>
                <w:noProof/>
              </w:rPr>
              <w:drawing>
                <wp:inline distT="114300" distB="114300" distL="114300" distR="114300" wp14:anchorId="64D3EA2D" wp14:editId="30CBB8D5">
                  <wp:extent cx="1990725" cy="472455"/>
                  <wp:effectExtent l="12700" t="12700" r="12700" b="12700"/>
                  <wp:docPr id="119884404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1990725" cy="472455"/>
                          </a:xfrm>
                          <a:prstGeom prst="rect">
                            <a:avLst/>
                          </a:prstGeom>
                          <a:ln w="12700">
                            <a:solidFill>
                              <a:srgbClr val="000000"/>
                            </a:solidFill>
                            <a:prstDash val="solid"/>
                          </a:ln>
                        </pic:spPr>
                      </pic:pic>
                    </a:graphicData>
                  </a:graphic>
                </wp:inline>
              </w:drawing>
            </w:r>
          </w:p>
          <w:p w14:paraId="30A4C16B" w14:textId="77777777" w:rsidR="000573E1" w:rsidRDefault="00493529">
            <w:pPr>
              <w:widowControl w:val="0"/>
              <w:jc w:val="center"/>
              <w:rPr>
                <w:rFonts w:ascii="Arial" w:eastAsia="Arial" w:hAnsi="Arial" w:cs="Arial"/>
                <w:b/>
                <w:bCs/>
              </w:rPr>
            </w:pPr>
            <w:r>
              <w:rPr>
                <w:rFonts w:ascii="Arial" w:eastAsia="Arial" w:hAnsi="Arial" w:cs="Arial"/>
                <w:b/>
                <w:bCs/>
              </w:rPr>
              <w:t>Figure 6: GII rank of USA</w:t>
            </w:r>
          </w:p>
          <w:p w14:paraId="3B9D0422" w14:textId="77777777" w:rsidR="000573E1" w:rsidRDefault="00493529">
            <w:pPr>
              <w:widowControl w:val="0"/>
              <w:jc w:val="center"/>
              <w:rPr>
                <w:rFonts w:ascii="Arial" w:eastAsia="Arial" w:hAnsi="Arial" w:cs="Arial"/>
              </w:rPr>
            </w:pPr>
            <w:r>
              <w:rPr>
                <w:rFonts w:ascii="Arial" w:eastAsia="Arial" w:hAnsi="Arial" w:cs="Arial"/>
              </w:rPr>
              <w:t>(Source: WIPO, 2025)</w:t>
            </w:r>
          </w:p>
          <w:p w14:paraId="11B45329" w14:textId="77777777" w:rsidR="000573E1" w:rsidRDefault="00493529">
            <w:pPr>
              <w:widowControl w:val="0"/>
              <w:numPr>
                <w:ilvl w:val="0"/>
                <w:numId w:val="12"/>
              </w:numPr>
              <w:rPr>
                <w:rFonts w:ascii="Arial" w:eastAsia="Arial" w:hAnsi="Arial" w:cs="Arial"/>
              </w:rPr>
            </w:pPr>
            <w:r>
              <w:rPr>
                <w:rFonts w:ascii="Arial" w:eastAsia="Arial" w:hAnsi="Arial" w:cs="Arial"/>
              </w:rPr>
              <w:t>The US technology sector is increasingly investing in future-gen AI and related technologies to support innovative businesses.</w:t>
            </w:r>
          </w:p>
          <w:p w14:paraId="4DE71852"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Deliveroo can implement advanced AI algorithms, predictive analytics and automation to improve delivery efficiency and customer experience, as the USA’s business environment invests in technology-aided services</w:t>
            </w:r>
          </w:p>
        </w:tc>
        <w:tc>
          <w:tcPr>
            <w:tcW w:w="4065" w:type="dxa"/>
            <w:tcMar>
              <w:top w:w="100" w:type="dxa"/>
              <w:left w:w="100" w:type="dxa"/>
              <w:bottom w:w="100" w:type="dxa"/>
              <w:right w:w="100" w:type="dxa"/>
            </w:tcMar>
          </w:tcPr>
          <w:p w14:paraId="359CE61E" w14:textId="77777777" w:rsidR="000573E1" w:rsidRDefault="00493529">
            <w:pPr>
              <w:widowControl w:val="0"/>
              <w:numPr>
                <w:ilvl w:val="0"/>
                <w:numId w:val="17"/>
              </w:numPr>
              <w:rPr>
                <w:rFonts w:ascii="Arial" w:eastAsia="Arial" w:hAnsi="Arial" w:cs="Arial"/>
              </w:rPr>
            </w:pPr>
            <w:r>
              <w:rPr>
                <w:rFonts w:ascii="Arial" w:eastAsia="Arial" w:hAnsi="Arial" w:cs="Arial"/>
              </w:rPr>
              <w:t>Japan ranked 12th in the Global Innovation Index 2025 (WIPO,2025)</w:t>
            </w:r>
          </w:p>
          <w:p w14:paraId="5F34EF0E" w14:textId="77777777" w:rsidR="000573E1" w:rsidRDefault="00493529">
            <w:pPr>
              <w:widowControl w:val="0"/>
              <w:jc w:val="center"/>
              <w:rPr>
                <w:rFonts w:ascii="Arial" w:eastAsia="Arial" w:hAnsi="Arial" w:cs="Arial"/>
              </w:rPr>
            </w:pPr>
            <w:r>
              <w:rPr>
                <w:rFonts w:ascii="Arial" w:eastAsia="Arial" w:hAnsi="Arial" w:cs="Arial"/>
                <w:noProof/>
              </w:rPr>
              <w:drawing>
                <wp:inline distT="114300" distB="114300" distL="114300" distR="114300" wp14:anchorId="127EA038" wp14:editId="1ED539D8">
                  <wp:extent cx="2333625" cy="469900"/>
                  <wp:effectExtent l="12700" t="12700" r="12700" b="12700"/>
                  <wp:docPr id="119884404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2333625" cy="469900"/>
                          </a:xfrm>
                          <a:prstGeom prst="rect">
                            <a:avLst/>
                          </a:prstGeom>
                          <a:ln w="12700">
                            <a:solidFill>
                              <a:srgbClr val="000000"/>
                            </a:solidFill>
                            <a:prstDash val="solid"/>
                          </a:ln>
                        </pic:spPr>
                      </pic:pic>
                    </a:graphicData>
                  </a:graphic>
                </wp:inline>
              </w:drawing>
            </w:r>
          </w:p>
          <w:p w14:paraId="0CC3C3FB" w14:textId="77777777" w:rsidR="000573E1" w:rsidRDefault="00493529">
            <w:pPr>
              <w:widowControl w:val="0"/>
              <w:jc w:val="center"/>
              <w:rPr>
                <w:rFonts w:ascii="Arial" w:eastAsia="Arial" w:hAnsi="Arial" w:cs="Arial"/>
                <w:b/>
                <w:bCs/>
              </w:rPr>
            </w:pPr>
            <w:r>
              <w:rPr>
                <w:rFonts w:ascii="Arial" w:eastAsia="Arial" w:hAnsi="Arial" w:cs="Arial"/>
                <w:b/>
                <w:bCs/>
              </w:rPr>
              <w:t>Figure 7: GII rank of Japan</w:t>
            </w:r>
          </w:p>
          <w:p w14:paraId="4D422A22" w14:textId="77777777" w:rsidR="000573E1" w:rsidRDefault="00493529">
            <w:pPr>
              <w:widowControl w:val="0"/>
              <w:jc w:val="center"/>
              <w:rPr>
                <w:rFonts w:ascii="Arial" w:eastAsia="Arial" w:hAnsi="Arial" w:cs="Arial"/>
              </w:rPr>
            </w:pPr>
            <w:r>
              <w:rPr>
                <w:rFonts w:ascii="Arial" w:eastAsia="Arial" w:hAnsi="Arial" w:cs="Arial"/>
              </w:rPr>
              <w:t>(Source: WIPO, 2025)</w:t>
            </w:r>
          </w:p>
          <w:p w14:paraId="7E572BCC" w14:textId="77777777" w:rsidR="000573E1" w:rsidRDefault="00493529">
            <w:pPr>
              <w:widowControl w:val="0"/>
              <w:numPr>
                <w:ilvl w:val="0"/>
                <w:numId w:val="18"/>
              </w:numPr>
              <w:rPr>
                <w:rFonts w:ascii="Arial" w:eastAsia="Arial" w:hAnsi="Arial" w:cs="Arial"/>
              </w:rPr>
            </w:pPr>
            <w:r>
              <w:rPr>
                <w:rFonts w:ascii="Arial" w:eastAsia="Arial" w:hAnsi="Arial" w:cs="Arial"/>
              </w:rPr>
              <w:t>Japan has been investing in future technologies, including robotics and automation powered by AI and ML technologies.</w:t>
            </w:r>
          </w:p>
          <w:p w14:paraId="71381BF4"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Although technology integration may necessitate a larger investment, Japan’s investment in AI-supported robotics and automation can help Deliveroo’s delivery operations while lowering the dependency on labour/gig workers, given the lower unemployment rates as aforementioned.</w:t>
            </w:r>
          </w:p>
        </w:tc>
      </w:tr>
      <w:tr w:rsidR="000573E1" w14:paraId="1DA2F22C" w14:textId="77777777">
        <w:tc>
          <w:tcPr>
            <w:tcW w:w="1425" w:type="dxa"/>
            <w:tcMar>
              <w:top w:w="100" w:type="dxa"/>
              <w:left w:w="100" w:type="dxa"/>
              <w:bottom w:w="100" w:type="dxa"/>
              <w:right w:w="100" w:type="dxa"/>
            </w:tcMar>
          </w:tcPr>
          <w:p w14:paraId="4DA771EC" w14:textId="77777777" w:rsidR="000573E1" w:rsidRDefault="00493529">
            <w:pPr>
              <w:widowControl w:val="0"/>
              <w:spacing w:line="240" w:lineRule="auto"/>
              <w:jc w:val="left"/>
              <w:rPr>
                <w:rFonts w:ascii="Arial" w:eastAsia="Arial" w:hAnsi="Arial" w:cs="Arial"/>
                <w:b/>
                <w:bCs/>
                <w:color w:val="000000"/>
              </w:rPr>
            </w:pPr>
            <w:r>
              <w:rPr>
                <w:rFonts w:ascii="Arial" w:eastAsia="Arial" w:hAnsi="Arial" w:cs="Arial"/>
                <w:b/>
                <w:bCs/>
                <w:color w:val="000000"/>
              </w:rPr>
              <w:t>Legal</w:t>
            </w:r>
          </w:p>
        </w:tc>
        <w:tc>
          <w:tcPr>
            <w:tcW w:w="3510" w:type="dxa"/>
            <w:tcMar>
              <w:top w:w="100" w:type="dxa"/>
              <w:left w:w="100" w:type="dxa"/>
              <w:bottom w:w="100" w:type="dxa"/>
              <w:right w:w="100" w:type="dxa"/>
            </w:tcMar>
          </w:tcPr>
          <w:p w14:paraId="2BCA483F" w14:textId="77777777" w:rsidR="000573E1" w:rsidRDefault="00493529">
            <w:pPr>
              <w:widowControl w:val="0"/>
              <w:numPr>
                <w:ilvl w:val="0"/>
                <w:numId w:val="19"/>
              </w:numPr>
              <w:rPr>
                <w:rFonts w:ascii="Arial" w:eastAsia="Arial" w:hAnsi="Arial" w:cs="Arial"/>
              </w:rPr>
            </w:pPr>
            <w:r>
              <w:rPr>
                <w:rFonts w:ascii="Arial" w:eastAsia="Arial" w:hAnsi="Arial" w:cs="Arial"/>
              </w:rPr>
              <w:t>Fair Labour Standards Act (FLSA) is the regulatory act that oversees minimum wages for workers, overtime payment and prohibits child labour practices (U.S. Department of Labor, 2024)</w:t>
            </w:r>
          </w:p>
          <w:p w14:paraId="0A4266BE" w14:textId="77777777" w:rsidR="000573E1" w:rsidRDefault="00493529">
            <w:pPr>
              <w:widowControl w:val="0"/>
              <w:numPr>
                <w:ilvl w:val="0"/>
                <w:numId w:val="19"/>
              </w:numPr>
              <w:rPr>
                <w:rFonts w:ascii="Arial" w:eastAsia="Arial" w:hAnsi="Arial" w:cs="Arial"/>
              </w:rPr>
            </w:pPr>
            <w:r>
              <w:rPr>
                <w:rFonts w:ascii="Arial" w:eastAsia="Arial" w:hAnsi="Arial" w:cs="Arial"/>
              </w:rPr>
              <w:t xml:space="preserve">The classification of gig workers and collective bargaining of gig workers with ordinary jobs can create legal uncertainties (Federal Trade Commission, 2025) </w:t>
            </w:r>
          </w:p>
          <w:p w14:paraId="306C2FF0"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xml:space="preserve">: FLSA compliance can create high labour expenditure, which can negatively impact Deliveroo as it may </w:t>
            </w:r>
            <w:r>
              <w:rPr>
                <w:rFonts w:ascii="Arial" w:eastAsia="Arial" w:hAnsi="Arial" w:cs="Arial"/>
              </w:rPr>
              <w:t>face operational and legal concerns due to unclear gig worker classifications and bargaining regulations</w:t>
            </w:r>
          </w:p>
        </w:tc>
        <w:tc>
          <w:tcPr>
            <w:tcW w:w="4065" w:type="dxa"/>
            <w:tcMar>
              <w:top w:w="100" w:type="dxa"/>
              <w:left w:w="100" w:type="dxa"/>
              <w:bottom w:w="100" w:type="dxa"/>
              <w:right w:w="100" w:type="dxa"/>
            </w:tcMar>
          </w:tcPr>
          <w:p w14:paraId="4177C468" w14:textId="77777777" w:rsidR="000573E1" w:rsidRDefault="00493529">
            <w:pPr>
              <w:widowControl w:val="0"/>
              <w:numPr>
                <w:ilvl w:val="0"/>
                <w:numId w:val="20"/>
              </w:numPr>
              <w:rPr>
                <w:rFonts w:ascii="Arial" w:eastAsia="Arial" w:hAnsi="Arial" w:cs="Arial"/>
              </w:rPr>
            </w:pPr>
            <w:r>
              <w:rPr>
                <w:rFonts w:ascii="Arial" w:eastAsia="Arial" w:hAnsi="Arial" w:cs="Arial"/>
              </w:rPr>
              <w:t>Labour Standards Act, Act No. 49 of April 7, 1947, updated by Act No. 71 of 2018, governs the maximum working hours (8 Hours), rest time of 1 hour, working conditions, and safety standards in the workplace (Japanese Law Translation, 2018)</w:t>
            </w:r>
          </w:p>
          <w:p w14:paraId="2AB6A8CB" w14:textId="77777777" w:rsidR="000573E1" w:rsidRDefault="00493529">
            <w:pPr>
              <w:widowControl w:val="0"/>
              <w:numPr>
                <w:ilvl w:val="0"/>
                <w:numId w:val="20"/>
              </w:numPr>
              <w:rPr>
                <w:rFonts w:ascii="Arial" w:eastAsia="Arial" w:hAnsi="Arial" w:cs="Arial"/>
              </w:rPr>
            </w:pPr>
            <w:r>
              <w:rPr>
                <w:rFonts w:ascii="Arial" w:eastAsia="Arial" w:hAnsi="Arial" w:cs="Arial"/>
              </w:rPr>
              <w:t>“The Freelance Act, 2024” prohibits “kaitataki” practices, requiring businesses to offer similar wages to gig workers/freelancers for similar types of jobs done ordinarily (Cloete, 2024)</w:t>
            </w:r>
          </w:p>
          <w:p w14:paraId="3C763383"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Fair working conditions and rider relationships can be strengthened by the Labour Standards Act and the Freelance Act obligations, but they may also raise labour expenses and compliance. This can positively impact the operations of Deliveroo.</w:t>
            </w:r>
          </w:p>
        </w:tc>
      </w:tr>
      <w:tr w:rsidR="000573E1" w14:paraId="25BC28D9" w14:textId="77777777">
        <w:tc>
          <w:tcPr>
            <w:tcW w:w="1425" w:type="dxa"/>
            <w:tcMar>
              <w:top w:w="100" w:type="dxa"/>
              <w:left w:w="100" w:type="dxa"/>
              <w:bottom w:w="100" w:type="dxa"/>
              <w:right w:w="100" w:type="dxa"/>
            </w:tcMar>
          </w:tcPr>
          <w:p w14:paraId="0F3143B3" w14:textId="77777777" w:rsidR="000573E1" w:rsidRDefault="00493529">
            <w:pPr>
              <w:widowControl w:val="0"/>
              <w:spacing w:line="240" w:lineRule="auto"/>
              <w:jc w:val="left"/>
              <w:rPr>
                <w:rFonts w:ascii="Arial" w:eastAsia="Arial" w:hAnsi="Arial" w:cs="Arial"/>
                <w:b/>
                <w:bCs/>
                <w:color w:val="000000"/>
              </w:rPr>
            </w:pPr>
            <w:r>
              <w:rPr>
                <w:rFonts w:ascii="Arial" w:eastAsia="Arial" w:hAnsi="Arial" w:cs="Arial"/>
                <w:b/>
                <w:bCs/>
                <w:color w:val="000000"/>
              </w:rPr>
              <w:t>Environment</w:t>
            </w:r>
          </w:p>
        </w:tc>
        <w:tc>
          <w:tcPr>
            <w:tcW w:w="3510" w:type="dxa"/>
            <w:tcMar>
              <w:top w:w="100" w:type="dxa"/>
              <w:left w:w="100" w:type="dxa"/>
              <w:bottom w:w="100" w:type="dxa"/>
              <w:right w:w="100" w:type="dxa"/>
            </w:tcMar>
          </w:tcPr>
          <w:p w14:paraId="6FFEE8F7" w14:textId="77777777" w:rsidR="000573E1" w:rsidRDefault="00493529">
            <w:pPr>
              <w:widowControl w:val="0"/>
              <w:numPr>
                <w:ilvl w:val="0"/>
                <w:numId w:val="21"/>
              </w:numPr>
              <w:rPr>
                <w:rFonts w:ascii="Arial" w:eastAsia="Arial" w:hAnsi="Arial" w:cs="Arial"/>
              </w:rPr>
            </w:pPr>
            <w:r>
              <w:rPr>
                <w:rFonts w:ascii="Arial" w:eastAsia="Arial" w:hAnsi="Arial" w:cs="Arial"/>
              </w:rPr>
              <w:t>Clean Air Act (CAA) governs commercial and industrial emissions, requiring businesses to obtain operating permits (US EPA, 2026).</w:t>
            </w:r>
          </w:p>
          <w:p w14:paraId="213C3BC0" w14:textId="77777777" w:rsidR="000573E1" w:rsidRDefault="00493529">
            <w:pPr>
              <w:widowControl w:val="0"/>
              <w:numPr>
                <w:ilvl w:val="0"/>
                <w:numId w:val="21"/>
              </w:numPr>
              <w:rPr>
                <w:rFonts w:ascii="Arial" w:eastAsia="Arial" w:hAnsi="Arial" w:cs="Arial"/>
              </w:rPr>
            </w:pPr>
            <w:r>
              <w:rPr>
                <w:rFonts w:ascii="Arial" w:eastAsia="Arial" w:hAnsi="Arial" w:cs="Arial"/>
              </w:rPr>
              <w:t>In 2025, the US government rejected the UN Sustainable Development Goals and the United Nations' 2030 Agenda due to political ideologies on  climate change (Segal, 2025)</w:t>
            </w:r>
          </w:p>
          <w:p w14:paraId="1ECCFD82"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xml:space="preserve">: </w:t>
            </w:r>
            <w:r>
              <w:rPr>
                <w:rFonts w:ascii="Arial" w:eastAsia="Arial" w:hAnsi="Arial" w:cs="Arial"/>
              </w:rPr>
              <w:t>Weaker climate commitments by the US government may lessen the sustainability targets and result in Deliveroo not investing more in climate change commitments. However, US emissions regulations may raise compliance costs for Deliveroo.</w:t>
            </w:r>
          </w:p>
        </w:tc>
        <w:tc>
          <w:tcPr>
            <w:tcW w:w="4065" w:type="dxa"/>
            <w:tcMar>
              <w:top w:w="100" w:type="dxa"/>
              <w:left w:w="100" w:type="dxa"/>
              <w:bottom w:w="100" w:type="dxa"/>
              <w:right w:w="100" w:type="dxa"/>
            </w:tcMar>
          </w:tcPr>
          <w:p w14:paraId="39262604" w14:textId="77777777" w:rsidR="000573E1" w:rsidRDefault="00493529">
            <w:pPr>
              <w:widowControl w:val="0"/>
              <w:numPr>
                <w:ilvl w:val="0"/>
                <w:numId w:val="22"/>
              </w:numPr>
              <w:rPr>
                <w:rFonts w:ascii="Arial" w:eastAsia="Arial" w:hAnsi="Arial" w:cs="Arial"/>
              </w:rPr>
            </w:pPr>
            <w:r>
              <w:rPr>
                <w:rFonts w:ascii="Arial" w:eastAsia="Arial" w:hAnsi="Arial" w:cs="Arial"/>
              </w:rPr>
              <w:t>Air Pollution Control Act (Act No. 97 of 1968) was created to oversee and reduce air pollution risks and protect its citizens (UNEP ORG, 2026)</w:t>
            </w:r>
          </w:p>
          <w:p w14:paraId="078D2D5D" w14:textId="77777777" w:rsidR="000573E1" w:rsidRDefault="00493529">
            <w:pPr>
              <w:widowControl w:val="0"/>
              <w:numPr>
                <w:ilvl w:val="0"/>
                <w:numId w:val="22"/>
              </w:numPr>
              <w:rPr>
                <w:rFonts w:ascii="Arial" w:eastAsia="Arial" w:hAnsi="Arial" w:cs="Arial"/>
              </w:rPr>
            </w:pPr>
            <w:r>
              <w:rPr>
                <w:rFonts w:ascii="Arial" w:eastAsia="Arial" w:hAnsi="Arial" w:cs="Arial"/>
              </w:rPr>
              <w:t>Japan has set net zero 2050 targets, aiming to reduce GHG emissions (Climateactiontracker, 2026)</w:t>
            </w:r>
          </w:p>
          <w:p w14:paraId="4E120E51" w14:textId="77777777" w:rsidR="000573E1" w:rsidRDefault="00493529">
            <w:pPr>
              <w:widowControl w:val="0"/>
              <w:rPr>
                <w:rFonts w:ascii="Arial" w:eastAsia="Arial" w:hAnsi="Arial" w:cs="Arial"/>
              </w:rPr>
            </w:pPr>
            <w:r>
              <w:rPr>
                <w:rFonts w:ascii="Arial" w:eastAsia="Arial" w:hAnsi="Arial" w:cs="Arial"/>
                <w:b/>
                <w:bCs/>
              </w:rPr>
              <w:t>Impact</w:t>
            </w:r>
            <w:r>
              <w:rPr>
                <w:rFonts w:ascii="Arial" w:eastAsia="Arial" w:hAnsi="Arial" w:cs="Arial"/>
              </w:rPr>
              <w:t>: Japan’s net zero 2050 targets and strict pollution regulations can positively impact and create environmentally friendly delivery methods for Deliveroo.</w:t>
            </w:r>
          </w:p>
        </w:tc>
      </w:tr>
    </w:tbl>
    <w:p w14:paraId="3E77C421" w14:textId="77777777" w:rsidR="000573E1" w:rsidRDefault="00493529">
      <w:pPr>
        <w:jc w:val="center"/>
        <w:rPr>
          <w:rFonts w:ascii="Arial" w:eastAsia="Arial" w:hAnsi="Arial" w:cs="Arial"/>
          <w:color w:val="000000"/>
        </w:rPr>
      </w:pPr>
      <w:r>
        <w:rPr>
          <w:rFonts w:ascii="Arial" w:eastAsia="Arial" w:hAnsi="Arial" w:cs="Arial"/>
          <w:b/>
          <w:bCs/>
          <w:color w:val="000000"/>
        </w:rPr>
        <w:t>Table 1: PESTLE comparison between USA and Japan</w:t>
      </w:r>
    </w:p>
    <w:p w14:paraId="13AC01C7" w14:textId="77777777" w:rsidR="000573E1" w:rsidRDefault="00493529">
      <w:pPr>
        <w:pStyle w:val="Titlu3"/>
        <w:rPr>
          <w:rFonts w:ascii="Arial" w:eastAsia="Arial" w:hAnsi="Arial" w:cs="Arial"/>
          <w:color w:val="000000"/>
        </w:rPr>
      </w:pPr>
      <w:bookmarkStart w:id="5" w:name="_heading=h.9abxmo73uco6" w:colFirst="0" w:colLast="0"/>
      <w:bookmarkEnd w:id="5"/>
      <w:r>
        <w:rPr>
          <w:rFonts w:ascii="Arial" w:eastAsia="Arial" w:hAnsi="Arial" w:cs="Arial"/>
          <w:color w:val="000000"/>
        </w:rPr>
        <w:t xml:space="preserve">Hofstede’s country culture comparison </w:t>
      </w:r>
    </w:p>
    <w:p w14:paraId="48CCF653" w14:textId="77777777" w:rsidR="000573E1" w:rsidRDefault="00493529">
      <w:pPr>
        <w:rPr>
          <w:rFonts w:ascii="Arial" w:eastAsia="Arial" w:hAnsi="Arial" w:cs="Arial"/>
          <w:color w:val="000000"/>
        </w:rPr>
      </w:pPr>
      <w:r>
        <w:rPr>
          <w:rFonts w:ascii="Arial" w:eastAsia="Arial" w:hAnsi="Arial" w:cs="Arial"/>
          <w:color w:val="000000"/>
        </w:rPr>
        <w:t>Hofstede’s cultural dimensions are referred to as a framework where there are five core and original traits that analyse the cultural influence of society and the behavioural aspect of each member. For this case study, the chosen organisation is Deliveroo, which is a UK-based organisation, and it is looking forward to expansion in the USA or Japan. Therefore, the Hofstede cultural comparison would be done for three countries such as the USA, the UK and Japan for Deliveroo.</w:t>
      </w:r>
    </w:p>
    <w:p w14:paraId="7A12AF7B" w14:textId="77777777" w:rsidR="000573E1" w:rsidRDefault="00493529">
      <w:pPr>
        <w:rPr>
          <w:rFonts w:ascii="Arial" w:eastAsia="Arial" w:hAnsi="Arial" w:cs="Arial"/>
          <w:color w:val="000000"/>
        </w:rPr>
      </w:pPr>
      <w:r>
        <w:rPr>
          <w:rFonts w:ascii="Arial" w:eastAsia="Arial" w:hAnsi="Arial" w:cs="Arial"/>
          <w:noProof/>
          <w:color w:val="000000"/>
        </w:rPr>
        <w:drawing>
          <wp:inline distT="114300" distB="114300" distL="114300" distR="114300" wp14:anchorId="7518E177" wp14:editId="568E95CE">
            <wp:extent cx="5731200" cy="3213100"/>
            <wp:effectExtent l="12700" t="12700" r="12700" b="12700"/>
            <wp:docPr id="119884404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731200" cy="3213100"/>
                    </a:xfrm>
                    <a:prstGeom prst="rect">
                      <a:avLst/>
                    </a:prstGeom>
                    <a:ln w="12700">
                      <a:solidFill>
                        <a:srgbClr val="000000"/>
                      </a:solidFill>
                      <a:prstDash val="solid"/>
                    </a:ln>
                  </pic:spPr>
                </pic:pic>
              </a:graphicData>
            </a:graphic>
          </wp:inline>
        </w:drawing>
      </w:r>
    </w:p>
    <w:p w14:paraId="39E30003" w14:textId="77777777" w:rsidR="000573E1" w:rsidRDefault="00493529">
      <w:pPr>
        <w:jc w:val="center"/>
        <w:rPr>
          <w:rFonts w:ascii="Arial" w:eastAsia="Arial" w:hAnsi="Arial" w:cs="Arial"/>
          <w:b/>
          <w:bCs/>
          <w:color w:val="000000"/>
        </w:rPr>
      </w:pPr>
      <w:r>
        <w:rPr>
          <w:rFonts w:ascii="Arial" w:eastAsia="Arial" w:hAnsi="Arial" w:cs="Arial"/>
          <w:b/>
          <w:bCs/>
          <w:color w:val="000000"/>
        </w:rPr>
        <w:t>Figure 8: Hofstede cultural comparison between UK, USA and Japan</w:t>
      </w:r>
    </w:p>
    <w:p w14:paraId="5484565E" w14:textId="77777777" w:rsidR="000573E1" w:rsidRDefault="00493529">
      <w:pPr>
        <w:jc w:val="center"/>
        <w:rPr>
          <w:rFonts w:ascii="Arial" w:eastAsia="Arial" w:hAnsi="Arial" w:cs="Arial"/>
          <w:color w:val="000000"/>
        </w:rPr>
      </w:pPr>
      <w:r>
        <w:rPr>
          <w:rFonts w:ascii="Arial" w:eastAsia="Arial" w:hAnsi="Arial" w:cs="Arial"/>
          <w:color w:val="000000"/>
        </w:rPr>
        <w:t>(Source: The Culture Factor, 2026)</w:t>
      </w:r>
    </w:p>
    <w:p w14:paraId="73F247D6" w14:textId="77777777" w:rsidR="000573E1" w:rsidRDefault="00493529">
      <w:pPr>
        <w:rPr>
          <w:rFonts w:ascii="Arial" w:eastAsia="Arial" w:hAnsi="Arial" w:cs="Arial"/>
          <w:color w:val="000000"/>
        </w:rPr>
      </w:pPr>
      <w:r>
        <w:rPr>
          <w:rFonts w:ascii="Arial" w:eastAsia="Arial" w:hAnsi="Arial" w:cs="Arial"/>
          <w:color w:val="000000"/>
        </w:rPr>
        <w:t>The scores for each country in Figure 3 indicate that Japan has more masculinity, power distance, long-term orientation and uncertainty avoidance compared to the UK and the USA. However, both the UK and the USA are more individualistic and indulgent.</w:t>
      </w:r>
    </w:p>
    <w:p w14:paraId="30BAC7F7" w14:textId="77777777" w:rsidR="000573E1" w:rsidRDefault="00493529">
      <w:pPr>
        <w:rPr>
          <w:rFonts w:ascii="Arial" w:eastAsia="Arial" w:hAnsi="Arial" w:cs="Arial"/>
          <w:b/>
          <w:bCs/>
          <w:color w:val="000000"/>
        </w:rPr>
      </w:pPr>
      <w:r>
        <w:rPr>
          <w:rFonts w:ascii="Arial" w:eastAsia="Arial" w:hAnsi="Arial" w:cs="Arial"/>
          <w:b/>
          <w:bCs/>
          <w:color w:val="000000"/>
        </w:rPr>
        <w:t>Power Distance</w:t>
      </w:r>
    </w:p>
    <w:p w14:paraId="089625E0" w14:textId="77777777" w:rsidR="000573E1" w:rsidRDefault="00493529">
      <w:pPr>
        <w:rPr>
          <w:rFonts w:ascii="Arial" w:eastAsia="Arial" w:hAnsi="Arial" w:cs="Arial"/>
        </w:rPr>
      </w:pPr>
      <w:r>
        <w:rPr>
          <w:rFonts w:ascii="Arial" w:eastAsia="Arial" w:hAnsi="Arial" w:cs="Arial"/>
        </w:rPr>
        <w:t xml:space="preserve">The power distance score of the UK is 35, which indicates limited acceptance of hierarchical inequality, and the United States has a score of 40, highlighting the presence of liberty and a sense of justice (The Culture Factor, 2026). A power distance score of 54 indicates a hierarchical division of responsibility to ensure a scope of equality. Liberty and justice for all are ensured in the social structure, along with the strategy to manage coordination in the division of power in the nation. </w:t>
      </w:r>
    </w:p>
    <w:p w14:paraId="0337BF5F" w14:textId="77777777" w:rsidR="000573E1" w:rsidRDefault="00493529">
      <w:pPr>
        <w:rPr>
          <w:rFonts w:ascii="Arial" w:eastAsia="Arial" w:hAnsi="Arial" w:cs="Arial"/>
          <w:b/>
          <w:bCs/>
        </w:rPr>
      </w:pPr>
      <w:r>
        <w:rPr>
          <w:rFonts w:ascii="Arial" w:eastAsia="Arial" w:hAnsi="Arial" w:cs="Arial"/>
          <w:b/>
          <w:bCs/>
        </w:rPr>
        <w:t>Individualism</w:t>
      </w:r>
    </w:p>
    <w:p w14:paraId="0CB54D72" w14:textId="77777777" w:rsidR="000573E1" w:rsidRDefault="00493529">
      <w:pPr>
        <w:rPr>
          <w:rFonts w:ascii="Arial" w:eastAsia="Arial" w:hAnsi="Arial" w:cs="Arial"/>
        </w:rPr>
      </w:pPr>
      <w:r>
        <w:rPr>
          <w:rFonts w:ascii="Arial" w:eastAsia="Arial" w:hAnsi="Arial" w:cs="Arial"/>
        </w:rPr>
        <w:t xml:space="preserve">The UK's score in the individualism index is 76, indicating that individual opinion and perceptions are given priority in different activities. Japan holds a score of 62 in the individualism index, which highlights the system of collectivist society in which group loyalty remains influential (The Culture Factor, 2026). The USA holds a score of 62, indicating a moderately achievement-oriented structure of society. </w:t>
      </w:r>
    </w:p>
    <w:p w14:paraId="2268CF28" w14:textId="77777777" w:rsidR="000573E1" w:rsidRDefault="00493529">
      <w:pPr>
        <w:rPr>
          <w:rFonts w:ascii="Arial" w:eastAsia="Arial" w:hAnsi="Arial" w:cs="Arial"/>
          <w:b/>
          <w:bCs/>
        </w:rPr>
      </w:pPr>
      <w:r>
        <w:rPr>
          <w:rFonts w:ascii="Arial" w:eastAsia="Arial" w:hAnsi="Arial" w:cs="Arial"/>
          <w:b/>
          <w:bCs/>
        </w:rPr>
        <w:t>Motivation towards achievement and success</w:t>
      </w:r>
    </w:p>
    <w:p w14:paraId="29DFF99B" w14:textId="77777777" w:rsidR="000573E1" w:rsidRDefault="00493529">
      <w:pPr>
        <w:rPr>
          <w:rFonts w:ascii="Arial" w:eastAsia="Arial" w:hAnsi="Arial" w:cs="Arial"/>
          <w:color w:val="000000"/>
        </w:rPr>
      </w:pPr>
      <w:r>
        <w:rPr>
          <w:rFonts w:ascii="Arial" w:eastAsia="Arial" w:hAnsi="Arial" w:cs="Arial"/>
          <w:color w:val="000000"/>
        </w:rPr>
        <w:t>The UK's motivation towards success score is 45, which indicates a culture-oriented and collaborative social structure, indicating the scope of transparency (The Culture Factor, 2026). Japan has a score of 95, indicating that an achievement-oriented culture is prevalent in the society. On the contrary, the score of the USA is 62, indicating the presence of an achievement-oriented culture.</w:t>
      </w:r>
    </w:p>
    <w:p w14:paraId="10776FDD" w14:textId="77777777" w:rsidR="000573E1" w:rsidRDefault="00493529">
      <w:pPr>
        <w:rPr>
          <w:rFonts w:ascii="Arial" w:eastAsia="Arial" w:hAnsi="Arial" w:cs="Arial"/>
          <w:b/>
          <w:bCs/>
          <w:color w:val="000000"/>
        </w:rPr>
      </w:pPr>
      <w:r>
        <w:rPr>
          <w:rFonts w:ascii="Arial" w:eastAsia="Arial" w:hAnsi="Arial" w:cs="Arial"/>
          <w:b/>
          <w:bCs/>
          <w:color w:val="000000"/>
        </w:rPr>
        <w:t>Uncertainty avoidance</w:t>
      </w:r>
    </w:p>
    <w:p w14:paraId="510B2420" w14:textId="77777777" w:rsidR="000573E1" w:rsidRDefault="00493529">
      <w:pPr>
        <w:rPr>
          <w:rFonts w:ascii="Arial" w:eastAsia="Arial" w:hAnsi="Arial" w:cs="Arial"/>
          <w:color w:val="000000"/>
        </w:rPr>
      </w:pPr>
      <w:r>
        <w:rPr>
          <w:rFonts w:ascii="Arial" w:eastAsia="Arial" w:hAnsi="Arial" w:cs="Arial"/>
          <w:color w:val="000000"/>
        </w:rPr>
        <w:t xml:space="preserve">The uncertainty avoidance index score of the UK is 35, which highlights that the chances of risk factors are comparatively higher (The Culture Factor, 2026). USA holds an uncertainty avoidance index score of 46, which is below the estimated level for structured balance. Japan's score in this index is 92, which indicates that despite the continuous exposure to natural calamities, it has an adequate sense of coordination to prevent existing external risk factors. </w:t>
      </w:r>
    </w:p>
    <w:p w14:paraId="3375AF9D" w14:textId="77777777" w:rsidR="000573E1" w:rsidRDefault="00493529">
      <w:pPr>
        <w:rPr>
          <w:rFonts w:ascii="Arial" w:eastAsia="Arial" w:hAnsi="Arial" w:cs="Arial"/>
          <w:b/>
          <w:bCs/>
          <w:color w:val="000000"/>
        </w:rPr>
      </w:pPr>
      <w:r>
        <w:rPr>
          <w:rFonts w:ascii="Arial" w:eastAsia="Arial" w:hAnsi="Arial" w:cs="Arial"/>
          <w:b/>
          <w:bCs/>
          <w:color w:val="000000"/>
        </w:rPr>
        <w:t>Long-term orientation</w:t>
      </w:r>
    </w:p>
    <w:p w14:paraId="44DEDCF2" w14:textId="77777777" w:rsidR="000573E1" w:rsidRDefault="00493529">
      <w:pPr>
        <w:rPr>
          <w:rFonts w:ascii="Arial" w:eastAsia="Arial" w:hAnsi="Arial" w:cs="Arial"/>
        </w:rPr>
      </w:pPr>
      <w:r>
        <w:rPr>
          <w:rFonts w:ascii="Arial" w:eastAsia="Arial" w:hAnsi="Arial" w:cs="Arial"/>
          <w:color w:val="000000"/>
        </w:rPr>
        <w:t>The UK's long-term orientation score is 60, which indicates that chances of growth potential and determination to progress are required (The Culture Factor, 2026). USA’s score in the index is 50, highlighting the scope for success in reaching adequate potential for growth in reaching t</w:t>
      </w:r>
      <w:r>
        <w:rPr>
          <w:rFonts w:ascii="Arial" w:eastAsia="Arial" w:hAnsi="Arial" w:cs="Arial"/>
        </w:rPr>
        <w:t>he targets. Japan has a long-term orientation score of 100, indicating the potential for success in achieving the targeted objective.</w:t>
      </w:r>
    </w:p>
    <w:p w14:paraId="34CF119F" w14:textId="77777777" w:rsidR="000573E1" w:rsidRDefault="00493529">
      <w:pPr>
        <w:rPr>
          <w:rFonts w:ascii="Arial" w:eastAsia="Arial" w:hAnsi="Arial" w:cs="Arial"/>
          <w:b/>
          <w:bCs/>
        </w:rPr>
      </w:pPr>
      <w:r>
        <w:rPr>
          <w:rFonts w:ascii="Arial" w:eastAsia="Arial" w:hAnsi="Arial" w:cs="Arial"/>
          <w:b/>
          <w:bCs/>
        </w:rPr>
        <w:t>Indulgence</w:t>
      </w:r>
    </w:p>
    <w:p w14:paraId="06E3D536" w14:textId="77777777" w:rsidR="000573E1" w:rsidRDefault="00493529">
      <w:pPr>
        <w:rPr>
          <w:rFonts w:ascii="Arial" w:eastAsia="Arial" w:hAnsi="Arial" w:cs="Arial"/>
        </w:rPr>
      </w:pPr>
      <w:r>
        <w:rPr>
          <w:rFonts w:ascii="Arial" w:eastAsia="Arial" w:hAnsi="Arial" w:cs="Arial"/>
        </w:rPr>
        <w:t>The indulgence score of the UK is 69, indicating that the potential for cultural coordination is higher in the country (The Culture Factor, 2026). Japan's indulgence score is 42, which provides insights into gaining value along with the measures to achieve adequate objectives. The United States holds a score of 68, which indicates the presence of an indulgent society that values fun and leisure activities.</w:t>
      </w:r>
    </w:p>
    <w:p w14:paraId="6D7720ED" w14:textId="77777777" w:rsidR="000573E1" w:rsidRDefault="00493529">
      <w:pPr>
        <w:pStyle w:val="Titlu2"/>
        <w:rPr>
          <w:rFonts w:ascii="Arial" w:eastAsia="Arial" w:hAnsi="Arial" w:cs="Arial"/>
        </w:rPr>
      </w:pPr>
      <w:bookmarkStart w:id="6" w:name="_heading=h.uiszdqe9g0x1" w:colFirst="0" w:colLast="0"/>
      <w:bookmarkEnd w:id="6"/>
      <w:r>
        <w:rPr>
          <w:rFonts w:ascii="Arial" w:eastAsia="Arial" w:hAnsi="Arial" w:cs="Arial"/>
        </w:rPr>
        <w:t xml:space="preserve">d. International STP and Marketing Mix (7Ps) </w:t>
      </w:r>
    </w:p>
    <w:p w14:paraId="0E3719AA" w14:textId="77777777" w:rsidR="000573E1" w:rsidRDefault="00493529">
      <w:pPr>
        <w:pStyle w:val="Titlu3"/>
        <w:rPr>
          <w:rFonts w:ascii="Arial" w:eastAsia="Arial" w:hAnsi="Arial" w:cs="Arial"/>
          <w:color w:val="000000"/>
        </w:rPr>
      </w:pPr>
      <w:bookmarkStart w:id="7" w:name="_heading=h.5o0wlyxyhfta" w:colFirst="0" w:colLast="0"/>
      <w:bookmarkEnd w:id="7"/>
      <w:r>
        <w:rPr>
          <w:rFonts w:ascii="Arial" w:eastAsia="Arial" w:hAnsi="Arial" w:cs="Arial"/>
          <w:color w:val="000000"/>
        </w:rPr>
        <w:t xml:space="preserve">STP Analysis </w:t>
      </w:r>
    </w:p>
    <w:tbl>
      <w:tblPr>
        <w:tblStyle w:val="a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085"/>
        <w:gridCol w:w="6915"/>
      </w:tblGrid>
      <w:tr w:rsidR="000573E1" w14:paraId="53060633" w14:textId="77777777">
        <w:tc>
          <w:tcPr>
            <w:tcW w:w="2085" w:type="dxa"/>
            <w:tcMar>
              <w:top w:w="100" w:type="dxa"/>
              <w:left w:w="100" w:type="dxa"/>
              <w:bottom w:w="100" w:type="dxa"/>
              <w:right w:w="100" w:type="dxa"/>
            </w:tcMar>
          </w:tcPr>
          <w:p w14:paraId="72E04215" w14:textId="77777777" w:rsidR="000573E1" w:rsidRDefault="00493529">
            <w:pPr>
              <w:widowControl w:val="0"/>
              <w:rPr>
                <w:rFonts w:ascii="Arial" w:eastAsia="Arial" w:hAnsi="Arial" w:cs="Arial"/>
                <w:b/>
                <w:bCs/>
                <w:color w:val="000000"/>
              </w:rPr>
            </w:pPr>
            <w:r>
              <w:rPr>
                <w:rFonts w:ascii="Arial" w:eastAsia="Arial" w:hAnsi="Arial" w:cs="Arial"/>
                <w:b/>
                <w:bCs/>
                <w:color w:val="000000"/>
              </w:rPr>
              <w:t>STP analysis</w:t>
            </w:r>
          </w:p>
        </w:tc>
        <w:tc>
          <w:tcPr>
            <w:tcW w:w="6915" w:type="dxa"/>
            <w:tcMar>
              <w:top w:w="100" w:type="dxa"/>
              <w:left w:w="100" w:type="dxa"/>
              <w:bottom w:w="100" w:type="dxa"/>
              <w:right w:w="100" w:type="dxa"/>
            </w:tcMar>
          </w:tcPr>
          <w:p w14:paraId="205409BB" w14:textId="77777777" w:rsidR="000573E1" w:rsidRDefault="00493529">
            <w:pPr>
              <w:widowControl w:val="0"/>
              <w:rPr>
                <w:rFonts w:ascii="Arial" w:eastAsia="Arial" w:hAnsi="Arial" w:cs="Arial"/>
                <w:b/>
                <w:bCs/>
                <w:color w:val="000000"/>
              </w:rPr>
            </w:pPr>
            <w:r>
              <w:rPr>
                <w:rFonts w:ascii="Arial" w:eastAsia="Arial" w:hAnsi="Arial" w:cs="Arial"/>
                <w:b/>
                <w:bCs/>
                <w:color w:val="000000"/>
              </w:rPr>
              <w:t>Description</w:t>
            </w:r>
          </w:p>
        </w:tc>
      </w:tr>
      <w:tr w:rsidR="000573E1" w14:paraId="0658DC9A" w14:textId="77777777">
        <w:tc>
          <w:tcPr>
            <w:tcW w:w="2085" w:type="dxa"/>
            <w:tcMar>
              <w:top w:w="100" w:type="dxa"/>
              <w:left w:w="100" w:type="dxa"/>
              <w:bottom w:w="100" w:type="dxa"/>
              <w:right w:w="100" w:type="dxa"/>
            </w:tcMar>
          </w:tcPr>
          <w:p w14:paraId="2928C65E" w14:textId="77777777" w:rsidR="000573E1" w:rsidRDefault="00493529">
            <w:pPr>
              <w:widowControl w:val="0"/>
              <w:rPr>
                <w:rFonts w:ascii="Arial" w:eastAsia="Arial" w:hAnsi="Arial" w:cs="Arial"/>
                <w:b/>
                <w:bCs/>
                <w:color w:val="000000"/>
              </w:rPr>
            </w:pPr>
            <w:r>
              <w:rPr>
                <w:rFonts w:ascii="Arial" w:eastAsia="Arial" w:hAnsi="Arial" w:cs="Arial"/>
                <w:b/>
                <w:bCs/>
                <w:color w:val="000000"/>
              </w:rPr>
              <w:t>Segmentation</w:t>
            </w:r>
          </w:p>
        </w:tc>
        <w:tc>
          <w:tcPr>
            <w:tcW w:w="6915" w:type="dxa"/>
            <w:tcMar>
              <w:top w:w="100" w:type="dxa"/>
              <w:left w:w="100" w:type="dxa"/>
              <w:bottom w:w="100" w:type="dxa"/>
              <w:right w:w="100" w:type="dxa"/>
            </w:tcMar>
          </w:tcPr>
          <w:p w14:paraId="1C4ED6F2" w14:textId="77777777" w:rsidR="000573E1" w:rsidRDefault="00493529">
            <w:pPr>
              <w:widowControl w:val="0"/>
              <w:rPr>
                <w:rFonts w:ascii="Arial" w:eastAsia="Arial" w:hAnsi="Arial" w:cs="Arial"/>
                <w:color w:val="000000"/>
              </w:rPr>
            </w:pPr>
            <w:r>
              <w:rPr>
                <w:rFonts w:ascii="Arial" w:eastAsia="Arial" w:hAnsi="Arial" w:cs="Arial"/>
                <w:b/>
                <w:bCs/>
                <w:color w:val="000000"/>
              </w:rPr>
              <w:t>Demographics</w:t>
            </w:r>
            <w:r>
              <w:rPr>
                <w:rFonts w:ascii="Arial" w:eastAsia="Arial" w:hAnsi="Arial" w:cs="Arial"/>
                <w:color w:val="000000"/>
              </w:rPr>
              <w:t xml:space="preserve">: </w:t>
            </w:r>
          </w:p>
          <w:p w14:paraId="1798D0BE" w14:textId="77777777" w:rsidR="000573E1" w:rsidRDefault="00493529">
            <w:pPr>
              <w:widowControl w:val="0"/>
              <w:numPr>
                <w:ilvl w:val="0"/>
                <w:numId w:val="23"/>
              </w:numPr>
              <w:rPr>
                <w:rFonts w:ascii="Arial" w:eastAsia="Arial" w:hAnsi="Arial" w:cs="Arial"/>
                <w:color w:val="000000"/>
              </w:rPr>
            </w:pPr>
            <w:r>
              <w:rPr>
                <w:rFonts w:ascii="Arial" w:eastAsia="Arial" w:hAnsi="Arial" w:cs="Arial"/>
                <w:color w:val="000000"/>
              </w:rPr>
              <w:t>Gen Z demographics prefer to order food from online platforms (Statista, 2026a)</w:t>
            </w:r>
          </w:p>
          <w:p w14:paraId="5C8CBFCB" w14:textId="77777777" w:rsidR="000573E1" w:rsidRDefault="00493529">
            <w:pPr>
              <w:widowControl w:val="0"/>
              <w:numPr>
                <w:ilvl w:val="0"/>
                <w:numId w:val="23"/>
              </w:numPr>
              <w:rPr>
                <w:rFonts w:ascii="Arial" w:eastAsia="Arial" w:hAnsi="Arial" w:cs="Arial"/>
                <w:color w:val="000000"/>
              </w:rPr>
            </w:pPr>
            <w:r>
              <w:rPr>
                <w:rFonts w:ascii="Arial" w:eastAsia="Arial" w:hAnsi="Arial" w:cs="Arial"/>
                <w:color w:val="000000"/>
              </w:rPr>
              <w:t>Female customers order 1–2 times per month (Statista, 2026a)</w:t>
            </w:r>
          </w:p>
          <w:p w14:paraId="1EA6C67C" w14:textId="77777777" w:rsidR="000573E1" w:rsidRDefault="00493529">
            <w:pPr>
              <w:widowControl w:val="0"/>
              <w:rPr>
                <w:rFonts w:ascii="Arial" w:eastAsia="Arial" w:hAnsi="Arial" w:cs="Arial"/>
                <w:color w:val="000000"/>
              </w:rPr>
            </w:pPr>
            <w:r>
              <w:rPr>
                <w:rFonts w:ascii="Arial" w:eastAsia="Arial" w:hAnsi="Arial" w:cs="Arial"/>
                <w:b/>
                <w:bCs/>
                <w:color w:val="000000"/>
              </w:rPr>
              <w:t>Geographic</w:t>
            </w:r>
            <w:r>
              <w:rPr>
                <w:rFonts w:ascii="Arial" w:eastAsia="Arial" w:hAnsi="Arial" w:cs="Arial"/>
                <w:color w:val="000000"/>
              </w:rPr>
              <w:t xml:space="preserve">: </w:t>
            </w:r>
          </w:p>
          <w:p w14:paraId="7F19408F" w14:textId="77777777" w:rsidR="000573E1" w:rsidRDefault="00493529">
            <w:pPr>
              <w:widowControl w:val="0"/>
              <w:numPr>
                <w:ilvl w:val="0"/>
                <w:numId w:val="23"/>
              </w:numPr>
              <w:rPr>
                <w:rFonts w:ascii="Arial" w:eastAsia="Arial" w:hAnsi="Arial" w:cs="Arial"/>
                <w:color w:val="000000"/>
              </w:rPr>
            </w:pPr>
            <w:r>
              <w:rPr>
                <w:rFonts w:ascii="Arial" w:eastAsia="Arial" w:hAnsi="Arial" w:cs="Arial"/>
                <w:color w:val="000000"/>
              </w:rPr>
              <w:t>Online food delivery demand is high in the South (28.7%), followed by the West (26.1%), Northeast (23.4%), and Midwest (21.8%) (IMARC Group, 2025)</w:t>
            </w:r>
          </w:p>
          <w:p w14:paraId="06CEB307" w14:textId="77777777" w:rsidR="000573E1" w:rsidRDefault="00493529">
            <w:pPr>
              <w:widowControl w:val="0"/>
              <w:rPr>
                <w:rFonts w:ascii="Arial" w:eastAsia="Arial" w:hAnsi="Arial" w:cs="Arial"/>
                <w:color w:val="000000"/>
              </w:rPr>
            </w:pPr>
            <w:r>
              <w:rPr>
                <w:rFonts w:ascii="Arial" w:eastAsia="Arial" w:hAnsi="Arial" w:cs="Arial"/>
                <w:b/>
                <w:bCs/>
                <w:color w:val="000000"/>
              </w:rPr>
              <w:t>Behavioural and Psychographics</w:t>
            </w:r>
            <w:r>
              <w:rPr>
                <w:rFonts w:ascii="Arial" w:eastAsia="Arial" w:hAnsi="Arial" w:cs="Arial"/>
                <w:color w:val="000000"/>
              </w:rPr>
              <w:t xml:space="preserve">: </w:t>
            </w:r>
          </w:p>
          <w:p w14:paraId="42B6B76F" w14:textId="77777777" w:rsidR="000573E1" w:rsidRDefault="00493529">
            <w:pPr>
              <w:widowControl w:val="0"/>
              <w:numPr>
                <w:ilvl w:val="0"/>
                <w:numId w:val="23"/>
              </w:numPr>
              <w:rPr>
                <w:rFonts w:ascii="Arial" w:eastAsia="Arial" w:hAnsi="Arial" w:cs="Arial"/>
                <w:color w:val="000000"/>
              </w:rPr>
            </w:pPr>
            <w:r>
              <w:rPr>
                <w:rFonts w:ascii="Arial" w:eastAsia="Arial" w:hAnsi="Arial" w:cs="Arial"/>
                <w:color w:val="000000"/>
              </w:rPr>
              <w:t>72.3% of customers used mobile applications to order food in 2025 (IMARC Group, 2025)</w:t>
            </w:r>
          </w:p>
          <w:p w14:paraId="76A7F763" w14:textId="77777777" w:rsidR="000573E1" w:rsidRDefault="00493529">
            <w:pPr>
              <w:widowControl w:val="0"/>
              <w:numPr>
                <w:ilvl w:val="0"/>
                <w:numId w:val="23"/>
              </w:numPr>
              <w:rPr>
                <w:rFonts w:ascii="Arial" w:eastAsia="Arial" w:hAnsi="Arial" w:cs="Arial"/>
                <w:color w:val="000000"/>
              </w:rPr>
            </w:pPr>
            <w:r>
              <w:rPr>
                <w:rFonts w:ascii="Arial" w:eastAsia="Arial" w:hAnsi="Arial" w:cs="Arial"/>
                <w:color w:val="000000"/>
              </w:rPr>
              <w:t>81.6% of customers preferred online payment, whereas 18.4% preferred CoD services (IMARC Group, 2025)</w:t>
            </w:r>
          </w:p>
          <w:p w14:paraId="24CA778B" w14:textId="77777777" w:rsidR="000573E1" w:rsidRDefault="00493529">
            <w:pPr>
              <w:widowControl w:val="0"/>
              <w:rPr>
                <w:rFonts w:ascii="Arial" w:eastAsia="Arial" w:hAnsi="Arial" w:cs="Arial"/>
                <w:color w:val="000000"/>
              </w:rPr>
            </w:pPr>
            <w:r>
              <w:rPr>
                <w:rFonts w:ascii="Arial" w:eastAsia="Arial" w:hAnsi="Arial" w:cs="Arial"/>
                <w:color w:val="000000"/>
              </w:rPr>
              <w:t xml:space="preserve">To expand in the US, Deliveroo can target the Gen Z audience, more specifically female customers who prefer to order online once or twice a month. Focusing on this demographic, Deliveroo can ensure localised marketing and expedite digital ordering because Gen Z customers are most digitally active. </w:t>
            </w:r>
          </w:p>
        </w:tc>
      </w:tr>
      <w:tr w:rsidR="000573E1" w14:paraId="13BD632F" w14:textId="77777777">
        <w:tc>
          <w:tcPr>
            <w:tcW w:w="2085" w:type="dxa"/>
            <w:tcMar>
              <w:top w:w="100" w:type="dxa"/>
              <w:left w:w="100" w:type="dxa"/>
              <w:bottom w:w="100" w:type="dxa"/>
              <w:right w:w="100" w:type="dxa"/>
            </w:tcMar>
          </w:tcPr>
          <w:p w14:paraId="1A13AFE7" w14:textId="77777777" w:rsidR="000573E1" w:rsidRDefault="00493529">
            <w:pPr>
              <w:widowControl w:val="0"/>
              <w:rPr>
                <w:rFonts w:ascii="Arial" w:eastAsia="Arial" w:hAnsi="Arial" w:cs="Arial"/>
                <w:b/>
                <w:bCs/>
                <w:color w:val="000000"/>
              </w:rPr>
            </w:pPr>
            <w:r>
              <w:rPr>
                <w:rFonts w:ascii="Arial" w:eastAsia="Arial" w:hAnsi="Arial" w:cs="Arial"/>
                <w:b/>
                <w:bCs/>
                <w:color w:val="000000"/>
              </w:rPr>
              <w:t>Target</w:t>
            </w:r>
          </w:p>
        </w:tc>
        <w:tc>
          <w:tcPr>
            <w:tcW w:w="6915" w:type="dxa"/>
            <w:tcMar>
              <w:top w:w="100" w:type="dxa"/>
              <w:left w:w="100" w:type="dxa"/>
              <w:bottom w:w="100" w:type="dxa"/>
              <w:right w:w="100" w:type="dxa"/>
            </w:tcMar>
          </w:tcPr>
          <w:p w14:paraId="004FEDFD" w14:textId="77777777" w:rsidR="000573E1" w:rsidRDefault="00493529">
            <w:pPr>
              <w:widowControl w:val="0"/>
              <w:numPr>
                <w:ilvl w:val="0"/>
                <w:numId w:val="2"/>
              </w:numPr>
              <w:rPr>
                <w:rFonts w:ascii="Arial" w:eastAsia="Arial" w:hAnsi="Arial" w:cs="Arial"/>
                <w:color w:val="000000"/>
              </w:rPr>
            </w:pPr>
            <w:r>
              <w:rPr>
                <w:rFonts w:ascii="Arial" w:eastAsia="Arial" w:hAnsi="Arial" w:cs="Arial"/>
                <w:color w:val="000000"/>
              </w:rPr>
              <w:t>Deliveroo’s primary target will be Gen Z audiences, with a robust restaurant network connection in the Southern region of the US (IMARC Group, 2025; Statista, 2026a)</w:t>
            </w:r>
          </w:p>
          <w:p w14:paraId="1569B7D0" w14:textId="77777777" w:rsidR="000573E1" w:rsidRDefault="00493529">
            <w:pPr>
              <w:widowControl w:val="0"/>
              <w:numPr>
                <w:ilvl w:val="0"/>
                <w:numId w:val="2"/>
              </w:numPr>
              <w:rPr>
                <w:rFonts w:ascii="Arial" w:eastAsia="Arial" w:hAnsi="Arial" w:cs="Arial"/>
                <w:color w:val="000000"/>
              </w:rPr>
            </w:pPr>
            <w:r>
              <w:rPr>
                <w:rFonts w:ascii="Arial" w:eastAsia="Arial" w:hAnsi="Arial" w:cs="Arial"/>
                <w:color w:val="000000"/>
              </w:rPr>
              <w:t xml:space="preserve">Deliveroo's secondary target will be millennials and mid-aged adults who prefer to consume healthy meals at their offices/workplaces. </w:t>
            </w:r>
          </w:p>
        </w:tc>
      </w:tr>
      <w:tr w:rsidR="000573E1" w14:paraId="41DA7654" w14:textId="77777777">
        <w:tc>
          <w:tcPr>
            <w:tcW w:w="2085" w:type="dxa"/>
            <w:tcMar>
              <w:top w:w="100" w:type="dxa"/>
              <w:left w:w="100" w:type="dxa"/>
              <w:bottom w:w="100" w:type="dxa"/>
              <w:right w:w="100" w:type="dxa"/>
            </w:tcMar>
          </w:tcPr>
          <w:p w14:paraId="6392C1E4" w14:textId="77777777" w:rsidR="000573E1" w:rsidRDefault="00493529">
            <w:pPr>
              <w:widowControl w:val="0"/>
              <w:rPr>
                <w:rFonts w:ascii="Arial" w:eastAsia="Arial" w:hAnsi="Arial" w:cs="Arial"/>
                <w:b/>
                <w:bCs/>
                <w:color w:val="000000"/>
              </w:rPr>
            </w:pPr>
            <w:r>
              <w:rPr>
                <w:rFonts w:ascii="Arial" w:eastAsia="Arial" w:hAnsi="Arial" w:cs="Arial"/>
                <w:b/>
                <w:bCs/>
                <w:color w:val="000000"/>
              </w:rPr>
              <w:t>Positioning</w:t>
            </w:r>
          </w:p>
        </w:tc>
        <w:tc>
          <w:tcPr>
            <w:tcW w:w="6915" w:type="dxa"/>
            <w:tcMar>
              <w:top w:w="100" w:type="dxa"/>
              <w:left w:w="100" w:type="dxa"/>
              <w:bottom w:w="100" w:type="dxa"/>
              <w:right w:w="100" w:type="dxa"/>
            </w:tcMar>
          </w:tcPr>
          <w:p w14:paraId="10254697" w14:textId="77777777" w:rsidR="000573E1" w:rsidRDefault="00493529">
            <w:pPr>
              <w:widowControl w:val="0"/>
              <w:rPr>
                <w:rFonts w:ascii="Arial" w:eastAsia="Arial" w:hAnsi="Arial" w:cs="Arial"/>
                <w:color w:val="000000"/>
              </w:rPr>
            </w:pPr>
            <w:r>
              <w:rPr>
                <w:rFonts w:ascii="Arial" w:eastAsia="Arial" w:hAnsi="Arial" w:cs="Arial"/>
                <w:noProof/>
                <w:color w:val="000000"/>
              </w:rPr>
              <w:drawing>
                <wp:inline distT="114300" distB="114300" distL="114300" distR="114300" wp14:anchorId="3715D82D" wp14:editId="5C13161B">
                  <wp:extent cx="4257675" cy="3390900"/>
                  <wp:effectExtent l="12700" t="12700" r="12700" b="12700"/>
                  <wp:docPr id="119884404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4257675" cy="3390900"/>
                          </a:xfrm>
                          <a:prstGeom prst="rect">
                            <a:avLst/>
                          </a:prstGeom>
                          <a:ln w="12700">
                            <a:solidFill>
                              <a:srgbClr val="000000"/>
                            </a:solidFill>
                            <a:prstDash val="solid"/>
                          </a:ln>
                        </pic:spPr>
                      </pic:pic>
                    </a:graphicData>
                  </a:graphic>
                </wp:inline>
              </w:drawing>
            </w:r>
          </w:p>
          <w:p w14:paraId="0111D717" w14:textId="77777777" w:rsidR="000573E1" w:rsidRDefault="00493529">
            <w:pPr>
              <w:widowControl w:val="0"/>
              <w:jc w:val="center"/>
              <w:rPr>
                <w:rFonts w:ascii="Arial" w:eastAsia="Arial" w:hAnsi="Arial" w:cs="Arial"/>
                <w:b/>
                <w:bCs/>
                <w:color w:val="000000"/>
              </w:rPr>
            </w:pPr>
            <w:r>
              <w:rPr>
                <w:rFonts w:ascii="Arial" w:eastAsia="Arial" w:hAnsi="Arial" w:cs="Arial"/>
                <w:b/>
                <w:bCs/>
                <w:color w:val="000000"/>
              </w:rPr>
              <w:t>Figure 9: Positioning map of Deliveroo in the US</w:t>
            </w:r>
          </w:p>
          <w:p w14:paraId="247544BB" w14:textId="77777777" w:rsidR="000573E1" w:rsidRDefault="00493529">
            <w:pPr>
              <w:widowControl w:val="0"/>
              <w:rPr>
                <w:rFonts w:ascii="Arial" w:eastAsia="Arial" w:hAnsi="Arial" w:cs="Arial"/>
                <w:color w:val="000000"/>
              </w:rPr>
            </w:pPr>
            <w:r>
              <w:rPr>
                <w:rFonts w:ascii="Arial" w:eastAsia="Arial" w:hAnsi="Arial" w:cs="Arial"/>
                <w:color w:val="000000"/>
              </w:rPr>
              <w:t>Deliveroo is positioned in the high-quality and low-to-mid price quadrant since the company offers quality products at a reasonable price point.</w:t>
            </w:r>
          </w:p>
        </w:tc>
      </w:tr>
    </w:tbl>
    <w:p w14:paraId="74FA42ED" w14:textId="77777777" w:rsidR="000573E1" w:rsidRDefault="00493529">
      <w:pPr>
        <w:jc w:val="center"/>
        <w:rPr>
          <w:rFonts w:ascii="Arial" w:eastAsia="Arial" w:hAnsi="Arial" w:cs="Arial"/>
          <w:color w:val="000000"/>
        </w:rPr>
      </w:pPr>
      <w:r>
        <w:rPr>
          <w:rFonts w:ascii="Arial" w:eastAsia="Arial" w:hAnsi="Arial" w:cs="Arial"/>
          <w:b/>
          <w:bCs/>
          <w:color w:val="000000"/>
        </w:rPr>
        <w:t xml:space="preserve">Table 2: USA STP analysis </w:t>
      </w:r>
    </w:p>
    <w:tbl>
      <w:tblPr>
        <w:tblStyle w:val="a6"/>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085"/>
        <w:gridCol w:w="6915"/>
      </w:tblGrid>
      <w:tr w:rsidR="000573E1" w14:paraId="05764968" w14:textId="77777777">
        <w:tc>
          <w:tcPr>
            <w:tcW w:w="2085" w:type="dxa"/>
            <w:tcMar>
              <w:top w:w="100" w:type="dxa"/>
              <w:left w:w="100" w:type="dxa"/>
              <w:bottom w:w="100" w:type="dxa"/>
              <w:right w:w="100" w:type="dxa"/>
            </w:tcMar>
          </w:tcPr>
          <w:p w14:paraId="3FE66E7E" w14:textId="77777777" w:rsidR="000573E1" w:rsidRDefault="00493529">
            <w:pPr>
              <w:widowControl w:val="0"/>
              <w:rPr>
                <w:rFonts w:ascii="Arial" w:eastAsia="Arial" w:hAnsi="Arial" w:cs="Arial"/>
                <w:b/>
                <w:bCs/>
                <w:color w:val="000000"/>
              </w:rPr>
            </w:pPr>
            <w:r>
              <w:rPr>
                <w:rFonts w:ascii="Arial" w:eastAsia="Arial" w:hAnsi="Arial" w:cs="Arial"/>
                <w:b/>
                <w:bCs/>
                <w:color w:val="000000"/>
              </w:rPr>
              <w:t>STP analysis</w:t>
            </w:r>
          </w:p>
        </w:tc>
        <w:tc>
          <w:tcPr>
            <w:tcW w:w="6915" w:type="dxa"/>
            <w:tcMar>
              <w:top w:w="100" w:type="dxa"/>
              <w:left w:w="100" w:type="dxa"/>
              <w:bottom w:w="100" w:type="dxa"/>
              <w:right w:w="100" w:type="dxa"/>
            </w:tcMar>
          </w:tcPr>
          <w:p w14:paraId="06299CF0" w14:textId="77777777" w:rsidR="000573E1" w:rsidRDefault="00493529">
            <w:pPr>
              <w:widowControl w:val="0"/>
              <w:rPr>
                <w:rFonts w:ascii="Arial" w:eastAsia="Arial" w:hAnsi="Arial" w:cs="Arial"/>
                <w:b/>
                <w:bCs/>
                <w:color w:val="000000"/>
              </w:rPr>
            </w:pPr>
            <w:r>
              <w:rPr>
                <w:rFonts w:ascii="Arial" w:eastAsia="Arial" w:hAnsi="Arial" w:cs="Arial"/>
                <w:b/>
                <w:bCs/>
                <w:color w:val="000000"/>
              </w:rPr>
              <w:t>Description</w:t>
            </w:r>
          </w:p>
        </w:tc>
      </w:tr>
      <w:tr w:rsidR="000573E1" w14:paraId="64313589" w14:textId="77777777">
        <w:tc>
          <w:tcPr>
            <w:tcW w:w="2085" w:type="dxa"/>
            <w:tcMar>
              <w:top w:w="100" w:type="dxa"/>
              <w:left w:w="100" w:type="dxa"/>
              <w:bottom w:w="100" w:type="dxa"/>
              <w:right w:w="100" w:type="dxa"/>
            </w:tcMar>
          </w:tcPr>
          <w:p w14:paraId="25EAC052" w14:textId="77777777" w:rsidR="000573E1" w:rsidRDefault="00493529">
            <w:pPr>
              <w:widowControl w:val="0"/>
              <w:rPr>
                <w:rFonts w:ascii="Arial" w:eastAsia="Arial" w:hAnsi="Arial" w:cs="Arial"/>
                <w:b/>
                <w:bCs/>
                <w:color w:val="000000"/>
              </w:rPr>
            </w:pPr>
            <w:r>
              <w:rPr>
                <w:rFonts w:ascii="Arial" w:eastAsia="Arial" w:hAnsi="Arial" w:cs="Arial"/>
                <w:b/>
                <w:bCs/>
                <w:color w:val="000000"/>
              </w:rPr>
              <w:t>Segmentation</w:t>
            </w:r>
          </w:p>
        </w:tc>
        <w:tc>
          <w:tcPr>
            <w:tcW w:w="6915" w:type="dxa"/>
            <w:tcMar>
              <w:top w:w="100" w:type="dxa"/>
              <w:left w:w="100" w:type="dxa"/>
              <w:bottom w:w="100" w:type="dxa"/>
              <w:right w:w="100" w:type="dxa"/>
            </w:tcMar>
          </w:tcPr>
          <w:p w14:paraId="39E0E3B4" w14:textId="77777777" w:rsidR="000573E1" w:rsidRDefault="00493529">
            <w:pPr>
              <w:widowControl w:val="0"/>
              <w:numPr>
                <w:ilvl w:val="0"/>
                <w:numId w:val="3"/>
              </w:numPr>
              <w:rPr>
                <w:rFonts w:ascii="Times New Roman" w:eastAsia="Times New Roman" w:hAnsi="Times New Roman" w:cs="Times New Roman"/>
                <w:color w:val="000000"/>
              </w:rPr>
            </w:pPr>
            <w:r>
              <w:rPr>
                <w:rFonts w:ascii="Arial" w:eastAsia="Arial" w:hAnsi="Arial" w:cs="Arial"/>
                <w:b/>
                <w:bCs/>
                <w:color w:val="000000"/>
              </w:rPr>
              <w:t>Demographics</w:t>
            </w:r>
            <w:r>
              <w:rPr>
                <w:rFonts w:ascii="Arial" w:eastAsia="Arial" w:hAnsi="Arial" w:cs="Arial"/>
                <w:color w:val="000000"/>
              </w:rPr>
              <w:t xml:space="preserve">: Younger demographics aged </w:t>
            </w:r>
            <w:r>
              <w:rPr>
                <w:rFonts w:ascii="Arial" w:eastAsia="Arial" w:hAnsi="Arial" w:cs="Arial"/>
              </w:rPr>
              <w:t>18 and above</w:t>
            </w:r>
            <w:r>
              <w:rPr>
                <w:rFonts w:ascii="Arial" w:eastAsia="Arial" w:hAnsi="Arial" w:cs="Arial"/>
                <w:color w:val="000000"/>
              </w:rPr>
              <w:t xml:space="preserve"> prefer healthy consumption of meals</w:t>
            </w:r>
          </w:p>
          <w:p w14:paraId="038C4909" w14:textId="77777777" w:rsidR="000573E1" w:rsidRDefault="00493529">
            <w:pPr>
              <w:widowControl w:val="0"/>
              <w:rPr>
                <w:rFonts w:ascii="Arial" w:eastAsia="Arial" w:hAnsi="Arial" w:cs="Arial"/>
                <w:color w:val="000000"/>
              </w:rPr>
            </w:pPr>
            <w:r>
              <w:rPr>
                <w:rFonts w:ascii="Arial" w:eastAsia="Arial" w:hAnsi="Arial" w:cs="Arial"/>
                <w:b/>
                <w:bCs/>
                <w:color w:val="000000"/>
              </w:rPr>
              <w:t>Geographic</w:t>
            </w:r>
            <w:r>
              <w:rPr>
                <w:rFonts w:ascii="Arial" w:eastAsia="Arial" w:hAnsi="Arial" w:cs="Arial"/>
                <w:color w:val="000000"/>
              </w:rPr>
              <w:t xml:space="preserve">: </w:t>
            </w:r>
          </w:p>
          <w:p w14:paraId="37DA8D2D" w14:textId="77777777" w:rsidR="000573E1" w:rsidRDefault="00493529">
            <w:pPr>
              <w:widowControl w:val="0"/>
              <w:numPr>
                <w:ilvl w:val="0"/>
                <w:numId w:val="3"/>
              </w:numPr>
              <w:rPr>
                <w:rFonts w:ascii="Arial" w:eastAsia="Arial" w:hAnsi="Arial" w:cs="Arial"/>
                <w:color w:val="000000"/>
              </w:rPr>
            </w:pPr>
            <w:r>
              <w:rPr>
                <w:rFonts w:ascii="Arial" w:eastAsia="Arial" w:hAnsi="Arial" w:cs="Arial"/>
                <w:color w:val="000000"/>
              </w:rPr>
              <w:t>The Kanto region, especially Tokyo, followed by the Kinki region and the Kyushu-Okinawa region, has a major concentration of fast food and food delivery services (The Mainichi, 2024)</w:t>
            </w:r>
          </w:p>
          <w:p w14:paraId="5666C5F2" w14:textId="77777777" w:rsidR="000573E1" w:rsidRDefault="00493529">
            <w:pPr>
              <w:widowControl w:val="0"/>
              <w:rPr>
                <w:rFonts w:ascii="Arial" w:eastAsia="Arial" w:hAnsi="Arial" w:cs="Arial"/>
                <w:color w:val="000000"/>
              </w:rPr>
            </w:pPr>
            <w:r>
              <w:rPr>
                <w:rFonts w:ascii="Arial" w:eastAsia="Arial" w:hAnsi="Arial" w:cs="Arial"/>
                <w:b/>
                <w:bCs/>
                <w:color w:val="000000"/>
              </w:rPr>
              <w:t>Behavioural and Psychographics</w:t>
            </w:r>
            <w:r>
              <w:rPr>
                <w:rFonts w:ascii="Arial" w:eastAsia="Arial" w:hAnsi="Arial" w:cs="Arial"/>
                <w:color w:val="000000"/>
              </w:rPr>
              <w:t xml:space="preserve">:  </w:t>
            </w:r>
          </w:p>
          <w:p w14:paraId="3FC4C382" w14:textId="77777777" w:rsidR="000573E1" w:rsidRDefault="00493529">
            <w:pPr>
              <w:widowControl w:val="0"/>
              <w:numPr>
                <w:ilvl w:val="0"/>
                <w:numId w:val="3"/>
              </w:numPr>
              <w:rPr>
                <w:rFonts w:ascii="Arial" w:eastAsia="Arial" w:hAnsi="Arial" w:cs="Arial"/>
                <w:color w:val="000000"/>
              </w:rPr>
            </w:pPr>
            <w:r>
              <w:rPr>
                <w:rFonts w:ascii="Arial" w:eastAsia="Arial" w:hAnsi="Arial" w:cs="Arial"/>
                <w:color w:val="000000"/>
              </w:rPr>
              <w:t>Based on a survey of 5,000 Japanese people, aged 18-69, 51.6% feel cooking meals is “Burdensome” (The Mainichi, 2024)</w:t>
            </w:r>
          </w:p>
          <w:p w14:paraId="7A8D2FF5" w14:textId="77777777" w:rsidR="000573E1" w:rsidRDefault="00493529">
            <w:pPr>
              <w:widowControl w:val="0"/>
              <w:numPr>
                <w:ilvl w:val="0"/>
                <w:numId w:val="3"/>
              </w:numPr>
              <w:rPr>
                <w:rFonts w:ascii="Arial" w:eastAsia="Arial" w:hAnsi="Arial" w:cs="Arial"/>
                <w:color w:val="000000"/>
              </w:rPr>
            </w:pPr>
            <w:r>
              <w:rPr>
                <w:rFonts w:ascii="Arial" w:eastAsia="Arial" w:hAnsi="Arial" w:cs="Arial"/>
                <w:color w:val="000000"/>
              </w:rPr>
              <w:t>21.8% stated they prefer meal delivery services (The Mainichi, 2024)</w:t>
            </w:r>
          </w:p>
          <w:p w14:paraId="1575D320" w14:textId="77777777" w:rsidR="000573E1" w:rsidRDefault="00493529">
            <w:pPr>
              <w:widowControl w:val="0"/>
              <w:rPr>
                <w:rFonts w:ascii="Arial" w:eastAsia="Arial" w:hAnsi="Arial" w:cs="Arial"/>
                <w:color w:val="000000"/>
              </w:rPr>
            </w:pPr>
            <w:r>
              <w:rPr>
                <w:rFonts w:ascii="Arial" w:eastAsia="Arial" w:hAnsi="Arial" w:cs="Arial"/>
                <w:color w:val="000000"/>
              </w:rPr>
              <w:t>Deliveroo can target cities like Tokyo and focus on younger demographics to provide healthy meals and advertise convenient delivery services, since the demographics prefer to order meals rather than cooking.</w:t>
            </w:r>
          </w:p>
        </w:tc>
      </w:tr>
      <w:tr w:rsidR="000573E1" w14:paraId="48762DF0" w14:textId="77777777">
        <w:tc>
          <w:tcPr>
            <w:tcW w:w="2085" w:type="dxa"/>
            <w:tcMar>
              <w:top w:w="100" w:type="dxa"/>
              <w:left w:w="100" w:type="dxa"/>
              <w:bottom w:w="100" w:type="dxa"/>
              <w:right w:w="100" w:type="dxa"/>
            </w:tcMar>
          </w:tcPr>
          <w:p w14:paraId="4EDFAA7A" w14:textId="77777777" w:rsidR="000573E1" w:rsidRDefault="00493529">
            <w:pPr>
              <w:widowControl w:val="0"/>
              <w:rPr>
                <w:rFonts w:ascii="Arial" w:eastAsia="Arial" w:hAnsi="Arial" w:cs="Arial"/>
                <w:b/>
                <w:bCs/>
                <w:color w:val="000000"/>
              </w:rPr>
            </w:pPr>
            <w:r>
              <w:rPr>
                <w:rFonts w:ascii="Arial" w:eastAsia="Arial" w:hAnsi="Arial" w:cs="Arial"/>
                <w:b/>
                <w:bCs/>
                <w:color w:val="000000"/>
              </w:rPr>
              <w:t>Target</w:t>
            </w:r>
          </w:p>
        </w:tc>
        <w:tc>
          <w:tcPr>
            <w:tcW w:w="6915" w:type="dxa"/>
            <w:tcMar>
              <w:top w:w="100" w:type="dxa"/>
              <w:left w:w="100" w:type="dxa"/>
              <w:bottom w:w="100" w:type="dxa"/>
              <w:right w:w="100" w:type="dxa"/>
            </w:tcMar>
          </w:tcPr>
          <w:p w14:paraId="759BDEC3" w14:textId="77777777" w:rsidR="000573E1" w:rsidRDefault="00493529">
            <w:pPr>
              <w:widowControl w:val="0"/>
              <w:numPr>
                <w:ilvl w:val="0"/>
                <w:numId w:val="5"/>
              </w:numPr>
              <w:rPr>
                <w:rFonts w:ascii="Arial" w:eastAsia="Arial" w:hAnsi="Arial" w:cs="Arial"/>
                <w:color w:val="000000"/>
              </w:rPr>
            </w:pPr>
            <w:r>
              <w:rPr>
                <w:rFonts w:ascii="Arial" w:eastAsia="Arial" w:hAnsi="Arial" w:cs="Arial"/>
                <w:color w:val="000000"/>
              </w:rPr>
              <w:t>The primary target audience for Deliveroo in Japan will be younger adults, who prefer to order food from delivery applications.</w:t>
            </w:r>
          </w:p>
          <w:p w14:paraId="77BDD3E0" w14:textId="77777777" w:rsidR="000573E1" w:rsidRDefault="00493529">
            <w:pPr>
              <w:widowControl w:val="0"/>
              <w:numPr>
                <w:ilvl w:val="0"/>
                <w:numId w:val="5"/>
              </w:numPr>
              <w:rPr>
                <w:rFonts w:ascii="Arial" w:eastAsia="Arial" w:hAnsi="Arial" w:cs="Arial"/>
                <w:color w:val="000000"/>
              </w:rPr>
            </w:pPr>
            <w:r>
              <w:rPr>
                <w:rFonts w:ascii="Arial" w:eastAsia="Arial" w:hAnsi="Arial" w:cs="Arial"/>
                <w:color w:val="000000"/>
              </w:rPr>
              <w:t>The targeted city will be Tokyo, where Deliveroo can establish a strong network of restaurants and riders to connect with customers.</w:t>
            </w:r>
          </w:p>
        </w:tc>
      </w:tr>
      <w:tr w:rsidR="000573E1" w14:paraId="2ADDA08C" w14:textId="77777777">
        <w:tc>
          <w:tcPr>
            <w:tcW w:w="2085" w:type="dxa"/>
            <w:tcMar>
              <w:top w:w="100" w:type="dxa"/>
              <w:left w:w="100" w:type="dxa"/>
              <w:bottom w:w="100" w:type="dxa"/>
              <w:right w:w="100" w:type="dxa"/>
            </w:tcMar>
          </w:tcPr>
          <w:p w14:paraId="78CD29E0" w14:textId="77777777" w:rsidR="000573E1" w:rsidRDefault="00493529">
            <w:pPr>
              <w:widowControl w:val="0"/>
              <w:rPr>
                <w:rFonts w:ascii="Arial" w:eastAsia="Arial" w:hAnsi="Arial" w:cs="Arial"/>
                <w:b/>
                <w:bCs/>
                <w:color w:val="000000"/>
              </w:rPr>
            </w:pPr>
            <w:r>
              <w:rPr>
                <w:rFonts w:ascii="Arial" w:eastAsia="Arial" w:hAnsi="Arial" w:cs="Arial"/>
                <w:b/>
                <w:bCs/>
                <w:color w:val="000000"/>
              </w:rPr>
              <w:t>Positioning</w:t>
            </w:r>
          </w:p>
        </w:tc>
        <w:tc>
          <w:tcPr>
            <w:tcW w:w="6915" w:type="dxa"/>
            <w:tcMar>
              <w:top w:w="100" w:type="dxa"/>
              <w:left w:w="100" w:type="dxa"/>
              <w:bottom w:w="100" w:type="dxa"/>
              <w:right w:w="100" w:type="dxa"/>
            </w:tcMar>
          </w:tcPr>
          <w:p w14:paraId="71CC6079" w14:textId="77777777" w:rsidR="000573E1" w:rsidRDefault="00493529">
            <w:pPr>
              <w:widowControl w:val="0"/>
              <w:rPr>
                <w:rFonts w:ascii="Arial" w:eastAsia="Arial" w:hAnsi="Arial" w:cs="Arial"/>
                <w:color w:val="000000"/>
              </w:rPr>
            </w:pPr>
            <w:r>
              <w:rPr>
                <w:rFonts w:ascii="Arial" w:eastAsia="Arial" w:hAnsi="Arial" w:cs="Arial"/>
                <w:noProof/>
                <w:color w:val="000000"/>
              </w:rPr>
              <w:drawing>
                <wp:inline distT="114300" distB="114300" distL="114300" distR="114300" wp14:anchorId="6343E8E4" wp14:editId="3F4A5FED">
                  <wp:extent cx="4257675" cy="3390900"/>
                  <wp:effectExtent l="0" t="0" r="0" b="0"/>
                  <wp:docPr id="119884404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4257675" cy="3390900"/>
                          </a:xfrm>
                          <a:prstGeom prst="rect">
                            <a:avLst/>
                          </a:prstGeom>
                          <a:ln/>
                        </pic:spPr>
                      </pic:pic>
                    </a:graphicData>
                  </a:graphic>
                </wp:inline>
              </w:drawing>
            </w:r>
          </w:p>
          <w:p w14:paraId="489DE397" w14:textId="77777777" w:rsidR="000573E1" w:rsidRDefault="00493529">
            <w:pPr>
              <w:widowControl w:val="0"/>
              <w:jc w:val="center"/>
              <w:rPr>
                <w:rFonts w:ascii="Arial" w:eastAsia="Arial" w:hAnsi="Arial" w:cs="Arial"/>
                <w:color w:val="000000"/>
              </w:rPr>
            </w:pPr>
            <w:r>
              <w:rPr>
                <w:rFonts w:ascii="Arial" w:eastAsia="Arial" w:hAnsi="Arial" w:cs="Arial"/>
                <w:b/>
                <w:bCs/>
                <w:color w:val="000000"/>
              </w:rPr>
              <w:t>Figure 10: Positioning map of Deliveroo in Japan</w:t>
            </w:r>
          </w:p>
          <w:p w14:paraId="6C30E567" w14:textId="77777777" w:rsidR="000573E1" w:rsidRDefault="00493529">
            <w:pPr>
              <w:widowControl w:val="0"/>
              <w:rPr>
                <w:rFonts w:ascii="Arial" w:eastAsia="Arial" w:hAnsi="Arial" w:cs="Arial"/>
                <w:color w:val="000000"/>
              </w:rPr>
            </w:pPr>
            <w:r>
              <w:rPr>
                <w:rFonts w:ascii="Arial" w:eastAsia="Arial" w:hAnsi="Arial" w:cs="Arial"/>
                <w:color w:val="000000"/>
              </w:rPr>
              <w:t>For Japan, Deliveroo is positioned in the high-quality and low-price quadrant, where the company will offer meal kits with higher quality at an affordable price for customers.</w:t>
            </w:r>
          </w:p>
        </w:tc>
      </w:tr>
    </w:tbl>
    <w:p w14:paraId="1364E591" w14:textId="77777777" w:rsidR="000573E1" w:rsidRDefault="00493529">
      <w:pPr>
        <w:jc w:val="center"/>
        <w:rPr>
          <w:rFonts w:ascii="Arial" w:eastAsia="Arial" w:hAnsi="Arial" w:cs="Arial"/>
          <w:color w:val="000000"/>
        </w:rPr>
      </w:pPr>
      <w:r>
        <w:rPr>
          <w:rFonts w:ascii="Arial" w:eastAsia="Arial" w:hAnsi="Arial" w:cs="Arial"/>
          <w:b/>
          <w:bCs/>
          <w:color w:val="000000"/>
        </w:rPr>
        <w:t xml:space="preserve">Table 3: Japan’s STP analysis </w:t>
      </w:r>
    </w:p>
    <w:p w14:paraId="20C7A2D3" w14:textId="77777777" w:rsidR="000573E1" w:rsidRDefault="00493529">
      <w:pPr>
        <w:pStyle w:val="Titlu3"/>
        <w:rPr>
          <w:rFonts w:ascii="Arial" w:eastAsia="Arial" w:hAnsi="Arial" w:cs="Arial"/>
          <w:color w:val="000000"/>
        </w:rPr>
      </w:pPr>
      <w:bookmarkStart w:id="8" w:name="_heading=h.lhrmmw26qkuk" w:colFirst="0" w:colLast="0"/>
      <w:bookmarkEnd w:id="8"/>
      <w:r>
        <w:rPr>
          <w:rFonts w:ascii="Arial" w:eastAsia="Arial" w:hAnsi="Arial" w:cs="Arial"/>
          <w:color w:val="000000"/>
        </w:rPr>
        <w:t xml:space="preserve">Marketing Mix (7Ps) </w:t>
      </w:r>
    </w:p>
    <w:tbl>
      <w:tblPr>
        <w:tblStyle w:val="a7"/>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115"/>
        <w:gridCol w:w="7965"/>
      </w:tblGrid>
      <w:tr w:rsidR="000573E1" w14:paraId="112A294D" w14:textId="77777777">
        <w:trPr>
          <w:tblHeader/>
        </w:trPr>
        <w:tc>
          <w:tcPr>
            <w:tcW w:w="2115" w:type="dxa"/>
            <w:shd w:val="clear" w:color="auto" w:fill="D9EAD3"/>
            <w:tcMar>
              <w:top w:w="100" w:type="dxa"/>
              <w:left w:w="100" w:type="dxa"/>
              <w:bottom w:w="100" w:type="dxa"/>
              <w:right w:w="100" w:type="dxa"/>
            </w:tcMar>
          </w:tcPr>
          <w:p w14:paraId="25BE4681" w14:textId="77777777" w:rsidR="000573E1" w:rsidRDefault="00493529">
            <w:pPr>
              <w:widowControl w:val="0"/>
              <w:jc w:val="center"/>
              <w:rPr>
                <w:rFonts w:ascii="Arial" w:eastAsia="Arial" w:hAnsi="Arial" w:cs="Arial"/>
                <w:b/>
                <w:bCs/>
                <w:color w:val="000000"/>
              </w:rPr>
            </w:pPr>
            <w:r>
              <w:rPr>
                <w:rFonts w:ascii="Arial" w:eastAsia="Arial" w:hAnsi="Arial" w:cs="Arial"/>
                <w:b/>
                <w:bCs/>
                <w:color w:val="000000"/>
              </w:rPr>
              <w:t>Factors</w:t>
            </w:r>
          </w:p>
        </w:tc>
        <w:tc>
          <w:tcPr>
            <w:tcW w:w="7965" w:type="dxa"/>
            <w:shd w:val="clear" w:color="auto" w:fill="D9EAD3"/>
            <w:tcMar>
              <w:top w:w="100" w:type="dxa"/>
              <w:left w:w="100" w:type="dxa"/>
              <w:bottom w:w="100" w:type="dxa"/>
              <w:right w:w="100" w:type="dxa"/>
            </w:tcMar>
          </w:tcPr>
          <w:p w14:paraId="0FA39224" w14:textId="77777777" w:rsidR="000573E1" w:rsidRDefault="00493529">
            <w:pPr>
              <w:widowControl w:val="0"/>
              <w:jc w:val="center"/>
              <w:rPr>
                <w:rFonts w:ascii="Arial" w:eastAsia="Arial" w:hAnsi="Arial" w:cs="Arial"/>
                <w:b/>
                <w:bCs/>
                <w:color w:val="000000"/>
              </w:rPr>
            </w:pPr>
            <w:r>
              <w:rPr>
                <w:rFonts w:ascii="Arial" w:eastAsia="Arial" w:hAnsi="Arial" w:cs="Arial"/>
                <w:b/>
                <w:bCs/>
                <w:color w:val="000000"/>
              </w:rPr>
              <w:t xml:space="preserve">Evaluation </w:t>
            </w:r>
          </w:p>
        </w:tc>
      </w:tr>
      <w:tr w:rsidR="000573E1" w14:paraId="62DD0A9F" w14:textId="77777777">
        <w:tc>
          <w:tcPr>
            <w:tcW w:w="2115" w:type="dxa"/>
            <w:tcMar>
              <w:top w:w="100" w:type="dxa"/>
              <w:left w:w="100" w:type="dxa"/>
              <w:bottom w:w="100" w:type="dxa"/>
              <w:right w:w="100" w:type="dxa"/>
            </w:tcMar>
          </w:tcPr>
          <w:p w14:paraId="197F279F" w14:textId="77777777" w:rsidR="000573E1" w:rsidRDefault="00493529">
            <w:pPr>
              <w:widowControl w:val="0"/>
              <w:rPr>
                <w:rFonts w:ascii="Arial" w:eastAsia="Arial" w:hAnsi="Arial" w:cs="Arial"/>
                <w:b/>
                <w:bCs/>
                <w:color w:val="000000"/>
              </w:rPr>
            </w:pPr>
            <w:r>
              <w:rPr>
                <w:rFonts w:ascii="Arial" w:eastAsia="Arial" w:hAnsi="Arial" w:cs="Arial"/>
                <w:b/>
                <w:bCs/>
                <w:color w:val="000000"/>
              </w:rPr>
              <w:t>Product</w:t>
            </w:r>
          </w:p>
        </w:tc>
        <w:tc>
          <w:tcPr>
            <w:tcW w:w="7965" w:type="dxa"/>
            <w:tcMar>
              <w:top w:w="100" w:type="dxa"/>
              <w:left w:w="100" w:type="dxa"/>
              <w:bottom w:w="100" w:type="dxa"/>
              <w:right w:w="100" w:type="dxa"/>
            </w:tcMar>
          </w:tcPr>
          <w:p w14:paraId="3E1FBE87" w14:textId="77777777" w:rsidR="000573E1" w:rsidRDefault="00493529">
            <w:pPr>
              <w:widowControl w:val="0"/>
              <w:rPr>
                <w:rFonts w:ascii="Arial" w:eastAsia="Arial" w:hAnsi="Arial" w:cs="Arial"/>
                <w:b/>
                <w:bCs/>
              </w:rPr>
            </w:pPr>
            <w:r>
              <w:rPr>
                <w:rFonts w:ascii="Arial" w:eastAsia="Arial" w:hAnsi="Arial" w:cs="Arial"/>
              </w:rPr>
              <w:t xml:space="preserve">Deliveroo offers an online, on-demand strategy for product development, connecting consumers with prepared meals and retail goods (Deliveroo, 2026b). Real-time business performance tracking is adopted by Deliveroo, with shopping category expansion and personalised payment tracking. A customer-centric, data-driven product development strategy can be beneficial for Deliveroo in the USA, and in Japan, a Hyper-focused item management strategy can achieve success. </w:t>
            </w:r>
            <w:r>
              <w:rPr>
                <w:rFonts w:ascii="Arial" w:eastAsia="Arial" w:hAnsi="Arial" w:cs="Arial"/>
              </w:rPr>
              <w:t>A customer-centric, data-driven product development strategy in the USA will help in combining real-time user feedback with behavioural metrics. As per reports, 67% of consumers’ market leaders state that customers have an inclination towards precise market research prior to making a purchasing decision (PWC, 2025). Hyper-focused item management in Japan will provide an opportunity for Deliveroo to prevent mental fatigue of team members.</w:t>
            </w:r>
          </w:p>
        </w:tc>
      </w:tr>
      <w:tr w:rsidR="000573E1" w14:paraId="76155603" w14:textId="77777777">
        <w:tc>
          <w:tcPr>
            <w:tcW w:w="2115" w:type="dxa"/>
            <w:tcMar>
              <w:top w:w="100" w:type="dxa"/>
              <w:left w:w="100" w:type="dxa"/>
              <w:bottom w:w="100" w:type="dxa"/>
              <w:right w:w="100" w:type="dxa"/>
            </w:tcMar>
          </w:tcPr>
          <w:p w14:paraId="54ED5DD6" w14:textId="77777777" w:rsidR="000573E1" w:rsidRDefault="00493529">
            <w:pPr>
              <w:widowControl w:val="0"/>
              <w:rPr>
                <w:rFonts w:ascii="Arial" w:eastAsia="Arial" w:hAnsi="Arial" w:cs="Arial"/>
                <w:b/>
                <w:bCs/>
                <w:color w:val="000000"/>
              </w:rPr>
            </w:pPr>
            <w:r>
              <w:rPr>
                <w:rFonts w:ascii="Arial" w:eastAsia="Arial" w:hAnsi="Arial" w:cs="Arial"/>
                <w:b/>
                <w:bCs/>
                <w:color w:val="000000"/>
              </w:rPr>
              <w:t xml:space="preserve">Price </w:t>
            </w:r>
          </w:p>
        </w:tc>
        <w:tc>
          <w:tcPr>
            <w:tcW w:w="7965" w:type="dxa"/>
            <w:tcMar>
              <w:top w:w="100" w:type="dxa"/>
              <w:left w:w="100" w:type="dxa"/>
              <w:bottom w:w="100" w:type="dxa"/>
              <w:right w:w="100" w:type="dxa"/>
            </w:tcMar>
          </w:tcPr>
          <w:p w14:paraId="3135C00C" w14:textId="77777777" w:rsidR="000573E1" w:rsidRDefault="00493529">
            <w:pPr>
              <w:widowControl w:val="0"/>
              <w:rPr>
                <w:rFonts w:ascii="Arial" w:eastAsia="Arial" w:hAnsi="Arial" w:cs="Arial"/>
              </w:rPr>
            </w:pPr>
            <w:r>
              <w:rPr>
                <w:rFonts w:ascii="Arial" w:eastAsia="Arial" w:hAnsi="Arial" w:cs="Arial"/>
              </w:rPr>
              <w:t>A multi-layered pricing strategy is followed by Deliveroo that helps in balancing revenue from commission from restaurants and subscription tiers (Deliveroo, 2026c). TDA profit of the organisation reached 4% growth in 2025, and gross value remained at $9 billion (£6.65 billion). UK's Deliveroo reported experiencing a 7% increase in orders and 6% in the final quarter (Reuters, 2025). In the USA, a value-based pricing strategy can be most effective to manage the scope of revenue maximisation for premium clien</w:t>
            </w:r>
            <w:r>
              <w:rPr>
                <w:rFonts w:ascii="Arial" w:eastAsia="Arial" w:hAnsi="Arial" w:cs="Arial"/>
              </w:rPr>
              <w:t>ts.</w:t>
            </w:r>
            <w:r>
              <w:rPr>
                <w:rFonts w:ascii="Arial" w:eastAsia="Arial" w:hAnsi="Arial" w:cs="Arial"/>
              </w:rPr>
              <w:t xml:space="preserve"> A value-based pricing strategy might provide scope for Deliveroo in managing the process of product differentiation. Considering the business environment of Japan, tax-inclusive pricing along with a point-based loyalty programme is beneficial. Tax-inclusive pricing in Japan will be selected in order to ensure a sense of trust, along with an obvious upfront increase for digital transactions.        </w:t>
            </w:r>
          </w:p>
        </w:tc>
      </w:tr>
      <w:tr w:rsidR="000573E1" w14:paraId="341566CD" w14:textId="77777777">
        <w:tc>
          <w:tcPr>
            <w:tcW w:w="2115" w:type="dxa"/>
            <w:tcMar>
              <w:top w:w="100" w:type="dxa"/>
              <w:left w:w="100" w:type="dxa"/>
              <w:bottom w:w="100" w:type="dxa"/>
              <w:right w:w="100" w:type="dxa"/>
            </w:tcMar>
          </w:tcPr>
          <w:p w14:paraId="2B91A023" w14:textId="77777777" w:rsidR="000573E1" w:rsidRDefault="00493529">
            <w:pPr>
              <w:widowControl w:val="0"/>
              <w:rPr>
                <w:rFonts w:ascii="Arial" w:eastAsia="Arial" w:hAnsi="Arial" w:cs="Arial"/>
                <w:b/>
                <w:bCs/>
                <w:color w:val="000000"/>
              </w:rPr>
            </w:pPr>
            <w:r>
              <w:rPr>
                <w:rFonts w:ascii="Arial" w:eastAsia="Arial" w:hAnsi="Arial" w:cs="Arial"/>
                <w:b/>
                <w:bCs/>
                <w:color w:val="000000"/>
              </w:rPr>
              <w:t>Place</w:t>
            </w:r>
          </w:p>
        </w:tc>
        <w:tc>
          <w:tcPr>
            <w:tcW w:w="7965" w:type="dxa"/>
            <w:tcMar>
              <w:top w:w="100" w:type="dxa"/>
              <w:left w:w="100" w:type="dxa"/>
              <w:bottom w:w="100" w:type="dxa"/>
              <w:right w:w="100" w:type="dxa"/>
            </w:tcMar>
          </w:tcPr>
          <w:p w14:paraId="0CB91989" w14:textId="77777777" w:rsidR="000573E1" w:rsidRDefault="00493529">
            <w:pPr>
              <w:widowControl w:val="0"/>
              <w:rPr>
                <w:rFonts w:ascii="Arial" w:eastAsia="Arial" w:hAnsi="Arial" w:cs="Arial"/>
              </w:rPr>
            </w:pPr>
            <w:r>
              <w:rPr>
                <w:rFonts w:ascii="Arial" w:eastAsia="Arial" w:hAnsi="Arial" w:cs="Arial"/>
              </w:rPr>
              <w:t>Deliveroo operates its business network across 800 locations in 12 countries, covering different regions of Europe and the Middle East (Deliveroo, 2026d). In the UK, it has major business segments in London, Manchester, Bristol, and Edinburgh. The online food delivery business segment is expected to reach US$1.51tn (£1.11 trillion) by the end of 2026, and the projected CAGR growth rate by 2031 will be 6.24% (Statista, 2025a). Referring to business expansion in the USA, the potential best places for Delivero</w:t>
            </w:r>
            <w:r>
              <w:rPr>
                <w:rFonts w:ascii="Arial" w:eastAsia="Arial" w:hAnsi="Arial" w:cs="Arial"/>
              </w:rPr>
              <w:t xml:space="preserve">o are Texas, Northern California, and Florida. On the other hand, Japan can provide the best locations for investment, such as Tokyo, Osaka, and Nagoya. </w:t>
            </w:r>
            <w:r>
              <w:rPr>
                <w:rFonts w:ascii="Arial" w:eastAsia="Arial" w:hAnsi="Arial" w:cs="Arial"/>
              </w:rPr>
              <w:t xml:space="preserve">These locations will be beneficial because they are centres of trade activities, so the scope of having extensive leads becomes easier.       </w:t>
            </w:r>
          </w:p>
        </w:tc>
      </w:tr>
      <w:tr w:rsidR="000573E1" w14:paraId="79F051DC" w14:textId="77777777">
        <w:tc>
          <w:tcPr>
            <w:tcW w:w="2115" w:type="dxa"/>
            <w:tcMar>
              <w:top w:w="100" w:type="dxa"/>
              <w:left w:w="100" w:type="dxa"/>
              <w:bottom w:w="100" w:type="dxa"/>
              <w:right w:w="100" w:type="dxa"/>
            </w:tcMar>
          </w:tcPr>
          <w:p w14:paraId="34158BA2" w14:textId="77777777" w:rsidR="000573E1" w:rsidRDefault="00493529">
            <w:pPr>
              <w:widowControl w:val="0"/>
              <w:rPr>
                <w:rFonts w:ascii="Arial" w:eastAsia="Arial" w:hAnsi="Arial" w:cs="Arial"/>
                <w:b/>
                <w:bCs/>
                <w:color w:val="000000"/>
              </w:rPr>
            </w:pPr>
            <w:r>
              <w:rPr>
                <w:rFonts w:ascii="Arial" w:eastAsia="Arial" w:hAnsi="Arial" w:cs="Arial"/>
                <w:b/>
                <w:bCs/>
                <w:color w:val="000000"/>
              </w:rPr>
              <w:t xml:space="preserve">Promotion </w:t>
            </w:r>
          </w:p>
        </w:tc>
        <w:tc>
          <w:tcPr>
            <w:tcW w:w="7965" w:type="dxa"/>
            <w:tcMar>
              <w:top w:w="100" w:type="dxa"/>
              <w:left w:w="100" w:type="dxa"/>
              <w:bottom w:w="100" w:type="dxa"/>
              <w:right w:w="100" w:type="dxa"/>
            </w:tcMar>
          </w:tcPr>
          <w:p w14:paraId="399A926E" w14:textId="77777777" w:rsidR="000573E1" w:rsidRDefault="00493529">
            <w:pPr>
              <w:widowControl w:val="0"/>
              <w:rPr>
                <w:rFonts w:ascii="Arial" w:eastAsia="Arial" w:hAnsi="Arial" w:cs="Arial"/>
              </w:rPr>
            </w:pPr>
            <w:r>
              <w:rPr>
                <w:rFonts w:ascii="Arial" w:eastAsia="Arial" w:hAnsi="Arial" w:cs="Arial"/>
                <w:color w:val="000000"/>
              </w:rPr>
              <w:t>End-to-end co-marketing strategies are followed by Deliveroo in the UK to execute joint marketing measures successfully (Deliveroo, 2026e). Translating the central initiative into a high-impact UK campaign creates scope for Deliveroo with a large-scale, multi-channel "Now Just Got Even Better" camp</w:t>
            </w:r>
            <w:r>
              <w:rPr>
                <w:rFonts w:ascii="Arial" w:eastAsia="Arial" w:hAnsi="Arial" w:cs="Arial"/>
              </w:rPr>
              <w:t xml:space="preserve">aign. </w:t>
            </w:r>
            <w:r>
              <w:rPr>
                <w:rFonts w:ascii="Arial" w:eastAsia="Arial" w:hAnsi="Arial" w:cs="Arial"/>
              </w:rPr>
              <w:t>The culture of the USA has an achievement-oriented social structure that prioritises leisure activities too (The Culture Factor, 2026). A social-first campaign will provide a better opportunity for Deliveroo to establish better brand interaction. In Japan, 107 million users are using social media platforms, and this is 87% of the total population (Kemp, 2025). Considering the cultural scenario,</w:t>
            </w:r>
            <w:r>
              <w:rPr>
                <w:rFonts w:ascii="Arial" w:eastAsia="Arial" w:hAnsi="Arial" w:cs="Arial"/>
              </w:rPr>
              <w:t xml:space="preserve"> Deliveroo will need to adopt a soft-sell approach with a localised market focus in Japan to achieve aggressive market expansion.  </w:t>
            </w:r>
          </w:p>
        </w:tc>
      </w:tr>
      <w:tr w:rsidR="000573E1" w14:paraId="2F3BFCE4" w14:textId="77777777">
        <w:tc>
          <w:tcPr>
            <w:tcW w:w="2115" w:type="dxa"/>
            <w:tcMar>
              <w:top w:w="100" w:type="dxa"/>
              <w:left w:w="100" w:type="dxa"/>
              <w:bottom w:w="100" w:type="dxa"/>
              <w:right w:w="100" w:type="dxa"/>
            </w:tcMar>
          </w:tcPr>
          <w:p w14:paraId="13816534" w14:textId="77777777" w:rsidR="000573E1" w:rsidRDefault="00493529">
            <w:pPr>
              <w:widowControl w:val="0"/>
              <w:rPr>
                <w:rFonts w:ascii="Arial" w:eastAsia="Arial" w:hAnsi="Arial" w:cs="Arial"/>
                <w:b/>
                <w:bCs/>
                <w:color w:val="000000"/>
              </w:rPr>
            </w:pPr>
            <w:r>
              <w:rPr>
                <w:rFonts w:ascii="Arial" w:eastAsia="Arial" w:hAnsi="Arial" w:cs="Arial"/>
                <w:b/>
                <w:bCs/>
                <w:color w:val="000000"/>
              </w:rPr>
              <w:t xml:space="preserve">People </w:t>
            </w:r>
          </w:p>
        </w:tc>
        <w:tc>
          <w:tcPr>
            <w:tcW w:w="7965" w:type="dxa"/>
            <w:tcMar>
              <w:top w:w="100" w:type="dxa"/>
              <w:left w:w="100" w:type="dxa"/>
              <w:bottom w:w="100" w:type="dxa"/>
              <w:right w:w="100" w:type="dxa"/>
            </w:tcMar>
          </w:tcPr>
          <w:p w14:paraId="66142E2A" w14:textId="77777777" w:rsidR="000573E1" w:rsidRDefault="00493529">
            <w:pPr>
              <w:widowControl w:val="0"/>
              <w:rPr>
                <w:rFonts w:ascii="Arial" w:eastAsia="Arial" w:hAnsi="Arial" w:cs="Arial"/>
              </w:rPr>
            </w:pPr>
            <w:r>
              <w:rPr>
                <w:rFonts w:ascii="Arial" w:eastAsia="Arial" w:hAnsi="Arial" w:cs="Arial"/>
              </w:rPr>
              <w:t>Collaboration with restaurant partners and targeted digital marketing campaigns are the processes of attracting people followed by Deliveroo (Deliveroo, 2026c). Hyper-personalised discounts and promos can help to increase the speed of conversion to attract the targeted market segment.</w:t>
            </w:r>
            <w:r>
              <w:rPr>
                <w:rFonts w:ascii="Arial" w:eastAsia="Arial" w:hAnsi="Arial" w:cs="Arial"/>
              </w:rPr>
              <w:t xml:space="preserve"> US Business Compliance Guide of 2006 provides structured guidelines for small business resource optimisation along with export-import balance (National Business Law Authority, 2025). Referring to the regulatory policy, Deliveroo will be able to attract the targeted customer segment in the USA to establish a stable business identity. Business policy regulations of Japan are administered by multi-ministry compliance along with mandatory compliance standards (Smartstartjapan, 2026). </w:t>
            </w:r>
            <w:r>
              <w:rPr>
                <w:rFonts w:ascii="Arial" w:eastAsia="Arial" w:hAnsi="Arial" w:cs="Arial"/>
              </w:rPr>
              <w:t xml:space="preserve">Deliveroo will focus on structured market segment identification along with multi-factor collaboration in case of business expansion in Japan.     </w:t>
            </w:r>
          </w:p>
        </w:tc>
      </w:tr>
      <w:tr w:rsidR="000573E1" w14:paraId="1690568A" w14:textId="77777777">
        <w:tc>
          <w:tcPr>
            <w:tcW w:w="2115" w:type="dxa"/>
            <w:tcMar>
              <w:top w:w="100" w:type="dxa"/>
              <w:left w:w="100" w:type="dxa"/>
              <w:bottom w:w="100" w:type="dxa"/>
              <w:right w:w="100" w:type="dxa"/>
            </w:tcMar>
          </w:tcPr>
          <w:p w14:paraId="2B61856E" w14:textId="77777777" w:rsidR="000573E1" w:rsidRDefault="00493529">
            <w:pPr>
              <w:widowControl w:val="0"/>
              <w:rPr>
                <w:rFonts w:ascii="Arial" w:eastAsia="Arial" w:hAnsi="Arial" w:cs="Arial"/>
                <w:b/>
                <w:bCs/>
                <w:color w:val="000000"/>
              </w:rPr>
            </w:pPr>
            <w:r>
              <w:rPr>
                <w:rFonts w:ascii="Arial" w:eastAsia="Arial" w:hAnsi="Arial" w:cs="Arial"/>
                <w:b/>
                <w:bCs/>
                <w:color w:val="000000"/>
              </w:rPr>
              <w:t>Process</w:t>
            </w:r>
          </w:p>
        </w:tc>
        <w:tc>
          <w:tcPr>
            <w:tcW w:w="7965" w:type="dxa"/>
            <w:tcMar>
              <w:top w:w="100" w:type="dxa"/>
              <w:left w:w="100" w:type="dxa"/>
              <w:bottom w:w="100" w:type="dxa"/>
              <w:right w:w="100" w:type="dxa"/>
            </w:tcMar>
          </w:tcPr>
          <w:p w14:paraId="57489531" w14:textId="77777777" w:rsidR="000573E1" w:rsidRDefault="00493529">
            <w:pPr>
              <w:widowControl w:val="0"/>
              <w:rPr>
                <w:rFonts w:ascii="Arial" w:eastAsia="Arial" w:hAnsi="Arial" w:cs="Arial"/>
              </w:rPr>
            </w:pPr>
            <w:r>
              <w:rPr>
                <w:rFonts w:ascii="Arial" w:eastAsia="Arial" w:hAnsi="Arial" w:cs="Arial"/>
              </w:rPr>
              <w:t xml:space="preserve">Deliveroo follows a three-sided strategy of business expansion in the UK, such as customers, merchants, and delivery riders. During 2024, it acquired 44% growth in orders from Plus subscribers, and a 20% reduction was reported in weighted sales markup. The online food delivery business is expected to achieve CAGR growth of 6.83% during 2026-2031 (Statista, 2026b). </w:t>
            </w:r>
            <w:r>
              <w:rPr>
                <w:rFonts w:ascii="Arial" w:eastAsia="Arial" w:hAnsi="Arial" w:cs="Arial"/>
              </w:rPr>
              <w:t xml:space="preserve">Deliveroo will focus on selling high-margin and self-stable items to create scope to implement a profitable business model. In Japan, obtaining a legal network expansion permit, along with enforcement of mandatory hygiene standards, will help in business process expansion.    </w:t>
            </w:r>
          </w:p>
        </w:tc>
      </w:tr>
      <w:tr w:rsidR="000573E1" w14:paraId="003B435A" w14:textId="77777777">
        <w:tc>
          <w:tcPr>
            <w:tcW w:w="2115" w:type="dxa"/>
            <w:tcMar>
              <w:top w:w="100" w:type="dxa"/>
              <w:left w:w="100" w:type="dxa"/>
              <w:bottom w:w="100" w:type="dxa"/>
              <w:right w:w="100" w:type="dxa"/>
            </w:tcMar>
          </w:tcPr>
          <w:p w14:paraId="3A54A887" w14:textId="77777777" w:rsidR="000573E1" w:rsidRDefault="00493529">
            <w:pPr>
              <w:widowControl w:val="0"/>
              <w:rPr>
                <w:rFonts w:ascii="Arial" w:eastAsia="Arial" w:hAnsi="Arial" w:cs="Arial"/>
                <w:b/>
                <w:bCs/>
                <w:color w:val="000000"/>
              </w:rPr>
            </w:pPr>
            <w:r>
              <w:rPr>
                <w:rFonts w:ascii="Arial" w:eastAsia="Arial" w:hAnsi="Arial" w:cs="Arial"/>
                <w:b/>
                <w:bCs/>
                <w:color w:val="000000"/>
              </w:rPr>
              <w:t xml:space="preserve">Physical evidence </w:t>
            </w:r>
          </w:p>
        </w:tc>
        <w:tc>
          <w:tcPr>
            <w:tcW w:w="7965" w:type="dxa"/>
            <w:tcMar>
              <w:top w:w="100" w:type="dxa"/>
              <w:left w:w="100" w:type="dxa"/>
              <w:bottom w:w="100" w:type="dxa"/>
              <w:right w:w="100" w:type="dxa"/>
            </w:tcMar>
          </w:tcPr>
          <w:p w14:paraId="5CD205F4" w14:textId="77777777" w:rsidR="000573E1" w:rsidRDefault="00493529">
            <w:pPr>
              <w:widowControl w:val="0"/>
              <w:rPr>
                <w:rFonts w:ascii="Arial" w:eastAsia="Arial" w:hAnsi="Arial" w:cs="Arial"/>
                <w:color w:val="000000"/>
              </w:rPr>
            </w:pPr>
            <w:r>
              <w:rPr>
                <w:rFonts w:ascii="Arial" w:eastAsia="Arial" w:hAnsi="Arial" w:cs="Arial"/>
                <w:color w:val="000000"/>
              </w:rPr>
              <w:t xml:space="preserve">In the UK, Deliveroo adopts a digital-first approach in order to access a tangible, highly visible organisational footprint to manage brand relevance (Deliveroo, 2026d). Deliveroo has the most widely accepted physical evidence of 140,000 active riders, which transforms its unique digital services through street-level presence. Physical evidence in the USA will include a business operational network and trade collaboration with local market players. </w:t>
            </w:r>
          </w:p>
        </w:tc>
      </w:tr>
    </w:tbl>
    <w:p w14:paraId="7C9381C6" w14:textId="77777777" w:rsidR="000573E1" w:rsidRDefault="00493529">
      <w:pPr>
        <w:rPr>
          <w:rFonts w:ascii="Arial" w:eastAsia="Arial" w:hAnsi="Arial" w:cs="Arial"/>
          <w:b/>
          <w:bCs/>
          <w:color w:val="000000"/>
        </w:rPr>
      </w:pPr>
      <w:r>
        <w:rPr>
          <w:rFonts w:ascii="Arial" w:eastAsia="Arial" w:hAnsi="Arial" w:cs="Arial"/>
          <w:b/>
          <w:bCs/>
          <w:color w:val="000000"/>
          <w:sz w:val="26"/>
          <w:szCs w:val="26"/>
        </w:rPr>
        <w:tab/>
      </w:r>
      <w:r>
        <w:rPr>
          <w:rFonts w:ascii="Arial" w:eastAsia="Arial" w:hAnsi="Arial" w:cs="Arial"/>
          <w:b/>
          <w:bCs/>
          <w:color w:val="000000"/>
          <w:sz w:val="26"/>
          <w:szCs w:val="26"/>
        </w:rPr>
        <w:tab/>
      </w:r>
      <w:r>
        <w:rPr>
          <w:rFonts w:ascii="Arial" w:eastAsia="Arial" w:hAnsi="Arial" w:cs="Arial"/>
          <w:b/>
          <w:bCs/>
          <w:color w:val="000000"/>
          <w:sz w:val="26"/>
          <w:szCs w:val="26"/>
        </w:rPr>
        <w:tab/>
      </w:r>
      <w:r>
        <w:rPr>
          <w:rFonts w:ascii="Arial" w:eastAsia="Arial" w:hAnsi="Arial" w:cs="Arial"/>
          <w:b/>
          <w:bCs/>
          <w:color w:val="000000"/>
          <w:sz w:val="26"/>
          <w:szCs w:val="26"/>
        </w:rPr>
        <w:tab/>
      </w:r>
      <w:r>
        <w:rPr>
          <w:rFonts w:ascii="Arial" w:eastAsia="Arial" w:hAnsi="Arial" w:cs="Arial"/>
          <w:b/>
          <w:bCs/>
          <w:color w:val="000000"/>
          <w:sz w:val="26"/>
          <w:szCs w:val="26"/>
        </w:rPr>
        <w:tab/>
      </w:r>
      <w:r>
        <w:rPr>
          <w:rFonts w:ascii="Arial" w:eastAsia="Arial" w:hAnsi="Arial" w:cs="Arial"/>
          <w:b/>
          <w:bCs/>
          <w:color w:val="000000"/>
        </w:rPr>
        <w:t>Table 4: 7P Marketing Mix</w:t>
      </w:r>
    </w:p>
    <w:p w14:paraId="41E67DF8" w14:textId="77777777" w:rsidR="000573E1" w:rsidRDefault="00493529">
      <w:pPr>
        <w:pStyle w:val="Titlu2"/>
        <w:rPr>
          <w:rFonts w:ascii="Arial" w:eastAsia="Arial" w:hAnsi="Arial" w:cs="Arial"/>
          <w:color w:val="000000"/>
        </w:rPr>
      </w:pPr>
      <w:bookmarkStart w:id="9" w:name="_heading=h.8wv0up13okj6" w:colFirst="0" w:colLast="0"/>
      <w:bookmarkEnd w:id="9"/>
      <w:r>
        <w:rPr>
          <w:rFonts w:ascii="Arial" w:eastAsia="Arial" w:hAnsi="Arial" w:cs="Arial"/>
          <w:color w:val="000000"/>
        </w:rPr>
        <w:t xml:space="preserve">e. Market Entry Strategy </w:t>
      </w:r>
    </w:p>
    <w:p w14:paraId="427B70AE" w14:textId="77777777" w:rsidR="000573E1" w:rsidRDefault="00493529">
      <w:pPr>
        <w:rPr>
          <w:rFonts w:ascii="Arial" w:eastAsia="Arial" w:hAnsi="Arial" w:cs="Arial"/>
          <w:b/>
          <w:bCs/>
          <w:color w:val="000000"/>
        </w:rPr>
      </w:pPr>
      <w:r>
        <w:rPr>
          <w:rFonts w:ascii="Arial" w:eastAsia="Arial" w:hAnsi="Arial" w:cs="Arial"/>
          <w:b/>
          <w:bCs/>
          <w:color w:val="000000"/>
        </w:rPr>
        <w:t>United States of America</w:t>
      </w:r>
    </w:p>
    <w:p w14:paraId="149E9808" w14:textId="77777777" w:rsidR="000573E1" w:rsidRDefault="00493529">
      <w:pPr>
        <w:rPr>
          <w:rFonts w:ascii="Arial" w:eastAsia="Arial" w:hAnsi="Arial" w:cs="Arial"/>
          <w:color w:val="000000"/>
        </w:rPr>
      </w:pPr>
      <w:r>
        <w:rPr>
          <w:rFonts w:ascii="Arial" w:eastAsia="Arial" w:hAnsi="Arial" w:cs="Arial"/>
          <w:color w:val="000000"/>
        </w:rPr>
        <w:t xml:space="preserve">In order to enter the US market, Deliveroo can concentrate on a strategic alliance strategy of market entry. Strategic alliance, as per Bolivar </w:t>
      </w:r>
      <w:r>
        <w:rPr>
          <w:rFonts w:ascii="Arial" w:eastAsia="Arial" w:hAnsi="Arial" w:cs="Arial"/>
          <w:i/>
          <w:iCs/>
          <w:color w:val="000000"/>
        </w:rPr>
        <w:t>et al</w:t>
      </w:r>
      <w:r>
        <w:rPr>
          <w:rFonts w:ascii="Arial" w:eastAsia="Arial" w:hAnsi="Arial" w:cs="Arial"/>
          <w:color w:val="000000"/>
        </w:rPr>
        <w:t>. (2023), is a market entry strategy where a new company joins forces or forms a cooperative agreement with two or more companies to enter a new or international market together. Strategic alliance entry strategy enables the companies to share the risks, losses and profits equally or on mutually agreed terms. In the context of the US, with a GDP of $30.77 trillion and a $34.88 billion (£25.73 billion) food delivery market, it will create a monumental opportunity for Deliveroo to form a strategic alliance to</w:t>
      </w:r>
      <w:r>
        <w:rPr>
          <w:rFonts w:ascii="Arial" w:eastAsia="Arial" w:hAnsi="Arial" w:cs="Arial"/>
          <w:color w:val="000000"/>
        </w:rPr>
        <w:t xml:space="preserve"> enter the market (World Bank, 2026b; IMARC Group, 2025). Additionally, Deliveroo's app-based business model benefits from high digital penetration and technological innovation, eventually creating a more favourable perspective for American citizens towards Deliveroo. However, the operational risks and expansion into the market independently can be challenging due to the fragmented legal structures and regulatory policies in different states of the US. </w:t>
      </w:r>
    </w:p>
    <w:p w14:paraId="233B3610" w14:textId="77777777" w:rsidR="000573E1" w:rsidRDefault="00493529">
      <w:pPr>
        <w:rPr>
          <w:rFonts w:ascii="Arial" w:eastAsia="Arial" w:hAnsi="Arial" w:cs="Arial"/>
          <w:b/>
          <w:bCs/>
          <w:color w:val="000000"/>
        </w:rPr>
      </w:pPr>
      <w:r>
        <w:rPr>
          <w:rFonts w:ascii="Arial" w:eastAsia="Arial" w:hAnsi="Arial" w:cs="Arial"/>
          <w:b/>
          <w:bCs/>
          <w:color w:val="000000"/>
        </w:rPr>
        <w:t>Japan</w:t>
      </w:r>
    </w:p>
    <w:p w14:paraId="3195BE68" w14:textId="77777777" w:rsidR="000573E1" w:rsidRDefault="00493529">
      <w:pPr>
        <w:rPr>
          <w:rFonts w:ascii="Arial" w:eastAsia="Arial" w:hAnsi="Arial" w:cs="Arial"/>
          <w:color w:val="000000"/>
        </w:rPr>
      </w:pPr>
      <w:r>
        <w:rPr>
          <w:rFonts w:ascii="Arial" w:eastAsia="Arial" w:hAnsi="Arial" w:cs="Arial"/>
          <w:color w:val="000000"/>
        </w:rPr>
        <w:t>In order to enter Japan, Deliveroo is advised to use a Joint Venture. Aib (2024) stated that a JV is a market entry mode where a new entrant partners or forms a collaborative venture with local companies in the host or new markets. The joint venture enables the new and existing firms to effectively access the existing resources, clientele bases, and supply chain network of the existing company. This eventually helps the new company to gain a deeper understanding of the new market without heavily investing i</w:t>
      </w:r>
      <w:r>
        <w:rPr>
          <w:rFonts w:ascii="Arial" w:eastAsia="Arial" w:hAnsi="Arial" w:cs="Arial"/>
          <w:color w:val="000000"/>
        </w:rPr>
        <w:t>n establishing the supply chain or infrastructure that are required by companies that enter a market independently. In Japan's context, with a stable political environment (1.13 political stability score as of 2024), this creates a politically sound and safeguarded business environment (</w:t>
      </w:r>
      <w:r>
        <w:rPr>
          <w:rFonts w:ascii="Arial" w:eastAsia="Arial" w:hAnsi="Arial" w:cs="Arial"/>
        </w:rPr>
        <w:t>The Global Economy</w:t>
      </w:r>
      <w:r>
        <w:rPr>
          <w:rFonts w:ascii="Arial" w:eastAsia="Arial" w:hAnsi="Arial" w:cs="Arial"/>
          <w:color w:val="000000"/>
        </w:rPr>
        <w:t xml:space="preserve">, 2025b). Japan's high levels of uncertainty avoidance (92), masculinity (95), and long-term orientation (100) show a strong preference for dependability, quality, well-established relationships, and thoughtful decision-making (The Culture Factor, 2026). Additionally, a joint venture can enable Deliveroo to share operational and investment risks with a Japanese counterpart, while gaining a deeper understanding of the market for its effective operations. </w:t>
      </w:r>
    </w:p>
    <w:p w14:paraId="58B67744" w14:textId="77777777" w:rsidR="000573E1" w:rsidRDefault="00493529">
      <w:pPr>
        <w:pStyle w:val="Titlu2"/>
        <w:rPr>
          <w:rFonts w:ascii="Arial" w:eastAsia="Arial" w:hAnsi="Arial" w:cs="Arial"/>
          <w:color w:val="000000"/>
        </w:rPr>
      </w:pPr>
      <w:bookmarkStart w:id="10" w:name="_heading=h.pvaf2trrvuyd" w:colFirst="0" w:colLast="0"/>
      <w:bookmarkEnd w:id="10"/>
      <w:r>
        <w:rPr>
          <w:rFonts w:ascii="Arial" w:eastAsia="Arial" w:hAnsi="Arial" w:cs="Arial"/>
          <w:color w:val="000000"/>
        </w:rPr>
        <w:t xml:space="preserve">f. Ethical and Sustainability Considerations </w:t>
      </w:r>
    </w:p>
    <w:p w14:paraId="6B0A6396" w14:textId="77777777" w:rsidR="000573E1" w:rsidRDefault="00493529">
      <w:pPr>
        <w:rPr>
          <w:rFonts w:ascii="Arial" w:eastAsia="Arial" w:hAnsi="Arial" w:cs="Arial"/>
        </w:rPr>
      </w:pPr>
      <w:r>
        <w:rPr>
          <w:rFonts w:ascii="Arial" w:eastAsia="Arial" w:hAnsi="Arial" w:cs="Arial"/>
          <w:color w:val="000000"/>
        </w:rPr>
        <w:t xml:space="preserve">In the course of Deliveroo’s entry into the US and Japan, the strategic alliance (USA) and joint venture (Japan) can help the firm achieve SDG 8 and SDG 12. </w:t>
      </w:r>
      <w:r>
        <w:rPr>
          <w:rFonts w:ascii="Arial" w:eastAsia="Arial" w:hAnsi="Arial" w:cs="Arial"/>
          <w:b/>
          <w:bCs/>
          <w:i/>
          <w:iCs/>
          <w:color w:val="000000"/>
        </w:rPr>
        <w:t>SDG 8: Decent Work and Economic Growth</w:t>
      </w:r>
      <w:r>
        <w:rPr>
          <w:rFonts w:ascii="Arial" w:eastAsia="Arial" w:hAnsi="Arial" w:cs="Arial"/>
          <w:color w:val="000000"/>
        </w:rPr>
        <w:t xml:space="preserve"> states the efforts of business strategists to create employment opportunities while ensuring decent economic activities that can help the economy sustain for longer terms (The Global Goals, 2026). Since the youth unemployment rate in the US increased from 8.50% in July 2026 to  9.10% in August 2026, Deliveroo’s entry in the US can help create new employment opportunities for gig workers and youths looking for job positions (Trading Economics, 2025d). Concerning Japan, despite the unemployment rate being 3.</w:t>
      </w:r>
      <w:r>
        <w:rPr>
          <w:rFonts w:ascii="Arial" w:eastAsia="Arial" w:hAnsi="Arial" w:cs="Arial"/>
          <w:color w:val="000000"/>
        </w:rPr>
        <w:t xml:space="preserve">40% in July 2026, Deliveroo’s entry can sustainably contribute to the Japanese food delivery economy (Trading Economics, </w:t>
      </w:r>
      <w:r>
        <w:rPr>
          <w:rFonts w:ascii="Arial" w:eastAsia="Arial" w:hAnsi="Arial" w:cs="Arial"/>
        </w:rPr>
        <w:t xml:space="preserve">2025b). Aligned with </w:t>
      </w:r>
      <w:r>
        <w:rPr>
          <w:rFonts w:ascii="Arial" w:eastAsia="Arial" w:hAnsi="Arial" w:cs="Arial"/>
          <w:b/>
          <w:bCs/>
          <w:i/>
          <w:iCs/>
        </w:rPr>
        <w:t xml:space="preserve">SDG 12: Responsible Consumption and Production, </w:t>
      </w:r>
      <w:r>
        <w:rPr>
          <w:rFonts w:ascii="Arial" w:eastAsia="Arial" w:hAnsi="Arial" w:cs="Arial"/>
        </w:rPr>
        <w:t xml:space="preserve">which focuses on responsible consumption of resources (The Global Goals, 2025). Herein, by entering Japan and leveraging robotic delivery services, since Japan invests in robotics and automation, will reduce the issues of carbon emissions from motorcycles. This will ensure timely delivery of meals and reduce the issue of carbon emissions, ensuring sustainable consumption. Aligned to the </w:t>
      </w:r>
      <w:r>
        <w:rPr>
          <w:rFonts w:ascii="Arial" w:eastAsia="Arial" w:hAnsi="Arial" w:cs="Arial"/>
          <w:b/>
          <w:bCs/>
          <w:i/>
          <w:iCs/>
        </w:rPr>
        <w:t>Deontological ethics framework</w:t>
      </w:r>
      <w:r>
        <w:rPr>
          <w:rFonts w:ascii="Arial" w:eastAsia="Arial" w:hAnsi="Arial" w:cs="Arial"/>
        </w:rPr>
        <w:t xml:space="preserve">, the operations of Deliveroo in both markets will be driven by right operations with an appropriate morale of contributing to the national economies of the US and Japan. </w:t>
      </w:r>
    </w:p>
    <w:p w14:paraId="089B6350" w14:textId="77777777" w:rsidR="000573E1" w:rsidRDefault="00493529">
      <w:pPr>
        <w:pStyle w:val="Titlu2"/>
        <w:rPr>
          <w:rFonts w:ascii="Arial" w:eastAsia="Arial" w:hAnsi="Arial" w:cs="Arial"/>
          <w:b w:val="0"/>
          <w:bCs w:val="0"/>
          <w:sz w:val="24"/>
          <w:szCs w:val="24"/>
        </w:rPr>
      </w:pPr>
      <w:bookmarkStart w:id="11" w:name="_heading=h.szswlobuawa1" w:colFirst="0" w:colLast="0"/>
      <w:bookmarkEnd w:id="11"/>
      <w:r>
        <w:rPr>
          <w:rFonts w:ascii="Arial" w:eastAsia="Arial" w:hAnsi="Arial" w:cs="Arial"/>
        </w:rPr>
        <w:t xml:space="preserve">g. Conclusion </w:t>
      </w:r>
    </w:p>
    <w:p w14:paraId="4C3DA43E" w14:textId="77777777" w:rsidR="000573E1" w:rsidRDefault="00493529">
      <w:pPr>
        <w:rPr>
          <w:rFonts w:ascii="Arial" w:eastAsia="Arial" w:hAnsi="Arial" w:cs="Arial"/>
        </w:rPr>
      </w:pPr>
      <w:r>
        <w:rPr>
          <w:rFonts w:ascii="Arial" w:eastAsia="Arial" w:hAnsi="Arial" w:cs="Arial"/>
        </w:rPr>
        <w:t xml:space="preserve">It can be concluded from the above evaluation that understanding differences in cultural dynamics is necessary to fulfil the business requirement. USA and Japan focus on establishing coordination in the business environment along with the implementation of guidelines. </w:t>
      </w:r>
      <w:r>
        <w:rPr>
          <w:rFonts w:ascii="Arial" w:eastAsia="Arial" w:hAnsi="Arial" w:cs="Arial"/>
        </w:rPr>
        <w:t>Understanding the diversity in the market structure of Japan and the USA is necessary to accomplish success in decision-making. Jap</w:t>
      </w:r>
      <w:r>
        <w:rPr>
          <w:rFonts w:ascii="Arial" w:eastAsia="Arial" w:hAnsi="Arial" w:cs="Arial"/>
          <w:color w:val="000000"/>
        </w:rPr>
        <w:t xml:space="preserve">an has already set a goal to achieve a Net Zero Target by the end of 2050, creating extensive growth for the company </w:t>
      </w:r>
      <w:r>
        <w:rPr>
          <w:rFonts w:ascii="Arial" w:eastAsia="Arial" w:hAnsi="Arial" w:cs="Arial"/>
        </w:rPr>
        <w:t xml:space="preserve">to achieve adequate vision. </w:t>
      </w:r>
      <w:r>
        <w:rPr>
          <w:rFonts w:ascii="Arial" w:eastAsia="Arial" w:hAnsi="Arial" w:cs="Arial"/>
        </w:rPr>
        <w:t>It is necessary for Deliveroo to implement market-specific initiatives to achieve a scope of effective customer engagement. Proactive evaluation of measures is necessary to mitigate the risk factors in terms of market expansion and reach the vision.</w:t>
      </w:r>
    </w:p>
    <w:p w14:paraId="73D2B07E" w14:textId="77777777" w:rsidR="000573E1" w:rsidRDefault="000573E1">
      <w:pPr>
        <w:pStyle w:val="Titlu2"/>
        <w:rPr>
          <w:rFonts w:ascii="Arial" w:eastAsia="Arial" w:hAnsi="Arial" w:cs="Arial"/>
        </w:rPr>
      </w:pPr>
      <w:bookmarkStart w:id="12" w:name="_heading=h.c1vtrnclyh1d" w:colFirst="0" w:colLast="0"/>
      <w:bookmarkEnd w:id="12"/>
    </w:p>
    <w:p w14:paraId="74C9C709" w14:textId="77777777" w:rsidR="000573E1" w:rsidRDefault="00493529">
      <w:pPr>
        <w:pStyle w:val="Titlu2"/>
        <w:rPr>
          <w:rFonts w:ascii="Arial" w:eastAsia="Arial" w:hAnsi="Arial" w:cs="Arial"/>
        </w:rPr>
      </w:pPr>
      <w:bookmarkStart w:id="13" w:name="_heading=h.g7hcz5ch31wz" w:colFirst="0" w:colLast="0"/>
      <w:bookmarkEnd w:id="13"/>
      <w:r>
        <w:br w:type="page"/>
      </w:r>
    </w:p>
    <w:p w14:paraId="7BE58872" w14:textId="77777777" w:rsidR="000573E1" w:rsidRDefault="00493529">
      <w:pPr>
        <w:pStyle w:val="Titlu2"/>
        <w:rPr>
          <w:rFonts w:ascii="Arial" w:eastAsia="Arial" w:hAnsi="Arial" w:cs="Arial"/>
        </w:rPr>
      </w:pPr>
      <w:bookmarkStart w:id="14" w:name="_heading=h.s3fzypvggkld" w:colFirst="0" w:colLast="0"/>
      <w:bookmarkEnd w:id="14"/>
      <w:r>
        <w:rPr>
          <w:rFonts w:ascii="Arial" w:eastAsia="Arial" w:hAnsi="Arial" w:cs="Arial"/>
        </w:rPr>
        <w:t>h. References</w:t>
      </w:r>
    </w:p>
    <w:p w14:paraId="2FB07813" w14:textId="77777777" w:rsidR="000573E1" w:rsidRDefault="00493529">
      <w:pPr>
        <w:spacing w:after="240"/>
        <w:rPr>
          <w:rFonts w:ascii="Arial" w:eastAsia="Arial" w:hAnsi="Arial" w:cs="Arial"/>
          <w:color w:val="000000"/>
        </w:rPr>
      </w:pPr>
      <w:r>
        <w:rPr>
          <w:rFonts w:ascii="Arial" w:eastAsia="Arial" w:hAnsi="Arial" w:cs="Arial"/>
        </w:rPr>
        <w:t xml:space="preserve">Aib, H. (2024) ‘Stability of international joint ventures: When experience and age overshadow host country risk’, </w:t>
      </w:r>
      <w:r>
        <w:rPr>
          <w:rFonts w:ascii="Arial" w:eastAsia="Arial" w:hAnsi="Arial" w:cs="Arial"/>
          <w:i/>
          <w:iCs/>
        </w:rPr>
        <w:t xml:space="preserve">Journal of International </w:t>
      </w:r>
      <w:r>
        <w:rPr>
          <w:rFonts w:ascii="Arial" w:eastAsia="Arial" w:hAnsi="Arial" w:cs="Arial"/>
          <w:i/>
          <w:iCs/>
          <w:color w:val="000000"/>
        </w:rPr>
        <w:t>Management</w:t>
      </w:r>
      <w:r>
        <w:rPr>
          <w:rFonts w:ascii="Arial" w:eastAsia="Arial" w:hAnsi="Arial" w:cs="Arial"/>
          <w:color w:val="000000"/>
        </w:rPr>
        <w:t>, 30(6), pp.101205. </w:t>
      </w:r>
    </w:p>
    <w:p w14:paraId="1FFB31B8" w14:textId="77777777" w:rsidR="000573E1" w:rsidRDefault="00493529">
      <w:pPr>
        <w:spacing w:after="240"/>
        <w:rPr>
          <w:rFonts w:ascii="Arial" w:eastAsia="Arial" w:hAnsi="Arial" w:cs="Arial"/>
          <w:color w:val="000000"/>
        </w:rPr>
      </w:pPr>
      <w:r>
        <w:rPr>
          <w:rFonts w:ascii="Arial" w:eastAsia="Arial" w:hAnsi="Arial" w:cs="Arial"/>
          <w:color w:val="000000"/>
        </w:rPr>
        <w:t xml:space="preserve">Bolivar, L. M., Casanueva, C., and Castro Abancéns, I. (2023) ‘International alliance networks, expansion modes and coopetition’, </w:t>
      </w:r>
      <w:r>
        <w:rPr>
          <w:rFonts w:ascii="Arial" w:eastAsia="Arial" w:hAnsi="Arial" w:cs="Arial"/>
          <w:i/>
          <w:iCs/>
          <w:color w:val="000000"/>
        </w:rPr>
        <w:t>Multinational Business Review</w:t>
      </w:r>
      <w:r>
        <w:rPr>
          <w:rFonts w:ascii="Arial" w:eastAsia="Arial" w:hAnsi="Arial" w:cs="Arial"/>
          <w:color w:val="000000"/>
        </w:rPr>
        <w:t>, 31(2), pp.197-219. </w:t>
      </w:r>
    </w:p>
    <w:p w14:paraId="02AF17E5" w14:textId="77777777" w:rsidR="000573E1" w:rsidRDefault="00493529">
      <w:pPr>
        <w:spacing w:after="240"/>
        <w:rPr>
          <w:rFonts w:ascii="Arial" w:eastAsia="Arial" w:hAnsi="Arial" w:cs="Arial"/>
          <w:color w:val="000000"/>
        </w:rPr>
      </w:pPr>
      <w:r>
        <w:rPr>
          <w:rFonts w:ascii="Arial" w:eastAsia="Arial" w:hAnsi="Arial" w:cs="Arial"/>
          <w:color w:val="000000"/>
        </w:rPr>
        <w:t xml:space="preserve">Census Gov (2025) </w:t>
      </w:r>
      <w:r>
        <w:rPr>
          <w:rFonts w:ascii="Arial" w:eastAsia="Arial" w:hAnsi="Arial" w:cs="Arial"/>
          <w:i/>
          <w:iCs/>
          <w:color w:val="000000"/>
        </w:rPr>
        <w:t>Census Bureau Releases New Educational Attainment Data</w:t>
      </w:r>
      <w:r>
        <w:rPr>
          <w:rFonts w:ascii="Arial" w:eastAsia="Arial" w:hAnsi="Arial" w:cs="Arial"/>
          <w:color w:val="000000"/>
        </w:rPr>
        <w:t xml:space="preserve">. Available at: </w:t>
      </w:r>
      <w:hyperlink r:id="rId21">
        <w:r>
          <w:rPr>
            <w:rFonts w:ascii="Arial" w:eastAsia="Arial" w:hAnsi="Arial" w:cs="Arial"/>
            <w:color w:val="000000"/>
            <w:u w:val="single"/>
          </w:rPr>
          <w:t>https://www.census.gov/newsroom/press-releases/2025/educational-attainment-data.html</w:t>
        </w:r>
      </w:hyperlink>
      <w:r>
        <w:rPr>
          <w:rFonts w:ascii="Arial" w:eastAsia="Arial" w:hAnsi="Arial" w:cs="Arial"/>
          <w:color w:val="000000"/>
          <w:u w:val="single"/>
        </w:rPr>
        <w:t xml:space="preserve"> </w:t>
      </w:r>
      <w:r>
        <w:rPr>
          <w:rFonts w:ascii="Arial" w:eastAsia="Arial" w:hAnsi="Arial" w:cs="Arial"/>
          <w:color w:val="000000"/>
        </w:rPr>
        <w:t>(Accessed: 7 September 2026)</w:t>
      </w:r>
    </w:p>
    <w:p w14:paraId="12345A93" w14:textId="77777777" w:rsidR="000573E1" w:rsidRDefault="00493529">
      <w:pPr>
        <w:spacing w:after="240"/>
        <w:rPr>
          <w:rFonts w:ascii="Arial" w:eastAsia="Arial" w:hAnsi="Arial" w:cs="Arial"/>
          <w:color w:val="000000"/>
        </w:rPr>
      </w:pPr>
      <w:r>
        <w:rPr>
          <w:rFonts w:ascii="Arial" w:eastAsia="Arial" w:hAnsi="Arial" w:cs="Arial"/>
          <w:color w:val="000000"/>
        </w:rPr>
        <w:t xml:space="preserve">Climateactiontracker (2026) </w:t>
      </w:r>
      <w:r>
        <w:rPr>
          <w:rFonts w:ascii="Arial" w:eastAsia="Arial" w:hAnsi="Arial" w:cs="Arial"/>
          <w:i/>
          <w:iCs/>
          <w:color w:val="000000"/>
        </w:rPr>
        <w:t xml:space="preserve">Net zero targets. </w:t>
      </w:r>
      <w:r>
        <w:rPr>
          <w:rFonts w:ascii="Arial" w:eastAsia="Arial" w:hAnsi="Arial" w:cs="Arial"/>
          <w:color w:val="000000"/>
        </w:rPr>
        <w:t xml:space="preserve">Available at: </w:t>
      </w:r>
      <w:hyperlink r:id="rId22">
        <w:r>
          <w:rPr>
            <w:rFonts w:ascii="Arial" w:eastAsia="Arial" w:hAnsi="Arial" w:cs="Arial"/>
            <w:color w:val="000000"/>
            <w:u w:val="single"/>
          </w:rPr>
          <w:t>https://climateactiontracker.org/countries/japan/net-zero-targets/</w:t>
        </w:r>
      </w:hyperlink>
      <w:r>
        <w:rPr>
          <w:rFonts w:ascii="Arial" w:eastAsia="Arial" w:hAnsi="Arial" w:cs="Arial"/>
          <w:color w:val="000000"/>
        </w:rPr>
        <w:t xml:space="preserve"> (Accessed: 7 September 2026)</w:t>
      </w:r>
    </w:p>
    <w:p w14:paraId="7D837D96" w14:textId="77777777" w:rsidR="000573E1" w:rsidRDefault="00493529">
      <w:pPr>
        <w:spacing w:after="240"/>
        <w:rPr>
          <w:rFonts w:ascii="Arial" w:eastAsia="Arial" w:hAnsi="Arial" w:cs="Arial"/>
          <w:color w:val="000000"/>
        </w:rPr>
      </w:pPr>
      <w:r>
        <w:rPr>
          <w:rFonts w:ascii="Arial" w:eastAsia="Arial" w:hAnsi="Arial" w:cs="Arial"/>
          <w:color w:val="000000"/>
        </w:rPr>
        <w:t xml:space="preserve">Cloete, C. (2024) </w:t>
      </w:r>
      <w:r>
        <w:rPr>
          <w:rFonts w:ascii="Arial" w:eastAsia="Arial" w:hAnsi="Arial" w:cs="Arial"/>
          <w:i/>
          <w:iCs/>
          <w:color w:val="000000"/>
        </w:rPr>
        <w:t>Japan gives millions of freelancers new protections.</w:t>
      </w:r>
      <w:r>
        <w:rPr>
          <w:rFonts w:ascii="Arial" w:eastAsia="Arial" w:hAnsi="Arial" w:cs="Arial"/>
          <w:color w:val="000000"/>
        </w:rPr>
        <w:t xml:space="preserve"> International Employment Lawyer</w:t>
      </w:r>
      <w:r>
        <w:rPr>
          <w:rFonts w:ascii="Arial" w:eastAsia="Arial" w:hAnsi="Arial" w:cs="Arial"/>
          <w:i/>
          <w:iCs/>
          <w:color w:val="000000"/>
        </w:rPr>
        <w:t xml:space="preserve">. </w:t>
      </w:r>
      <w:r>
        <w:rPr>
          <w:rFonts w:ascii="Arial" w:eastAsia="Arial" w:hAnsi="Arial" w:cs="Arial"/>
          <w:color w:val="000000"/>
        </w:rPr>
        <w:t xml:space="preserve">Available at: </w:t>
      </w:r>
      <w:hyperlink r:id="rId23">
        <w:r>
          <w:rPr>
            <w:rFonts w:ascii="Arial" w:eastAsia="Arial" w:hAnsi="Arial" w:cs="Arial"/>
            <w:color w:val="000000"/>
            <w:u w:val="single"/>
          </w:rPr>
          <w:t>https://www.internationalemploymentlawyer.com/news/japan-gives-millions-freelancers-new-protections</w:t>
        </w:r>
      </w:hyperlink>
      <w:r>
        <w:rPr>
          <w:rFonts w:ascii="Arial" w:eastAsia="Arial" w:hAnsi="Arial" w:cs="Arial"/>
          <w:color w:val="000000"/>
        </w:rPr>
        <w:t xml:space="preserve"> (Accessed: 7 September 2026)</w:t>
      </w:r>
    </w:p>
    <w:p w14:paraId="3875DF93" w14:textId="77777777" w:rsidR="000573E1" w:rsidRDefault="00493529">
      <w:pPr>
        <w:spacing w:after="240"/>
        <w:rPr>
          <w:rFonts w:ascii="Arial" w:eastAsia="Arial" w:hAnsi="Arial" w:cs="Arial"/>
          <w:color w:val="000000"/>
        </w:rPr>
      </w:pPr>
      <w:r>
        <w:rPr>
          <w:rFonts w:ascii="Arial" w:eastAsia="Arial" w:hAnsi="Arial" w:cs="Arial"/>
          <w:color w:val="000000"/>
        </w:rPr>
        <w:t xml:space="preserve">Curry, D. (2026) </w:t>
      </w:r>
      <w:r>
        <w:rPr>
          <w:rFonts w:ascii="Arial" w:eastAsia="Arial" w:hAnsi="Arial" w:cs="Arial"/>
          <w:i/>
          <w:iCs/>
          <w:color w:val="000000"/>
        </w:rPr>
        <w:t>Deliveroo Revenue and Usage Statistics (2026)</w:t>
      </w:r>
      <w:r>
        <w:rPr>
          <w:rFonts w:ascii="Arial" w:eastAsia="Arial" w:hAnsi="Arial" w:cs="Arial"/>
          <w:color w:val="000000"/>
        </w:rPr>
        <w:t xml:space="preserve">. Available at: </w:t>
      </w:r>
      <w:hyperlink r:id="rId24">
        <w:r>
          <w:rPr>
            <w:rFonts w:ascii="Arial" w:eastAsia="Arial" w:hAnsi="Arial" w:cs="Arial"/>
            <w:color w:val="000000"/>
            <w:u w:val="single"/>
          </w:rPr>
          <w:t>https://www.businessofapps.com/data/deliveroo-statistics/</w:t>
        </w:r>
      </w:hyperlink>
      <w:r>
        <w:rPr>
          <w:rFonts w:ascii="Arial" w:eastAsia="Arial" w:hAnsi="Arial" w:cs="Arial"/>
          <w:color w:val="000000"/>
        </w:rPr>
        <w:t xml:space="preserve"> (Accessed: 6September 2026)</w:t>
      </w:r>
    </w:p>
    <w:p w14:paraId="1D0EDC74" w14:textId="77777777" w:rsidR="000573E1" w:rsidRDefault="00493529">
      <w:pPr>
        <w:spacing w:after="240"/>
        <w:rPr>
          <w:rFonts w:ascii="Arial" w:eastAsia="Arial" w:hAnsi="Arial" w:cs="Arial"/>
          <w:color w:val="000000"/>
        </w:rPr>
      </w:pPr>
      <w:r>
        <w:rPr>
          <w:rFonts w:ascii="Arial" w:eastAsia="Arial" w:hAnsi="Arial" w:cs="Arial"/>
          <w:color w:val="000000"/>
        </w:rPr>
        <w:t xml:space="preserve">Deliveroo (2026a) </w:t>
      </w:r>
      <w:r>
        <w:rPr>
          <w:rFonts w:ascii="Arial" w:eastAsia="Arial" w:hAnsi="Arial" w:cs="Arial"/>
          <w:i/>
          <w:iCs/>
          <w:color w:val="000000"/>
        </w:rPr>
        <w:t>About us</w:t>
      </w:r>
      <w:r>
        <w:rPr>
          <w:rFonts w:ascii="Arial" w:eastAsia="Arial" w:hAnsi="Arial" w:cs="Arial"/>
          <w:color w:val="000000"/>
        </w:rPr>
        <w:t xml:space="preserve">. Available at: </w:t>
      </w:r>
      <w:hyperlink r:id="rId25">
        <w:r>
          <w:rPr>
            <w:rFonts w:ascii="Arial" w:eastAsia="Arial" w:hAnsi="Arial" w:cs="Arial"/>
            <w:color w:val="000000"/>
            <w:u w:val="single"/>
          </w:rPr>
          <w:t>https://deliveroo.co.uk/about-us</w:t>
        </w:r>
      </w:hyperlink>
      <w:r>
        <w:rPr>
          <w:rFonts w:ascii="Arial" w:eastAsia="Arial" w:hAnsi="Arial" w:cs="Arial"/>
          <w:color w:val="000000"/>
        </w:rPr>
        <w:t xml:space="preserve"> (Accessed: 7 September 2026)</w:t>
      </w:r>
    </w:p>
    <w:p w14:paraId="5E2BFDA5" w14:textId="77777777" w:rsidR="000573E1" w:rsidRDefault="00493529">
      <w:pPr>
        <w:spacing w:after="240"/>
        <w:rPr>
          <w:rFonts w:ascii="Arial" w:eastAsia="Arial" w:hAnsi="Arial" w:cs="Arial"/>
          <w:color w:val="000000"/>
        </w:rPr>
      </w:pPr>
      <w:bookmarkStart w:id="15" w:name="_heading=h.4xpsattzddkb" w:colFirst="0" w:colLast="0"/>
      <w:bookmarkEnd w:id="15"/>
      <w:r>
        <w:rPr>
          <w:rFonts w:ascii="Arial" w:eastAsia="Arial" w:hAnsi="Arial" w:cs="Arial"/>
          <w:color w:val="000000"/>
        </w:rPr>
        <w:t xml:space="preserve">Deliveroo (2026b) </w:t>
      </w:r>
      <w:r>
        <w:rPr>
          <w:rFonts w:ascii="Arial" w:eastAsia="Arial" w:hAnsi="Arial" w:cs="Arial"/>
          <w:i/>
          <w:iCs/>
          <w:color w:val="000000"/>
        </w:rPr>
        <w:t>Business model.</w:t>
      </w:r>
      <w:r>
        <w:rPr>
          <w:rFonts w:ascii="Arial" w:eastAsia="Arial" w:hAnsi="Arial" w:cs="Arial"/>
          <w:color w:val="000000"/>
        </w:rPr>
        <w:t xml:space="preserve"> Available at: </w:t>
      </w:r>
      <w:hyperlink r:id="rId26">
        <w:r>
          <w:rPr>
            <w:rFonts w:ascii="Arial" w:eastAsia="Arial" w:hAnsi="Arial" w:cs="Arial"/>
            <w:color w:val="000000"/>
            <w:u w:val="single"/>
          </w:rPr>
          <w:t>https://corporate.deliveroo.co.uk/about-us/business-model/</w:t>
        </w:r>
      </w:hyperlink>
      <w:r>
        <w:rPr>
          <w:rFonts w:ascii="Arial" w:eastAsia="Arial" w:hAnsi="Arial" w:cs="Arial"/>
          <w:color w:val="000000"/>
        </w:rPr>
        <w:t xml:space="preserve"> (Accessed: 9 September 2026)</w:t>
      </w:r>
    </w:p>
    <w:p w14:paraId="58AE82EC" w14:textId="77777777" w:rsidR="000573E1" w:rsidRDefault="00493529">
      <w:pPr>
        <w:spacing w:after="240"/>
        <w:rPr>
          <w:rFonts w:ascii="Arial" w:eastAsia="Arial" w:hAnsi="Arial" w:cs="Arial"/>
          <w:color w:val="000000"/>
        </w:rPr>
      </w:pPr>
      <w:r>
        <w:rPr>
          <w:rFonts w:ascii="Arial" w:eastAsia="Arial" w:hAnsi="Arial" w:cs="Arial"/>
          <w:color w:val="000000"/>
        </w:rPr>
        <w:t xml:space="preserve">Deliveroo (2026c) </w:t>
      </w:r>
      <w:r>
        <w:rPr>
          <w:rFonts w:ascii="Arial" w:eastAsia="Arial" w:hAnsi="Arial" w:cs="Arial"/>
          <w:i/>
          <w:iCs/>
          <w:color w:val="000000"/>
        </w:rPr>
        <w:t>Deliveroo.</w:t>
      </w:r>
      <w:r>
        <w:rPr>
          <w:rFonts w:ascii="Arial" w:eastAsia="Arial" w:hAnsi="Arial" w:cs="Arial"/>
          <w:color w:val="000000"/>
        </w:rPr>
        <w:t xml:space="preserve"> Available at: </w:t>
      </w:r>
      <w:hyperlink r:id="rId27">
        <w:r>
          <w:rPr>
            <w:rFonts w:ascii="Arial" w:eastAsia="Arial" w:hAnsi="Arial" w:cs="Arial"/>
            <w:color w:val="000000"/>
            <w:u w:val="single"/>
          </w:rPr>
          <w:t>https://deliveroo.co.uk/</w:t>
        </w:r>
      </w:hyperlink>
      <w:r>
        <w:rPr>
          <w:rFonts w:ascii="Arial" w:eastAsia="Arial" w:hAnsi="Arial" w:cs="Arial"/>
          <w:color w:val="000000"/>
        </w:rPr>
        <w:t xml:space="preserve"> (Accessed: 9 September 2026)</w:t>
      </w:r>
    </w:p>
    <w:p w14:paraId="39E18BB9" w14:textId="77777777" w:rsidR="000573E1" w:rsidRDefault="00493529">
      <w:pPr>
        <w:spacing w:after="240"/>
        <w:rPr>
          <w:rFonts w:ascii="Arial" w:eastAsia="Arial" w:hAnsi="Arial" w:cs="Arial"/>
          <w:color w:val="000000"/>
        </w:rPr>
      </w:pPr>
      <w:r>
        <w:rPr>
          <w:rFonts w:ascii="Arial" w:eastAsia="Arial" w:hAnsi="Arial" w:cs="Arial"/>
          <w:color w:val="000000"/>
        </w:rPr>
        <w:t xml:space="preserve">Deliveroo (2026d) </w:t>
      </w:r>
      <w:r>
        <w:rPr>
          <w:rFonts w:ascii="Arial" w:eastAsia="Arial" w:hAnsi="Arial" w:cs="Arial"/>
          <w:i/>
          <w:iCs/>
          <w:color w:val="000000"/>
        </w:rPr>
        <w:t>Locations.</w:t>
      </w:r>
      <w:r>
        <w:rPr>
          <w:rFonts w:ascii="Arial" w:eastAsia="Arial" w:hAnsi="Arial" w:cs="Arial"/>
          <w:color w:val="000000"/>
        </w:rPr>
        <w:t xml:space="preserve"> Available at:</w:t>
      </w:r>
      <w:hyperlink r:id="rId28">
        <w:r>
          <w:rPr>
            <w:rFonts w:ascii="Arial" w:eastAsia="Arial" w:hAnsi="Arial" w:cs="Arial"/>
            <w:color w:val="000000"/>
            <w:u w:val="single"/>
          </w:rPr>
          <w:t xml:space="preserve"> https://careers.deliveroo.co.uk/locations/</w:t>
        </w:r>
      </w:hyperlink>
      <w:r>
        <w:rPr>
          <w:rFonts w:ascii="Arial" w:eastAsia="Arial" w:hAnsi="Arial" w:cs="Arial"/>
          <w:color w:val="000000"/>
        </w:rPr>
        <w:t xml:space="preserve"> (Accessed: 9 September 2026)</w:t>
      </w:r>
    </w:p>
    <w:p w14:paraId="1CBA18F1" w14:textId="77777777" w:rsidR="000573E1" w:rsidRDefault="00493529">
      <w:pPr>
        <w:spacing w:after="240"/>
        <w:rPr>
          <w:rFonts w:ascii="Arial" w:eastAsia="Arial" w:hAnsi="Arial" w:cs="Arial"/>
          <w:color w:val="000000"/>
        </w:rPr>
      </w:pPr>
      <w:r>
        <w:rPr>
          <w:rFonts w:ascii="Arial" w:eastAsia="Arial" w:hAnsi="Arial" w:cs="Arial"/>
          <w:color w:val="000000"/>
        </w:rPr>
        <w:t xml:space="preserve">Deliveroo (2026e) </w:t>
      </w:r>
      <w:r>
        <w:rPr>
          <w:rFonts w:ascii="Arial" w:eastAsia="Arial" w:hAnsi="Arial" w:cs="Arial"/>
          <w:i/>
          <w:iCs/>
          <w:color w:val="000000"/>
        </w:rPr>
        <w:t>Partner Marketing.</w:t>
      </w:r>
      <w:r>
        <w:rPr>
          <w:rFonts w:ascii="Arial" w:eastAsia="Arial" w:hAnsi="Arial" w:cs="Arial"/>
          <w:color w:val="000000"/>
        </w:rPr>
        <w:t xml:space="preserve"> Available at: </w:t>
      </w:r>
      <w:hyperlink r:id="rId29">
        <w:r>
          <w:rPr>
            <w:rFonts w:ascii="Arial" w:eastAsia="Arial" w:hAnsi="Arial" w:cs="Arial"/>
            <w:color w:val="000000"/>
            <w:u w:val="single"/>
          </w:rPr>
          <w:t>https://careers.deliveroo.co.uk/role/partner-marketing-marketing-f022c742f59a/</w:t>
        </w:r>
      </w:hyperlink>
      <w:r>
        <w:rPr>
          <w:rFonts w:ascii="Arial" w:eastAsia="Arial" w:hAnsi="Arial" w:cs="Arial"/>
          <w:color w:val="000000"/>
        </w:rPr>
        <w:t xml:space="preserve"> (Accessed: 9 September 2026)</w:t>
      </w:r>
    </w:p>
    <w:p w14:paraId="2A5B9C23" w14:textId="77777777" w:rsidR="000573E1" w:rsidRDefault="00493529">
      <w:pPr>
        <w:rPr>
          <w:rFonts w:ascii="Arial" w:eastAsia="Arial" w:hAnsi="Arial" w:cs="Arial"/>
        </w:rPr>
      </w:pPr>
      <w:r>
        <w:rPr>
          <w:rFonts w:ascii="Arial" w:eastAsia="Arial" w:hAnsi="Arial" w:cs="Arial"/>
        </w:rPr>
        <w:t xml:space="preserve">DoorDash. (2025) </w:t>
      </w:r>
      <w:r>
        <w:rPr>
          <w:rFonts w:ascii="Arial" w:eastAsia="Arial" w:hAnsi="Arial" w:cs="Arial"/>
          <w:i/>
          <w:iCs/>
        </w:rPr>
        <w:t>DoorDash Completes Acquisition of Deliveroo</w:t>
      </w:r>
      <w:r>
        <w:rPr>
          <w:rFonts w:ascii="Arial" w:eastAsia="Arial" w:hAnsi="Arial" w:cs="Arial"/>
        </w:rPr>
        <w:t xml:space="preserve">. Available at: </w:t>
      </w:r>
      <w:hyperlink r:id="rId30">
        <w:r>
          <w:rPr>
            <w:rFonts w:ascii="Arial" w:eastAsia="Arial" w:hAnsi="Arial" w:cs="Arial"/>
            <w:u w:val="single"/>
          </w:rPr>
          <w:t>https://ir.doordash.com/news/news-details/2025/DoorDash-Completes-Acquisition-of-Deliveroo/default.aspx</w:t>
        </w:r>
      </w:hyperlink>
      <w:r>
        <w:t xml:space="preserve"> </w:t>
      </w:r>
      <w:r>
        <w:rPr>
          <w:rFonts w:ascii="Arial" w:eastAsia="Arial" w:hAnsi="Arial" w:cs="Arial"/>
        </w:rPr>
        <w:t>(Accessed: 4 September 2026)</w:t>
      </w:r>
    </w:p>
    <w:p w14:paraId="1781A23D" w14:textId="77777777" w:rsidR="000573E1" w:rsidRDefault="00493529">
      <w:pPr>
        <w:spacing w:after="240"/>
        <w:rPr>
          <w:rFonts w:ascii="Arial" w:eastAsia="Arial" w:hAnsi="Arial" w:cs="Arial"/>
          <w:color w:val="000000"/>
        </w:rPr>
      </w:pPr>
      <w:r>
        <w:rPr>
          <w:rFonts w:ascii="Arial" w:eastAsia="Arial" w:hAnsi="Arial" w:cs="Arial"/>
        </w:rPr>
        <w:t xml:space="preserve">Federal Trade Commission (2025) </w:t>
      </w:r>
      <w:r>
        <w:rPr>
          <w:rFonts w:ascii="Arial" w:eastAsia="Arial" w:hAnsi="Arial" w:cs="Arial"/>
          <w:i/>
          <w:iCs/>
        </w:rPr>
        <w:t>FTC Issues Policy Statement Cla</w:t>
      </w:r>
      <w:r>
        <w:rPr>
          <w:rFonts w:ascii="Arial" w:eastAsia="Arial" w:hAnsi="Arial" w:cs="Arial"/>
          <w:i/>
          <w:iCs/>
          <w:color w:val="000000"/>
        </w:rPr>
        <w:t>rifying that Independent Contractors, Gig Workers’ Organizing Activities Are Shielded from Antitrust Liability</w:t>
      </w:r>
      <w:r>
        <w:rPr>
          <w:rFonts w:ascii="Arial" w:eastAsia="Arial" w:hAnsi="Arial" w:cs="Arial"/>
          <w:color w:val="000000"/>
        </w:rPr>
        <w:t xml:space="preserve">. Available at: </w:t>
      </w:r>
      <w:hyperlink r:id="rId31">
        <w:r>
          <w:rPr>
            <w:rFonts w:ascii="Arial" w:eastAsia="Arial" w:hAnsi="Arial" w:cs="Arial"/>
            <w:color w:val="000000"/>
            <w:u w:val="single"/>
          </w:rPr>
          <w:t>https://www.ftc.gov/news-events/news/press-releases/2025/01/ftc-issues-policy-statement-clarifying-independent-contractors-gig-workers-organizing-activities-are</w:t>
        </w:r>
      </w:hyperlink>
      <w:r>
        <w:rPr>
          <w:rFonts w:ascii="Arial" w:eastAsia="Arial" w:hAnsi="Arial" w:cs="Arial"/>
          <w:color w:val="000000"/>
        </w:rPr>
        <w:t xml:space="preserve"> (Accessed: 7 September 2026)</w:t>
      </w:r>
    </w:p>
    <w:p w14:paraId="6339C87D" w14:textId="77777777" w:rsidR="000573E1" w:rsidRDefault="00493529">
      <w:pPr>
        <w:spacing w:after="240"/>
        <w:rPr>
          <w:rFonts w:ascii="Arial" w:eastAsia="Arial" w:hAnsi="Arial" w:cs="Arial"/>
          <w:color w:val="000000"/>
        </w:rPr>
      </w:pPr>
      <w:r>
        <w:rPr>
          <w:rFonts w:ascii="Arial" w:eastAsia="Arial" w:hAnsi="Arial" w:cs="Arial"/>
          <w:color w:val="000000"/>
        </w:rPr>
        <w:t xml:space="preserve">Global.Fujitsu (2025) </w:t>
      </w:r>
      <w:r>
        <w:rPr>
          <w:rFonts w:ascii="Arial" w:eastAsia="Arial" w:hAnsi="Arial" w:cs="Arial"/>
          <w:i/>
          <w:iCs/>
          <w:color w:val="000000"/>
        </w:rPr>
        <w:t xml:space="preserve">Fujitsu </w:t>
      </w:r>
      <w:r>
        <w:rPr>
          <w:rFonts w:ascii="Arial" w:eastAsia="Arial" w:hAnsi="Arial" w:cs="Arial"/>
          <w:i/>
          <w:iCs/>
        </w:rPr>
        <w:t>launches an integrated</w:t>
      </w:r>
      <w:r>
        <w:rPr>
          <w:rFonts w:ascii="Arial" w:eastAsia="Arial" w:hAnsi="Arial" w:cs="Arial"/>
          <w:i/>
          <w:iCs/>
          <w:color w:val="000000"/>
        </w:rPr>
        <w:t xml:space="preserve"> package of core system support services for food distribution industry</w:t>
      </w:r>
      <w:r>
        <w:rPr>
          <w:rFonts w:ascii="Arial" w:eastAsia="Arial" w:hAnsi="Arial" w:cs="Arial"/>
          <w:color w:val="000000"/>
        </w:rPr>
        <w:t xml:space="preserve">. Available at: </w:t>
      </w:r>
      <w:hyperlink r:id="rId32">
        <w:r>
          <w:rPr>
            <w:rFonts w:ascii="Arial" w:eastAsia="Arial" w:hAnsi="Arial" w:cs="Arial"/>
            <w:color w:val="000000"/>
            <w:u w:val="single"/>
          </w:rPr>
          <w:t>https://global.fujitsu/en-global/pr/news/2025/11/20-01</w:t>
        </w:r>
      </w:hyperlink>
      <w:r>
        <w:rPr>
          <w:rFonts w:ascii="Arial" w:eastAsia="Arial" w:hAnsi="Arial" w:cs="Arial"/>
          <w:color w:val="000000"/>
        </w:rPr>
        <w:t xml:space="preserve"> (Accessed: 7 September 2026)</w:t>
      </w:r>
    </w:p>
    <w:p w14:paraId="3ACD4471" w14:textId="77777777" w:rsidR="000573E1" w:rsidRDefault="00493529">
      <w:pPr>
        <w:spacing w:after="240"/>
        <w:rPr>
          <w:rFonts w:ascii="Arial" w:eastAsia="Arial" w:hAnsi="Arial" w:cs="Arial"/>
          <w:color w:val="000000"/>
        </w:rPr>
      </w:pPr>
      <w:r>
        <w:rPr>
          <w:rFonts w:ascii="Arial" w:eastAsia="Arial" w:hAnsi="Arial" w:cs="Arial"/>
          <w:color w:val="000000"/>
        </w:rPr>
        <w:t xml:space="preserve">Grandviewresearch (2025) </w:t>
      </w:r>
      <w:r>
        <w:rPr>
          <w:rFonts w:ascii="Arial" w:eastAsia="Arial" w:hAnsi="Arial" w:cs="Arial"/>
          <w:i/>
          <w:iCs/>
          <w:color w:val="000000"/>
        </w:rPr>
        <w:t>Japan Online Food Delivery Market Size &amp; Outlook, 2030.</w:t>
      </w:r>
      <w:r>
        <w:rPr>
          <w:rFonts w:ascii="Arial" w:eastAsia="Arial" w:hAnsi="Arial" w:cs="Arial"/>
          <w:color w:val="000000"/>
        </w:rPr>
        <w:t xml:space="preserve"> Available at: </w:t>
      </w:r>
      <w:hyperlink r:id="rId33">
        <w:r>
          <w:rPr>
            <w:rFonts w:ascii="Arial" w:eastAsia="Arial" w:hAnsi="Arial" w:cs="Arial"/>
            <w:color w:val="000000"/>
            <w:u w:val="single"/>
          </w:rPr>
          <w:t>https://www.grandviewresearch.com/horizon/outlook/online-food-delivery-market/japan</w:t>
        </w:r>
      </w:hyperlink>
      <w:r>
        <w:rPr>
          <w:rFonts w:ascii="Arial" w:eastAsia="Arial" w:hAnsi="Arial" w:cs="Arial"/>
          <w:color w:val="000000"/>
        </w:rPr>
        <w:t xml:space="preserve"> (Accessed: 7 September 2026)</w:t>
      </w:r>
    </w:p>
    <w:p w14:paraId="6FC78581" w14:textId="77777777" w:rsidR="000573E1" w:rsidRDefault="00493529">
      <w:pPr>
        <w:spacing w:after="240"/>
        <w:rPr>
          <w:rFonts w:ascii="Arial" w:eastAsia="Arial" w:hAnsi="Arial" w:cs="Arial"/>
          <w:color w:val="000000"/>
        </w:rPr>
      </w:pPr>
      <w:r>
        <w:rPr>
          <w:rFonts w:ascii="Arial" w:eastAsia="Arial" w:hAnsi="Arial" w:cs="Arial"/>
          <w:color w:val="000000"/>
        </w:rPr>
        <w:t xml:space="preserve">IMARC Group (2025) </w:t>
      </w:r>
      <w:r>
        <w:rPr>
          <w:rFonts w:ascii="Arial" w:eastAsia="Arial" w:hAnsi="Arial" w:cs="Arial"/>
          <w:i/>
          <w:iCs/>
          <w:color w:val="000000"/>
        </w:rPr>
        <w:t>United States (US) Online Food Delivery Market Size &amp; Trends 2021-2026.</w:t>
      </w:r>
      <w:r>
        <w:rPr>
          <w:rFonts w:ascii="Arial" w:eastAsia="Arial" w:hAnsi="Arial" w:cs="Arial"/>
          <w:color w:val="000000"/>
        </w:rPr>
        <w:t xml:space="preserve"> Available at: </w:t>
      </w:r>
      <w:hyperlink r:id="rId34">
        <w:r>
          <w:rPr>
            <w:rFonts w:ascii="Arial" w:eastAsia="Arial" w:hAnsi="Arial" w:cs="Arial"/>
            <w:color w:val="000000"/>
            <w:u w:val="single"/>
          </w:rPr>
          <w:t>https://www.imarcgroup.com/united-states-online-food-delivery-market</w:t>
        </w:r>
      </w:hyperlink>
      <w:r>
        <w:rPr>
          <w:rFonts w:ascii="Arial" w:eastAsia="Arial" w:hAnsi="Arial" w:cs="Arial"/>
          <w:color w:val="000000"/>
        </w:rPr>
        <w:t xml:space="preserve"> (Accessed: 5 September 2026)</w:t>
      </w:r>
    </w:p>
    <w:p w14:paraId="545999A0" w14:textId="77777777" w:rsidR="000573E1" w:rsidRDefault="00493529">
      <w:pPr>
        <w:spacing w:after="240"/>
        <w:rPr>
          <w:rFonts w:ascii="Arial" w:eastAsia="Arial" w:hAnsi="Arial" w:cs="Arial"/>
          <w:color w:val="000000"/>
        </w:rPr>
      </w:pPr>
      <w:r>
        <w:rPr>
          <w:rFonts w:ascii="Arial" w:eastAsia="Arial" w:hAnsi="Arial" w:cs="Arial"/>
          <w:color w:val="000000"/>
        </w:rPr>
        <w:t xml:space="preserve">Japanese Law Translation (2018) </w:t>
      </w:r>
      <w:r>
        <w:rPr>
          <w:rFonts w:ascii="Arial" w:eastAsia="Arial" w:hAnsi="Arial" w:cs="Arial"/>
          <w:i/>
          <w:iCs/>
          <w:color w:val="000000"/>
        </w:rPr>
        <w:t xml:space="preserve">Labor Standards Act - English - Japanese Law Translation. </w:t>
      </w:r>
      <w:r>
        <w:rPr>
          <w:rFonts w:ascii="Arial" w:eastAsia="Arial" w:hAnsi="Arial" w:cs="Arial"/>
          <w:color w:val="000000"/>
        </w:rPr>
        <w:t xml:space="preserve">Available at: </w:t>
      </w:r>
      <w:hyperlink r:id="rId35">
        <w:r>
          <w:rPr>
            <w:rFonts w:ascii="Arial" w:eastAsia="Arial" w:hAnsi="Arial" w:cs="Arial"/>
            <w:color w:val="000000"/>
            <w:u w:val="single"/>
          </w:rPr>
          <w:t>https://www.japaneselawtranslation.go.jp/en/laws/view/3567/en</w:t>
        </w:r>
      </w:hyperlink>
      <w:r>
        <w:rPr>
          <w:rFonts w:ascii="Arial" w:eastAsia="Arial" w:hAnsi="Arial" w:cs="Arial"/>
          <w:color w:val="000000"/>
        </w:rPr>
        <w:t xml:space="preserve"> (Accessed: 7 September 2026)</w:t>
      </w:r>
    </w:p>
    <w:p w14:paraId="0C678165" w14:textId="77777777" w:rsidR="000573E1" w:rsidRDefault="00493529">
      <w:pPr>
        <w:spacing w:after="240"/>
        <w:rPr>
          <w:rFonts w:ascii="Arial" w:eastAsia="Arial" w:hAnsi="Arial" w:cs="Arial"/>
          <w:color w:val="000000"/>
        </w:rPr>
      </w:pPr>
      <w:r>
        <w:rPr>
          <w:rFonts w:ascii="Arial" w:eastAsia="Arial" w:hAnsi="Arial" w:cs="Arial"/>
          <w:color w:val="000000"/>
        </w:rPr>
        <w:t xml:space="preserve">Kemp S (2025) </w:t>
      </w:r>
      <w:r>
        <w:rPr>
          <w:rFonts w:ascii="Arial" w:eastAsia="Arial" w:hAnsi="Arial" w:cs="Arial"/>
          <w:i/>
          <w:iCs/>
          <w:color w:val="000000"/>
        </w:rPr>
        <w:t>Digital 2026 Japan</w:t>
      </w:r>
      <w:r>
        <w:rPr>
          <w:rFonts w:ascii="Arial" w:eastAsia="Arial" w:hAnsi="Arial" w:cs="Arial"/>
          <w:color w:val="000000"/>
        </w:rPr>
        <w:t xml:space="preserve">. Available at: </w:t>
      </w:r>
      <w:hyperlink r:id="rId36">
        <w:r>
          <w:rPr>
            <w:rFonts w:ascii="Arial" w:eastAsia="Arial" w:hAnsi="Arial" w:cs="Arial"/>
            <w:color w:val="000000"/>
            <w:u w:val="single"/>
          </w:rPr>
          <w:t>https://datareportal.com/reports/digital-2026-japan</w:t>
        </w:r>
      </w:hyperlink>
      <w:r>
        <w:rPr>
          <w:rFonts w:ascii="Arial" w:eastAsia="Arial" w:hAnsi="Arial" w:cs="Arial"/>
          <w:color w:val="000000"/>
        </w:rPr>
        <w:t xml:space="preserve"> (Accessed: 9 September 2026)</w:t>
      </w:r>
    </w:p>
    <w:p w14:paraId="79DBB33D" w14:textId="77777777" w:rsidR="000573E1" w:rsidRDefault="00493529">
      <w:pPr>
        <w:spacing w:after="240"/>
        <w:rPr>
          <w:rFonts w:ascii="Arial" w:eastAsia="Arial" w:hAnsi="Arial" w:cs="Arial"/>
          <w:color w:val="000000"/>
        </w:rPr>
      </w:pPr>
      <w:r>
        <w:rPr>
          <w:rFonts w:ascii="Arial" w:eastAsia="Arial" w:hAnsi="Arial" w:cs="Arial"/>
          <w:color w:val="000000"/>
        </w:rPr>
        <w:t xml:space="preserve">Liberto, D. (2026) </w:t>
      </w:r>
      <w:r>
        <w:rPr>
          <w:rFonts w:ascii="Arial" w:eastAsia="Arial" w:hAnsi="Arial" w:cs="Arial"/>
          <w:i/>
          <w:iCs/>
          <w:color w:val="000000"/>
        </w:rPr>
        <w:t>New law forces food delivery apps to issue full cash refunds. Here’s how it works and whether it applies to you</w:t>
      </w:r>
      <w:r>
        <w:rPr>
          <w:rFonts w:ascii="Arial" w:eastAsia="Arial" w:hAnsi="Arial" w:cs="Arial"/>
          <w:color w:val="000000"/>
        </w:rPr>
        <w:t xml:space="preserve">. Available at: </w:t>
      </w:r>
      <w:hyperlink r:id="rId37">
        <w:r>
          <w:rPr>
            <w:rFonts w:ascii="Arial" w:eastAsia="Arial" w:hAnsi="Arial" w:cs="Arial"/>
            <w:color w:val="000000"/>
            <w:u w:val="single"/>
          </w:rPr>
          <w:t>https://finance.yahoo.com/news/law-forces-food-delivery-apps-121500301.html</w:t>
        </w:r>
      </w:hyperlink>
      <w:r>
        <w:rPr>
          <w:rFonts w:ascii="Arial" w:eastAsia="Arial" w:hAnsi="Arial" w:cs="Arial"/>
          <w:color w:val="000000"/>
        </w:rPr>
        <w:t xml:space="preserve"> (Accessed: 7 September 2026)</w:t>
      </w:r>
    </w:p>
    <w:p w14:paraId="7C782A29" w14:textId="77777777" w:rsidR="000573E1" w:rsidRDefault="00493529">
      <w:pPr>
        <w:spacing w:after="240"/>
        <w:rPr>
          <w:rFonts w:ascii="Arial" w:eastAsia="Arial" w:hAnsi="Arial" w:cs="Arial"/>
          <w:color w:val="000000"/>
        </w:rPr>
      </w:pPr>
      <w:r>
        <w:rPr>
          <w:rFonts w:ascii="Arial" w:eastAsia="Arial" w:hAnsi="Arial" w:cs="Arial"/>
          <w:color w:val="000000"/>
        </w:rPr>
        <w:t xml:space="preserve">National Business Law Authority (2025) </w:t>
      </w:r>
      <w:r>
        <w:rPr>
          <w:rFonts w:ascii="Arial" w:eastAsia="Arial" w:hAnsi="Arial" w:cs="Arial"/>
          <w:i/>
          <w:iCs/>
          <w:color w:val="000000"/>
        </w:rPr>
        <w:t>Business Regulatory Compliance.</w:t>
      </w:r>
      <w:r>
        <w:rPr>
          <w:rFonts w:ascii="Arial" w:eastAsia="Arial" w:hAnsi="Arial" w:cs="Arial"/>
          <w:color w:val="000000"/>
        </w:rPr>
        <w:t xml:space="preserve"> Available at: </w:t>
      </w:r>
      <w:hyperlink r:id="rId38">
        <w:r>
          <w:rPr>
            <w:rFonts w:ascii="Arial" w:eastAsia="Arial" w:hAnsi="Arial" w:cs="Arial"/>
            <w:color w:val="000000"/>
            <w:u w:val="single"/>
          </w:rPr>
          <w:t>https://nationalbusinesslawauthority.com/business-regulatory-compliance/</w:t>
        </w:r>
      </w:hyperlink>
      <w:r>
        <w:rPr>
          <w:rFonts w:ascii="Arial" w:eastAsia="Arial" w:hAnsi="Arial" w:cs="Arial"/>
          <w:color w:val="000000"/>
        </w:rPr>
        <w:t xml:space="preserve"> (Accessed: 9 September 2026)</w:t>
      </w:r>
    </w:p>
    <w:p w14:paraId="28F6629A" w14:textId="77777777" w:rsidR="000573E1" w:rsidRDefault="00493529">
      <w:pPr>
        <w:spacing w:after="240"/>
        <w:rPr>
          <w:rFonts w:ascii="Arial" w:eastAsia="Arial" w:hAnsi="Arial" w:cs="Arial"/>
          <w:color w:val="000000"/>
        </w:rPr>
      </w:pPr>
      <w:r>
        <w:rPr>
          <w:rFonts w:ascii="Arial" w:eastAsia="Arial" w:hAnsi="Arial" w:cs="Arial"/>
          <w:color w:val="000000"/>
        </w:rPr>
        <w:t xml:space="preserve">OECD (2025) </w:t>
      </w:r>
      <w:r>
        <w:rPr>
          <w:rFonts w:ascii="Arial" w:eastAsia="Arial" w:hAnsi="Arial" w:cs="Arial"/>
          <w:i/>
          <w:iCs/>
          <w:color w:val="000000"/>
        </w:rPr>
        <w:t>Education GPS - Japan - Overview of the education system (EAG 2019)</w:t>
      </w:r>
      <w:r>
        <w:rPr>
          <w:rFonts w:ascii="Arial" w:eastAsia="Arial" w:hAnsi="Arial" w:cs="Arial"/>
          <w:color w:val="000000"/>
        </w:rPr>
        <w:t xml:space="preserve">. Available at: </w:t>
      </w:r>
      <w:hyperlink r:id="rId39">
        <w:r>
          <w:rPr>
            <w:rFonts w:ascii="Arial" w:eastAsia="Arial" w:hAnsi="Arial" w:cs="Arial"/>
            <w:color w:val="000000"/>
            <w:u w:val="single"/>
          </w:rPr>
          <w:t>https://gpseducation.oecd.org/CountryProfile?primaryCountry=JPN&amp;treshold=10&amp;topic=EO</w:t>
        </w:r>
      </w:hyperlink>
      <w:r>
        <w:rPr>
          <w:rFonts w:ascii="Arial" w:eastAsia="Arial" w:hAnsi="Arial" w:cs="Arial"/>
          <w:color w:val="000000"/>
        </w:rPr>
        <w:t xml:space="preserve"> (Accessed: 7 September 2026)</w:t>
      </w:r>
    </w:p>
    <w:p w14:paraId="0F318397" w14:textId="77777777" w:rsidR="000573E1" w:rsidRDefault="00493529">
      <w:pPr>
        <w:spacing w:after="240"/>
        <w:rPr>
          <w:rFonts w:ascii="Arial" w:eastAsia="Arial" w:hAnsi="Arial" w:cs="Arial"/>
          <w:color w:val="000000"/>
        </w:rPr>
      </w:pPr>
      <w:r>
        <w:rPr>
          <w:rFonts w:ascii="Arial" w:eastAsia="Arial" w:hAnsi="Arial" w:cs="Arial"/>
          <w:color w:val="000000"/>
        </w:rPr>
        <w:t xml:space="preserve">PWC (2025) </w:t>
      </w:r>
      <w:r>
        <w:rPr>
          <w:rFonts w:ascii="Arial" w:eastAsia="Arial" w:hAnsi="Arial" w:cs="Arial"/>
          <w:i/>
          <w:iCs/>
          <w:color w:val="000000"/>
        </w:rPr>
        <w:t>Next In Consumer Market.</w:t>
      </w:r>
      <w:r>
        <w:rPr>
          <w:rFonts w:ascii="Arial" w:eastAsia="Arial" w:hAnsi="Arial" w:cs="Arial"/>
          <w:color w:val="000000"/>
        </w:rPr>
        <w:t xml:space="preserve"> Available at: </w:t>
      </w:r>
      <w:hyperlink r:id="rId40">
        <w:r>
          <w:rPr>
            <w:rFonts w:ascii="Arial" w:eastAsia="Arial" w:hAnsi="Arial" w:cs="Arial"/>
            <w:color w:val="000000"/>
            <w:u w:val="single"/>
          </w:rPr>
          <w:t>https://www.pwc.com/us/en/industries/consumer-markets/library/consumer-markets-trends.html</w:t>
        </w:r>
      </w:hyperlink>
      <w:r>
        <w:rPr>
          <w:rFonts w:ascii="Arial" w:eastAsia="Arial" w:hAnsi="Arial" w:cs="Arial"/>
          <w:color w:val="000000"/>
        </w:rPr>
        <w:t>  (Accessed: 9 September 2026)</w:t>
      </w:r>
    </w:p>
    <w:p w14:paraId="799202EE" w14:textId="77777777" w:rsidR="000573E1" w:rsidRDefault="00493529">
      <w:pPr>
        <w:spacing w:after="240"/>
        <w:rPr>
          <w:rFonts w:ascii="Arial" w:eastAsia="Arial" w:hAnsi="Arial" w:cs="Arial"/>
          <w:color w:val="000000"/>
        </w:rPr>
      </w:pPr>
      <w:r>
        <w:rPr>
          <w:rFonts w:ascii="Arial" w:eastAsia="Arial" w:hAnsi="Arial" w:cs="Arial"/>
          <w:color w:val="000000"/>
        </w:rPr>
        <w:t xml:space="preserve">Reuters (2025) </w:t>
      </w:r>
      <w:r>
        <w:rPr>
          <w:rFonts w:ascii="Arial" w:eastAsia="Arial" w:hAnsi="Arial" w:cs="Arial"/>
          <w:i/>
          <w:iCs/>
          <w:color w:val="000000"/>
        </w:rPr>
        <w:t>UK’s Deliveroo reports stronger orders.</w:t>
      </w:r>
      <w:r>
        <w:rPr>
          <w:rFonts w:ascii="Arial" w:eastAsia="Arial" w:hAnsi="Arial" w:cs="Arial"/>
          <w:color w:val="000000"/>
        </w:rPr>
        <w:t xml:space="preserve"> Available at: </w:t>
      </w:r>
      <w:hyperlink r:id="rId41">
        <w:r>
          <w:rPr>
            <w:rFonts w:ascii="Arial" w:eastAsia="Arial" w:hAnsi="Arial" w:cs="Arial"/>
            <w:color w:val="000000"/>
            <w:u w:val="single"/>
          </w:rPr>
          <w:t>https://www.reuters.com/business/retail-consumer/uks-deliveroo-reports-stronger-order-growth-first-quarter-2025-04-17/</w:t>
        </w:r>
      </w:hyperlink>
      <w:r>
        <w:rPr>
          <w:rFonts w:ascii="Arial" w:eastAsia="Arial" w:hAnsi="Arial" w:cs="Arial"/>
          <w:color w:val="000000"/>
        </w:rPr>
        <w:t xml:space="preserve"> (Accessed: 9 September 2026)</w:t>
      </w:r>
    </w:p>
    <w:p w14:paraId="718764CF" w14:textId="77777777" w:rsidR="000573E1" w:rsidRDefault="00493529">
      <w:pPr>
        <w:spacing w:after="240"/>
        <w:rPr>
          <w:rFonts w:ascii="Arial" w:eastAsia="Arial" w:hAnsi="Arial" w:cs="Arial"/>
          <w:color w:val="000000"/>
        </w:rPr>
      </w:pPr>
      <w:r>
        <w:rPr>
          <w:rFonts w:ascii="Arial" w:eastAsia="Arial" w:hAnsi="Arial" w:cs="Arial"/>
          <w:color w:val="000000"/>
        </w:rPr>
        <w:t xml:space="preserve">Segal, M. (2025) </w:t>
      </w:r>
      <w:r>
        <w:rPr>
          <w:rFonts w:ascii="Arial" w:eastAsia="Arial" w:hAnsi="Arial" w:cs="Arial"/>
          <w:i/>
          <w:iCs/>
          <w:color w:val="000000"/>
        </w:rPr>
        <w:t>U.S. Rejects UN Sustainable Development Goals.</w:t>
      </w:r>
      <w:r>
        <w:rPr>
          <w:rFonts w:ascii="Arial" w:eastAsia="Arial" w:hAnsi="Arial" w:cs="Arial"/>
          <w:color w:val="000000"/>
        </w:rPr>
        <w:t xml:space="preserve"> Available at: </w:t>
      </w:r>
      <w:hyperlink r:id="rId42">
        <w:r>
          <w:rPr>
            <w:rFonts w:ascii="Arial" w:eastAsia="Arial" w:hAnsi="Arial" w:cs="Arial"/>
            <w:color w:val="000000"/>
            <w:u w:val="single"/>
          </w:rPr>
          <w:t>https://www.esgtoday.com/u-s-rejects-un-sustainable-development-goals/</w:t>
        </w:r>
      </w:hyperlink>
      <w:r>
        <w:rPr>
          <w:rFonts w:ascii="Arial" w:eastAsia="Arial" w:hAnsi="Arial" w:cs="Arial"/>
          <w:color w:val="000000"/>
        </w:rPr>
        <w:t xml:space="preserve"> (Accessed: 4 September 2026)</w:t>
      </w:r>
    </w:p>
    <w:p w14:paraId="72335F3E" w14:textId="77777777" w:rsidR="000573E1" w:rsidRDefault="00493529">
      <w:pPr>
        <w:spacing w:after="240"/>
        <w:rPr>
          <w:rFonts w:ascii="Arial" w:eastAsia="Arial" w:hAnsi="Arial" w:cs="Arial"/>
          <w:color w:val="000000"/>
        </w:rPr>
      </w:pPr>
      <w:r>
        <w:rPr>
          <w:rFonts w:ascii="Arial" w:eastAsia="Arial" w:hAnsi="Arial" w:cs="Arial"/>
          <w:color w:val="000000"/>
        </w:rPr>
        <w:t xml:space="preserve">Smartstartjapan (2026a) </w:t>
      </w:r>
      <w:r>
        <w:rPr>
          <w:rFonts w:ascii="Arial" w:eastAsia="Arial" w:hAnsi="Arial" w:cs="Arial"/>
          <w:i/>
          <w:iCs/>
          <w:color w:val="000000"/>
        </w:rPr>
        <w:t>Business Regulations In Japan.</w:t>
      </w:r>
      <w:r>
        <w:rPr>
          <w:rFonts w:ascii="Arial" w:eastAsia="Arial" w:hAnsi="Arial" w:cs="Arial"/>
          <w:color w:val="000000"/>
        </w:rPr>
        <w:t xml:space="preserve"> Available at:</w:t>
      </w:r>
      <w:hyperlink r:id="rId43">
        <w:r>
          <w:rPr>
            <w:rFonts w:ascii="Arial" w:eastAsia="Arial" w:hAnsi="Arial" w:cs="Arial"/>
            <w:color w:val="000000"/>
            <w:u w:val="single"/>
          </w:rPr>
          <w:t>https://smartstartjapan.com/business-regulations-in-japan/</w:t>
        </w:r>
      </w:hyperlink>
      <w:r>
        <w:rPr>
          <w:rFonts w:ascii="Arial" w:eastAsia="Arial" w:hAnsi="Arial" w:cs="Arial"/>
          <w:color w:val="000000"/>
        </w:rPr>
        <w:t xml:space="preserve"> (Accessed: 9 September 2026)</w:t>
      </w:r>
    </w:p>
    <w:p w14:paraId="37D9CC14" w14:textId="77777777" w:rsidR="000573E1" w:rsidRDefault="00493529">
      <w:pPr>
        <w:spacing w:after="240"/>
        <w:rPr>
          <w:rFonts w:ascii="Arial" w:eastAsia="Arial" w:hAnsi="Arial" w:cs="Arial"/>
          <w:color w:val="000000"/>
        </w:rPr>
      </w:pPr>
      <w:r>
        <w:rPr>
          <w:rFonts w:ascii="Arial" w:eastAsia="Arial" w:hAnsi="Arial" w:cs="Arial"/>
          <w:color w:val="000000"/>
        </w:rPr>
        <w:t xml:space="preserve">Statista (2025a) </w:t>
      </w:r>
      <w:r>
        <w:rPr>
          <w:rFonts w:ascii="Arial" w:eastAsia="Arial" w:hAnsi="Arial" w:cs="Arial"/>
          <w:i/>
          <w:iCs/>
          <w:color w:val="000000"/>
        </w:rPr>
        <w:t>Online Food Delivery.</w:t>
      </w:r>
      <w:r>
        <w:rPr>
          <w:rFonts w:ascii="Arial" w:eastAsia="Arial" w:hAnsi="Arial" w:cs="Arial"/>
          <w:color w:val="000000"/>
        </w:rPr>
        <w:t xml:space="preserve"> Available at:</w:t>
      </w:r>
      <w:hyperlink r:id="rId44">
        <w:r>
          <w:rPr>
            <w:rFonts w:ascii="Arial" w:eastAsia="Arial" w:hAnsi="Arial" w:cs="Arial"/>
            <w:color w:val="000000"/>
            <w:u w:val="single"/>
          </w:rPr>
          <w:t>https://www.statista.com/outlook/emo/online-food-delivery/worldwide/?srsltid=AfmBOoqOgO3IJdQ10UJwJdB0VX_wFeAeXbHHr-NJ7LjlK4S6J9uG0bA3</w:t>
        </w:r>
      </w:hyperlink>
      <w:r>
        <w:rPr>
          <w:rFonts w:ascii="Arial" w:eastAsia="Arial" w:hAnsi="Arial" w:cs="Arial"/>
          <w:color w:val="000000"/>
        </w:rPr>
        <w:t xml:space="preserve"> (Accessed: 9 September 2026)</w:t>
      </w:r>
    </w:p>
    <w:p w14:paraId="3976ED2A" w14:textId="77777777" w:rsidR="000573E1" w:rsidRDefault="00493529">
      <w:pPr>
        <w:spacing w:after="240"/>
        <w:rPr>
          <w:rFonts w:ascii="Arial" w:eastAsia="Arial" w:hAnsi="Arial" w:cs="Arial"/>
          <w:color w:val="000000"/>
        </w:rPr>
      </w:pPr>
      <w:r>
        <w:rPr>
          <w:rFonts w:ascii="Arial" w:eastAsia="Arial" w:hAnsi="Arial" w:cs="Arial"/>
          <w:color w:val="000000"/>
        </w:rPr>
        <w:t xml:space="preserve">Statista (2026a) </w:t>
      </w:r>
      <w:r>
        <w:rPr>
          <w:rFonts w:ascii="Arial" w:eastAsia="Arial" w:hAnsi="Arial" w:cs="Arial"/>
          <w:i/>
          <w:iCs/>
          <w:color w:val="000000"/>
        </w:rPr>
        <w:t>Online Food Delivery.</w:t>
      </w:r>
      <w:r>
        <w:rPr>
          <w:rFonts w:ascii="Arial" w:eastAsia="Arial" w:hAnsi="Arial" w:cs="Arial"/>
          <w:color w:val="000000"/>
        </w:rPr>
        <w:t xml:space="preserve"> Available at: </w:t>
      </w:r>
      <w:hyperlink r:id="rId45">
        <w:r>
          <w:rPr>
            <w:rFonts w:ascii="Arial" w:eastAsia="Arial" w:hAnsi="Arial" w:cs="Arial"/>
            <w:color w:val="000000"/>
            <w:u w:val="single"/>
          </w:rPr>
          <w:t>https://www.statista.com/outlook/emo/online-food-delivery/united-states/?srsltid=AfmBOoocrqeAZKGrgKdpNSN2fsSBfrVifUuJRGJ1NhOUUuuNdeo2zW79</w:t>
        </w:r>
      </w:hyperlink>
      <w:r>
        <w:rPr>
          <w:rFonts w:ascii="Arial" w:eastAsia="Arial" w:hAnsi="Arial" w:cs="Arial"/>
          <w:color w:val="000000"/>
        </w:rPr>
        <w:t xml:space="preserve"> (Accessed: 9 September 2026)</w:t>
      </w:r>
    </w:p>
    <w:p w14:paraId="22752C31" w14:textId="77777777" w:rsidR="000573E1" w:rsidRDefault="00493529">
      <w:pPr>
        <w:spacing w:after="240"/>
        <w:rPr>
          <w:rFonts w:ascii="Arial" w:eastAsia="Arial" w:hAnsi="Arial" w:cs="Arial"/>
          <w:color w:val="000000"/>
        </w:rPr>
      </w:pPr>
      <w:r>
        <w:rPr>
          <w:rFonts w:ascii="Arial" w:eastAsia="Arial" w:hAnsi="Arial" w:cs="Arial"/>
          <w:color w:val="000000"/>
        </w:rPr>
        <w:t xml:space="preserve">Statista. (2025b) </w:t>
      </w:r>
      <w:r>
        <w:rPr>
          <w:rFonts w:ascii="Arial" w:eastAsia="Arial" w:hAnsi="Arial" w:cs="Arial"/>
          <w:i/>
          <w:iCs/>
          <w:color w:val="000000"/>
        </w:rPr>
        <w:t>Topic: Deliveroo.</w:t>
      </w:r>
      <w:r>
        <w:rPr>
          <w:rFonts w:ascii="Arial" w:eastAsia="Arial" w:hAnsi="Arial" w:cs="Arial"/>
          <w:color w:val="000000"/>
        </w:rPr>
        <w:t xml:space="preserve"> Available at: </w:t>
      </w:r>
      <w:hyperlink r:id="rId46">
        <w:r>
          <w:rPr>
            <w:rFonts w:ascii="Arial" w:eastAsia="Arial" w:hAnsi="Arial" w:cs="Arial"/>
            <w:color w:val="000000"/>
            <w:u w:val="single"/>
          </w:rPr>
          <w:t>https://www.statista.com/topics/10043/deliveroo/</w:t>
        </w:r>
      </w:hyperlink>
      <w:r>
        <w:rPr>
          <w:rFonts w:ascii="Arial" w:eastAsia="Arial" w:hAnsi="Arial" w:cs="Arial"/>
          <w:color w:val="000000"/>
        </w:rPr>
        <w:t xml:space="preserve"> (Accessed: 7 September 2026)</w:t>
      </w:r>
    </w:p>
    <w:p w14:paraId="042D15AB" w14:textId="77777777" w:rsidR="000573E1" w:rsidRDefault="00493529">
      <w:pPr>
        <w:spacing w:after="240"/>
        <w:rPr>
          <w:rFonts w:ascii="Arial" w:eastAsia="Arial" w:hAnsi="Arial" w:cs="Arial"/>
          <w:color w:val="000000"/>
        </w:rPr>
      </w:pPr>
      <w:r>
        <w:rPr>
          <w:rFonts w:ascii="Arial" w:eastAsia="Arial" w:hAnsi="Arial" w:cs="Arial"/>
          <w:color w:val="000000"/>
        </w:rPr>
        <w:t xml:space="preserve">Statista. (2026b) </w:t>
      </w:r>
      <w:r>
        <w:rPr>
          <w:rFonts w:ascii="Arial" w:eastAsia="Arial" w:hAnsi="Arial" w:cs="Arial"/>
          <w:i/>
          <w:iCs/>
          <w:color w:val="000000"/>
        </w:rPr>
        <w:t>Topic: Online food delivery in the U.S.</w:t>
      </w:r>
      <w:r>
        <w:rPr>
          <w:rFonts w:ascii="Arial" w:eastAsia="Arial" w:hAnsi="Arial" w:cs="Arial"/>
          <w:color w:val="000000"/>
        </w:rPr>
        <w:t xml:space="preserve"> Available at: </w:t>
      </w:r>
      <w:hyperlink r:id="rId47">
        <w:r>
          <w:rPr>
            <w:rFonts w:ascii="Arial" w:eastAsia="Arial" w:hAnsi="Arial" w:cs="Arial"/>
            <w:color w:val="000000"/>
            <w:u w:val="single"/>
          </w:rPr>
          <w:t>https://www.statista.com/topics/3294/online-food-delivery-services-in-the-us/</w:t>
        </w:r>
      </w:hyperlink>
      <w:r>
        <w:rPr>
          <w:rFonts w:ascii="Arial" w:eastAsia="Arial" w:hAnsi="Arial" w:cs="Arial"/>
          <w:color w:val="000000"/>
        </w:rPr>
        <w:t xml:space="preserve"> (Accessed: 4 September 2026)</w:t>
      </w:r>
    </w:p>
    <w:p w14:paraId="50A4E7A2" w14:textId="77777777" w:rsidR="000573E1" w:rsidRDefault="00493529">
      <w:pPr>
        <w:spacing w:after="240"/>
        <w:rPr>
          <w:rFonts w:ascii="Arial" w:eastAsia="Arial" w:hAnsi="Arial" w:cs="Arial"/>
          <w:color w:val="000000"/>
        </w:rPr>
      </w:pPr>
      <w:r>
        <w:rPr>
          <w:rFonts w:ascii="Arial" w:eastAsia="Arial" w:hAnsi="Arial" w:cs="Arial"/>
          <w:color w:val="000000"/>
        </w:rPr>
        <w:t xml:space="preserve">The Culture Factor (2026) </w:t>
      </w:r>
      <w:r>
        <w:rPr>
          <w:rFonts w:ascii="Arial" w:eastAsia="Arial" w:hAnsi="Arial" w:cs="Arial"/>
          <w:i/>
          <w:iCs/>
          <w:color w:val="000000"/>
        </w:rPr>
        <w:t>Country Comparison Tool.</w:t>
      </w:r>
      <w:r>
        <w:rPr>
          <w:rFonts w:ascii="Arial" w:eastAsia="Arial" w:hAnsi="Arial" w:cs="Arial"/>
          <w:color w:val="000000"/>
        </w:rPr>
        <w:t xml:space="preserve"> Available at: </w:t>
      </w:r>
      <w:hyperlink r:id="rId48">
        <w:r>
          <w:rPr>
            <w:rFonts w:ascii="Arial" w:eastAsia="Arial" w:hAnsi="Arial" w:cs="Arial"/>
            <w:color w:val="000000"/>
            <w:u w:val="single"/>
          </w:rPr>
          <w:t>https://www.theculturefactor.com/country-comparison-tool?countries=japan%2Cunited+kingdom%2Cunited+states</w:t>
        </w:r>
      </w:hyperlink>
      <w:r>
        <w:rPr>
          <w:rFonts w:ascii="Arial" w:eastAsia="Arial" w:hAnsi="Arial" w:cs="Arial"/>
          <w:color w:val="000000"/>
        </w:rPr>
        <w:t xml:space="preserve"> (Accessed: 9 September 2026)</w:t>
      </w:r>
    </w:p>
    <w:p w14:paraId="615719A0" w14:textId="77777777" w:rsidR="000573E1" w:rsidRDefault="00493529">
      <w:pPr>
        <w:spacing w:after="240"/>
        <w:rPr>
          <w:rFonts w:ascii="Arial" w:eastAsia="Arial" w:hAnsi="Arial" w:cs="Arial"/>
          <w:color w:val="000000"/>
        </w:rPr>
      </w:pPr>
      <w:r>
        <w:rPr>
          <w:rFonts w:ascii="Arial" w:eastAsia="Arial" w:hAnsi="Arial" w:cs="Arial"/>
        </w:rPr>
        <w:t>The Global Economy</w:t>
      </w:r>
      <w:r>
        <w:rPr>
          <w:rFonts w:ascii="Arial" w:eastAsia="Arial" w:hAnsi="Arial" w:cs="Arial"/>
          <w:color w:val="000000"/>
        </w:rPr>
        <w:t xml:space="preserve"> (2025a) </w:t>
      </w:r>
      <w:r>
        <w:rPr>
          <w:rFonts w:ascii="Arial" w:eastAsia="Arial" w:hAnsi="Arial" w:cs="Arial"/>
          <w:i/>
          <w:iCs/>
          <w:color w:val="000000"/>
        </w:rPr>
        <w:t>USA Political stability - data, chart</w:t>
      </w:r>
      <w:r>
        <w:rPr>
          <w:rFonts w:ascii="Arial" w:eastAsia="Arial" w:hAnsi="Arial" w:cs="Arial"/>
          <w:color w:val="000000"/>
        </w:rPr>
        <w:t xml:space="preserve">. Available at: </w:t>
      </w:r>
      <w:hyperlink r:id="rId49">
        <w:r>
          <w:rPr>
            <w:rFonts w:ascii="Arial" w:eastAsia="Arial" w:hAnsi="Arial" w:cs="Arial"/>
            <w:color w:val="000000"/>
            <w:u w:val="single"/>
          </w:rPr>
          <w:t>https://www.theglobaleconomy.com/USA/wb_political_stability/</w:t>
        </w:r>
      </w:hyperlink>
      <w:r>
        <w:rPr>
          <w:rFonts w:ascii="Arial" w:eastAsia="Arial" w:hAnsi="Arial" w:cs="Arial"/>
          <w:color w:val="000000"/>
        </w:rPr>
        <w:t xml:space="preserve"> (Accessed: 6 September 2026)</w:t>
      </w:r>
    </w:p>
    <w:p w14:paraId="657EFEEB" w14:textId="77777777" w:rsidR="000573E1" w:rsidRDefault="00493529">
      <w:pPr>
        <w:spacing w:after="240"/>
        <w:rPr>
          <w:rFonts w:ascii="Arial" w:eastAsia="Arial" w:hAnsi="Arial" w:cs="Arial"/>
        </w:rPr>
      </w:pPr>
      <w:r>
        <w:rPr>
          <w:rFonts w:ascii="Arial" w:eastAsia="Arial" w:hAnsi="Arial" w:cs="Arial"/>
        </w:rPr>
        <w:t>The Global Economy</w:t>
      </w:r>
      <w:r>
        <w:rPr>
          <w:rFonts w:ascii="Arial" w:eastAsia="Arial" w:hAnsi="Arial" w:cs="Arial"/>
          <w:color w:val="000000"/>
        </w:rPr>
        <w:t xml:space="preserve"> (2025b) </w:t>
      </w:r>
      <w:r>
        <w:rPr>
          <w:rFonts w:ascii="Arial" w:eastAsia="Arial" w:hAnsi="Arial" w:cs="Arial"/>
          <w:i/>
          <w:iCs/>
          <w:color w:val="000000"/>
        </w:rPr>
        <w:t>Japan Political stability - data, chart | TheGlobalEconomy.com.</w:t>
      </w:r>
      <w:r>
        <w:rPr>
          <w:rFonts w:ascii="Arial" w:eastAsia="Arial" w:hAnsi="Arial" w:cs="Arial"/>
          <w:color w:val="000000"/>
        </w:rPr>
        <w:t xml:space="preserve"> Available at: </w:t>
      </w:r>
      <w:hyperlink r:id="rId50">
        <w:r>
          <w:rPr>
            <w:rFonts w:ascii="Arial" w:eastAsia="Arial" w:hAnsi="Arial" w:cs="Arial"/>
            <w:color w:val="000000"/>
            <w:u w:val="single"/>
          </w:rPr>
          <w:t>https://www.theglobaleconomy.com/Japan/wb_political_stability/</w:t>
        </w:r>
      </w:hyperlink>
      <w:r>
        <w:rPr>
          <w:rFonts w:ascii="Arial" w:eastAsia="Arial" w:hAnsi="Arial" w:cs="Arial"/>
          <w:color w:val="000000"/>
        </w:rPr>
        <w:t xml:space="preserve"> (Accessed: 6 </w:t>
      </w:r>
      <w:r>
        <w:rPr>
          <w:rFonts w:ascii="Arial" w:eastAsia="Arial" w:hAnsi="Arial" w:cs="Arial"/>
        </w:rPr>
        <w:t>September 2026)</w:t>
      </w:r>
    </w:p>
    <w:p w14:paraId="54065782" w14:textId="77777777" w:rsidR="000573E1" w:rsidRDefault="00493529">
      <w:pPr>
        <w:rPr>
          <w:rFonts w:ascii="Arial" w:eastAsia="Arial" w:hAnsi="Arial" w:cs="Arial"/>
        </w:rPr>
      </w:pPr>
      <w:r>
        <w:rPr>
          <w:rFonts w:ascii="Arial" w:eastAsia="Arial" w:hAnsi="Arial" w:cs="Arial"/>
        </w:rPr>
        <w:t xml:space="preserve">The Global Goals (2025) </w:t>
      </w:r>
      <w:r>
        <w:rPr>
          <w:rFonts w:ascii="Arial" w:eastAsia="Arial" w:hAnsi="Arial" w:cs="Arial"/>
          <w:i/>
          <w:iCs/>
        </w:rPr>
        <w:t>Goal 12: Responsible consumption and production</w:t>
      </w:r>
      <w:r>
        <w:rPr>
          <w:rFonts w:ascii="Arial" w:eastAsia="Arial" w:hAnsi="Arial" w:cs="Arial"/>
        </w:rPr>
        <w:t xml:space="preserve">. Available at: </w:t>
      </w:r>
      <w:hyperlink r:id="rId51">
        <w:r>
          <w:rPr>
            <w:rFonts w:ascii="Arial" w:eastAsia="Arial" w:hAnsi="Arial" w:cs="Arial"/>
            <w:u w:val="single"/>
          </w:rPr>
          <w:t>https://globalgoals.org/goals/12-responsible-consumption-and-production/</w:t>
        </w:r>
      </w:hyperlink>
      <w:r>
        <w:rPr>
          <w:rFonts w:ascii="Arial" w:eastAsia="Arial" w:hAnsi="Arial" w:cs="Arial"/>
        </w:rPr>
        <w:t xml:space="preserve"> (Accessed: 5 September 2026)</w:t>
      </w:r>
    </w:p>
    <w:p w14:paraId="125803C6" w14:textId="77777777" w:rsidR="000573E1" w:rsidRDefault="00493529">
      <w:pPr>
        <w:spacing w:after="240"/>
        <w:rPr>
          <w:rFonts w:ascii="Arial" w:eastAsia="Arial" w:hAnsi="Arial" w:cs="Arial"/>
          <w:color w:val="000000"/>
        </w:rPr>
      </w:pPr>
      <w:r>
        <w:rPr>
          <w:rFonts w:ascii="Arial" w:eastAsia="Arial" w:hAnsi="Arial" w:cs="Arial"/>
          <w:color w:val="000000"/>
        </w:rPr>
        <w:t xml:space="preserve">The Global Goals (2026) </w:t>
      </w:r>
      <w:r>
        <w:rPr>
          <w:rFonts w:ascii="Arial" w:eastAsia="Arial" w:hAnsi="Arial" w:cs="Arial"/>
          <w:i/>
          <w:iCs/>
          <w:color w:val="000000"/>
        </w:rPr>
        <w:t>Goal 8: Decent Work and Economic Growth</w:t>
      </w:r>
      <w:r>
        <w:rPr>
          <w:rFonts w:ascii="Arial" w:eastAsia="Arial" w:hAnsi="Arial" w:cs="Arial"/>
          <w:color w:val="000000"/>
        </w:rPr>
        <w:t xml:space="preserve">. Available at: </w:t>
      </w:r>
      <w:hyperlink r:id="rId52">
        <w:r>
          <w:rPr>
            <w:rFonts w:ascii="Arial" w:eastAsia="Arial" w:hAnsi="Arial" w:cs="Arial"/>
            <w:color w:val="000000"/>
            <w:u w:val="single"/>
          </w:rPr>
          <w:t>https://globalgoals.org/goals/8-decent-work-and-economic-growth/</w:t>
        </w:r>
      </w:hyperlink>
      <w:r>
        <w:rPr>
          <w:rFonts w:ascii="Arial" w:eastAsia="Arial" w:hAnsi="Arial" w:cs="Arial"/>
          <w:color w:val="000000"/>
        </w:rPr>
        <w:t xml:space="preserve"> (Accessed: 5 September 2026)</w:t>
      </w:r>
    </w:p>
    <w:p w14:paraId="55958BD5" w14:textId="77777777" w:rsidR="000573E1" w:rsidRDefault="00493529">
      <w:pPr>
        <w:spacing w:after="240"/>
        <w:rPr>
          <w:rFonts w:ascii="Arial" w:eastAsia="Arial" w:hAnsi="Arial" w:cs="Arial"/>
          <w:color w:val="000000"/>
        </w:rPr>
      </w:pPr>
      <w:r>
        <w:rPr>
          <w:rFonts w:ascii="Arial" w:eastAsia="Arial" w:hAnsi="Arial" w:cs="Arial"/>
          <w:color w:val="000000"/>
        </w:rPr>
        <w:t xml:space="preserve">The Mainichi (2024) </w:t>
      </w:r>
      <w:r>
        <w:rPr>
          <w:rFonts w:ascii="Arial" w:eastAsia="Arial" w:hAnsi="Arial" w:cs="Arial"/>
          <w:i/>
          <w:iCs/>
          <w:color w:val="000000"/>
        </w:rPr>
        <w:t xml:space="preserve">50% in Japan say cooking for </w:t>
      </w:r>
      <w:r>
        <w:rPr>
          <w:rFonts w:ascii="Arial" w:eastAsia="Arial" w:hAnsi="Arial" w:cs="Arial"/>
          <w:i/>
          <w:iCs/>
        </w:rPr>
        <w:t>themselves is a burden</w:t>
      </w:r>
      <w:r>
        <w:rPr>
          <w:rFonts w:ascii="Arial" w:eastAsia="Arial" w:hAnsi="Arial" w:cs="Arial"/>
          <w:i/>
          <w:iCs/>
          <w:color w:val="000000"/>
        </w:rPr>
        <w:t>, but only 20% use meal deliveries: poll - The Mainichi</w:t>
      </w:r>
      <w:r>
        <w:rPr>
          <w:rFonts w:ascii="Arial" w:eastAsia="Arial" w:hAnsi="Arial" w:cs="Arial"/>
          <w:color w:val="000000"/>
        </w:rPr>
        <w:t xml:space="preserve">. Available at: </w:t>
      </w:r>
      <w:hyperlink r:id="rId53">
        <w:r>
          <w:rPr>
            <w:rFonts w:ascii="Arial" w:eastAsia="Arial" w:hAnsi="Arial" w:cs="Arial"/>
            <w:color w:val="000000"/>
            <w:u w:val="single"/>
          </w:rPr>
          <w:t>https://mainichi.jp/english/articles/20240126/p2a/00m/0na/045000c</w:t>
        </w:r>
      </w:hyperlink>
      <w:r>
        <w:rPr>
          <w:rFonts w:ascii="Arial" w:eastAsia="Arial" w:hAnsi="Arial" w:cs="Arial"/>
          <w:color w:val="000000"/>
        </w:rPr>
        <w:t xml:space="preserve"> (Accessed: 8 September 2026)</w:t>
      </w:r>
    </w:p>
    <w:p w14:paraId="65226077" w14:textId="77777777" w:rsidR="000573E1" w:rsidRDefault="00493529">
      <w:pPr>
        <w:spacing w:after="240"/>
        <w:rPr>
          <w:rFonts w:ascii="Arial" w:eastAsia="Arial" w:hAnsi="Arial" w:cs="Arial"/>
          <w:color w:val="000000"/>
        </w:rPr>
      </w:pPr>
      <w:r>
        <w:rPr>
          <w:rFonts w:ascii="Arial" w:eastAsia="Arial" w:hAnsi="Arial" w:cs="Arial"/>
          <w:color w:val="000000"/>
        </w:rPr>
        <w:t xml:space="preserve">Trading Economics (2025a) </w:t>
      </w:r>
      <w:r>
        <w:rPr>
          <w:rFonts w:ascii="Arial" w:eastAsia="Arial" w:hAnsi="Arial" w:cs="Arial"/>
          <w:i/>
          <w:iCs/>
          <w:color w:val="000000"/>
        </w:rPr>
        <w:t>Japan Inflation Rate</w:t>
      </w:r>
      <w:r>
        <w:rPr>
          <w:rFonts w:ascii="Arial" w:eastAsia="Arial" w:hAnsi="Arial" w:cs="Arial"/>
          <w:color w:val="000000"/>
        </w:rPr>
        <w:t xml:space="preserve">. Available at: </w:t>
      </w:r>
      <w:hyperlink r:id="rId54">
        <w:r>
          <w:rPr>
            <w:rFonts w:ascii="Arial" w:eastAsia="Arial" w:hAnsi="Arial" w:cs="Arial"/>
            <w:color w:val="000000"/>
            <w:u w:val="single"/>
          </w:rPr>
          <w:t>https://tradingeconomics.com/japan/inflation-cpi</w:t>
        </w:r>
      </w:hyperlink>
      <w:r>
        <w:rPr>
          <w:rFonts w:ascii="Arial" w:eastAsia="Arial" w:hAnsi="Arial" w:cs="Arial"/>
          <w:color w:val="000000"/>
        </w:rPr>
        <w:t xml:space="preserve"> (Accessed: 6 September 2026)</w:t>
      </w:r>
    </w:p>
    <w:p w14:paraId="72DB9942" w14:textId="77777777" w:rsidR="000573E1" w:rsidRDefault="00493529">
      <w:pPr>
        <w:spacing w:after="240"/>
        <w:rPr>
          <w:rFonts w:ascii="Arial" w:eastAsia="Arial" w:hAnsi="Arial" w:cs="Arial"/>
          <w:color w:val="000000"/>
        </w:rPr>
      </w:pPr>
      <w:r>
        <w:rPr>
          <w:rFonts w:ascii="Arial" w:eastAsia="Arial" w:hAnsi="Arial" w:cs="Arial"/>
          <w:color w:val="000000"/>
        </w:rPr>
        <w:t xml:space="preserve">Trading Economics (2025b) </w:t>
      </w:r>
      <w:r>
        <w:rPr>
          <w:rFonts w:ascii="Arial" w:eastAsia="Arial" w:hAnsi="Arial" w:cs="Arial"/>
          <w:i/>
          <w:iCs/>
          <w:color w:val="000000"/>
        </w:rPr>
        <w:t>Japan unemployment rate</w:t>
      </w:r>
      <w:r>
        <w:rPr>
          <w:rFonts w:ascii="Arial" w:eastAsia="Arial" w:hAnsi="Arial" w:cs="Arial"/>
          <w:color w:val="000000"/>
        </w:rPr>
        <w:t xml:space="preserve">. Available at: </w:t>
      </w:r>
      <w:hyperlink r:id="rId55">
        <w:r>
          <w:rPr>
            <w:rFonts w:ascii="Arial" w:eastAsia="Arial" w:hAnsi="Arial" w:cs="Arial"/>
            <w:color w:val="000000"/>
            <w:u w:val="single"/>
          </w:rPr>
          <w:t>https://tradingeconomics.com/japan/unemployment-rate</w:t>
        </w:r>
      </w:hyperlink>
      <w:r>
        <w:rPr>
          <w:rFonts w:ascii="Arial" w:eastAsia="Arial" w:hAnsi="Arial" w:cs="Arial"/>
          <w:color w:val="000000"/>
        </w:rPr>
        <w:t xml:space="preserve"> (Accessed: 4 September 2026)</w:t>
      </w:r>
    </w:p>
    <w:p w14:paraId="6D93659F" w14:textId="77777777" w:rsidR="000573E1" w:rsidRDefault="00493529">
      <w:pPr>
        <w:spacing w:after="240"/>
        <w:rPr>
          <w:rFonts w:ascii="Arial" w:eastAsia="Arial" w:hAnsi="Arial" w:cs="Arial"/>
          <w:color w:val="000000"/>
        </w:rPr>
      </w:pPr>
      <w:r>
        <w:rPr>
          <w:rFonts w:ascii="Arial" w:eastAsia="Arial" w:hAnsi="Arial" w:cs="Arial"/>
          <w:color w:val="000000"/>
        </w:rPr>
        <w:t xml:space="preserve">Trading Economics (2025c) </w:t>
      </w:r>
      <w:r>
        <w:rPr>
          <w:rFonts w:ascii="Arial" w:eastAsia="Arial" w:hAnsi="Arial" w:cs="Arial"/>
          <w:i/>
          <w:iCs/>
          <w:color w:val="000000"/>
        </w:rPr>
        <w:t xml:space="preserve">United States Inflation Rate. </w:t>
      </w:r>
      <w:r>
        <w:rPr>
          <w:rFonts w:ascii="Arial" w:eastAsia="Arial" w:hAnsi="Arial" w:cs="Arial"/>
          <w:color w:val="000000"/>
        </w:rPr>
        <w:t xml:space="preserve">Available at: </w:t>
      </w:r>
      <w:hyperlink r:id="rId56">
        <w:r>
          <w:rPr>
            <w:rFonts w:ascii="Arial" w:eastAsia="Arial" w:hAnsi="Arial" w:cs="Arial"/>
            <w:color w:val="000000"/>
            <w:u w:val="single"/>
          </w:rPr>
          <w:t>https://tradingeconomics.com/united-states/inflation-cpi</w:t>
        </w:r>
      </w:hyperlink>
      <w:r>
        <w:rPr>
          <w:rFonts w:ascii="Arial" w:eastAsia="Arial" w:hAnsi="Arial" w:cs="Arial"/>
          <w:color w:val="000000"/>
        </w:rPr>
        <w:t xml:space="preserve"> (Accessed: 7 September 2026)</w:t>
      </w:r>
    </w:p>
    <w:p w14:paraId="4AAE6D23" w14:textId="77777777" w:rsidR="000573E1" w:rsidRDefault="00493529">
      <w:pPr>
        <w:spacing w:after="240"/>
        <w:rPr>
          <w:rFonts w:ascii="Arial" w:eastAsia="Arial" w:hAnsi="Arial" w:cs="Arial"/>
          <w:color w:val="000000"/>
        </w:rPr>
      </w:pPr>
      <w:r>
        <w:rPr>
          <w:rFonts w:ascii="Arial" w:eastAsia="Arial" w:hAnsi="Arial" w:cs="Arial"/>
          <w:color w:val="000000"/>
        </w:rPr>
        <w:t xml:space="preserve">Trading Economics (2025d) </w:t>
      </w:r>
      <w:r>
        <w:rPr>
          <w:rFonts w:ascii="Arial" w:eastAsia="Arial" w:hAnsi="Arial" w:cs="Arial"/>
          <w:i/>
          <w:iCs/>
          <w:color w:val="000000"/>
        </w:rPr>
        <w:t>United States unemployment rate</w:t>
      </w:r>
      <w:r>
        <w:rPr>
          <w:rFonts w:ascii="Arial" w:eastAsia="Arial" w:hAnsi="Arial" w:cs="Arial"/>
          <w:color w:val="000000"/>
        </w:rPr>
        <w:t xml:space="preserve">. Available at: </w:t>
      </w:r>
      <w:hyperlink r:id="rId57">
        <w:r>
          <w:rPr>
            <w:rFonts w:ascii="Arial" w:eastAsia="Arial" w:hAnsi="Arial" w:cs="Arial"/>
            <w:color w:val="000000"/>
            <w:u w:val="single"/>
          </w:rPr>
          <w:t>https://tradingeconomics.com/united-states/unemployment-rate</w:t>
        </w:r>
      </w:hyperlink>
      <w:r>
        <w:rPr>
          <w:rFonts w:ascii="Arial" w:eastAsia="Arial" w:hAnsi="Arial" w:cs="Arial"/>
          <w:color w:val="000000"/>
        </w:rPr>
        <w:t xml:space="preserve"> (Accessed: 7 September 2026)</w:t>
      </w:r>
    </w:p>
    <w:p w14:paraId="209DB29B" w14:textId="77777777" w:rsidR="000573E1" w:rsidRDefault="00493529">
      <w:pPr>
        <w:spacing w:after="240"/>
        <w:rPr>
          <w:rFonts w:ascii="Arial" w:eastAsia="Arial" w:hAnsi="Arial" w:cs="Arial"/>
          <w:color w:val="000000"/>
        </w:rPr>
      </w:pPr>
      <w:r>
        <w:rPr>
          <w:rFonts w:ascii="Arial" w:eastAsia="Arial" w:hAnsi="Arial" w:cs="Arial"/>
          <w:color w:val="000000"/>
        </w:rPr>
        <w:t xml:space="preserve">U.S. Department of Labor (2024) </w:t>
      </w:r>
      <w:r>
        <w:rPr>
          <w:rFonts w:ascii="Arial" w:eastAsia="Arial" w:hAnsi="Arial" w:cs="Arial"/>
          <w:i/>
          <w:iCs/>
          <w:color w:val="000000"/>
        </w:rPr>
        <w:t xml:space="preserve">Wages and the Fair Labor Standards Act. </w:t>
      </w:r>
      <w:r>
        <w:rPr>
          <w:rFonts w:ascii="Arial" w:eastAsia="Arial" w:hAnsi="Arial" w:cs="Arial"/>
          <w:color w:val="000000"/>
        </w:rPr>
        <w:t xml:space="preserve">Available at: </w:t>
      </w:r>
      <w:hyperlink r:id="rId58">
        <w:r>
          <w:rPr>
            <w:rFonts w:ascii="Arial" w:eastAsia="Arial" w:hAnsi="Arial" w:cs="Arial"/>
            <w:color w:val="000000"/>
            <w:u w:val="single"/>
          </w:rPr>
          <w:t>https://www.dol.gov/agencies/whd/flsa</w:t>
        </w:r>
      </w:hyperlink>
      <w:r>
        <w:rPr>
          <w:rFonts w:ascii="Arial" w:eastAsia="Arial" w:hAnsi="Arial" w:cs="Arial"/>
          <w:color w:val="000000"/>
        </w:rPr>
        <w:t xml:space="preserve"> (Accessed: 7 September 2026)</w:t>
      </w:r>
    </w:p>
    <w:p w14:paraId="5CD9A472" w14:textId="77777777" w:rsidR="000573E1" w:rsidRDefault="00493529">
      <w:pPr>
        <w:spacing w:after="240"/>
        <w:rPr>
          <w:rFonts w:ascii="Arial" w:eastAsia="Arial" w:hAnsi="Arial" w:cs="Arial"/>
          <w:color w:val="000000"/>
        </w:rPr>
      </w:pPr>
      <w:r>
        <w:rPr>
          <w:rFonts w:ascii="Arial" w:eastAsia="Arial" w:hAnsi="Arial" w:cs="Arial"/>
          <w:color w:val="000000"/>
        </w:rPr>
        <w:t xml:space="preserve">UNEP ORG (2026) </w:t>
      </w:r>
      <w:r>
        <w:rPr>
          <w:rFonts w:ascii="Arial" w:eastAsia="Arial" w:hAnsi="Arial" w:cs="Arial"/>
          <w:i/>
          <w:iCs/>
          <w:color w:val="000000"/>
        </w:rPr>
        <w:t>Air Pollution Control Act (Act No. 97 of 1968). | UNEP Law and Environment Assistance Platform</w:t>
      </w:r>
      <w:r>
        <w:rPr>
          <w:rFonts w:ascii="Arial" w:eastAsia="Arial" w:hAnsi="Arial" w:cs="Arial"/>
          <w:color w:val="000000"/>
        </w:rPr>
        <w:t xml:space="preserve">. Available at: </w:t>
      </w:r>
      <w:hyperlink r:id="rId59">
        <w:r>
          <w:rPr>
            <w:rFonts w:ascii="Arial" w:eastAsia="Arial" w:hAnsi="Arial" w:cs="Arial"/>
            <w:color w:val="000000"/>
            <w:u w:val="single"/>
          </w:rPr>
          <w:t>http://www.fao.org/faolex/results/details/en/c/LEX-FAOC040740</w:t>
        </w:r>
      </w:hyperlink>
      <w:r>
        <w:rPr>
          <w:rFonts w:ascii="Arial" w:eastAsia="Arial" w:hAnsi="Arial" w:cs="Arial"/>
          <w:color w:val="000000"/>
        </w:rPr>
        <w:t xml:space="preserve"> (Accessed: 7 September 2026)</w:t>
      </w:r>
    </w:p>
    <w:p w14:paraId="248695D6" w14:textId="77777777" w:rsidR="000573E1" w:rsidRDefault="00493529">
      <w:pPr>
        <w:spacing w:after="240"/>
        <w:rPr>
          <w:rFonts w:ascii="Arial" w:eastAsia="Arial" w:hAnsi="Arial" w:cs="Arial"/>
          <w:color w:val="000000"/>
        </w:rPr>
      </w:pPr>
      <w:r>
        <w:rPr>
          <w:rFonts w:ascii="Arial" w:eastAsia="Arial" w:hAnsi="Arial" w:cs="Arial"/>
          <w:color w:val="000000"/>
        </w:rPr>
        <w:t xml:space="preserve">US EPA (2026) </w:t>
      </w:r>
      <w:r>
        <w:rPr>
          <w:rFonts w:ascii="Arial" w:eastAsia="Arial" w:hAnsi="Arial" w:cs="Arial"/>
          <w:i/>
          <w:iCs/>
          <w:color w:val="000000"/>
        </w:rPr>
        <w:t>Summary of the Clean Air Act</w:t>
      </w:r>
      <w:r>
        <w:rPr>
          <w:rFonts w:ascii="Arial" w:eastAsia="Arial" w:hAnsi="Arial" w:cs="Arial"/>
          <w:color w:val="000000"/>
        </w:rPr>
        <w:t xml:space="preserve">. Available at: </w:t>
      </w:r>
      <w:hyperlink r:id="rId60">
        <w:r>
          <w:rPr>
            <w:rFonts w:ascii="Arial" w:eastAsia="Arial" w:hAnsi="Arial" w:cs="Arial"/>
            <w:color w:val="000000"/>
            <w:u w:val="single"/>
          </w:rPr>
          <w:t>https://www.epa.gov/laws-regulations/summary-clean-air-act</w:t>
        </w:r>
      </w:hyperlink>
      <w:r>
        <w:rPr>
          <w:rFonts w:ascii="Arial" w:eastAsia="Arial" w:hAnsi="Arial" w:cs="Arial"/>
          <w:color w:val="000000"/>
        </w:rPr>
        <w:t xml:space="preserve"> (Accessed: 7 September 2026)</w:t>
      </w:r>
    </w:p>
    <w:p w14:paraId="5A2F0636" w14:textId="77777777" w:rsidR="000573E1" w:rsidRDefault="00493529">
      <w:pPr>
        <w:spacing w:after="240"/>
        <w:rPr>
          <w:rFonts w:ascii="Arial" w:eastAsia="Arial" w:hAnsi="Arial" w:cs="Arial"/>
          <w:color w:val="000000"/>
        </w:rPr>
      </w:pPr>
      <w:r>
        <w:rPr>
          <w:rFonts w:ascii="Arial" w:eastAsia="Arial" w:hAnsi="Arial" w:cs="Arial"/>
          <w:color w:val="000000"/>
        </w:rPr>
        <w:t xml:space="preserve">WIPO (2025) </w:t>
      </w:r>
      <w:r>
        <w:rPr>
          <w:rFonts w:ascii="Arial" w:eastAsia="Arial" w:hAnsi="Arial" w:cs="Arial"/>
          <w:i/>
          <w:iCs/>
          <w:color w:val="000000"/>
        </w:rPr>
        <w:t>GII Innovation Ecosystems &amp; Data Explorer..</w:t>
      </w:r>
      <w:r>
        <w:rPr>
          <w:rFonts w:ascii="Arial" w:eastAsia="Arial" w:hAnsi="Arial" w:cs="Arial"/>
          <w:color w:val="000000"/>
        </w:rPr>
        <w:t xml:space="preserve"> Available at: </w:t>
      </w:r>
      <w:hyperlink r:id="rId61">
        <w:r>
          <w:rPr>
            <w:rFonts w:ascii="Arial" w:eastAsia="Arial" w:hAnsi="Arial" w:cs="Arial"/>
            <w:color w:val="000000"/>
            <w:u w:val="single"/>
          </w:rPr>
          <w:t>https://www.wipo.int/gii-ranking/en/japan/</w:t>
        </w:r>
      </w:hyperlink>
      <w:r>
        <w:rPr>
          <w:rFonts w:ascii="Arial" w:eastAsia="Arial" w:hAnsi="Arial" w:cs="Arial"/>
          <w:color w:val="000000"/>
        </w:rPr>
        <w:t xml:space="preserve"> (Accessed: 5 September 2026)</w:t>
      </w:r>
    </w:p>
    <w:p w14:paraId="590E2CCB" w14:textId="77777777" w:rsidR="000573E1" w:rsidRDefault="00493529">
      <w:pPr>
        <w:spacing w:after="240"/>
        <w:rPr>
          <w:rFonts w:ascii="Arial" w:eastAsia="Arial" w:hAnsi="Arial" w:cs="Arial"/>
          <w:color w:val="000000"/>
        </w:rPr>
      </w:pPr>
      <w:r>
        <w:rPr>
          <w:rFonts w:ascii="Arial" w:eastAsia="Arial" w:hAnsi="Arial" w:cs="Arial"/>
          <w:color w:val="000000"/>
        </w:rPr>
        <w:t xml:space="preserve">WIPO (2025). </w:t>
      </w:r>
      <w:r>
        <w:rPr>
          <w:rFonts w:ascii="Arial" w:eastAsia="Arial" w:hAnsi="Arial" w:cs="Arial"/>
          <w:i/>
          <w:iCs/>
          <w:color w:val="000000"/>
        </w:rPr>
        <w:t>United States of America ranking in the Global Innovation Index 2025</w:t>
      </w:r>
      <w:r>
        <w:rPr>
          <w:rFonts w:ascii="Arial" w:eastAsia="Arial" w:hAnsi="Arial" w:cs="Arial"/>
          <w:color w:val="000000"/>
        </w:rPr>
        <w:t xml:space="preserve">. Available at: </w:t>
      </w:r>
      <w:hyperlink r:id="rId62">
        <w:r>
          <w:rPr>
            <w:rFonts w:ascii="Arial" w:eastAsia="Arial" w:hAnsi="Arial" w:cs="Arial"/>
            <w:color w:val="000000"/>
            <w:u w:val="single"/>
          </w:rPr>
          <w:t>https://www.wipo.int/gii-ranking/en/united-states-of-america</w:t>
        </w:r>
      </w:hyperlink>
      <w:r>
        <w:rPr>
          <w:rFonts w:ascii="Arial" w:eastAsia="Arial" w:hAnsi="Arial" w:cs="Arial"/>
          <w:color w:val="000000"/>
        </w:rPr>
        <w:t xml:space="preserve"> (Accessed: 4 September 2026)</w:t>
      </w:r>
    </w:p>
    <w:p w14:paraId="0FD94629" w14:textId="77777777" w:rsidR="000573E1" w:rsidRDefault="00493529">
      <w:pPr>
        <w:spacing w:after="240"/>
        <w:rPr>
          <w:rFonts w:ascii="Arial" w:eastAsia="Arial" w:hAnsi="Arial" w:cs="Arial"/>
          <w:color w:val="000000"/>
        </w:rPr>
      </w:pPr>
      <w:r>
        <w:rPr>
          <w:rFonts w:ascii="Arial" w:eastAsia="Arial" w:hAnsi="Arial" w:cs="Arial"/>
          <w:color w:val="000000"/>
        </w:rPr>
        <w:t xml:space="preserve">World Bank (2026a) </w:t>
      </w:r>
      <w:r>
        <w:rPr>
          <w:rFonts w:ascii="Arial" w:eastAsia="Arial" w:hAnsi="Arial" w:cs="Arial"/>
          <w:i/>
          <w:iCs/>
          <w:color w:val="000000"/>
        </w:rPr>
        <w:t>GDP (current US$) - Japan | Data</w:t>
      </w:r>
      <w:r>
        <w:rPr>
          <w:rFonts w:ascii="Arial" w:eastAsia="Arial" w:hAnsi="Arial" w:cs="Arial"/>
          <w:color w:val="000000"/>
        </w:rPr>
        <w:t xml:space="preserve">. Available at: </w:t>
      </w:r>
      <w:hyperlink r:id="rId63">
        <w:r>
          <w:rPr>
            <w:rFonts w:ascii="Arial" w:eastAsia="Arial" w:hAnsi="Arial" w:cs="Arial"/>
            <w:color w:val="000000"/>
            <w:u w:val="single"/>
          </w:rPr>
          <w:t>https://data.worldbank.org/indicator/NY.GDP.MKTP.CD?locations=JP</w:t>
        </w:r>
      </w:hyperlink>
      <w:r>
        <w:rPr>
          <w:rFonts w:ascii="Arial" w:eastAsia="Arial" w:hAnsi="Arial" w:cs="Arial"/>
          <w:color w:val="000000"/>
        </w:rPr>
        <w:t xml:space="preserve"> (Accessed: 7 September 2026)</w:t>
      </w:r>
    </w:p>
    <w:p w14:paraId="1D654147" w14:textId="77777777" w:rsidR="000573E1" w:rsidRDefault="00493529">
      <w:pPr>
        <w:rPr>
          <w:rFonts w:ascii="Arial" w:eastAsia="Arial" w:hAnsi="Arial" w:cs="Arial"/>
        </w:rPr>
      </w:pPr>
      <w:r>
        <w:rPr>
          <w:rFonts w:ascii="Arial" w:eastAsia="Arial" w:hAnsi="Arial" w:cs="Arial"/>
        </w:rPr>
        <w:t xml:space="preserve">World Bank (2026b) </w:t>
      </w:r>
      <w:r>
        <w:rPr>
          <w:rFonts w:ascii="Arial" w:eastAsia="Arial" w:hAnsi="Arial" w:cs="Arial"/>
          <w:i/>
          <w:iCs/>
        </w:rPr>
        <w:t>GDP (current US$) - United States</w:t>
      </w:r>
      <w:r>
        <w:rPr>
          <w:rFonts w:ascii="Arial" w:eastAsia="Arial" w:hAnsi="Arial" w:cs="Arial"/>
        </w:rPr>
        <w:t xml:space="preserve">. Available at: </w:t>
      </w:r>
      <w:hyperlink r:id="rId64">
        <w:r>
          <w:rPr>
            <w:rFonts w:ascii="Arial" w:eastAsia="Arial" w:hAnsi="Arial" w:cs="Arial"/>
            <w:u w:val="single"/>
          </w:rPr>
          <w:t>https://data.worldbank.org/indicator/NY.GDP.MKTP.CD?locations=US</w:t>
        </w:r>
      </w:hyperlink>
      <w:r>
        <w:rPr>
          <w:rFonts w:ascii="Arial" w:eastAsia="Arial" w:hAnsi="Arial" w:cs="Arial"/>
        </w:rPr>
        <w:t xml:space="preserve"> (Accessed: 7 September 2026)</w:t>
      </w:r>
    </w:p>
    <w:p w14:paraId="508604FA" w14:textId="77777777" w:rsidR="000573E1" w:rsidRDefault="000573E1">
      <w:pPr>
        <w:rPr>
          <w:rFonts w:ascii="Arial" w:eastAsia="Arial" w:hAnsi="Arial" w:cs="Arial"/>
          <w:color w:val="000000"/>
        </w:rPr>
      </w:pPr>
    </w:p>
    <w:p w14:paraId="4079CFE6" w14:textId="77777777" w:rsidR="000573E1" w:rsidRDefault="000573E1">
      <w:pPr>
        <w:rPr>
          <w:rFonts w:ascii="Arial" w:eastAsia="Arial" w:hAnsi="Arial" w:cs="Arial"/>
          <w:color w:val="000000"/>
        </w:rPr>
      </w:pPr>
    </w:p>
    <w:p w14:paraId="1C2985AC" w14:textId="77777777" w:rsidR="000573E1" w:rsidRDefault="000573E1">
      <w:pPr>
        <w:rPr>
          <w:rFonts w:ascii="Arial" w:eastAsia="Arial" w:hAnsi="Arial" w:cs="Arial"/>
          <w:color w:val="000000"/>
        </w:rPr>
      </w:pPr>
    </w:p>
    <w:p w14:paraId="7FF9C629" w14:textId="77777777" w:rsidR="000573E1" w:rsidRDefault="00493529">
      <w:pPr>
        <w:pStyle w:val="Titlu1"/>
        <w:rPr>
          <w:rFonts w:ascii="Arial" w:eastAsia="Arial" w:hAnsi="Arial" w:cs="Arial"/>
          <w:color w:val="000000"/>
        </w:rPr>
      </w:pPr>
      <w:bookmarkStart w:id="16" w:name="_heading=h.wzl2rzj2pdrg" w:colFirst="0" w:colLast="0"/>
      <w:bookmarkEnd w:id="16"/>
      <w:r>
        <w:br w:type="page"/>
      </w:r>
    </w:p>
    <w:p w14:paraId="2C341951" w14:textId="77777777" w:rsidR="000573E1" w:rsidRDefault="00493529">
      <w:pPr>
        <w:pStyle w:val="Titlu1"/>
        <w:rPr>
          <w:rFonts w:ascii="Arial" w:eastAsia="Arial" w:hAnsi="Arial" w:cs="Arial"/>
          <w:color w:val="000000"/>
          <w:sz w:val="26"/>
          <w:szCs w:val="26"/>
        </w:rPr>
      </w:pPr>
      <w:bookmarkStart w:id="17" w:name="_heading=h.vag37yv4e2br" w:colFirst="0" w:colLast="0"/>
      <w:bookmarkEnd w:id="17"/>
      <w:r>
        <w:rPr>
          <w:rFonts w:ascii="Arial" w:eastAsia="Arial" w:hAnsi="Arial" w:cs="Arial"/>
          <w:color w:val="000000"/>
        </w:rPr>
        <w:t xml:space="preserve">Task 2: Reflection </w:t>
      </w:r>
    </w:p>
    <w:p w14:paraId="65BC0D05" w14:textId="77777777" w:rsidR="000573E1" w:rsidRDefault="00493529">
      <w:pPr>
        <w:pStyle w:val="Titlu2"/>
        <w:numPr>
          <w:ilvl w:val="0"/>
          <w:numId w:val="9"/>
        </w:numPr>
        <w:rPr>
          <w:rFonts w:ascii="Arial" w:eastAsia="Arial" w:hAnsi="Arial" w:cs="Arial"/>
          <w:color w:val="000000"/>
        </w:rPr>
      </w:pPr>
      <w:bookmarkStart w:id="18" w:name="_heading=h.vs8yz3ixksjj" w:colFirst="0" w:colLast="0"/>
      <w:bookmarkEnd w:id="18"/>
      <w:r>
        <w:rPr>
          <w:rFonts w:ascii="Arial" w:eastAsia="Arial" w:hAnsi="Arial" w:cs="Arial"/>
          <w:color w:val="000000"/>
        </w:rPr>
        <w:t>Introduction</w:t>
      </w:r>
    </w:p>
    <w:p w14:paraId="7A4C556D" w14:textId="77777777" w:rsidR="000573E1" w:rsidRDefault="00493529">
      <w:pPr>
        <w:rPr>
          <w:rFonts w:ascii="Arial" w:eastAsia="Arial" w:hAnsi="Arial" w:cs="Arial"/>
          <w:color w:val="000000"/>
        </w:rPr>
      </w:pPr>
      <w:r>
        <w:rPr>
          <w:rFonts w:ascii="Arial" w:eastAsia="Arial" w:hAnsi="Arial" w:cs="Arial"/>
          <w:color w:val="000000"/>
        </w:rPr>
        <w:t>Reflection plays a vital part in identification of individual strengths and weaknesses through the process of self-evaluation. Reflecting on the experiences gained from the events helps in fulfilling the goal of self-development in the long run. Implementation of practical measures to identify individual weaknesses is necessary to achieve success in long-term aspirations.</w:t>
      </w:r>
    </w:p>
    <w:p w14:paraId="5D7623EB" w14:textId="77777777" w:rsidR="000573E1" w:rsidRDefault="00493529">
      <w:pPr>
        <w:pStyle w:val="Titlu2"/>
        <w:numPr>
          <w:ilvl w:val="0"/>
          <w:numId w:val="9"/>
        </w:numPr>
        <w:rPr>
          <w:rFonts w:ascii="Arial" w:eastAsia="Arial" w:hAnsi="Arial" w:cs="Arial"/>
          <w:color w:val="000000"/>
        </w:rPr>
      </w:pPr>
      <w:bookmarkStart w:id="19" w:name="_heading=h.kgsqyxl3yece" w:colFirst="0" w:colLast="0"/>
      <w:bookmarkEnd w:id="19"/>
      <w:r>
        <w:rPr>
          <w:rFonts w:ascii="Arial" w:eastAsia="Arial" w:hAnsi="Arial" w:cs="Arial"/>
          <w:color w:val="000000"/>
        </w:rPr>
        <w:t xml:space="preserve"> Reflective Analysis</w:t>
      </w:r>
    </w:p>
    <w:p w14:paraId="184CC8D0" w14:textId="77777777" w:rsidR="000573E1" w:rsidRDefault="00493529">
      <w:pPr>
        <w:jc w:val="center"/>
        <w:rPr>
          <w:rFonts w:ascii="Arial" w:eastAsia="Arial" w:hAnsi="Arial" w:cs="Arial"/>
          <w:b/>
          <w:bCs/>
          <w:color w:val="000000"/>
        </w:rPr>
      </w:pPr>
      <w:r>
        <w:rPr>
          <w:rFonts w:ascii="Arial" w:eastAsia="Arial" w:hAnsi="Arial" w:cs="Arial"/>
          <w:b/>
          <w:bCs/>
          <w:noProof/>
          <w:color w:val="000000"/>
        </w:rPr>
        <w:drawing>
          <wp:inline distT="114300" distB="114300" distL="114300" distR="114300" wp14:anchorId="234ECC8F" wp14:editId="210A4C0A">
            <wp:extent cx="4400550" cy="3505200"/>
            <wp:effectExtent l="12700" t="12700" r="12700" b="12700"/>
            <wp:docPr id="119884404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5"/>
                    <a:srcRect/>
                    <a:stretch>
                      <a:fillRect/>
                    </a:stretch>
                  </pic:blipFill>
                  <pic:spPr>
                    <a:xfrm>
                      <a:off x="0" y="0"/>
                      <a:ext cx="4400550" cy="3505200"/>
                    </a:xfrm>
                    <a:prstGeom prst="rect">
                      <a:avLst/>
                    </a:prstGeom>
                    <a:ln w="12700">
                      <a:solidFill>
                        <a:srgbClr val="000000"/>
                      </a:solidFill>
                      <a:prstDash val="solid"/>
                    </a:ln>
                  </pic:spPr>
                </pic:pic>
              </a:graphicData>
            </a:graphic>
          </wp:inline>
        </w:drawing>
      </w:r>
    </w:p>
    <w:p w14:paraId="54C09041" w14:textId="77777777" w:rsidR="000573E1" w:rsidRDefault="00493529">
      <w:pPr>
        <w:jc w:val="center"/>
        <w:rPr>
          <w:rFonts w:ascii="Arial" w:eastAsia="Arial" w:hAnsi="Arial" w:cs="Arial"/>
          <w:b/>
          <w:bCs/>
          <w:color w:val="000000"/>
        </w:rPr>
      </w:pPr>
      <w:r>
        <w:rPr>
          <w:rFonts w:ascii="Arial" w:eastAsia="Arial" w:hAnsi="Arial" w:cs="Arial"/>
          <w:b/>
          <w:bCs/>
          <w:color w:val="000000"/>
        </w:rPr>
        <w:t xml:space="preserve">Figure 1: </w:t>
      </w:r>
      <w:r>
        <w:rPr>
          <w:rFonts w:ascii="Arial" w:eastAsia="Arial" w:hAnsi="Arial" w:cs="Arial"/>
          <w:b/>
          <w:bCs/>
        </w:rPr>
        <w:t>Gibbs’</w:t>
      </w:r>
      <w:r>
        <w:rPr>
          <w:rFonts w:ascii="Arial" w:eastAsia="Arial" w:hAnsi="Arial" w:cs="Arial"/>
          <w:b/>
          <w:bCs/>
          <w:color w:val="000000"/>
        </w:rPr>
        <w:t xml:space="preserve"> Reflective Cycle</w:t>
      </w:r>
    </w:p>
    <w:p w14:paraId="7A6AEC65" w14:textId="77777777" w:rsidR="000573E1" w:rsidRDefault="00493529">
      <w:pPr>
        <w:jc w:val="center"/>
        <w:rPr>
          <w:rFonts w:ascii="Arial" w:eastAsia="Arial" w:hAnsi="Arial" w:cs="Arial"/>
          <w:color w:val="000000"/>
        </w:rPr>
      </w:pPr>
      <w:r>
        <w:rPr>
          <w:rFonts w:ascii="Arial" w:eastAsia="Arial" w:hAnsi="Arial" w:cs="Arial"/>
          <w:color w:val="000000"/>
        </w:rPr>
        <w:t xml:space="preserve">(Source: Praveena </w:t>
      </w:r>
      <w:r>
        <w:rPr>
          <w:rFonts w:ascii="Arial" w:eastAsia="Arial" w:hAnsi="Arial" w:cs="Arial"/>
          <w:i/>
          <w:iCs/>
          <w:color w:val="000000"/>
        </w:rPr>
        <w:t>et al</w:t>
      </w:r>
      <w:r>
        <w:rPr>
          <w:rFonts w:ascii="Arial" w:eastAsia="Arial" w:hAnsi="Arial" w:cs="Arial"/>
          <w:color w:val="000000"/>
        </w:rPr>
        <w:t>. 2025)</w:t>
      </w:r>
    </w:p>
    <w:p w14:paraId="72FBD646" w14:textId="77777777" w:rsidR="000573E1" w:rsidRDefault="00493529">
      <w:pPr>
        <w:rPr>
          <w:rFonts w:ascii="Arial" w:eastAsia="Arial" w:hAnsi="Arial" w:cs="Arial"/>
          <w:b/>
          <w:bCs/>
          <w:color w:val="000000"/>
        </w:rPr>
      </w:pPr>
      <w:r>
        <w:rPr>
          <w:rFonts w:ascii="Arial" w:eastAsia="Arial" w:hAnsi="Arial" w:cs="Arial"/>
          <w:b/>
          <w:bCs/>
          <w:color w:val="000000"/>
        </w:rPr>
        <w:t>Description</w:t>
      </w:r>
    </w:p>
    <w:p w14:paraId="425837BC" w14:textId="77777777" w:rsidR="000573E1" w:rsidRDefault="00493529">
      <w:pPr>
        <w:rPr>
          <w:rFonts w:ascii="Arial" w:eastAsia="Arial" w:hAnsi="Arial" w:cs="Arial"/>
        </w:rPr>
      </w:pPr>
      <w:r>
        <w:rPr>
          <w:rFonts w:ascii="Arial" w:eastAsia="Arial" w:hAnsi="Arial" w:cs="Arial"/>
          <w:color w:val="000000"/>
        </w:rPr>
        <w:t>I would like to explore insights regarding the diversity in market structure shaping the overall market scenario and the contribution of policy regulations. Comprehensive analysis of product performance creates an opportunity to gain competitive advantage and determine the scope of succes</w:t>
      </w:r>
      <w:r>
        <w:rPr>
          <w:rFonts w:ascii="Arial" w:eastAsia="Arial" w:hAnsi="Arial" w:cs="Arial"/>
        </w:rPr>
        <w:t xml:space="preserve">s (Prachi, 2024). </w:t>
      </w:r>
      <w:r>
        <w:rPr>
          <w:rFonts w:ascii="Arial" w:eastAsia="Arial" w:hAnsi="Arial" w:cs="Arial"/>
        </w:rPr>
        <w:t xml:space="preserve">The goal of our project is to analyse the effectiveness of the market structures of the USA and Japan for the business expansion of Deliveroo. I was assigned the responsibility of data collection, and initially I found it difficult to select the appropriate sources of information. As a result, evaluating the business environment of the USA and Japan appeared to be difficult for me, considering expansion measures by Deliveroo. </w:t>
      </w:r>
    </w:p>
    <w:p w14:paraId="4D5F0E53" w14:textId="77777777" w:rsidR="000573E1" w:rsidRDefault="00493529">
      <w:pPr>
        <w:rPr>
          <w:rFonts w:ascii="Arial" w:eastAsia="Arial" w:hAnsi="Arial" w:cs="Arial"/>
        </w:rPr>
      </w:pPr>
      <w:r>
        <w:rPr>
          <w:rFonts w:ascii="Arial" w:eastAsia="Arial" w:hAnsi="Arial" w:cs="Arial"/>
        </w:rPr>
        <w:t>Initially, my priority was to conduct an external business analysis to understand the scenario of the USA and Japan for Deliveroo's market expansion. It is necessary to interpret the diverse market structures of the USA and Japan in order to determine the scope of progress. Evaluation of the market scenario is the most notable factor to be considered in order to analyse the scope of growth (Ringland and Young, 2007)</w:t>
      </w:r>
      <w:r>
        <w:rPr>
          <w:rFonts w:ascii="Arial" w:eastAsia="Arial" w:hAnsi="Arial" w:cs="Arial"/>
        </w:rPr>
        <w:t xml:space="preserve">. I have observed that I need to work on my skill of cultural analysis of a nation based on the cultural scores of the USA and Japan. Initially, I used to miss instructions given by senior members regarding cultural analysis due to my weak skill of active listening. I would like to state that the requirement is to gain insights into the principles of collaboration along with reaching an adequate scope of success. </w:t>
      </w:r>
      <w:r>
        <w:rPr>
          <w:rFonts w:ascii="Arial" w:eastAsia="Arial" w:hAnsi="Arial" w:cs="Arial"/>
        </w:rPr>
        <w:t xml:space="preserve">Therefore, I need to focus on the identified skill gap to increase individual efficiency in the concerned project work. </w:t>
      </w:r>
    </w:p>
    <w:p w14:paraId="52B556A0" w14:textId="77777777" w:rsidR="000573E1" w:rsidRDefault="00493529">
      <w:pPr>
        <w:rPr>
          <w:rFonts w:ascii="Arial" w:eastAsia="Arial" w:hAnsi="Arial" w:cs="Arial"/>
          <w:b/>
          <w:bCs/>
        </w:rPr>
      </w:pPr>
      <w:r>
        <w:rPr>
          <w:rFonts w:ascii="Arial" w:eastAsia="Arial" w:hAnsi="Arial" w:cs="Arial"/>
          <w:b/>
          <w:bCs/>
        </w:rPr>
        <w:t>Feeling</w:t>
      </w:r>
    </w:p>
    <w:p w14:paraId="11C9151D" w14:textId="77777777" w:rsidR="000573E1" w:rsidRDefault="00493529">
      <w:pPr>
        <w:rPr>
          <w:rFonts w:ascii="Arial" w:eastAsia="Arial" w:hAnsi="Arial" w:cs="Arial"/>
        </w:rPr>
      </w:pPr>
      <w:r>
        <w:rPr>
          <w:rFonts w:ascii="Arial" w:eastAsia="Arial" w:hAnsi="Arial" w:cs="Arial"/>
        </w:rPr>
        <w:t xml:space="preserve">I have felt less confident during the project because, due to my weakness in time management skills, the entire team finds it a challenge to manage coordination. Time management skills help in increasing opportunities to achieve project objectives associated with the strategy (Pamuji </w:t>
      </w:r>
      <w:r>
        <w:rPr>
          <w:rFonts w:ascii="Arial" w:eastAsia="Arial" w:hAnsi="Arial" w:cs="Arial"/>
          <w:i/>
          <w:iCs/>
        </w:rPr>
        <w:t>et al</w:t>
      </w:r>
      <w:r>
        <w:rPr>
          <w:rFonts w:ascii="Arial" w:eastAsia="Arial" w:hAnsi="Arial" w:cs="Arial"/>
        </w:rPr>
        <w:t xml:space="preserve">. 2024). </w:t>
      </w:r>
      <w:r>
        <w:rPr>
          <w:rFonts w:ascii="Arial" w:eastAsia="Arial" w:hAnsi="Arial" w:cs="Arial"/>
        </w:rPr>
        <w:t>Though the practitioner from the target markets might see the situation differently because their focus can remain on the local-restaurant partners collaboration due to better market scenario insights.  Initially, I started analysing the purchasing power parity of the customers to predict the scope of business growth, though the data keeps on changing. Furthermore, I missed the aspect of how the increase in global fuel prices has compelled different nations to bring modifications to their tax structure, res</w:t>
      </w:r>
      <w:r>
        <w:rPr>
          <w:rFonts w:ascii="Arial" w:eastAsia="Arial" w:hAnsi="Arial" w:cs="Arial"/>
        </w:rPr>
        <w:t xml:space="preserve">ulting in difficulty for foreign business entry into their markets. </w:t>
      </w:r>
    </w:p>
    <w:p w14:paraId="6A3BBCF8" w14:textId="77777777" w:rsidR="000573E1" w:rsidRDefault="00493529">
      <w:pPr>
        <w:rPr>
          <w:rFonts w:ascii="Arial" w:eastAsia="Arial" w:hAnsi="Arial" w:cs="Arial"/>
          <w:b/>
          <w:bCs/>
        </w:rPr>
      </w:pPr>
      <w:r>
        <w:rPr>
          <w:rFonts w:ascii="Arial" w:eastAsia="Arial" w:hAnsi="Arial" w:cs="Arial"/>
          <w:b/>
          <w:bCs/>
        </w:rPr>
        <w:t>Evaluation</w:t>
      </w:r>
    </w:p>
    <w:p w14:paraId="10CD6238" w14:textId="77777777" w:rsidR="000573E1" w:rsidRDefault="00493529">
      <w:pPr>
        <w:rPr>
          <w:rFonts w:ascii="Arial" w:eastAsia="Arial" w:hAnsi="Arial" w:cs="Arial"/>
        </w:rPr>
      </w:pPr>
      <w:r>
        <w:rPr>
          <w:rFonts w:ascii="Arial" w:eastAsia="Arial" w:hAnsi="Arial" w:cs="Arial"/>
        </w:rPr>
        <w:t xml:space="preserve">Self-reflection is an important part of achieving success in individual development and determining objectives (Gavriliuk, I. and Zabrodskyi, 2026). It has been observed that, due to my weakness in the skill of information selection, the team's working speed was reduced. Deliveroo believes in optimising product quality and fulfilling customers' requirements by understanding market trends. </w:t>
      </w:r>
      <w:r>
        <w:rPr>
          <w:rFonts w:ascii="Arial" w:eastAsia="Arial" w:hAnsi="Arial" w:cs="Arial"/>
        </w:rPr>
        <w:t xml:space="preserve">Due to my weak research skills, I skipped aspects of contemporary global issues, such as the Iran war affecting overall economic growth and the purchasing index. Later, one of my fellow team members suggested that the factor of global socio-economic crisis needs to be given consideration prior to selecting the nations for business selection for Deliveroo. </w:t>
      </w:r>
    </w:p>
    <w:p w14:paraId="323DB5F1" w14:textId="77777777" w:rsidR="000573E1" w:rsidRDefault="00493529">
      <w:pPr>
        <w:rPr>
          <w:rFonts w:ascii="Arial" w:eastAsia="Arial" w:hAnsi="Arial" w:cs="Arial"/>
          <w:b/>
          <w:bCs/>
        </w:rPr>
      </w:pPr>
      <w:r>
        <w:rPr>
          <w:rFonts w:ascii="Arial" w:eastAsia="Arial" w:hAnsi="Arial" w:cs="Arial"/>
          <w:b/>
          <w:bCs/>
        </w:rPr>
        <w:t xml:space="preserve">Analysis </w:t>
      </w:r>
    </w:p>
    <w:p w14:paraId="0479AFDA" w14:textId="77777777" w:rsidR="000573E1" w:rsidRDefault="00493529">
      <w:pPr>
        <w:rPr>
          <w:rFonts w:ascii="Arial" w:eastAsia="Arial" w:hAnsi="Arial" w:cs="Arial"/>
        </w:rPr>
      </w:pPr>
      <w:r>
        <w:rPr>
          <w:rFonts w:ascii="Arial" w:eastAsia="Arial" w:hAnsi="Arial" w:cs="Arial"/>
        </w:rPr>
        <w:t xml:space="preserve">I would like to state that the requirement is to determine the process of coordination and fulfil objectives to achieve an adequate scope of progress. At the time of communicating ideas with team members, I found that I find it difficult to convey ideas to fellow team members due to my weak communication and active listening skills. Practical evaluation of the skill set helps in reaching the goal, along with the strategy to mitigate the issues concerned (Kopac </w:t>
      </w:r>
      <w:r>
        <w:rPr>
          <w:rFonts w:ascii="Arial" w:eastAsia="Arial" w:hAnsi="Arial" w:cs="Arial"/>
          <w:i/>
          <w:iCs/>
        </w:rPr>
        <w:t>et al</w:t>
      </w:r>
      <w:r>
        <w:rPr>
          <w:rFonts w:ascii="Arial" w:eastAsia="Arial" w:hAnsi="Arial" w:cs="Arial"/>
        </w:rPr>
        <w:t xml:space="preserve">. 2025). </w:t>
      </w:r>
      <w:r>
        <w:rPr>
          <w:rFonts w:ascii="Arial" w:eastAsia="Arial" w:hAnsi="Arial" w:cs="Arial"/>
        </w:rPr>
        <w:t>Practitioners from the markets of USA and Japan might consider these nations as better scope of business for Deliveroo for value creation because of people's inclination in online food ordering. During analysis of the business strategy of Deliveroo, I have identified that both the nations USA and Japan will provide distinct opportunities and challenges. I have observed that it is necessary to gain insights into the strategy so that fulfilling goals of self-development becomes easier.</w:t>
      </w:r>
    </w:p>
    <w:p w14:paraId="4B5BF4BE" w14:textId="77777777" w:rsidR="000573E1" w:rsidRDefault="00493529">
      <w:pPr>
        <w:rPr>
          <w:rFonts w:ascii="Arial" w:eastAsia="Arial" w:hAnsi="Arial" w:cs="Arial"/>
          <w:b/>
          <w:bCs/>
          <w:color w:val="000000"/>
        </w:rPr>
      </w:pPr>
      <w:r>
        <w:rPr>
          <w:rFonts w:ascii="Arial" w:eastAsia="Arial" w:hAnsi="Arial" w:cs="Arial"/>
          <w:b/>
          <w:bCs/>
          <w:color w:val="000000"/>
        </w:rPr>
        <w:t>Conclusion</w:t>
      </w:r>
    </w:p>
    <w:p w14:paraId="21C8FFDB" w14:textId="77777777" w:rsidR="000573E1" w:rsidRDefault="00493529">
      <w:pPr>
        <w:rPr>
          <w:rFonts w:ascii="Arial" w:eastAsia="Arial" w:hAnsi="Arial" w:cs="Arial"/>
        </w:rPr>
      </w:pPr>
      <w:r>
        <w:rPr>
          <w:rFonts w:ascii="Arial" w:eastAsia="Arial" w:hAnsi="Arial" w:cs="Arial"/>
          <w:color w:val="000000"/>
        </w:rPr>
        <w:t>It can be concluded from the above evaluation that the need is to implement determination of measures along with reaching targeted outcomes. Reaching the successful outcome is associated with the process of reaching</w:t>
      </w:r>
      <w:r>
        <w:rPr>
          <w:rFonts w:ascii="Arial" w:eastAsia="Arial" w:hAnsi="Arial" w:cs="Arial"/>
        </w:rPr>
        <w:t xml:space="preserve"> the objectives and fulfilling the vision appears to be helpful in determining optimal results. </w:t>
      </w:r>
      <w:r>
        <w:rPr>
          <w:rFonts w:ascii="Arial" w:eastAsia="Arial" w:hAnsi="Arial" w:cs="Arial"/>
        </w:rPr>
        <w:t xml:space="preserve">Deliveroo needs to prioritise the partnership with the local restaurant network in order to enter the markets of the USA and Japan. Practical evaluation of skill sets creates opportunities for collaboration along with the process to achieve optimal results. Continuous self-reflection helps in gaining success in individual development along with the process to achieve growth. </w:t>
      </w:r>
    </w:p>
    <w:p w14:paraId="370C3E70" w14:textId="77777777" w:rsidR="000573E1" w:rsidRDefault="00493529">
      <w:pPr>
        <w:rPr>
          <w:rFonts w:ascii="Arial" w:eastAsia="Arial" w:hAnsi="Arial" w:cs="Arial"/>
          <w:color w:val="000000"/>
        </w:rPr>
      </w:pPr>
      <w:r>
        <w:rPr>
          <w:rFonts w:ascii="Arial" w:eastAsia="Arial" w:hAnsi="Arial" w:cs="Arial"/>
          <w:b/>
          <w:bCs/>
          <w:color w:val="000000"/>
        </w:rPr>
        <w:t>Action plan</w:t>
      </w:r>
    </w:p>
    <w:tbl>
      <w:tblPr>
        <w:tblStyle w:val="a8"/>
        <w:tblW w:w="906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980"/>
        <w:gridCol w:w="5070"/>
        <w:gridCol w:w="2010"/>
      </w:tblGrid>
      <w:tr w:rsidR="000573E1" w14:paraId="10D82861" w14:textId="77777777">
        <w:tc>
          <w:tcPr>
            <w:tcW w:w="1980" w:type="dxa"/>
            <w:tcMar>
              <w:top w:w="100" w:type="dxa"/>
              <w:left w:w="100" w:type="dxa"/>
              <w:bottom w:w="100" w:type="dxa"/>
              <w:right w:w="100" w:type="dxa"/>
            </w:tcMar>
          </w:tcPr>
          <w:p w14:paraId="6BC42C45" w14:textId="77777777" w:rsidR="000573E1" w:rsidRDefault="00493529">
            <w:pPr>
              <w:widowControl w:val="0"/>
              <w:jc w:val="center"/>
              <w:rPr>
                <w:rFonts w:ascii="Arial" w:eastAsia="Arial" w:hAnsi="Arial" w:cs="Arial"/>
                <w:b/>
                <w:bCs/>
                <w:i/>
                <w:iCs/>
              </w:rPr>
            </w:pPr>
            <w:r>
              <w:rPr>
                <w:rFonts w:ascii="Arial" w:eastAsia="Arial" w:hAnsi="Arial" w:cs="Arial"/>
                <w:b/>
                <w:bCs/>
                <w:i/>
                <w:iCs/>
              </w:rPr>
              <w:t>Areas of improvement</w:t>
            </w:r>
          </w:p>
        </w:tc>
        <w:tc>
          <w:tcPr>
            <w:tcW w:w="5070" w:type="dxa"/>
            <w:tcMar>
              <w:top w:w="100" w:type="dxa"/>
              <w:left w:w="100" w:type="dxa"/>
              <w:bottom w:w="100" w:type="dxa"/>
              <w:right w:w="100" w:type="dxa"/>
            </w:tcMar>
          </w:tcPr>
          <w:p w14:paraId="5FE34E3F" w14:textId="77777777" w:rsidR="000573E1" w:rsidRDefault="00493529">
            <w:pPr>
              <w:widowControl w:val="0"/>
              <w:jc w:val="center"/>
              <w:rPr>
                <w:rFonts w:ascii="Arial" w:eastAsia="Arial" w:hAnsi="Arial" w:cs="Arial"/>
                <w:b/>
                <w:bCs/>
                <w:i/>
                <w:iCs/>
              </w:rPr>
            </w:pPr>
            <w:r>
              <w:rPr>
                <w:rFonts w:ascii="Arial" w:eastAsia="Arial" w:hAnsi="Arial" w:cs="Arial"/>
                <w:b/>
                <w:bCs/>
                <w:i/>
                <w:iCs/>
              </w:rPr>
              <w:t>Strategy to improve</w:t>
            </w:r>
          </w:p>
        </w:tc>
        <w:tc>
          <w:tcPr>
            <w:tcW w:w="2010" w:type="dxa"/>
            <w:tcMar>
              <w:top w:w="100" w:type="dxa"/>
              <w:left w:w="100" w:type="dxa"/>
              <w:bottom w:w="100" w:type="dxa"/>
              <w:right w:w="100" w:type="dxa"/>
            </w:tcMar>
          </w:tcPr>
          <w:p w14:paraId="2E3DB868" w14:textId="77777777" w:rsidR="000573E1" w:rsidRDefault="00493529">
            <w:pPr>
              <w:widowControl w:val="0"/>
              <w:jc w:val="center"/>
              <w:rPr>
                <w:rFonts w:ascii="Arial" w:eastAsia="Arial" w:hAnsi="Arial" w:cs="Arial"/>
                <w:b/>
                <w:bCs/>
                <w:i/>
                <w:iCs/>
              </w:rPr>
            </w:pPr>
            <w:r>
              <w:rPr>
                <w:rFonts w:ascii="Arial" w:eastAsia="Arial" w:hAnsi="Arial" w:cs="Arial"/>
                <w:b/>
                <w:bCs/>
                <w:i/>
                <w:iCs/>
              </w:rPr>
              <w:t xml:space="preserve">Timeframe </w:t>
            </w:r>
          </w:p>
        </w:tc>
      </w:tr>
      <w:tr w:rsidR="000573E1" w14:paraId="4518EFA3" w14:textId="77777777">
        <w:tc>
          <w:tcPr>
            <w:tcW w:w="1980" w:type="dxa"/>
            <w:tcMar>
              <w:top w:w="100" w:type="dxa"/>
              <w:left w:w="100" w:type="dxa"/>
              <w:bottom w:w="100" w:type="dxa"/>
              <w:right w:w="100" w:type="dxa"/>
            </w:tcMar>
          </w:tcPr>
          <w:p w14:paraId="4F91C65D" w14:textId="77777777" w:rsidR="000573E1" w:rsidRDefault="00493529">
            <w:pPr>
              <w:widowControl w:val="0"/>
              <w:rPr>
                <w:rFonts w:ascii="Arial" w:eastAsia="Arial" w:hAnsi="Arial" w:cs="Arial"/>
              </w:rPr>
            </w:pPr>
            <w:r>
              <w:rPr>
                <w:rFonts w:ascii="Arial" w:eastAsia="Arial" w:hAnsi="Arial" w:cs="Arial"/>
              </w:rPr>
              <w:t>Time management skill</w:t>
            </w:r>
          </w:p>
        </w:tc>
        <w:tc>
          <w:tcPr>
            <w:tcW w:w="5070" w:type="dxa"/>
            <w:tcMar>
              <w:top w:w="100" w:type="dxa"/>
              <w:left w:w="100" w:type="dxa"/>
              <w:bottom w:w="100" w:type="dxa"/>
              <w:right w:w="100" w:type="dxa"/>
            </w:tcMar>
          </w:tcPr>
          <w:p w14:paraId="2673AF4F" w14:textId="77777777" w:rsidR="000573E1" w:rsidRDefault="00493529">
            <w:pPr>
              <w:widowControl w:val="0"/>
              <w:numPr>
                <w:ilvl w:val="0"/>
                <w:numId w:val="6"/>
              </w:numPr>
              <w:rPr>
                <w:rFonts w:ascii="Arial" w:eastAsia="Arial" w:hAnsi="Arial" w:cs="Arial"/>
              </w:rPr>
            </w:pPr>
            <w:r>
              <w:rPr>
                <w:rFonts w:ascii="Arial" w:eastAsia="Arial" w:hAnsi="Arial" w:cs="Arial"/>
              </w:rPr>
              <w:t xml:space="preserve">Breaking task-related activities into small segments, along with setting a particular deadline to manage the scope of coordination. I would like to focus on the principles of coordination along with the process to reach the targeted goal. </w:t>
            </w:r>
          </w:p>
        </w:tc>
        <w:tc>
          <w:tcPr>
            <w:tcW w:w="2010" w:type="dxa"/>
            <w:tcMar>
              <w:top w:w="100" w:type="dxa"/>
              <w:left w:w="100" w:type="dxa"/>
              <w:bottom w:w="100" w:type="dxa"/>
              <w:right w:w="100" w:type="dxa"/>
            </w:tcMar>
          </w:tcPr>
          <w:p w14:paraId="3F193527" w14:textId="77777777" w:rsidR="000573E1" w:rsidRDefault="00493529">
            <w:pPr>
              <w:widowControl w:val="0"/>
              <w:rPr>
                <w:rFonts w:ascii="Arial" w:eastAsia="Arial" w:hAnsi="Arial" w:cs="Arial"/>
              </w:rPr>
            </w:pPr>
            <w:r>
              <w:rPr>
                <w:rFonts w:ascii="Arial" w:eastAsia="Arial" w:hAnsi="Arial" w:cs="Arial"/>
              </w:rPr>
              <w:t>3 months</w:t>
            </w:r>
          </w:p>
        </w:tc>
      </w:tr>
      <w:tr w:rsidR="000573E1" w14:paraId="7A72A5CC" w14:textId="77777777">
        <w:tc>
          <w:tcPr>
            <w:tcW w:w="1980" w:type="dxa"/>
            <w:tcMar>
              <w:top w:w="100" w:type="dxa"/>
              <w:left w:w="100" w:type="dxa"/>
              <w:bottom w:w="100" w:type="dxa"/>
              <w:right w:w="100" w:type="dxa"/>
            </w:tcMar>
          </w:tcPr>
          <w:p w14:paraId="68AE0B37" w14:textId="77777777" w:rsidR="000573E1" w:rsidRDefault="00493529">
            <w:pPr>
              <w:widowControl w:val="0"/>
              <w:rPr>
                <w:rFonts w:ascii="Arial" w:eastAsia="Arial" w:hAnsi="Arial" w:cs="Arial"/>
              </w:rPr>
            </w:pPr>
            <w:r>
              <w:rPr>
                <w:rFonts w:ascii="Arial" w:eastAsia="Arial" w:hAnsi="Arial" w:cs="Arial"/>
              </w:rPr>
              <w:t>Research skill</w:t>
            </w:r>
          </w:p>
        </w:tc>
        <w:tc>
          <w:tcPr>
            <w:tcW w:w="5070" w:type="dxa"/>
            <w:tcMar>
              <w:top w:w="100" w:type="dxa"/>
              <w:left w:w="100" w:type="dxa"/>
              <w:bottom w:w="100" w:type="dxa"/>
              <w:right w:w="100" w:type="dxa"/>
            </w:tcMar>
          </w:tcPr>
          <w:p w14:paraId="77F1365C" w14:textId="77777777" w:rsidR="000573E1" w:rsidRDefault="00493529">
            <w:pPr>
              <w:widowControl w:val="0"/>
              <w:numPr>
                <w:ilvl w:val="0"/>
                <w:numId w:val="7"/>
              </w:numPr>
              <w:rPr>
                <w:rFonts w:ascii="Arial" w:eastAsia="Arial" w:hAnsi="Arial" w:cs="Arial"/>
              </w:rPr>
            </w:pPr>
            <w:r>
              <w:rPr>
                <w:rFonts w:ascii="Arial" w:eastAsia="Arial" w:hAnsi="Arial" w:cs="Arial"/>
              </w:rPr>
              <w:t xml:space="preserve">I would like to focus on the strategy of appropriate source selection to determine insights on increasing the quality of research. It helps in the strategy of collaboration along with the process to reach the goal. </w:t>
            </w:r>
            <w:r>
              <w:rPr>
                <w:rFonts w:ascii="Arial" w:eastAsia="Arial" w:hAnsi="Arial" w:cs="Arial"/>
              </w:rPr>
              <w:t>Addressing the skill gap is necessary in order to mitigate the issues and reach success in the allocated project.</w:t>
            </w:r>
          </w:p>
        </w:tc>
        <w:tc>
          <w:tcPr>
            <w:tcW w:w="2010" w:type="dxa"/>
            <w:tcMar>
              <w:top w:w="100" w:type="dxa"/>
              <w:left w:w="100" w:type="dxa"/>
              <w:bottom w:w="100" w:type="dxa"/>
              <w:right w:w="100" w:type="dxa"/>
            </w:tcMar>
          </w:tcPr>
          <w:p w14:paraId="7BBF7183" w14:textId="77777777" w:rsidR="000573E1" w:rsidRDefault="00493529">
            <w:pPr>
              <w:widowControl w:val="0"/>
              <w:rPr>
                <w:rFonts w:ascii="Arial" w:eastAsia="Arial" w:hAnsi="Arial" w:cs="Arial"/>
              </w:rPr>
            </w:pPr>
            <w:r>
              <w:rPr>
                <w:rFonts w:ascii="Arial" w:eastAsia="Arial" w:hAnsi="Arial" w:cs="Arial"/>
              </w:rPr>
              <w:t>5 months</w:t>
            </w:r>
          </w:p>
        </w:tc>
      </w:tr>
    </w:tbl>
    <w:p w14:paraId="1B4F8304" w14:textId="77777777" w:rsidR="000573E1" w:rsidRDefault="00493529">
      <w:pPr>
        <w:rPr>
          <w:rFonts w:ascii="Arial" w:eastAsia="Arial" w:hAnsi="Arial" w:cs="Arial"/>
          <w:b/>
          <w:bCs/>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bCs/>
        </w:rPr>
        <w:t>Table 2: Action Plan</w:t>
      </w:r>
    </w:p>
    <w:p w14:paraId="5461E653" w14:textId="77777777" w:rsidR="000573E1" w:rsidRDefault="00493529">
      <w:pPr>
        <w:pStyle w:val="Titlu2"/>
        <w:numPr>
          <w:ilvl w:val="0"/>
          <w:numId w:val="9"/>
        </w:numPr>
        <w:rPr>
          <w:rFonts w:ascii="Arial" w:eastAsia="Arial" w:hAnsi="Arial" w:cs="Arial"/>
        </w:rPr>
      </w:pPr>
      <w:bookmarkStart w:id="20" w:name="_heading=h.vsaoe04af7sb" w:colFirst="0" w:colLast="0"/>
      <w:bookmarkEnd w:id="20"/>
      <w:r>
        <w:rPr>
          <w:rFonts w:ascii="Arial" w:eastAsia="Arial" w:hAnsi="Arial" w:cs="Arial"/>
        </w:rPr>
        <w:t>Conclusion</w:t>
      </w:r>
    </w:p>
    <w:p w14:paraId="4ACDEEFE" w14:textId="77777777" w:rsidR="000573E1" w:rsidRDefault="00493529">
      <w:pPr>
        <w:rPr>
          <w:rFonts w:ascii="Arial" w:eastAsia="Arial" w:hAnsi="Arial" w:cs="Arial"/>
        </w:rPr>
      </w:pPr>
      <w:r>
        <w:rPr>
          <w:rFonts w:ascii="Arial" w:eastAsia="Arial" w:hAnsi="Arial" w:cs="Arial"/>
        </w:rPr>
        <w:t xml:space="preserve">It can be concluded from above evaluation that the requirement is to gain insights regarding the goal of future success. Proactive implementation of measures helps in reaching the goal and achieving a successful outcome. Therefore, it is essential to achieve adequate success, and the practical evaluation needs to be beneficial. </w:t>
      </w:r>
    </w:p>
    <w:p w14:paraId="5956753E" w14:textId="77777777" w:rsidR="000573E1" w:rsidRDefault="000573E1">
      <w:pPr>
        <w:rPr>
          <w:rFonts w:ascii="Arial" w:eastAsia="Arial" w:hAnsi="Arial" w:cs="Arial"/>
        </w:rPr>
      </w:pPr>
    </w:p>
    <w:p w14:paraId="64DCA5BC" w14:textId="77777777" w:rsidR="000573E1" w:rsidRDefault="00493529">
      <w:pPr>
        <w:rPr>
          <w:rFonts w:ascii="Arial" w:eastAsia="Arial" w:hAnsi="Arial" w:cs="Arial"/>
          <w:b/>
          <w:bCs/>
          <w:sz w:val="26"/>
          <w:szCs w:val="26"/>
        </w:rPr>
      </w:pPr>
      <w:r>
        <w:br w:type="page"/>
      </w:r>
    </w:p>
    <w:p w14:paraId="7FCF11CF" w14:textId="77777777" w:rsidR="000573E1" w:rsidRDefault="00493529">
      <w:pPr>
        <w:pStyle w:val="Titlu2"/>
        <w:numPr>
          <w:ilvl w:val="0"/>
          <w:numId w:val="9"/>
        </w:numPr>
        <w:rPr>
          <w:rFonts w:ascii="Arial" w:eastAsia="Arial" w:hAnsi="Arial" w:cs="Arial"/>
        </w:rPr>
      </w:pPr>
      <w:bookmarkStart w:id="21" w:name="_heading=h.8x1sa5vm1j52" w:colFirst="0" w:colLast="0"/>
      <w:bookmarkEnd w:id="21"/>
      <w:r>
        <w:rPr>
          <w:rFonts w:ascii="Arial" w:eastAsia="Arial" w:hAnsi="Arial" w:cs="Arial"/>
        </w:rPr>
        <w:t xml:space="preserve">References </w:t>
      </w:r>
    </w:p>
    <w:p w14:paraId="45EB1D59" w14:textId="77777777" w:rsidR="000573E1" w:rsidRDefault="00493529">
      <w:pPr>
        <w:ind w:left="360"/>
        <w:rPr>
          <w:rFonts w:ascii="Arial" w:eastAsia="Arial" w:hAnsi="Arial" w:cs="Arial"/>
          <w:color w:val="000000"/>
          <w:sz w:val="28"/>
          <w:szCs w:val="28"/>
        </w:rPr>
      </w:pPr>
      <w:r>
        <w:rPr>
          <w:rFonts w:ascii="Arial" w:eastAsia="Arial" w:hAnsi="Arial" w:cs="Arial"/>
          <w:color w:val="000000"/>
        </w:rPr>
        <w:t xml:space="preserve">Gavriliuk, I. and Zabrodskyi, I. (2026) ‘Reflection in the Formation of the Self and Personality Development: A Review of </w:t>
      </w:r>
      <w:r>
        <w:rPr>
          <w:rFonts w:ascii="Arial" w:eastAsia="Arial" w:hAnsi="Arial" w:cs="Arial"/>
        </w:rPr>
        <w:t>Recent</w:t>
      </w:r>
      <w:r>
        <w:rPr>
          <w:rFonts w:ascii="Arial" w:eastAsia="Arial" w:hAnsi="Arial" w:cs="Arial"/>
          <w:color w:val="000000"/>
        </w:rPr>
        <w:t xml:space="preserve"> Studies’, </w:t>
      </w:r>
      <w:r>
        <w:rPr>
          <w:rFonts w:ascii="Arial" w:eastAsia="Arial" w:hAnsi="Arial" w:cs="Arial"/>
          <w:i/>
          <w:iCs/>
          <w:color w:val="000000"/>
        </w:rPr>
        <w:t>STREDOEVROPSKY VESTNiK PRO VEDU А VYZKUM</w:t>
      </w:r>
      <w:r>
        <w:rPr>
          <w:rFonts w:ascii="Arial" w:eastAsia="Arial" w:hAnsi="Arial" w:cs="Arial"/>
          <w:color w:val="000000"/>
        </w:rPr>
        <w:t>, 2(4), pp. 244-255.</w:t>
      </w:r>
    </w:p>
    <w:p w14:paraId="67D1AF6E" w14:textId="77777777" w:rsidR="000573E1" w:rsidRDefault="00493529">
      <w:pPr>
        <w:ind w:left="360"/>
        <w:rPr>
          <w:rFonts w:ascii="Arial" w:eastAsia="Arial" w:hAnsi="Arial" w:cs="Arial"/>
          <w:color w:val="000000"/>
          <w:sz w:val="28"/>
          <w:szCs w:val="28"/>
        </w:rPr>
      </w:pPr>
      <w:r>
        <w:rPr>
          <w:rFonts w:ascii="Arial" w:eastAsia="Arial" w:hAnsi="Arial" w:cs="Arial"/>
          <w:color w:val="000000"/>
        </w:rPr>
        <w:t xml:space="preserve">Kopac, L., Weber, M., Volkmann, U., Berner, M.R. and Altnau, C.H.P. (2025) ‘Enhancing managerial effectiveness through systematic self-reflection and structured self-assessment practices’,  </w:t>
      </w:r>
      <w:r>
        <w:rPr>
          <w:rFonts w:ascii="Arial" w:eastAsia="Arial" w:hAnsi="Arial" w:cs="Arial"/>
          <w:i/>
          <w:iCs/>
          <w:color w:val="000000"/>
        </w:rPr>
        <w:t>Journal of Organizational Behavior Research</w:t>
      </w:r>
      <w:r>
        <w:rPr>
          <w:rFonts w:ascii="Arial" w:eastAsia="Arial" w:hAnsi="Arial" w:cs="Arial"/>
          <w:color w:val="000000"/>
        </w:rPr>
        <w:t>, 10(2-2025), pp.169-182.</w:t>
      </w:r>
      <w:r>
        <w:rPr>
          <w:rFonts w:ascii="Arial" w:eastAsia="Arial" w:hAnsi="Arial" w:cs="Arial"/>
          <w:color w:val="000000"/>
          <w:sz w:val="28"/>
          <w:szCs w:val="28"/>
        </w:rPr>
        <w:t xml:space="preserve"> </w:t>
      </w:r>
    </w:p>
    <w:p w14:paraId="7243EF77" w14:textId="77777777" w:rsidR="000573E1" w:rsidRDefault="00493529">
      <w:pPr>
        <w:ind w:left="360"/>
        <w:rPr>
          <w:rFonts w:ascii="Arial" w:eastAsia="Arial" w:hAnsi="Arial" w:cs="Arial"/>
          <w:color w:val="000000"/>
          <w:sz w:val="28"/>
          <w:szCs w:val="28"/>
        </w:rPr>
      </w:pPr>
      <w:r>
        <w:rPr>
          <w:rFonts w:ascii="Arial" w:eastAsia="Arial" w:hAnsi="Arial" w:cs="Arial"/>
          <w:color w:val="000000"/>
        </w:rPr>
        <w:t xml:space="preserve">Pamuji, S., Baharuddin, K.M., Novianto, A.Y., Kasmin, K. and Wibowo, E.P. (2024) ‘Time management: The key to success in managing complex projects’,  </w:t>
      </w:r>
      <w:r>
        <w:rPr>
          <w:rFonts w:ascii="Arial" w:eastAsia="Arial" w:hAnsi="Arial" w:cs="Arial"/>
          <w:i/>
          <w:iCs/>
          <w:color w:val="000000"/>
        </w:rPr>
        <w:t>Journal Markcount Finance</w:t>
      </w:r>
      <w:r>
        <w:rPr>
          <w:rFonts w:ascii="Arial" w:eastAsia="Arial" w:hAnsi="Arial" w:cs="Arial"/>
          <w:color w:val="000000"/>
        </w:rPr>
        <w:t>, 2(3), pp.361-370.</w:t>
      </w:r>
      <w:r>
        <w:rPr>
          <w:rFonts w:ascii="Arial" w:eastAsia="Arial" w:hAnsi="Arial" w:cs="Arial"/>
          <w:color w:val="000000"/>
          <w:sz w:val="28"/>
          <w:szCs w:val="28"/>
        </w:rPr>
        <w:t xml:space="preserve"> </w:t>
      </w:r>
    </w:p>
    <w:p w14:paraId="3346A6A3" w14:textId="77777777" w:rsidR="000573E1" w:rsidRDefault="00493529">
      <w:pPr>
        <w:ind w:left="360"/>
        <w:rPr>
          <w:rFonts w:ascii="Arial" w:eastAsia="Arial" w:hAnsi="Arial" w:cs="Arial"/>
          <w:color w:val="000000"/>
          <w:sz w:val="28"/>
          <w:szCs w:val="28"/>
        </w:rPr>
      </w:pPr>
      <w:r>
        <w:rPr>
          <w:rFonts w:ascii="Arial" w:eastAsia="Arial" w:hAnsi="Arial" w:cs="Arial"/>
          <w:color w:val="000000"/>
        </w:rPr>
        <w:t xml:space="preserve">Prachi, N.K.M. (2024) ‘Selection and performance of sensory panelists: A comprehensive review of factors influencing sensory evaluation outcomes’,  </w:t>
      </w:r>
      <w:r>
        <w:rPr>
          <w:rFonts w:ascii="Arial" w:eastAsia="Arial" w:hAnsi="Arial" w:cs="Arial"/>
          <w:i/>
          <w:iCs/>
          <w:color w:val="000000"/>
        </w:rPr>
        <w:t>J. Nutrition and Food Processing</w:t>
      </w:r>
      <w:r>
        <w:rPr>
          <w:rFonts w:ascii="Arial" w:eastAsia="Arial" w:hAnsi="Arial" w:cs="Arial"/>
          <w:color w:val="000000"/>
        </w:rPr>
        <w:t>, 7, p.15.</w:t>
      </w:r>
      <w:r>
        <w:rPr>
          <w:rFonts w:ascii="Arial" w:eastAsia="Arial" w:hAnsi="Arial" w:cs="Arial"/>
          <w:color w:val="000000"/>
          <w:sz w:val="28"/>
          <w:szCs w:val="28"/>
        </w:rPr>
        <w:t xml:space="preserve"> </w:t>
      </w:r>
    </w:p>
    <w:p w14:paraId="38737F2D" w14:textId="77777777" w:rsidR="000573E1" w:rsidRDefault="00493529">
      <w:pPr>
        <w:ind w:left="360"/>
        <w:rPr>
          <w:rFonts w:ascii="Arial" w:eastAsia="Arial" w:hAnsi="Arial" w:cs="Arial"/>
          <w:color w:val="000000"/>
          <w:sz w:val="28"/>
          <w:szCs w:val="28"/>
        </w:rPr>
      </w:pPr>
      <w:r>
        <w:rPr>
          <w:rFonts w:ascii="Arial" w:eastAsia="Arial" w:hAnsi="Arial" w:cs="Arial"/>
          <w:color w:val="000000"/>
        </w:rPr>
        <w:t xml:space="preserve">Praveena, K.S., Juslin, F., Patil, C.M. and Bhargavi, K. (2025) ‘Using gibb's reflective model approach for enhancing project-based learning among students through reflective assessment’,  </w:t>
      </w:r>
      <w:r>
        <w:rPr>
          <w:rFonts w:ascii="Arial" w:eastAsia="Arial" w:hAnsi="Arial" w:cs="Arial"/>
          <w:i/>
          <w:iCs/>
          <w:color w:val="000000"/>
        </w:rPr>
        <w:t>Journal of Engineering Education Transformations</w:t>
      </w:r>
      <w:r>
        <w:rPr>
          <w:rFonts w:ascii="Arial" w:eastAsia="Arial" w:hAnsi="Arial" w:cs="Arial"/>
          <w:color w:val="000000"/>
        </w:rPr>
        <w:t>, pp.148-155.</w:t>
      </w:r>
      <w:r>
        <w:rPr>
          <w:rFonts w:ascii="Arial" w:eastAsia="Arial" w:hAnsi="Arial" w:cs="Arial"/>
          <w:color w:val="000000"/>
          <w:sz w:val="28"/>
          <w:szCs w:val="28"/>
        </w:rPr>
        <w:t xml:space="preserve"> </w:t>
      </w:r>
    </w:p>
    <w:p w14:paraId="41E2B185" w14:textId="77777777" w:rsidR="000573E1" w:rsidRDefault="00493529">
      <w:pPr>
        <w:ind w:left="360"/>
        <w:rPr>
          <w:rFonts w:ascii="Arial" w:eastAsia="Arial" w:hAnsi="Arial" w:cs="Arial"/>
          <w:color w:val="000000"/>
        </w:rPr>
      </w:pPr>
      <w:r>
        <w:rPr>
          <w:rFonts w:ascii="Arial" w:eastAsia="Arial" w:hAnsi="Arial" w:cs="Arial"/>
          <w:color w:val="000000"/>
        </w:rPr>
        <w:t>Ringland, G. and Young, L. (2007). </w:t>
      </w:r>
      <w:r>
        <w:rPr>
          <w:rFonts w:ascii="Arial" w:eastAsia="Arial" w:hAnsi="Arial" w:cs="Arial"/>
          <w:i/>
          <w:iCs/>
          <w:color w:val="000000"/>
        </w:rPr>
        <w:t>Scenarios in Marketing: From vision to decision</w:t>
      </w:r>
      <w:r>
        <w:rPr>
          <w:rFonts w:ascii="Arial" w:eastAsia="Arial" w:hAnsi="Arial" w:cs="Arial"/>
          <w:color w:val="000000"/>
        </w:rPr>
        <w:t xml:space="preserve">. John Wiley &amp; Sons. </w:t>
      </w:r>
    </w:p>
    <w:p w14:paraId="30C122CB" w14:textId="77777777" w:rsidR="000573E1" w:rsidRDefault="000573E1">
      <w:pPr>
        <w:rPr>
          <w:rFonts w:ascii="Arial" w:eastAsia="Arial" w:hAnsi="Arial" w:cs="Arial"/>
          <w:b/>
          <w:bCs/>
          <w:color w:val="000000"/>
          <w:sz w:val="26"/>
          <w:szCs w:val="26"/>
        </w:rPr>
      </w:pPr>
    </w:p>
    <w:p w14:paraId="7C6099AA" w14:textId="77777777" w:rsidR="000573E1" w:rsidRDefault="000573E1">
      <w:pPr>
        <w:rPr>
          <w:rFonts w:ascii="Arial" w:eastAsia="Arial" w:hAnsi="Arial" w:cs="Arial"/>
          <w:b/>
          <w:bCs/>
          <w:color w:val="000000"/>
          <w:sz w:val="26"/>
          <w:szCs w:val="26"/>
        </w:rPr>
      </w:pPr>
    </w:p>
    <w:sectPr w:rsidR="000573E1">
      <w:footerReference w:type="default" r:id="rId66"/>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AF602" w14:textId="77777777" w:rsidR="00493529" w:rsidRDefault="00493529">
      <w:pPr>
        <w:spacing w:line="240" w:lineRule="auto"/>
      </w:pPr>
      <w:r>
        <w:separator/>
      </w:r>
    </w:p>
  </w:endnote>
  <w:endnote w:type="continuationSeparator" w:id="0">
    <w:p w14:paraId="75F7688C" w14:textId="77777777" w:rsidR="00493529" w:rsidRDefault="004935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9BFD0" w14:textId="77777777" w:rsidR="000573E1" w:rsidRDefault="00493529">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5408BD8" w14:textId="77777777" w:rsidR="000573E1" w:rsidRDefault="000573E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E923" w14:textId="77777777" w:rsidR="00493529" w:rsidRDefault="00493529">
      <w:pPr>
        <w:spacing w:line="240" w:lineRule="auto"/>
      </w:pPr>
      <w:r>
        <w:separator/>
      </w:r>
    </w:p>
  </w:footnote>
  <w:footnote w:type="continuationSeparator" w:id="0">
    <w:p w14:paraId="610B5CA3" w14:textId="77777777" w:rsidR="00493529" w:rsidRDefault="004935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61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672DC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52641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34089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7F50E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2E94C6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4D08A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F042ED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0B21B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6507B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2F140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78B5EF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86B074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9080EC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B541C9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C326A9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C41299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9891CB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9F1294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17B017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1A121E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A45285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50A46B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164522">
    <w:abstractNumId w:val="2"/>
  </w:num>
  <w:num w:numId="2" w16cid:durableId="1065370071">
    <w:abstractNumId w:val="0"/>
  </w:num>
  <w:num w:numId="3" w16cid:durableId="1445613890">
    <w:abstractNumId w:val="3"/>
  </w:num>
  <w:num w:numId="4" w16cid:durableId="1036004908">
    <w:abstractNumId w:val="21"/>
  </w:num>
  <w:num w:numId="5" w16cid:durableId="1799567577">
    <w:abstractNumId w:val="10"/>
  </w:num>
  <w:num w:numId="6" w16cid:durableId="634263989">
    <w:abstractNumId w:val="6"/>
  </w:num>
  <w:num w:numId="7" w16cid:durableId="1657491989">
    <w:abstractNumId w:val="20"/>
  </w:num>
  <w:num w:numId="8" w16cid:durableId="1052313052">
    <w:abstractNumId w:val="11"/>
  </w:num>
  <w:num w:numId="9" w16cid:durableId="109785873">
    <w:abstractNumId w:val="4"/>
  </w:num>
  <w:num w:numId="10" w16cid:durableId="1424299915">
    <w:abstractNumId w:val="5"/>
  </w:num>
  <w:num w:numId="11" w16cid:durableId="1136531099">
    <w:abstractNumId w:val="19"/>
  </w:num>
  <w:num w:numId="12" w16cid:durableId="1952471352">
    <w:abstractNumId w:val="1"/>
  </w:num>
  <w:num w:numId="13" w16cid:durableId="622351930">
    <w:abstractNumId w:val="8"/>
  </w:num>
  <w:num w:numId="14" w16cid:durableId="1033918198">
    <w:abstractNumId w:val="17"/>
  </w:num>
  <w:num w:numId="15" w16cid:durableId="1549756343">
    <w:abstractNumId w:val="13"/>
  </w:num>
  <w:num w:numId="16" w16cid:durableId="1623533040">
    <w:abstractNumId w:val="12"/>
  </w:num>
  <w:num w:numId="17" w16cid:durableId="1212766783">
    <w:abstractNumId w:val="18"/>
  </w:num>
  <w:num w:numId="18" w16cid:durableId="192302501">
    <w:abstractNumId w:val="14"/>
  </w:num>
  <w:num w:numId="19" w16cid:durableId="948581282">
    <w:abstractNumId w:val="7"/>
  </w:num>
  <w:num w:numId="20" w16cid:durableId="2089955892">
    <w:abstractNumId w:val="9"/>
  </w:num>
  <w:num w:numId="21" w16cid:durableId="1403527485">
    <w:abstractNumId w:val="15"/>
  </w:num>
  <w:num w:numId="22" w16cid:durableId="303658741">
    <w:abstractNumId w:val="22"/>
  </w:num>
  <w:num w:numId="23" w16cid:durableId="73400980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3E1"/>
    <w:rsid w:val="000573E1"/>
    <w:rsid w:val="00493529"/>
    <w:rsid w:val="00614B0B"/>
    <w:rsid w:val="007A7A4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7ECAF35C"/>
  <w15:docId w15:val="{505E0CCB-4A7C-E143-BE5D-25389BECB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eastAsia="ro-RO"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rFonts w:ascii="Times New Roman" w:eastAsia="Times New Roman" w:hAnsi="Times New Roman" w:cs="Times New Roman"/>
      <w:b/>
      <w:bCs/>
      <w:sz w:val="28"/>
      <w:szCs w:val="28"/>
    </w:rPr>
  </w:style>
  <w:style w:type="paragraph" w:styleId="Titlu2">
    <w:name w:val="heading 2"/>
    <w:basedOn w:val="Normal"/>
    <w:next w:val="Normal"/>
    <w:uiPriority w:val="9"/>
    <w:unhideWhenUsed/>
    <w:qFormat/>
    <w:pPr>
      <w:keepNext/>
      <w:keepLines/>
      <w:outlineLvl w:val="1"/>
    </w:pPr>
    <w:rPr>
      <w:rFonts w:ascii="Times New Roman" w:eastAsia="Times New Roman" w:hAnsi="Times New Roman" w:cs="Times New Roman"/>
      <w:b/>
      <w:bCs/>
      <w:sz w:val="26"/>
      <w:szCs w:val="26"/>
    </w:rPr>
  </w:style>
  <w:style w:type="paragraph" w:styleId="Titlu3">
    <w:name w:val="heading 3"/>
    <w:basedOn w:val="Normal"/>
    <w:next w:val="Normal"/>
    <w:uiPriority w:val="9"/>
    <w:unhideWhenUsed/>
    <w:qFormat/>
    <w:pPr>
      <w:keepNext/>
      <w:keepLines/>
      <w:outlineLvl w:val="2"/>
    </w:pPr>
    <w:rPr>
      <w:b/>
      <w:bCs/>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Style10">
    <w:name w:val="_Style 10"/>
    <w:basedOn w:val="TableNormal1"/>
    <w:tblPr/>
  </w:style>
  <w:style w:type="table" w:customStyle="1" w:styleId="Style11">
    <w:name w:val="_Style 11"/>
    <w:basedOn w:val="TableNormal1"/>
    <w:qFormat/>
    <w:tblPr/>
  </w:style>
  <w:style w:type="table" w:customStyle="1" w:styleId="Style12">
    <w:name w:val="_Style 12"/>
    <w:basedOn w:val="TableNormal1"/>
    <w:qFormat/>
    <w:tblPr/>
  </w:style>
  <w:style w:type="table" w:customStyle="1" w:styleId="Style13">
    <w:name w:val="_Style 13"/>
    <w:basedOn w:val="TableNormal1"/>
    <w:qFormat/>
    <w:tblPr/>
  </w:style>
  <w:style w:type="table" w:customStyle="1" w:styleId="Style14">
    <w:name w:val="_Style 14"/>
    <w:basedOn w:val="TableNormal1"/>
    <w:qFormat/>
    <w:tblPr/>
  </w:style>
  <w:style w:type="paragraph" w:styleId="Textcomentariu">
    <w:name w:val="annotation text"/>
    <w:basedOn w:val="Normal"/>
    <w:link w:val="TextcomentariuCaracter"/>
    <w:pPr>
      <w:spacing w:line="240" w:lineRule="auto"/>
    </w:pPr>
    <w:rPr>
      <w:sz w:val="20"/>
      <w:szCs w:val="20"/>
    </w:rPr>
  </w:style>
  <w:style w:type="character" w:customStyle="1" w:styleId="TextcomentariuCaracter">
    <w:name w:val="Text comentariu Caracter"/>
    <w:basedOn w:val="Fontdeparagrafimplicit"/>
    <w:link w:val="Textcomentariu"/>
    <w:rPr>
      <w:lang w:val="zh-CN"/>
    </w:rPr>
  </w:style>
  <w:style w:type="character" w:styleId="Referincomentariu">
    <w:name w:val="annotation reference"/>
    <w:basedOn w:val="Fontdeparagrafimplicit"/>
    <w:rPr>
      <w:sz w:val="16"/>
      <w:szCs w:val="16"/>
    </w:rPr>
  </w:style>
  <w:style w:type="paragraph" w:styleId="Listparagraf">
    <w:name w:val="List Paragraph"/>
    <w:basedOn w:val="Normal"/>
    <w:uiPriority w:val="99"/>
    <w:unhideWhenUsed/>
    <w:rsid w:val="002C1322"/>
    <w:pPr>
      <w:ind w:left="720"/>
      <w:contextualSpacing/>
    </w:pPr>
  </w:style>
  <w:style w:type="paragraph" w:styleId="Cuprins1">
    <w:name w:val="toc 1"/>
    <w:basedOn w:val="Normal"/>
    <w:next w:val="Normal"/>
    <w:autoRedefine/>
    <w:uiPriority w:val="39"/>
    <w:rsid w:val="001512BA"/>
    <w:pPr>
      <w:spacing w:after="100"/>
    </w:pPr>
  </w:style>
  <w:style w:type="paragraph" w:styleId="Cuprins2">
    <w:name w:val="toc 2"/>
    <w:basedOn w:val="Normal"/>
    <w:next w:val="Normal"/>
    <w:autoRedefine/>
    <w:uiPriority w:val="39"/>
    <w:rsid w:val="001512BA"/>
    <w:pPr>
      <w:spacing w:after="100"/>
      <w:ind w:left="240"/>
    </w:pPr>
  </w:style>
  <w:style w:type="paragraph" w:styleId="Cuprins3">
    <w:name w:val="toc 3"/>
    <w:basedOn w:val="Normal"/>
    <w:next w:val="Normal"/>
    <w:autoRedefine/>
    <w:uiPriority w:val="39"/>
    <w:rsid w:val="001512BA"/>
    <w:pPr>
      <w:spacing w:after="100"/>
      <w:ind w:left="480"/>
    </w:pPr>
  </w:style>
  <w:style w:type="character" w:styleId="Hyperlink">
    <w:name w:val="Hyperlink"/>
    <w:basedOn w:val="Fontdeparagrafimplicit"/>
    <w:uiPriority w:val="99"/>
    <w:unhideWhenUsed/>
    <w:rsid w:val="001512BA"/>
    <w:rPr>
      <w:color w:val="0000FF" w:themeColor="hyperlink"/>
      <w:u w:val="single"/>
    </w:rPr>
  </w:style>
  <w:style w:type="paragraph" w:styleId="Antet">
    <w:name w:val="header"/>
    <w:basedOn w:val="Normal"/>
    <w:link w:val="AntetCaracter"/>
    <w:rsid w:val="0058689E"/>
    <w:pPr>
      <w:tabs>
        <w:tab w:val="center" w:pos="4680"/>
        <w:tab w:val="right" w:pos="9360"/>
      </w:tabs>
      <w:spacing w:line="240" w:lineRule="auto"/>
    </w:pPr>
  </w:style>
  <w:style w:type="character" w:customStyle="1" w:styleId="AntetCaracter">
    <w:name w:val="Antet Caracter"/>
    <w:basedOn w:val="Fontdeparagrafimplicit"/>
    <w:link w:val="Antet"/>
    <w:rsid w:val="0058689E"/>
    <w:rPr>
      <w:sz w:val="24"/>
      <w:szCs w:val="24"/>
      <w:lang w:val="zh-CN"/>
    </w:rPr>
  </w:style>
  <w:style w:type="paragraph" w:styleId="Subsol">
    <w:name w:val="footer"/>
    <w:basedOn w:val="Normal"/>
    <w:link w:val="SubsolCaracter"/>
    <w:uiPriority w:val="99"/>
    <w:rsid w:val="0058689E"/>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58689E"/>
    <w:rPr>
      <w:sz w:val="24"/>
      <w:szCs w:val="24"/>
      <w:lang w:val="zh-CN"/>
    </w:rPr>
  </w:style>
  <w:style w:type="character" w:customStyle="1" w:styleId="UnresolvedMention1">
    <w:name w:val="Unresolved Mention1"/>
    <w:basedOn w:val="Fontdeparagrafimplicit"/>
    <w:uiPriority w:val="99"/>
    <w:semiHidden/>
    <w:unhideWhenUsed/>
    <w:rsid w:val="00B93CBA"/>
    <w:rPr>
      <w:color w:val="605E5C"/>
      <w:shd w:val="clear" w:color="auto" w:fill="E1DFDD"/>
    </w:rPr>
  </w:style>
  <w:style w:type="paragraph" w:styleId="SubiectComentariu">
    <w:name w:val="annotation subject"/>
    <w:basedOn w:val="Textcomentariu"/>
    <w:next w:val="Textcomentariu"/>
    <w:link w:val="SubiectComentariuCaracter"/>
    <w:rsid w:val="000B4AB2"/>
    <w:rPr>
      <w:b/>
      <w:bCs/>
    </w:rPr>
  </w:style>
  <w:style w:type="character" w:customStyle="1" w:styleId="SubiectComentariuCaracter">
    <w:name w:val="Subiect Comentariu Caracter"/>
    <w:basedOn w:val="TextcomentariuCaracter"/>
    <w:link w:val="SubiectComentariu"/>
    <w:rsid w:val="000B4AB2"/>
    <w:rPr>
      <w:b/>
      <w:bCs/>
      <w:lang w:val="zh-CN"/>
    </w:rPr>
  </w:style>
  <w:style w:type="character" w:styleId="Robust">
    <w:name w:val="Strong"/>
    <w:basedOn w:val="Fontdeparagrafimplicit"/>
    <w:uiPriority w:val="22"/>
    <w:qFormat/>
    <w:rsid w:val="00FB6333"/>
    <w:rPr>
      <w:b/>
      <w:bCs/>
    </w:rPr>
  </w:style>
  <w:style w:type="table" w:customStyle="1" w:styleId="a">
    <w:basedOn w:val="TabelNormal"/>
    <w:tblPr>
      <w:tblStyleRowBandSize w:val="1"/>
      <w:tblStyleColBandSize w:val="1"/>
    </w:tblPr>
  </w:style>
  <w:style w:type="table" w:customStyle="1" w:styleId="a0">
    <w:basedOn w:val="TabelNormal"/>
    <w:tblPr>
      <w:tblStyleRowBandSize w:val="1"/>
      <w:tblStyleColBandSize w:val="1"/>
    </w:tblPr>
  </w:style>
  <w:style w:type="table" w:customStyle="1" w:styleId="a1">
    <w:basedOn w:val="TabelNormal"/>
    <w:tblPr>
      <w:tblStyleRowBandSize w:val="1"/>
      <w:tblStyleColBandSize w:val="1"/>
    </w:tblPr>
  </w:style>
  <w:style w:type="table" w:customStyle="1" w:styleId="a2">
    <w:basedOn w:val="TabelNormal"/>
    <w:tblPr>
      <w:tblStyleRowBandSize w:val="1"/>
      <w:tblStyleColBandSize w:val="1"/>
    </w:tblPr>
  </w:style>
  <w:style w:type="table" w:customStyle="1" w:styleId="a3">
    <w:basedOn w:val="TabelNormal"/>
    <w:tblPr>
      <w:tblStyleRowBandSize w:val="1"/>
      <w:tblStyleColBandSize w:val="1"/>
    </w:tblPr>
  </w:style>
  <w:style w:type="paragraph" w:styleId="TextnBalon">
    <w:name w:val="Balloon Text"/>
    <w:basedOn w:val="Normal"/>
    <w:link w:val="TextnBalonCaracter"/>
    <w:uiPriority w:val="99"/>
    <w:semiHidden/>
    <w:unhideWhenUsed/>
    <w:rsid w:val="000A54D5"/>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A54D5"/>
    <w:rPr>
      <w:rFonts w:ascii="Segoe UI" w:hAnsi="Segoe UI" w:cs="Segoe UI"/>
      <w:sz w:val="18"/>
      <w:szCs w:val="18"/>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4">
    <w:basedOn w:val="TabelNormal"/>
    <w:tblPr>
      <w:tblStyleRowBandSize w:val="1"/>
      <w:tblStyleColBandSize w:val="1"/>
    </w:tblPr>
  </w:style>
  <w:style w:type="table" w:customStyle="1" w:styleId="a5">
    <w:basedOn w:val="TabelNormal"/>
    <w:tblPr>
      <w:tblStyleRowBandSize w:val="1"/>
      <w:tblStyleColBandSize w:val="1"/>
    </w:tblPr>
  </w:style>
  <w:style w:type="table" w:customStyle="1" w:styleId="a6">
    <w:basedOn w:val="TabelNormal"/>
    <w:tblPr>
      <w:tblStyleRowBandSize w:val="1"/>
      <w:tblStyleColBandSize w:val="1"/>
    </w:tblPr>
  </w:style>
  <w:style w:type="table" w:customStyle="1" w:styleId="a7">
    <w:basedOn w:val="TabelNormal"/>
    <w:tblPr>
      <w:tblStyleRowBandSize w:val="1"/>
      <w:tblStyleColBandSize w:val="1"/>
    </w:tblPr>
  </w:style>
  <w:style w:type="table" w:customStyle="1" w:styleId="a8">
    <w:basedOn w:val="Tabel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corporate.deliveroo.co.uk/about-us/business-model/" TargetMode="External" /><Relationship Id="rId39" Type="http://schemas.openxmlformats.org/officeDocument/2006/relationships/hyperlink" Target="https://gpseducation.oecd.org/CountryProfile?primaryCountry=JPN&amp;treshold=10&amp;topic=EO" TargetMode="External" /><Relationship Id="rId21" Type="http://schemas.openxmlformats.org/officeDocument/2006/relationships/hyperlink" Target="https://www.census.gov/newsroom/press-releases/2025/educational-attainment-data.html" TargetMode="External" /><Relationship Id="rId34" Type="http://schemas.openxmlformats.org/officeDocument/2006/relationships/hyperlink" Target="https://www.imarcgroup.com/united-states-online-food-delivery-market" TargetMode="External" /><Relationship Id="rId42" Type="http://schemas.openxmlformats.org/officeDocument/2006/relationships/hyperlink" Target="https://www.esgtoday.com/u-s-rejects-un-sustainable-development-goals/" TargetMode="External" /><Relationship Id="rId47" Type="http://schemas.openxmlformats.org/officeDocument/2006/relationships/hyperlink" Target="https://www.statista.com/topics/3294/online-food-delivery-services-in-the-us/" TargetMode="External" /><Relationship Id="rId50" Type="http://schemas.openxmlformats.org/officeDocument/2006/relationships/hyperlink" Target="https://www.theglobaleconomy.com/Japan/wb_political_stability/" TargetMode="External" /><Relationship Id="rId55" Type="http://schemas.openxmlformats.org/officeDocument/2006/relationships/hyperlink" Target="https://tradingeconomics.com/japan/unemployment-rate" TargetMode="External" /><Relationship Id="rId63" Type="http://schemas.openxmlformats.org/officeDocument/2006/relationships/hyperlink" Target="https://data.worldbank.org/indicator/NY.GDP.MKTP.CD?locations=JP" TargetMode="External" /><Relationship Id="rId68" Type="http://schemas.openxmlformats.org/officeDocument/2006/relationships/theme" Target="theme/theme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png" /><Relationship Id="rId29" Type="http://schemas.openxmlformats.org/officeDocument/2006/relationships/hyperlink" Target="https://careers.deliveroo.co.uk/role/partner-marketing-marketing-f022c742f59a/"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businessofapps.com/data/deliveroo-statistics/" TargetMode="External" /><Relationship Id="rId32" Type="http://schemas.openxmlformats.org/officeDocument/2006/relationships/hyperlink" Target="https://global.fujitsu/en-global/pr/news/2025/11/20-01" TargetMode="External" /><Relationship Id="rId37" Type="http://schemas.openxmlformats.org/officeDocument/2006/relationships/hyperlink" Target="https://finance.yahoo.com/news/law-forces-food-delivery-apps-121500301.html" TargetMode="External" /><Relationship Id="rId40" Type="http://schemas.openxmlformats.org/officeDocument/2006/relationships/hyperlink" Target="https://www.pwc.com/us/en/industries/consumer-markets/library/consumer-markets-trends.html" TargetMode="External" /><Relationship Id="rId45" Type="http://schemas.openxmlformats.org/officeDocument/2006/relationships/hyperlink" Target="https://www.statista.com/outlook/emo/online-food-delivery/united-states/?srsltid=AfmBOoocrqeAZKGrgKdpNSN2fsSBfrVifUuJRGJ1NhOUUuuNdeo2zW79" TargetMode="External" /><Relationship Id="rId53" Type="http://schemas.openxmlformats.org/officeDocument/2006/relationships/hyperlink" Target="https://mainichi.jp/english/articles/20240126/p2a/00m/0na/045000c" TargetMode="External" /><Relationship Id="rId58" Type="http://schemas.openxmlformats.org/officeDocument/2006/relationships/hyperlink" Target="https://www.dol.gov/agencies/whd/flsa" TargetMode="External" /><Relationship Id="rId66"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internationalemploymentlawyer.com/news/japan-gives-millions-freelancers-new-protections" TargetMode="External" /><Relationship Id="rId28" Type="http://schemas.openxmlformats.org/officeDocument/2006/relationships/hyperlink" Target="about:blank" TargetMode="External" /><Relationship Id="rId36" Type="http://schemas.openxmlformats.org/officeDocument/2006/relationships/hyperlink" Target="https://datareportal.com/reports/digital-2026-japan" TargetMode="External" /><Relationship Id="rId49" Type="http://schemas.openxmlformats.org/officeDocument/2006/relationships/hyperlink" Target="https://www.theglobaleconomy.com/USA/wb_political_stability/" TargetMode="External" /><Relationship Id="rId57" Type="http://schemas.openxmlformats.org/officeDocument/2006/relationships/hyperlink" Target="https://tradingeconomics.com/united-states/unemployment-rate" TargetMode="External" /><Relationship Id="rId61" Type="http://schemas.openxmlformats.org/officeDocument/2006/relationships/hyperlink" Target="https://www.wipo.int/gii-ranking/en/japan/" TargetMode="Externa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www.ftc.gov/news-events/news/press-releases/2025/01/ftc-issues-policy-statement-clarifying-independent-contractors-gig-workers-organizing-activities-are" TargetMode="External" /><Relationship Id="rId44" Type="http://schemas.openxmlformats.org/officeDocument/2006/relationships/hyperlink" Target="https://www.statista.com/outlook/emo/online-food-delivery/worldwide/?srsltid=AfmBOoqOgO3IJdQ10UJwJdB0VX_wFeAeXbHHr-NJ7LjlK4S6J9uG0bA3" TargetMode="External" /><Relationship Id="rId52" Type="http://schemas.openxmlformats.org/officeDocument/2006/relationships/hyperlink" Target="https://globalgoals.org/goals/8-decent-work-and-economic-growth/" TargetMode="External" /><Relationship Id="rId60" Type="http://schemas.openxmlformats.org/officeDocument/2006/relationships/hyperlink" Target="https://www.epa.gov/laws-regulations/summary-clean-air-act" TargetMode="External" /><Relationship Id="rId65" Type="http://schemas.openxmlformats.org/officeDocument/2006/relationships/image" Target="media/image1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climateactiontracker.org/countries/japan/net-zero-targets/" TargetMode="External" /><Relationship Id="rId27" Type="http://schemas.openxmlformats.org/officeDocument/2006/relationships/hyperlink" Target="https://deliveroo.co.uk/" TargetMode="External" /><Relationship Id="rId30" Type="http://schemas.openxmlformats.org/officeDocument/2006/relationships/hyperlink" Target="https://ir.doordash.com/news/news-details/2025/DoorDash-Completes-Acquisition-of-Deliveroo/default.aspx" TargetMode="External" /><Relationship Id="rId35" Type="http://schemas.openxmlformats.org/officeDocument/2006/relationships/hyperlink" Target="https://www.japaneselawtranslation.go.jp/en/laws/view/3567/en" TargetMode="External" /><Relationship Id="rId43" Type="http://schemas.openxmlformats.org/officeDocument/2006/relationships/hyperlink" Target="https://smartstartjapan.com/business-regulations-in-japan/" TargetMode="External" /><Relationship Id="rId48" Type="http://schemas.openxmlformats.org/officeDocument/2006/relationships/hyperlink" Target="https://www.theculturefactor.com/country-comparison-tool?countries=japan%2Cunited+kingdom%2Cunited+states" TargetMode="External" /><Relationship Id="rId56" Type="http://schemas.openxmlformats.org/officeDocument/2006/relationships/hyperlink" Target="https://tradingeconomics.com/united-states/inflation-cpi" TargetMode="External" /><Relationship Id="rId64" Type="http://schemas.openxmlformats.org/officeDocument/2006/relationships/hyperlink" Target="https://data.worldbank.org/indicator/NY.GDP.MKTP.CD?locations=US" TargetMode="External" /><Relationship Id="rId8" Type="http://schemas.openxmlformats.org/officeDocument/2006/relationships/image" Target="media/image1.png" /><Relationship Id="rId51" Type="http://schemas.openxmlformats.org/officeDocument/2006/relationships/hyperlink" Target="https://globalgoals.org/goals/12-responsible-consumption-and-production/"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deliveroo.co.uk/about-us" TargetMode="External" /><Relationship Id="rId33" Type="http://schemas.openxmlformats.org/officeDocument/2006/relationships/hyperlink" Target="https://www.grandviewresearch.com/horizon/outlook/online-food-delivery-market/japan" TargetMode="External" /><Relationship Id="rId38" Type="http://schemas.openxmlformats.org/officeDocument/2006/relationships/hyperlink" Target="https://nationalbusinesslawauthority.com/business-regulatory-compliance/" TargetMode="External" /><Relationship Id="rId46" Type="http://schemas.openxmlformats.org/officeDocument/2006/relationships/hyperlink" Target="https://www.statista.com/topics/10043/deliveroo/" TargetMode="External" /><Relationship Id="rId59" Type="http://schemas.openxmlformats.org/officeDocument/2006/relationships/hyperlink" Target="http://www.fao.org/faolex/results/details/en/c/LEX-FAOC040740" TargetMode="External" /><Relationship Id="rId67" Type="http://schemas.openxmlformats.org/officeDocument/2006/relationships/fontTable" Target="fontTable.xml" /><Relationship Id="rId20" Type="http://schemas.openxmlformats.org/officeDocument/2006/relationships/image" Target="media/image13.png" /><Relationship Id="rId41" Type="http://schemas.openxmlformats.org/officeDocument/2006/relationships/hyperlink" Target="https://www.reuters.com/business/retail-consumer/uks-deliveroo-reports-stronger-order-growth-first-quarter-2025-04-17/" TargetMode="External" /><Relationship Id="rId54" Type="http://schemas.openxmlformats.org/officeDocument/2006/relationships/hyperlink" Target="https://tradingeconomics.com/japan/inflation-cpi" TargetMode="External" /><Relationship Id="rId62" Type="http://schemas.openxmlformats.org/officeDocument/2006/relationships/hyperlink" Target="https://www.wipo.int/gii-ranking/en/united-states-of-americ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FAI2/LKMXnoGuUdrXfDCtPKXKw==">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7197</Words>
  <Characters>41744</Characters>
  <Application>Microsoft Office Word</Application>
  <DocSecurity>0</DocSecurity>
  <Lines>347</Lines>
  <Paragraphs>97</Paragraphs>
  <ScaleCrop>false</ScaleCrop>
  <Company/>
  <LinksUpToDate>false</LinksUpToDate>
  <CharactersWithSpaces>48844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Pacuraru</cp:lastModifiedBy>
  <cp:revision>2</cp:revision>
  <dcterms:created xsi:type="dcterms:W3CDTF">2026-10-22T21:43:00Z</dcterms:created>
  <dcterms:modified xsi:type="dcterms:W3CDTF">2026-10-22T21:43:00Z</dcterms:modified>
</cp:coreProperties>
</file>