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45D80" w14:textId="109EE345" w:rsidR="006D0F0A" w:rsidRPr="00BD1F38" w:rsidRDefault="006D0F0A" w:rsidP="006D0F0A">
      <w:pPr>
        <w:pStyle w:val="NormalWeb"/>
        <w:spacing w:before="0" w:beforeAutospacing="0" w:after="0" w:afterAutospacing="0"/>
        <w:ind w:left="-180" w:right="-334"/>
        <w:rPr>
          <w:lang w:val="cy-GB"/>
        </w:rPr>
      </w:pPr>
      <w:r w:rsidRPr="00BD1F38">
        <w:rPr>
          <w:noProof/>
        </w:rPr>
        <w:drawing>
          <wp:inline distT="0" distB="0" distL="0" distR="0" wp14:anchorId="238DE31E" wp14:editId="154EC27A">
            <wp:extent cx="2880360" cy="1045845"/>
            <wp:effectExtent l="25400" t="25400" r="15240" b="825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360" cy="1045845"/>
                    </a:xfrm>
                    <a:prstGeom prst="rect">
                      <a:avLst/>
                    </a:prstGeom>
                    <a:noFill/>
                    <a:ln w="19050" cmpd="sng">
                      <a:solidFill>
                        <a:srgbClr val="F6F6F6"/>
                      </a:solidFill>
                      <a:miter lim="800000"/>
                      <a:headEnd/>
                      <a:tailEnd/>
                    </a:ln>
                    <a:effectLst/>
                  </pic:spPr>
                </pic:pic>
              </a:graphicData>
            </a:graphic>
          </wp:inline>
        </w:drawing>
      </w:r>
    </w:p>
    <w:p w14:paraId="0753E0C7" w14:textId="77777777" w:rsidR="006D0F0A" w:rsidRPr="00BD1F38" w:rsidRDefault="006D0F0A" w:rsidP="006D0F0A">
      <w:pPr>
        <w:pStyle w:val="Heading1"/>
        <w:rPr>
          <w:rFonts w:ascii="Times New Roman" w:hAnsi="Times New Roman" w:cs="Times New Roman"/>
          <w:lang w:val="cy-GB"/>
        </w:rPr>
      </w:pPr>
      <w:r w:rsidRPr="00BD1F38">
        <w:rPr>
          <w:rFonts w:ascii="Times New Roman" w:hAnsi="Times New Roman" w:cs="Times New Roman"/>
          <w:lang w:val="cy-GB"/>
        </w:rPr>
        <w:t xml:space="preserve">Postgraduate Dissertation Coversheet &amp; Feedback Form: </w:t>
      </w:r>
    </w:p>
    <w:p w14:paraId="37E2EDB6" w14:textId="77777777" w:rsidR="006D0F0A" w:rsidRPr="00BD1F38" w:rsidRDefault="006D0F0A" w:rsidP="006D0F0A">
      <w:pPr>
        <w:rPr>
          <w:lang w:val="cy-GB"/>
        </w:rPr>
      </w:pPr>
    </w:p>
    <w:p w14:paraId="2AC03DF6" w14:textId="77777777" w:rsidR="006D0F0A" w:rsidRPr="00BD1F38" w:rsidRDefault="006D0F0A" w:rsidP="006D0F0A">
      <w:pPr>
        <w:pStyle w:val="Heading3"/>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802"/>
      </w:tblGrid>
      <w:tr w:rsidR="006D0F0A" w:rsidRPr="00BD1F38" w14:paraId="5CBD54A4" w14:textId="77777777" w:rsidTr="00FF3C8D">
        <w:trPr>
          <w:trHeight w:val="614"/>
        </w:trPr>
        <w:tc>
          <w:tcPr>
            <w:tcW w:w="8755" w:type="dxa"/>
            <w:gridSpan w:val="6"/>
          </w:tcPr>
          <w:p w14:paraId="2C15D5F1" w14:textId="77777777" w:rsidR="006D0F0A" w:rsidRPr="00BD1F38" w:rsidRDefault="006D0F0A" w:rsidP="00FF3C8D">
            <w:pPr>
              <w:pStyle w:val="NormalWeb"/>
              <w:spacing w:before="0" w:beforeAutospacing="0" w:after="0" w:afterAutospacing="0"/>
              <w:ind w:right="34"/>
              <w:rPr>
                <w:i/>
              </w:rPr>
            </w:pPr>
            <w:r w:rsidRPr="00BD1F38">
              <w:rPr>
                <w:i/>
              </w:rPr>
              <w:t>For completion by student:</w:t>
            </w:r>
          </w:p>
        </w:tc>
      </w:tr>
      <w:tr w:rsidR="006D0F0A" w:rsidRPr="00BD1F38" w14:paraId="588FA3E3" w14:textId="77777777" w:rsidTr="00FF3C8D">
        <w:trPr>
          <w:trHeight w:val="718"/>
        </w:trPr>
        <w:tc>
          <w:tcPr>
            <w:tcW w:w="8755" w:type="dxa"/>
            <w:gridSpan w:val="6"/>
          </w:tcPr>
          <w:p w14:paraId="66650C77" w14:textId="3904BA97" w:rsidR="006D0F0A" w:rsidRPr="00BD1F38" w:rsidRDefault="006D0F0A" w:rsidP="00FF3C8D">
            <w:pPr>
              <w:pStyle w:val="NormalWeb"/>
              <w:spacing w:before="0" w:beforeAutospacing="0" w:after="0" w:afterAutospacing="0"/>
              <w:ind w:right="34"/>
              <w:rPr>
                <w:iCs/>
              </w:rPr>
            </w:pPr>
            <w:r w:rsidRPr="00BD1F38">
              <w:rPr>
                <w:i/>
              </w:rPr>
              <w:t>Student Name:</w:t>
            </w:r>
            <w:r w:rsidR="00CD29C4" w:rsidRPr="00BD1F38">
              <w:rPr>
                <w:i/>
              </w:rPr>
              <w:t xml:space="preserve"> </w:t>
            </w:r>
            <w:r w:rsidR="00CD29C4" w:rsidRPr="00BD1F38">
              <w:rPr>
                <w:iCs/>
              </w:rPr>
              <w:t>James Berger</w:t>
            </w:r>
          </w:p>
          <w:p w14:paraId="4D9C18DB" w14:textId="77777777" w:rsidR="006D0F0A" w:rsidRPr="00BD1F38" w:rsidRDefault="006D0F0A" w:rsidP="00FF3C8D">
            <w:pPr>
              <w:pStyle w:val="NormalWeb"/>
              <w:spacing w:before="0" w:beforeAutospacing="0" w:after="0" w:afterAutospacing="0"/>
              <w:ind w:right="34"/>
              <w:rPr>
                <w:i/>
                <w:sz w:val="36"/>
              </w:rPr>
            </w:pPr>
          </w:p>
          <w:p w14:paraId="78726B69" w14:textId="5985FCDD" w:rsidR="006D0F0A" w:rsidRPr="00BD1F38" w:rsidRDefault="006D0F0A" w:rsidP="00FF3C8D">
            <w:pPr>
              <w:pStyle w:val="NormalWeb"/>
              <w:spacing w:before="0" w:beforeAutospacing="0" w:after="0" w:afterAutospacing="0"/>
              <w:ind w:right="34"/>
              <w:rPr>
                <w:i/>
              </w:rPr>
            </w:pPr>
            <w:r w:rsidRPr="00BD1F38">
              <w:rPr>
                <w:i/>
              </w:rPr>
              <w:t xml:space="preserve">Student </w:t>
            </w:r>
            <w:r w:rsidRPr="00BD1F38">
              <w:rPr>
                <w:b/>
                <w:bCs/>
                <w:i/>
                <w:u w:val="single"/>
              </w:rPr>
              <w:t>University</w:t>
            </w:r>
            <w:r w:rsidRPr="00BD1F38">
              <w:rPr>
                <w:i/>
                <w:u w:val="single"/>
              </w:rPr>
              <w:t xml:space="preserve"> </w:t>
            </w:r>
            <w:r w:rsidRPr="00BD1F38">
              <w:rPr>
                <w:i/>
              </w:rPr>
              <w:t xml:space="preserve">Email: </w:t>
            </w:r>
            <w:hyperlink r:id="rId8" w:history="1">
              <w:r w:rsidR="003A7706" w:rsidRPr="00BD1F38">
                <w:rPr>
                  <w:rStyle w:val="Hyperlink"/>
                  <w:iCs/>
                </w:rPr>
                <w:t>2024829@student.uwtsd.ac.uk</w:t>
              </w:r>
            </w:hyperlink>
          </w:p>
        </w:tc>
      </w:tr>
      <w:tr w:rsidR="006D0F0A" w:rsidRPr="00BD1F38" w14:paraId="440CC51A" w14:textId="77777777" w:rsidTr="00FF3C8D">
        <w:trPr>
          <w:trHeight w:val="849"/>
        </w:trPr>
        <w:tc>
          <w:tcPr>
            <w:tcW w:w="4788" w:type="dxa"/>
          </w:tcPr>
          <w:p w14:paraId="198F2857" w14:textId="5093D446" w:rsidR="006D0F0A" w:rsidRPr="00BD1F38" w:rsidRDefault="006D0F0A" w:rsidP="00FF3C8D">
            <w:pPr>
              <w:pStyle w:val="NormalWeb"/>
              <w:spacing w:before="0" w:beforeAutospacing="0" w:after="0" w:afterAutospacing="0"/>
              <w:ind w:right="34"/>
              <w:rPr>
                <w:i/>
              </w:rPr>
            </w:pPr>
            <w:r w:rsidRPr="00BD1F38">
              <w:rPr>
                <w:i/>
              </w:rPr>
              <w:t>Module code:</w:t>
            </w:r>
            <w:r w:rsidR="00C83F44" w:rsidRPr="00BD1F38">
              <w:rPr>
                <w:i/>
              </w:rPr>
              <w:t xml:space="preserve"> </w:t>
            </w:r>
            <w:r w:rsidR="00C83F44" w:rsidRPr="00BD1F38">
              <w:rPr>
                <w:iCs/>
              </w:rPr>
              <w:t xml:space="preserve">HPCA7029 </w:t>
            </w:r>
          </w:p>
        </w:tc>
        <w:tc>
          <w:tcPr>
            <w:tcW w:w="2266" w:type="dxa"/>
            <w:gridSpan w:val="4"/>
          </w:tcPr>
          <w:p w14:paraId="16DFB214" w14:textId="77777777" w:rsidR="006D0F0A" w:rsidRPr="00BD1F38" w:rsidRDefault="006D0F0A" w:rsidP="00FF3C8D">
            <w:pPr>
              <w:pStyle w:val="NormalWeb"/>
              <w:spacing w:before="0" w:beforeAutospacing="0" w:after="0" w:afterAutospacing="0"/>
              <w:ind w:right="34"/>
              <w:rPr>
                <w:i/>
              </w:rPr>
            </w:pPr>
            <w:r w:rsidRPr="00BD1F38">
              <w:rPr>
                <w:i/>
              </w:rPr>
              <w:t>Student ID number:</w:t>
            </w:r>
          </w:p>
          <w:p w14:paraId="240B4229" w14:textId="609425A7" w:rsidR="001062F5" w:rsidRPr="00BD1F38" w:rsidRDefault="001062F5" w:rsidP="00FF3C8D">
            <w:pPr>
              <w:pStyle w:val="NormalWeb"/>
              <w:spacing w:before="0" w:beforeAutospacing="0" w:after="0" w:afterAutospacing="0"/>
              <w:ind w:right="34"/>
              <w:rPr>
                <w:iCs/>
              </w:rPr>
            </w:pPr>
            <w:r w:rsidRPr="00BD1F38">
              <w:rPr>
                <w:iCs/>
              </w:rPr>
              <w:t>2024829</w:t>
            </w:r>
          </w:p>
        </w:tc>
        <w:tc>
          <w:tcPr>
            <w:tcW w:w="1701" w:type="dxa"/>
          </w:tcPr>
          <w:p w14:paraId="5EF5ED58" w14:textId="77777777" w:rsidR="006D0F0A" w:rsidRPr="00BD1F38" w:rsidRDefault="006D0F0A" w:rsidP="00FF3C8D">
            <w:pPr>
              <w:pStyle w:val="NormalWeb"/>
              <w:spacing w:before="0" w:beforeAutospacing="0" w:after="0" w:afterAutospacing="0"/>
              <w:ind w:right="34"/>
              <w:rPr>
                <w:i/>
              </w:rPr>
            </w:pPr>
            <w:r w:rsidRPr="00BD1F38">
              <w:rPr>
                <w:i/>
              </w:rPr>
              <w:t>Educational support needs:</w:t>
            </w:r>
          </w:p>
          <w:p w14:paraId="1B9F29A1" w14:textId="2734B44F" w:rsidR="006D0F0A" w:rsidRPr="00BD1F38" w:rsidRDefault="006D0F0A" w:rsidP="00FF3C8D">
            <w:pPr>
              <w:pStyle w:val="NormalWeb"/>
              <w:spacing w:before="0" w:beforeAutospacing="0" w:after="0" w:afterAutospacing="0"/>
              <w:ind w:right="34"/>
              <w:rPr>
                <w:iCs/>
              </w:rPr>
            </w:pPr>
            <w:r w:rsidRPr="00BD1F38">
              <w:rPr>
                <w:iCs/>
              </w:rPr>
              <w:t>No</w:t>
            </w:r>
          </w:p>
        </w:tc>
      </w:tr>
      <w:tr w:rsidR="006D0F0A" w:rsidRPr="00BD1F38" w14:paraId="38CD9146" w14:textId="77777777" w:rsidTr="00FF3C8D">
        <w:trPr>
          <w:trHeight w:val="820"/>
        </w:trPr>
        <w:tc>
          <w:tcPr>
            <w:tcW w:w="8755" w:type="dxa"/>
            <w:gridSpan w:val="6"/>
          </w:tcPr>
          <w:p w14:paraId="24C3B1A7" w14:textId="77777777" w:rsidR="00CA679F" w:rsidRPr="00BD1F38" w:rsidRDefault="006D0F0A" w:rsidP="00CA679F">
            <w:pPr>
              <w:pStyle w:val="NormalWeb"/>
              <w:spacing w:before="0" w:beforeAutospacing="0" w:after="0" w:afterAutospacing="0"/>
              <w:ind w:right="34"/>
              <w:rPr>
                <w:i/>
              </w:rPr>
            </w:pPr>
            <w:r w:rsidRPr="00BD1F38">
              <w:rPr>
                <w:i/>
              </w:rPr>
              <w:t>Dissertation title:</w:t>
            </w:r>
          </w:p>
          <w:p w14:paraId="44382418" w14:textId="4DED9678" w:rsidR="006D0F0A" w:rsidRPr="00BD1F38" w:rsidRDefault="00CA679F" w:rsidP="00CA679F">
            <w:pPr>
              <w:pStyle w:val="NormalWeb"/>
              <w:spacing w:before="0" w:beforeAutospacing="0" w:after="0" w:afterAutospacing="0"/>
              <w:ind w:right="34"/>
              <w:rPr>
                <w:i/>
              </w:rPr>
            </w:pPr>
            <w:r w:rsidRPr="00BD1F38">
              <w:rPr>
                <w:iCs/>
              </w:rPr>
              <w:t xml:space="preserve">DEPTHS OF HEAVEN: How &amp; Why May Water Have Influenced Divine Archetypes </w:t>
            </w:r>
            <w:proofErr w:type="gramStart"/>
            <w:r w:rsidR="0031322D">
              <w:rPr>
                <w:iCs/>
              </w:rPr>
              <w:t>O</w:t>
            </w:r>
            <w:r w:rsidRPr="00BD1F38">
              <w:rPr>
                <w:iCs/>
              </w:rPr>
              <w:t>f</w:t>
            </w:r>
            <w:proofErr w:type="gramEnd"/>
            <w:r w:rsidRPr="00BD1F38">
              <w:rPr>
                <w:iCs/>
              </w:rPr>
              <w:t xml:space="preserve"> Select Judaic </w:t>
            </w:r>
            <w:r w:rsidR="0031322D">
              <w:rPr>
                <w:iCs/>
              </w:rPr>
              <w:t>A</w:t>
            </w:r>
            <w:r w:rsidRPr="00BD1F38">
              <w:rPr>
                <w:iCs/>
              </w:rPr>
              <w:t xml:space="preserve">nd Vedic Thought, Respectively Represented In The Torah &amp; Rig Veda, And To What Extent Has This Shaped </w:t>
            </w:r>
            <w:proofErr w:type="spellStart"/>
            <w:r w:rsidRPr="00BD1F38">
              <w:rPr>
                <w:iCs/>
              </w:rPr>
              <w:t>And/Or</w:t>
            </w:r>
            <w:proofErr w:type="spellEnd"/>
            <w:r w:rsidRPr="00BD1F38">
              <w:rPr>
                <w:iCs/>
              </w:rPr>
              <w:t xml:space="preserve"> Is Reflected In Eco-Spiritual </w:t>
            </w:r>
            <w:proofErr w:type="spellStart"/>
            <w:r w:rsidRPr="00BD1F38">
              <w:rPr>
                <w:iCs/>
              </w:rPr>
              <w:t>Tevilah</w:t>
            </w:r>
            <w:proofErr w:type="spellEnd"/>
            <w:r w:rsidRPr="00BD1F38">
              <w:rPr>
                <w:iCs/>
              </w:rPr>
              <w:t xml:space="preserve"> </w:t>
            </w:r>
            <w:r w:rsidR="0031322D">
              <w:rPr>
                <w:iCs/>
              </w:rPr>
              <w:t>A</w:t>
            </w:r>
            <w:r w:rsidRPr="00BD1F38">
              <w:rPr>
                <w:iCs/>
              </w:rPr>
              <w:t>nd Soma Rituals</w:t>
            </w:r>
          </w:p>
        </w:tc>
      </w:tr>
      <w:tr w:rsidR="006D0F0A" w:rsidRPr="00BD1F38" w14:paraId="76CE6163" w14:textId="77777777" w:rsidTr="00FF3C8D">
        <w:trPr>
          <w:trHeight w:val="539"/>
        </w:trPr>
        <w:tc>
          <w:tcPr>
            <w:tcW w:w="5495" w:type="dxa"/>
            <w:gridSpan w:val="3"/>
            <w:tcBorders>
              <w:bottom w:val="single" w:sz="4" w:space="0" w:color="000000"/>
            </w:tcBorders>
          </w:tcPr>
          <w:p w14:paraId="414AFB21" w14:textId="4D82E485" w:rsidR="006D0F0A" w:rsidRPr="00BD1F38" w:rsidRDefault="006D0F0A" w:rsidP="00FF3C8D">
            <w:pPr>
              <w:pStyle w:val="NormalWeb"/>
              <w:spacing w:before="0" w:beforeAutospacing="0" w:after="0" w:afterAutospacing="0"/>
              <w:ind w:right="34"/>
              <w:rPr>
                <w:iCs/>
              </w:rPr>
            </w:pPr>
            <w:r w:rsidRPr="00BD1F38">
              <w:rPr>
                <w:i/>
              </w:rPr>
              <w:t xml:space="preserve">Supervisor: </w:t>
            </w:r>
            <w:proofErr w:type="spellStart"/>
            <w:r w:rsidR="00282F45" w:rsidRPr="00BD1F38">
              <w:rPr>
                <w:i/>
              </w:rPr>
              <w:t>Dr.</w:t>
            </w:r>
            <w:proofErr w:type="spellEnd"/>
            <w:r w:rsidR="00282F45" w:rsidRPr="00BD1F38">
              <w:rPr>
                <w:i/>
              </w:rPr>
              <w:t xml:space="preserve"> </w:t>
            </w:r>
            <w:r w:rsidR="000C1B02" w:rsidRPr="00BD1F38">
              <w:rPr>
                <w:iCs/>
              </w:rPr>
              <w:t>Dawn Collins</w:t>
            </w:r>
          </w:p>
        </w:tc>
        <w:tc>
          <w:tcPr>
            <w:tcW w:w="3260" w:type="dxa"/>
            <w:gridSpan w:val="3"/>
            <w:tcBorders>
              <w:bottom w:val="single" w:sz="4" w:space="0" w:color="000000"/>
            </w:tcBorders>
          </w:tcPr>
          <w:p w14:paraId="7490EC83" w14:textId="677B7E7A" w:rsidR="006D0F0A" w:rsidRPr="00BD1F38" w:rsidRDefault="006D0F0A" w:rsidP="00FF3C8D">
            <w:pPr>
              <w:pStyle w:val="NormalWeb"/>
              <w:spacing w:before="0" w:beforeAutospacing="0" w:after="0" w:afterAutospacing="0"/>
              <w:ind w:right="34"/>
              <w:rPr>
                <w:iCs/>
              </w:rPr>
            </w:pPr>
            <w:r w:rsidRPr="00BD1F38">
              <w:rPr>
                <w:i/>
              </w:rPr>
              <w:t>Word count:</w:t>
            </w:r>
            <w:r w:rsidR="00DF1E41" w:rsidRPr="00BD1F38">
              <w:rPr>
                <w:i/>
              </w:rPr>
              <w:t xml:space="preserve"> </w:t>
            </w:r>
            <w:r w:rsidR="00DF1E41" w:rsidRPr="00BD1F38">
              <w:rPr>
                <w:iCs/>
              </w:rPr>
              <w:t>15,74</w:t>
            </w:r>
            <w:r w:rsidR="001D5CD5" w:rsidRPr="00BD1F38">
              <w:rPr>
                <w:iCs/>
              </w:rPr>
              <w:t>3</w:t>
            </w:r>
          </w:p>
        </w:tc>
      </w:tr>
      <w:tr w:rsidR="006D0F0A" w:rsidRPr="00BD1F38" w14:paraId="4F5D9105" w14:textId="77777777" w:rsidTr="00FF3C8D">
        <w:trPr>
          <w:trHeight w:val="978"/>
        </w:trPr>
        <w:tc>
          <w:tcPr>
            <w:tcW w:w="8755" w:type="dxa"/>
            <w:gridSpan w:val="6"/>
            <w:shd w:val="clear" w:color="auto" w:fill="D9D9D9"/>
          </w:tcPr>
          <w:p w14:paraId="667B0049" w14:textId="6285AB14" w:rsidR="006D0F0A" w:rsidRPr="00BD1F38" w:rsidRDefault="00CA5A0B" w:rsidP="00FF3C8D">
            <w:pPr>
              <w:pStyle w:val="NormalWeb"/>
              <w:spacing w:before="0" w:beforeAutospacing="0" w:after="0" w:afterAutospacing="0"/>
              <w:ind w:right="34"/>
            </w:pPr>
            <w:r w:rsidRPr="00BD1F38">
              <w:rPr>
                <w:rFonts w:eastAsiaTheme="minorEastAsia"/>
                <w:noProof/>
                <w:sz w:val="26"/>
                <w:szCs w:val="26"/>
                <w:lang w:val="en-US"/>
              </w:rPr>
              <w:drawing>
                <wp:anchor distT="0" distB="0" distL="114300" distR="114300" simplePos="0" relativeHeight="251658240" behindDoc="0" locked="0" layoutInCell="1" allowOverlap="1" wp14:anchorId="535FC17F" wp14:editId="6255B4A5">
                  <wp:simplePos x="0" y="0"/>
                  <wp:positionH relativeFrom="column">
                    <wp:posOffset>519731</wp:posOffset>
                  </wp:positionH>
                  <wp:positionV relativeFrom="paragraph">
                    <wp:posOffset>544195</wp:posOffset>
                  </wp:positionV>
                  <wp:extent cx="1083945" cy="516255"/>
                  <wp:effectExtent l="0" t="0" r="0" b="4445"/>
                  <wp:wrapTopAndBottom/>
                  <wp:docPr id="952768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394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6D0F0A" w:rsidRPr="00BD1F38">
              <w:t>I confirm that this is my original work and that I have adhered to the University policy on plagiarism.</w:t>
            </w:r>
          </w:p>
          <w:p w14:paraId="298B3365" w14:textId="4E565EF5" w:rsidR="00CA5A0B" w:rsidRPr="00BD1F38" w:rsidRDefault="006D0F0A" w:rsidP="00CA5A0B">
            <w:pPr>
              <w:autoSpaceDE w:val="0"/>
              <w:autoSpaceDN w:val="0"/>
              <w:adjustRightInd w:val="0"/>
              <w:rPr>
                <w:rFonts w:eastAsiaTheme="minorEastAsia"/>
                <w:sz w:val="26"/>
                <w:szCs w:val="26"/>
                <w:lang w:val="en-US"/>
              </w:rPr>
            </w:pPr>
            <w:r w:rsidRPr="00BD1F38">
              <w:t>Signed ………………………</w:t>
            </w:r>
            <w:r w:rsidR="00CA5A0B" w:rsidRPr="00BD1F38">
              <w:rPr>
                <w:rFonts w:eastAsiaTheme="minorEastAsia"/>
                <w:sz w:val="26"/>
                <w:szCs w:val="26"/>
                <w:lang w:val="en-US"/>
              </w:rPr>
              <w:t xml:space="preserve"> </w:t>
            </w:r>
          </w:p>
          <w:p w14:paraId="17C6CAF6" w14:textId="5C3F7944" w:rsidR="006D0F0A" w:rsidRPr="00BD1F38" w:rsidRDefault="006D0F0A" w:rsidP="00FF3C8D">
            <w:pPr>
              <w:pStyle w:val="NormalWeb"/>
              <w:spacing w:before="0" w:beforeAutospacing="0" w:after="0" w:afterAutospacing="0"/>
              <w:ind w:right="34"/>
            </w:pPr>
            <w:r w:rsidRPr="00BD1F38">
              <w:t>……………………………………………………………………………………</w:t>
            </w:r>
          </w:p>
          <w:p w14:paraId="4064FC0F" w14:textId="45A9E2E8" w:rsidR="006D0F0A" w:rsidRPr="00BD1F38" w:rsidRDefault="006D0F0A" w:rsidP="00FF3C8D">
            <w:pPr>
              <w:pStyle w:val="NormalWeb"/>
              <w:spacing w:before="0" w:beforeAutospacing="0" w:after="0" w:afterAutospacing="0"/>
              <w:ind w:right="34"/>
              <w:rPr>
                <w:b/>
                <w:sz w:val="44"/>
                <w:szCs w:val="44"/>
              </w:rPr>
            </w:pPr>
            <w:r w:rsidRPr="00BD1F38">
              <w:rPr>
                <w:b/>
              </w:rPr>
              <w:t xml:space="preserve">Email </w:t>
            </w:r>
            <w:proofErr w:type="spellStart"/>
            <w:proofErr w:type="gramStart"/>
            <w:r w:rsidRPr="00BD1F38">
              <w:rPr>
                <w:b/>
              </w:rPr>
              <w:t>submission:if</w:t>
            </w:r>
            <w:proofErr w:type="spellEnd"/>
            <w:proofErr w:type="gramEnd"/>
            <w:r w:rsidRPr="00BD1F38">
              <w:rPr>
                <w:b/>
              </w:rPr>
              <w:t xml:space="preserve"> you are submitting this form via email, please tick this box</w:t>
            </w:r>
            <w:r w:rsidR="006F064F" w:rsidRPr="00BD1F38">
              <w:rPr>
                <w:b/>
              </w:rPr>
              <w:t xml:space="preserve"> </w:t>
            </w:r>
            <w:r w:rsidR="006F064F" w:rsidRPr="00BD1F38">
              <w:rPr>
                <w:rFonts w:ascii="Apple Color Emoji" w:hAnsi="Apple Color Emoji" w:cs="Apple Color Emoji"/>
                <w:b/>
              </w:rPr>
              <w:t>☑</w:t>
            </w:r>
            <w:r w:rsidRPr="00BD1F38">
              <w:rPr>
                <w:b/>
              </w:rPr>
              <w:t xml:space="preserve"> </w:t>
            </w:r>
          </w:p>
          <w:p w14:paraId="7D26AA3B" w14:textId="77777777" w:rsidR="006D0F0A" w:rsidRPr="00BD1F38" w:rsidRDefault="006D0F0A" w:rsidP="00FF3C8D">
            <w:pPr>
              <w:pStyle w:val="NormalWeb"/>
              <w:spacing w:before="0" w:beforeAutospacing="0" w:after="0" w:afterAutospacing="0"/>
              <w:ind w:right="34"/>
              <w:rPr>
                <w:b/>
              </w:rPr>
            </w:pPr>
            <w:r w:rsidRPr="00BD1F38">
              <w:rPr>
                <w:b/>
              </w:rPr>
              <w:t>(</w:t>
            </w:r>
            <w:proofErr w:type="gramStart"/>
            <w:r w:rsidRPr="00BD1F38">
              <w:rPr>
                <w:b/>
              </w:rPr>
              <w:t>as</w:t>
            </w:r>
            <w:proofErr w:type="gramEnd"/>
            <w:r w:rsidRPr="00BD1F38">
              <w:rPr>
                <w:b/>
              </w:rPr>
              <w:t xml:space="preserve"> a substitute for your signature) to confirm that you agree to the above declaration.</w:t>
            </w:r>
          </w:p>
        </w:tc>
      </w:tr>
      <w:tr w:rsidR="006D0F0A" w:rsidRPr="00BD1F38" w14:paraId="64940BFC" w14:textId="77777777" w:rsidTr="00FF3C8D">
        <w:trPr>
          <w:trHeight w:val="3972"/>
        </w:trPr>
        <w:tc>
          <w:tcPr>
            <w:tcW w:w="8755" w:type="dxa"/>
            <w:gridSpan w:val="6"/>
          </w:tcPr>
          <w:p w14:paraId="539142C2" w14:textId="77777777" w:rsidR="006D0F0A" w:rsidRPr="00BD1F38" w:rsidRDefault="006D0F0A" w:rsidP="00FF3C8D">
            <w:pPr>
              <w:pStyle w:val="NormalWeb"/>
              <w:spacing w:before="0" w:beforeAutospacing="0" w:after="0" w:afterAutospacing="0"/>
              <w:rPr>
                <w:i/>
              </w:rPr>
            </w:pPr>
            <w:r w:rsidRPr="00BD1F38">
              <w:rPr>
                <w:b/>
                <w:i/>
              </w:rPr>
              <w:lastRenderedPageBreak/>
              <w:t>For completion by the first marker</w:t>
            </w:r>
            <w:r w:rsidRPr="00BD1F38">
              <w:rPr>
                <w:i/>
              </w:rPr>
              <w:t>:</w:t>
            </w:r>
          </w:p>
          <w:p w14:paraId="06BAF36F" w14:textId="77777777" w:rsidR="006D0F0A" w:rsidRPr="00BD1F38" w:rsidRDefault="006D0F0A" w:rsidP="00FF3C8D">
            <w:pPr>
              <w:pStyle w:val="NormalWeb"/>
              <w:rPr>
                <w:i/>
              </w:rPr>
            </w:pPr>
            <w:r w:rsidRPr="00BD1F38">
              <w:rPr>
                <w:i/>
              </w:rPr>
              <w:t>Comments:</w:t>
            </w:r>
          </w:p>
          <w:p w14:paraId="4D198C77" w14:textId="77777777" w:rsidR="006D0F0A" w:rsidRPr="00BD1F38" w:rsidRDefault="006D0F0A" w:rsidP="00FF3C8D">
            <w:pPr>
              <w:pStyle w:val="NormalWeb"/>
              <w:rPr>
                <w:i/>
              </w:rPr>
            </w:pPr>
          </w:p>
          <w:p w14:paraId="682E9256" w14:textId="77777777" w:rsidR="006D0F0A" w:rsidRPr="00BD1F38" w:rsidRDefault="006D0F0A" w:rsidP="00FF3C8D">
            <w:pPr>
              <w:pStyle w:val="NormalWeb"/>
              <w:rPr>
                <w:i/>
              </w:rPr>
            </w:pPr>
          </w:p>
          <w:p w14:paraId="5DB0D6AA" w14:textId="77777777" w:rsidR="006D0F0A" w:rsidRPr="00BD1F38" w:rsidRDefault="006D0F0A" w:rsidP="00FF3C8D">
            <w:pPr>
              <w:pStyle w:val="NormalWeb"/>
              <w:rPr>
                <w:i/>
              </w:rPr>
            </w:pPr>
          </w:p>
          <w:p w14:paraId="64282766" w14:textId="77777777" w:rsidR="006D0F0A" w:rsidRPr="00BD1F38" w:rsidRDefault="006D0F0A" w:rsidP="00FF3C8D">
            <w:pPr>
              <w:pStyle w:val="NormalWeb"/>
              <w:rPr>
                <w:i/>
              </w:rPr>
            </w:pPr>
          </w:p>
          <w:p w14:paraId="737C669E" w14:textId="77777777" w:rsidR="006D0F0A" w:rsidRPr="00BD1F38" w:rsidRDefault="006D0F0A" w:rsidP="00FF3C8D">
            <w:pPr>
              <w:pStyle w:val="NormalWeb"/>
              <w:rPr>
                <w:i/>
              </w:rPr>
            </w:pPr>
          </w:p>
          <w:p w14:paraId="0679B131" w14:textId="77777777" w:rsidR="006D0F0A" w:rsidRPr="00BD1F38" w:rsidRDefault="006D0F0A" w:rsidP="00FF3C8D">
            <w:pPr>
              <w:pStyle w:val="NormalWeb"/>
              <w:rPr>
                <w:i/>
              </w:rPr>
            </w:pPr>
          </w:p>
          <w:p w14:paraId="058F4699" w14:textId="77777777" w:rsidR="006D0F0A" w:rsidRPr="00BD1F38" w:rsidRDefault="006D0F0A" w:rsidP="00FF3C8D">
            <w:pPr>
              <w:pStyle w:val="NormalWeb"/>
              <w:rPr>
                <w:i/>
              </w:rPr>
            </w:pPr>
          </w:p>
        </w:tc>
      </w:tr>
      <w:tr w:rsidR="006D0F0A" w:rsidRPr="00BD1F38" w14:paraId="10E124E5" w14:textId="77777777" w:rsidTr="00FF3C8D">
        <w:trPr>
          <w:trHeight w:val="492"/>
        </w:trPr>
        <w:tc>
          <w:tcPr>
            <w:tcW w:w="6768" w:type="dxa"/>
            <w:gridSpan w:val="4"/>
          </w:tcPr>
          <w:p w14:paraId="1E9CA96D" w14:textId="77777777" w:rsidR="006D0F0A" w:rsidRPr="00BD1F38" w:rsidRDefault="006D0F0A" w:rsidP="00FF3C8D">
            <w:pPr>
              <w:pStyle w:val="NormalWeb"/>
              <w:ind w:left="142" w:right="34"/>
            </w:pPr>
            <w:r w:rsidRPr="00BD1F38">
              <w:t>First Marker’s Mark:</w:t>
            </w:r>
          </w:p>
          <w:p w14:paraId="7B1C7D21" w14:textId="77777777" w:rsidR="006D0F0A" w:rsidRPr="00BD1F38" w:rsidRDefault="006D0F0A" w:rsidP="00FF3C8D">
            <w:pPr>
              <w:pStyle w:val="NormalWeb"/>
              <w:ind w:left="142" w:right="34"/>
              <w:rPr>
                <w:i/>
              </w:rPr>
            </w:pPr>
            <w:r w:rsidRPr="00BD1F38">
              <w:t>Signature:</w:t>
            </w:r>
            <w:r w:rsidRPr="00BD1F38">
              <w:rPr>
                <w:i/>
              </w:rPr>
              <w:t xml:space="preserve"> </w:t>
            </w:r>
          </w:p>
        </w:tc>
        <w:tc>
          <w:tcPr>
            <w:tcW w:w="1987" w:type="dxa"/>
            <w:gridSpan w:val="2"/>
          </w:tcPr>
          <w:p w14:paraId="0EF96695" w14:textId="77777777" w:rsidR="006D0F0A" w:rsidRPr="00BD1F38" w:rsidRDefault="006D0F0A" w:rsidP="00FF3C8D">
            <w:pPr>
              <w:pStyle w:val="NormalWeb"/>
              <w:spacing w:after="0"/>
              <w:ind w:left="142" w:right="34"/>
              <w:rPr>
                <w:i/>
              </w:rPr>
            </w:pPr>
            <w:r w:rsidRPr="00BD1F38">
              <w:rPr>
                <w:i/>
              </w:rPr>
              <w:t>Date:</w:t>
            </w:r>
          </w:p>
        </w:tc>
      </w:tr>
      <w:tr w:rsidR="006D0F0A" w:rsidRPr="00BD1F38" w14:paraId="14DF9847" w14:textId="77777777" w:rsidTr="00FF3C8D">
        <w:tc>
          <w:tcPr>
            <w:tcW w:w="8856" w:type="dxa"/>
            <w:gridSpan w:val="6"/>
          </w:tcPr>
          <w:p w14:paraId="2851129A" w14:textId="77777777" w:rsidR="006D0F0A" w:rsidRPr="00BD1F38" w:rsidRDefault="006D0F0A" w:rsidP="00FF3C8D">
            <w:pPr>
              <w:pStyle w:val="NormalWeb"/>
              <w:spacing w:before="0" w:beforeAutospacing="0" w:after="0" w:afterAutospacing="0"/>
              <w:ind w:right="-334"/>
              <w:rPr>
                <w:bCs/>
              </w:rPr>
            </w:pPr>
            <w:r w:rsidRPr="00BD1F38">
              <w:rPr>
                <w:bCs/>
                <w:i/>
              </w:rPr>
              <w:t>For completion by the second marker</w:t>
            </w:r>
            <w:r w:rsidRPr="00BD1F38">
              <w:rPr>
                <w:bCs/>
              </w:rPr>
              <w:t>:</w:t>
            </w:r>
          </w:p>
          <w:p w14:paraId="49435445" w14:textId="77777777" w:rsidR="006D0F0A" w:rsidRPr="00BD1F38" w:rsidRDefault="006D0F0A" w:rsidP="00FF3C8D">
            <w:pPr>
              <w:pStyle w:val="NormalWeb"/>
              <w:spacing w:before="0" w:beforeAutospacing="0" w:after="0" w:afterAutospacing="0"/>
              <w:ind w:right="-334"/>
              <w:rPr>
                <w:bCs/>
              </w:rPr>
            </w:pPr>
          </w:p>
          <w:p w14:paraId="3704A8FE" w14:textId="77777777" w:rsidR="006D0F0A" w:rsidRPr="00BD1F38" w:rsidRDefault="006D0F0A" w:rsidP="00FF3C8D">
            <w:pPr>
              <w:pStyle w:val="NormalWeb"/>
              <w:spacing w:before="0" w:beforeAutospacing="0" w:after="0" w:afterAutospacing="0"/>
              <w:ind w:right="-334"/>
              <w:rPr>
                <w:bCs/>
              </w:rPr>
            </w:pPr>
            <w:r w:rsidRPr="00BD1F38">
              <w:rPr>
                <w:bCs/>
              </w:rPr>
              <w:t>Comments:</w:t>
            </w:r>
          </w:p>
          <w:p w14:paraId="48D3EE84" w14:textId="77777777" w:rsidR="006D0F0A" w:rsidRPr="00BD1F38" w:rsidRDefault="006D0F0A" w:rsidP="00FF3C8D">
            <w:pPr>
              <w:pStyle w:val="NormalWeb"/>
              <w:spacing w:before="0" w:beforeAutospacing="0" w:after="0" w:afterAutospacing="0"/>
              <w:ind w:right="-334"/>
              <w:rPr>
                <w:bCs/>
              </w:rPr>
            </w:pPr>
          </w:p>
          <w:p w14:paraId="05721A6B" w14:textId="77777777" w:rsidR="006D0F0A" w:rsidRPr="00BD1F38" w:rsidRDefault="006D0F0A" w:rsidP="00FF3C8D">
            <w:pPr>
              <w:pStyle w:val="NormalWeb"/>
              <w:spacing w:before="0" w:beforeAutospacing="0" w:after="0" w:afterAutospacing="0"/>
              <w:ind w:right="-334"/>
              <w:rPr>
                <w:bCs/>
              </w:rPr>
            </w:pPr>
          </w:p>
          <w:p w14:paraId="056C33E5" w14:textId="77777777" w:rsidR="006D0F0A" w:rsidRPr="00BD1F38" w:rsidRDefault="006D0F0A" w:rsidP="00FF3C8D">
            <w:pPr>
              <w:pStyle w:val="NormalWeb"/>
              <w:spacing w:before="0" w:beforeAutospacing="0" w:after="0" w:afterAutospacing="0"/>
              <w:ind w:right="-334"/>
              <w:rPr>
                <w:bCs/>
              </w:rPr>
            </w:pPr>
          </w:p>
          <w:p w14:paraId="230F9470" w14:textId="77777777" w:rsidR="006D0F0A" w:rsidRPr="00BD1F38" w:rsidRDefault="006D0F0A" w:rsidP="00FF3C8D">
            <w:pPr>
              <w:pStyle w:val="NormalWeb"/>
              <w:spacing w:before="0" w:beforeAutospacing="0" w:after="0" w:afterAutospacing="0"/>
              <w:ind w:right="-334"/>
              <w:rPr>
                <w:bCs/>
              </w:rPr>
            </w:pPr>
          </w:p>
          <w:p w14:paraId="27BE41AA" w14:textId="77777777" w:rsidR="006D0F0A" w:rsidRPr="00BD1F38" w:rsidRDefault="006D0F0A" w:rsidP="00FF3C8D">
            <w:pPr>
              <w:pStyle w:val="NormalWeb"/>
              <w:spacing w:before="0" w:beforeAutospacing="0" w:after="0" w:afterAutospacing="0"/>
              <w:ind w:right="-334"/>
              <w:rPr>
                <w:bCs/>
              </w:rPr>
            </w:pPr>
          </w:p>
          <w:p w14:paraId="48E9DA58" w14:textId="77777777" w:rsidR="006D0F0A" w:rsidRPr="00BD1F38" w:rsidRDefault="006D0F0A" w:rsidP="00FF3C8D">
            <w:pPr>
              <w:pStyle w:val="NormalWeb"/>
              <w:spacing w:before="0" w:beforeAutospacing="0" w:after="0" w:afterAutospacing="0"/>
              <w:ind w:right="-334"/>
              <w:rPr>
                <w:bCs/>
              </w:rPr>
            </w:pPr>
          </w:p>
          <w:p w14:paraId="4E6A35AA" w14:textId="77777777" w:rsidR="006D0F0A" w:rsidRPr="00BD1F38" w:rsidRDefault="006D0F0A" w:rsidP="00FF3C8D">
            <w:pPr>
              <w:pStyle w:val="NormalWeb"/>
              <w:spacing w:before="0" w:beforeAutospacing="0" w:after="0" w:afterAutospacing="0"/>
              <w:ind w:right="-334"/>
              <w:rPr>
                <w:bCs/>
              </w:rPr>
            </w:pPr>
          </w:p>
          <w:p w14:paraId="5B999079" w14:textId="77777777" w:rsidR="006D0F0A" w:rsidRPr="00BD1F38" w:rsidRDefault="006D0F0A" w:rsidP="00FF3C8D">
            <w:pPr>
              <w:pStyle w:val="NormalWeb"/>
              <w:spacing w:before="0" w:beforeAutospacing="0" w:after="0" w:afterAutospacing="0"/>
              <w:ind w:right="-334"/>
              <w:rPr>
                <w:bCs/>
              </w:rPr>
            </w:pPr>
          </w:p>
          <w:p w14:paraId="2D486A5E" w14:textId="77777777" w:rsidR="006D0F0A" w:rsidRPr="00BD1F38" w:rsidRDefault="006D0F0A" w:rsidP="00FF3C8D">
            <w:pPr>
              <w:pStyle w:val="NormalWeb"/>
              <w:spacing w:before="0" w:beforeAutospacing="0" w:after="0" w:afterAutospacing="0"/>
              <w:ind w:right="-334"/>
              <w:rPr>
                <w:bCs/>
              </w:rPr>
            </w:pPr>
          </w:p>
          <w:p w14:paraId="4E256E04" w14:textId="77777777" w:rsidR="006D0F0A" w:rsidRPr="00BD1F38" w:rsidRDefault="006D0F0A" w:rsidP="00FF3C8D">
            <w:pPr>
              <w:pStyle w:val="NormalWeb"/>
              <w:spacing w:before="0" w:beforeAutospacing="0" w:after="0" w:afterAutospacing="0"/>
              <w:ind w:right="-334"/>
              <w:rPr>
                <w:bCs/>
              </w:rPr>
            </w:pPr>
          </w:p>
          <w:p w14:paraId="0CFA6F71" w14:textId="77777777" w:rsidR="006D0F0A" w:rsidRPr="00BD1F38" w:rsidRDefault="006D0F0A" w:rsidP="00FF3C8D">
            <w:pPr>
              <w:pStyle w:val="NormalWeb"/>
              <w:spacing w:before="0" w:beforeAutospacing="0" w:after="0" w:afterAutospacing="0"/>
              <w:ind w:right="-334"/>
              <w:rPr>
                <w:bCs/>
              </w:rPr>
            </w:pPr>
          </w:p>
          <w:p w14:paraId="7E91E94F" w14:textId="77777777" w:rsidR="006D0F0A" w:rsidRPr="00BD1F38" w:rsidRDefault="006D0F0A" w:rsidP="00FF3C8D">
            <w:pPr>
              <w:pStyle w:val="NormalWeb"/>
              <w:spacing w:before="0" w:beforeAutospacing="0" w:after="0" w:afterAutospacing="0"/>
              <w:ind w:right="-334"/>
              <w:rPr>
                <w:bCs/>
              </w:rPr>
            </w:pPr>
          </w:p>
          <w:p w14:paraId="3EB082CC" w14:textId="77777777" w:rsidR="006D0F0A" w:rsidRPr="00BD1F38" w:rsidRDefault="006D0F0A" w:rsidP="00FF3C8D">
            <w:pPr>
              <w:pStyle w:val="NormalWeb"/>
              <w:spacing w:before="0" w:beforeAutospacing="0" w:after="0" w:afterAutospacing="0"/>
              <w:ind w:right="-334"/>
              <w:rPr>
                <w:bCs/>
              </w:rPr>
            </w:pPr>
          </w:p>
          <w:p w14:paraId="149692C5" w14:textId="77777777" w:rsidR="006D0F0A" w:rsidRPr="00BD1F38" w:rsidRDefault="006D0F0A" w:rsidP="00FF3C8D">
            <w:pPr>
              <w:pStyle w:val="NormalWeb"/>
              <w:spacing w:before="0" w:beforeAutospacing="0" w:after="0" w:afterAutospacing="0"/>
              <w:ind w:right="-334"/>
              <w:rPr>
                <w:bCs/>
              </w:rPr>
            </w:pPr>
          </w:p>
          <w:p w14:paraId="6F894E0E" w14:textId="77777777" w:rsidR="006D0F0A" w:rsidRPr="00BD1F38" w:rsidRDefault="006D0F0A" w:rsidP="00FF3C8D">
            <w:pPr>
              <w:pStyle w:val="NormalWeb"/>
              <w:spacing w:before="0" w:beforeAutospacing="0" w:after="0" w:afterAutospacing="0"/>
              <w:ind w:right="-334"/>
              <w:rPr>
                <w:bCs/>
              </w:rPr>
            </w:pPr>
          </w:p>
          <w:p w14:paraId="01845BA9" w14:textId="77777777" w:rsidR="006D0F0A" w:rsidRPr="00BD1F38" w:rsidRDefault="006D0F0A" w:rsidP="00FF3C8D">
            <w:pPr>
              <w:pStyle w:val="NormalWeb"/>
              <w:spacing w:before="0" w:beforeAutospacing="0" w:after="0" w:afterAutospacing="0"/>
              <w:ind w:right="-334"/>
              <w:rPr>
                <w:bCs/>
              </w:rPr>
            </w:pPr>
          </w:p>
          <w:p w14:paraId="4DBD1D83" w14:textId="77777777" w:rsidR="006D0F0A" w:rsidRPr="00BD1F38" w:rsidRDefault="006D0F0A" w:rsidP="00FF3C8D">
            <w:pPr>
              <w:pStyle w:val="NormalWeb"/>
              <w:spacing w:before="0" w:beforeAutospacing="0" w:after="0" w:afterAutospacing="0"/>
              <w:ind w:right="-334"/>
              <w:rPr>
                <w:bCs/>
              </w:rPr>
            </w:pPr>
          </w:p>
          <w:p w14:paraId="6B22107E" w14:textId="77777777" w:rsidR="006D0F0A" w:rsidRPr="00BD1F38" w:rsidRDefault="006D0F0A" w:rsidP="00FF3C8D">
            <w:pPr>
              <w:pStyle w:val="NormalWeb"/>
              <w:spacing w:before="0" w:beforeAutospacing="0" w:after="0" w:afterAutospacing="0"/>
              <w:ind w:right="-334"/>
              <w:rPr>
                <w:bCs/>
              </w:rPr>
            </w:pPr>
          </w:p>
        </w:tc>
      </w:tr>
      <w:tr w:rsidR="006D0F0A" w:rsidRPr="00BD1F38" w14:paraId="764FA23B" w14:textId="77777777" w:rsidTr="00FF3C8D">
        <w:trPr>
          <w:trHeight w:val="720"/>
        </w:trPr>
        <w:tc>
          <w:tcPr>
            <w:tcW w:w="5211" w:type="dxa"/>
            <w:gridSpan w:val="2"/>
          </w:tcPr>
          <w:p w14:paraId="60E1A1D9" w14:textId="77777777" w:rsidR="006D0F0A" w:rsidRPr="00BD1F38" w:rsidRDefault="006D0F0A" w:rsidP="00FF3C8D">
            <w:pPr>
              <w:pStyle w:val="NormalWeb"/>
              <w:spacing w:before="0" w:beforeAutospacing="0" w:after="0" w:afterAutospacing="0"/>
              <w:ind w:right="-334"/>
              <w:rPr>
                <w:bCs/>
              </w:rPr>
            </w:pPr>
            <w:r w:rsidRPr="00BD1F38">
              <w:rPr>
                <w:bCs/>
              </w:rPr>
              <w:t xml:space="preserve">Second </w:t>
            </w:r>
            <w:proofErr w:type="gramStart"/>
            <w:r w:rsidRPr="00BD1F38">
              <w:rPr>
                <w:bCs/>
              </w:rPr>
              <w:t>Marker’s  Mark</w:t>
            </w:r>
            <w:proofErr w:type="gramEnd"/>
            <w:r w:rsidRPr="00BD1F38">
              <w:rPr>
                <w:bCs/>
              </w:rPr>
              <w:t>:</w:t>
            </w:r>
          </w:p>
          <w:p w14:paraId="4B0AFBAA" w14:textId="77777777" w:rsidR="006D0F0A" w:rsidRPr="00BD1F38" w:rsidRDefault="006D0F0A" w:rsidP="00FF3C8D">
            <w:pPr>
              <w:pStyle w:val="NormalWeb"/>
              <w:spacing w:before="0" w:beforeAutospacing="0" w:after="0" w:afterAutospacing="0"/>
              <w:ind w:right="-334"/>
              <w:rPr>
                <w:bCs/>
              </w:rPr>
            </w:pPr>
            <w:r w:rsidRPr="00BD1F38">
              <w:rPr>
                <w:bCs/>
              </w:rPr>
              <w:t>Signature:</w:t>
            </w:r>
          </w:p>
        </w:tc>
        <w:tc>
          <w:tcPr>
            <w:tcW w:w="3645" w:type="dxa"/>
            <w:gridSpan w:val="4"/>
          </w:tcPr>
          <w:p w14:paraId="7F658FEE" w14:textId="77777777" w:rsidR="006D0F0A" w:rsidRPr="00BD1F38" w:rsidRDefault="006D0F0A" w:rsidP="00FF3C8D">
            <w:pPr>
              <w:pStyle w:val="NormalWeb"/>
              <w:spacing w:before="0" w:beforeAutospacing="0" w:after="0" w:afterAutospacing="0"/>
              <w:ind w:right="-334"/>
              <w:rPr>
                <w:bCs/>
              </w:rPr>
            </w:pPr>
            <w:r w:rsidRPr="00BD1F38">
              <w:rPr>
                <w:bCs/>
              </w:rPr>
              <w:t>Date:</w:t>
            </w:r>
          </w:p>
        </w:tc>
      </w:tr>
      <w:tr w:rsidR="006D0F0A" w:rsidRPr="00BD1F38" w14:paraId="3278BE08" w14:textId="77777777" w:rsidTr="00FF3C8D">
        <w:trPr>
          <w:trHeight w:val="720"/>
        </w:trPr>
        <w:tc>
          <w:tcPr>
            <w:tcW w:w="5211" w:type="dxa"/>
            <w:gridSpan w:val="2"/>
          </w:tcPr>
          <w:p w14:paraId="680FAC8A" w14:textId="77777777" w:rsidR="006D0F0A" w:rsidRPr="00BD1F38" w:rsidRDefault="006D0F0A" w:rsidP="00FF3C8D">
            <w:pPr>
              <w:pStyle w:val="NormalWeb"/>
              <w:spacing w:before="0" w:beforeAutospacing="0" w:after="0" w:afterAutospacing="0"/>
              <w:ind w:right="-334"/>
              <w:rPr>
                <w:bCs/>
              </w:rPr>
            </w:pPr>
            <w:r w:rsidRPr="00BD1F38">
              <w:rPr>
                <w:bCs/>
              </w:rPr>
              <w:t>Agreed internal mark:</w:t>
            </w:r>
          </w:p>
          <w:p w14:paraId="3C5B14C2" w14:textId="77777777" w:rsidR="006D0F0A" w:rsidRPr="00BD1F38" w:rsidRDefault="006D0F0A" w:rsidP="00FF3C8D">
            <w:pPr>
              <w:pStyle w:val="NormalWeb"/>
              <w:spacing w:before="0" w:beforeAutospacing="0" w:after="0" w:afterAutospacing="0"/>
              <w:ind w:right="-334"/>
              <w:rPr>
                <w:bCs/>
              </w:rPr>
            </w:pPr>
          </w:p>
          <w:p w14:paraId="0D381C2A" w14:textId="77777777" w:rsidR="006D0F0A" w:rsidRPr="00BD1F38" w:rsidRDefault="006D0F0A" w:rsidP="00FF3C8D">
            <w:pPr>
              <w:pStyle w:val="NormalWeb"/>
              <w:spacing w:before="0" w:beforeAutospacing="0" w:after="0" w:afterAutospacing="0"/>
              <w:ind w:right="-334"/>
              <w:rPr>
                <w:bCs/>
              </w:rPr>
            </w:pPr>
            <w:r w:rsidRPr="00BD1F38">
              <w:rPr>
                <w:bCs/>
              </w:rPr>
              <w:t>Signature 1</w:t>
            </w:r>
            <w:r w:rsidRPr="00BD1F38">
              <w:rPr>
                <w:bCs/>
                <w:vertAlign w:val="superscript"/>
              </w:rPr>
              <w:t>st</w:t>
            </w:r>
            <w:r w:rsidRPr="00BD1F38">
              <w:rPr>
                <w:bCs/>
              </w:rPr>
              <w:t xml:space="preserve"> marker:</w:t>
            </w:r>
          </w:p>
          <w:p w14:paraId="3C9D27E3" w14:textId="77777777" w:rsidR="006D0F0A" w:rsidRPr="00BD1F38" w:rsidRDefault="006D0F0A" w:rsidP="00FF3C8D">
            <w:pPr>
              <w:pStyle w:val="NormalWeb"/>
              <w:spacing w:before="0" w:beforeAutospacing="0" w:after="0" w:afterAutospacing="0"/>
              <w:ind w:right="-334"/>
              <w:rPr>
                <w:bCs/>
              </w:rPr>
            </w:pPr>
          </w:p>
          <w:p w14:paraId="741004E1" w14:textId="77777777" w:rsidR="006D0F0A" w:rsidRPr="00BD1F38" w:rsidRDefault="006D0F0A" w:rsidP="00FF3C8D">
            <w:pPr>
              <w:pStyle w:val="NormalWeb"/>
              <w:spacing w:before="0" w:beforeAutospacing="0" w:after="0" w:afterAutospacing="0"/>
              <w:ind w:right="-334"/>
              <w:rPr>
                <w:bCs/>
              </w:rPr>
            </w:pPr>
            <w:r w:rsidRPr="00BD1F38">
              <w:rPr>
                <w:bCs/>
              </w:rPr>
              <w:t>Signature 2</w:t>
            </w:r>
            <w:r w:rsidRPr="00BD1F38">
              <w:rPr>
                <w:bCs/>
                <w:vertAlign w:val="superscript"/>
              </w:rPr>
              <w:t>nd</w:t>
            </w:r>
            <w:r w:rsidRPr="00BD1F38">
              <w:rPr>
                <w:bCs/>
              </w:rPr>
              <w:t xml:space="preserve"> marker:</w:t>
            </w:r>
          </w:p>
          <w:p w14:paraId="25982EA4" w14:textId="77777777" w:rsidR="006D0F0A" w:rsidRPr="00BD1F38" w:rsidRDefault="006D0F0A" w:rsidP="00FF3C8D">
            <w:pPr>
              <w:pStyle w:val="NormalWeb"/>
              <w:spacing w:before="0" w:beforeAutospacing="0" w:after="0" w:afterAutospacing="0"/>
              <w:ind w:right="-334"/>
              <w:rPr>
                <w:bCs/>
              </w:rPr>
            </w:pPr>
          </w:p>
        </w:tc>
        <w:tc>
          <w:tcPr>
            <w:tcW w:w="3645" w:type="dxa"/>
            <w:gridSpan w:val="4"/>
          </w:tcPr>
          <w:p w14:paraId="5A4209A4" w14:textId="77777777" w:rsidR="006D0F0A" w:rsidRPr="00BD1F38" w:rsidRDefault="006D0F0A" w:rsidP="00FF3C8D">
            <w:pPr>
              <w:pStyle w:val="NormalWeb"/>
              <w:spacing w:before="0" w:beforeAutospacing="0" w:after="0" w:afterAutospacing="0"/>
              <w:ind w:right="-334"/>
              <w:rPr>
                <w:bCs/>
              </w:rPr>
            </w:pPr>
            <w:r w:rsidRPr="00BD1F38">
              <w:rPr>
                <w:bCs/>
              </w:rPr>
              <w:lastRenderedPageBreak/>
              <w:t>Date</w:t>
            </w:r>
          </w:p>
        </w:tc>
      </w:tr>
      <w:tr w:rsidR="006D0F0A" w:rsidRPr="00BD1F38" w14:paraId="72E96B3F" w14:textId="77777777" w:rsidTr="00FF3C8D">
        <w:trPr>
          <w:trHeight w:val="720"/>
        </w:trPr>
        <w:tc>
          <w:tcPr>
            <w:tcW w:w="8856" w:type="dxa"/>
            <w:gridSpan w:val="6"/>
          </w:tcPr>
          <w:p w14:paraId="5D1F107F" w14:textId="77777777" w:rsidR="006D0F0A" w:rsidRPr="00BD1F38" w:rsidRDefault="006D0F0A" w:rsidP="00FF3C8D">
            <w:pPr>
              <w:pStyle w:val="NormalWeb"/>
              <w:spacing w:before="0" w:beforeAutospacing="0" w:after="0" w:afterAutospacing="0"/>
              <w:ind w:left="142" w:right="34"/>
              <w:rPr>
                <w:i/>
              </w:rPr>
            </w:pPr>
            <w:r w:rsidRPr="00BD1F38">
              <w:t xml:space="preserve">Comments </w:t>
            </w:r>
            <w:r w:rsidRPr="00BD1F38">
              <w:rPr>
                <w:i/>
              </w:rPr>
              <w:t>(for completion by the internal markers which indicate how the agreed internal mark has been arrived at):</w:t>
            </w:r>
          </w:p>
          <w:p w14:paraId="0BC8BEF1" w14:textId="77777777" w:rsidR="006D0F0A" w:rsidRPr="00BD1F38" w:rsidRDefault="006D0F0A" w:rsidP="00FF3C8D">
            <w:pPr>
              <w:pStyle w:val="NormalWeb"/>
              <w:spacing w:before="0" w:beforeAutospacing="0" w:after="0" w:afterAutospacing="0"/>
              <w:ind w:left="142" w:right="34"/>
              <w:rPr>
                <w:b/>
                <w:i/>
              </w:rPr>
            </w:pPr>
          </w:p>
          <w:p w14:paraId="2F51DF1F" w14:textId="77777777" w:rsidR="006D0F0A" w:rsidRPr="00BD1F38" w:rsidRDefault="006D0F0A" w:rsidP="00FF3C8D">
            <w:pPr>
              <w:pStyle w:val="NormalWeb"/>
              <w:spacing w:before="0" w:beforeAutospacing="0" w:after="0" w:afterAutospacing="0"/>
              <w:ind w:right="-334"/>
              <w:rPr>
                <w:bCs/>
              </w:rPr>
            </w:pPr>
          </w:p>
        </w:tc>
      </w:tr>
      <w:tr w:rsidR="006D0F0A" w:rsidRPr="00BD1F38" w14:paraId="07E66837" w14:textId="77777777" w:rsidTr="00FF3C8D">
        <w:trPr>
          <w:trHeight w:val="720"/>
        </w:trPr>
        <w:tc>
          <w:tcPr>
            <w:tcW w:w="8856" w:type="dxa"/>
            <w:gridSpan w:val="6"/>
          </w:tcPr>
          <w:p w14:paraId="7FC4388F" w14:textId="77777777" w:rsidR="006D0F0A" w:rsidRPr="00BD1F38" w:rsidRDefault="006D0F0A" w:rsidP="00FF3C8D">
            <w:pPr>
              <w:pStyle w:val="NormalWeb"/>
              <w:spacing w:before="0" w:beforeAutospacing="0" w:after="0" w:afterAutospacing="0"/>
              <w:ind w:left="142" w:right="34"/>
              <w:rPr>
                <w:b/>
                <w:i/>
              </w:rPr>
            </w:pPr>
            <w:r w:rsidRPr="00BD1F38">
              <w:rPr>
                <w:b/>
                <w:i/>
              </w:rPr>
              <w:t>NB.</w:t>
            </w:r>
            <w:r w:rsidRPr="00BD1F38">
              <w:rPr>
                <w:i/>
              </w:rPr>
              <w:t xml:space="preserve">  </w:t>
            </w:r>
            <w:r w:rsidRPr="00BD1F38">
              <w:rPr>
                <w:b/>
                <w:i/>
              </w:rPr>
              <w:t>All marks are provisional until confirmed by the final examination board.</w:t>
            </w:r>
          </w:p>
          <w:p w14:paraId="25BABCB6" w14:textId="77777777" w:rsidR="006D0F0A" w:rsidRPr="00BD1F38" w:rsidRDefault="006D0F0A" w:rsidP="00FF3C8D">
            <w:pPr>
              <w:pStyle w:val="NormalWeb"/>
              <w:spacing w:before="0" w:beforeAutospacing="0" w:after="0" w:afterAutospacing="0"/>
              <w:ind w:left="142" w:right="34"/>
              <w:rPr>
                <w:b/>
                <w:i/>
              </w:rPr>
            </w:pPr>
          </w:p>
        </w:tc>
      </w:tr>
    </w:tbl>
    <w:p w14:paraId="2D38AE25" w14:textId="77777777" w:rsidR="006D0F0A" w:rsidRPr="00BD1F38" w:rsidRDefault="006D0F0A" w:rsidP="006D0F0A">
      <w:pPr>
        <w:pStyle w:val="NormalWeb"/>
        <w:spacing w:before="0" w:beforeAutospacing="0" w:after="0" w:afterAutospacing="0"/>
        <w:ind w:right="-334"/>
        <w:rPr>
          <w:bCs/>
        </w:rPr>
      </w:pPr>
    </w:p>
    <w:p w14:paraId="727D82B4" w14:textId="77777777" w:rsidR="006D0F0A" w:rsidRPr="00BD1F38" w:rsidRDefault="006D0F0A" w:rsidP="006D0F0A">
      <w:pPr>
        <w:pStyle w:val="NormalWeb"/>
        <w:spacing w:before="0" w:beforeAutospacing="0" w:after="0" w:afterAutospacing="0"/>
        <w:ind w:right="-334"/>
        <w:rPr>
          <w:bCs/>
        </w:rPr>
      </w:pPr>
    </w:p>
    <w:p w14:paraId="540C153F" w14:textId="77777777" w:rsidR="006D0F0A" w:rsidRPr="00BD1F38" w:rsidRDefault="006D0F0A" w:rsidP="006D0F0A">
      <w:pPr>
        <w:pStyle w:val="NormalWeb"/>
        <w:spacing w:before="0" w:beforeAutospacing="0" w:after="0" w:afterAutospacing="0"/>
        <w:ind w:right="-334"/>
        <w:rPr>
          <w:bCs/>
        </w:rPr>
      </w:pPr>
    </w:p>
    <w:p w14:paraId="6E97F46A" w14:textId="77777777" w:rsidR="006D0F0A" w:rsidRPr="00BD1F38" w:rsidRDefault="006D0F0A" w:rsidP="006D0F0A">
      <w:pPr>
        <w:pStyle w:val="NormalWeb"/>
        <w:spacing w:before="0" w:beforeAutospacing="0" w:after="0" w:afterAutospacing="0"/>
        <w:ind w:right="-334"/>
        <w:rPr>
          <w:bCs/>
        </w:rPr>
      </w:pPr>
    </w:p>
    <w:p w14:paraId="5688813D" w14:textId="77777777" w:rsidR="006D0F0A" w:rsidRPr="00BD1F38" w:rsidRDefault="006D0F0A" w:rsidP="006D0F0A">
      <w:pPr>
        <w:pStyle w:val="NormalWeb"/>
        <w:spacing w:before="0" w:beforeAutospacing="0" w:after="0" w:afterAutospacing="0"/>
        <w:ind w:right="-334"/>
        <w:rPr>
          <w:bCs/>
        </w:rPr>
      </w:pPr>
    </w:p>
    <w:p w14:paraId="4DD2EF61" w14:textId="77777777" w:rsidR="006D0F0A" w:rsidRPr="00BD1F38" w:rsidRDefault="006D0F0A" w:rsidP="006D0F0A">
      <w:pPr>
        <w:pStyle w:val="NormalWeb"/>
        <w:spacing w:before="0" w:beforeAutospacing="0" w:after="0" w:afterAutospacing="0"/>
        <w:ind w:right="-334"/>
        <w:rPr>
          <w:bCs/>
        </w:rPr>
      </w:pPr>
    </w:p>
    <w:p w14:paraId="443456DC" w14:textId="77777777" w:rsidR="006D0F0A" w:rsidRPr="00BD1F38" w:rsidRDefault="006D0F0A" w:rsidP="006D0F0A">
      <w:pPr>
        <w:pStyle w:val="NormalWeb"/>
        <w:spacing w:before="0" w:beforeAutospacing="0" w:after="0" w:afterAutospacing="0"/>
        <w:ind w:right="-334"/>
        <w:rPr>
          <w:bCs/>
        </w:rPr>
      </w:pPr>
    </w:p>
    <w:p w14:paraId="26F50160" w14:textId="77777777" w:rsidR="006D0F0A" w:rsidRPr="00BD1F38" w:rsidRDefault="006D0F0A" w:rsidP="006D0F0A">
      <w:pPr>
        <w:pStyle w:val="NormalWeb"/>
        <w:spacing w:before="0" w:beforeAutospacing="0" w:after="0" w:afterAutospacing="0"/>
        <w:ind w:right="-334"/>
        <w:rPr>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6D0F0A" w:rsidRPr="00BD1F38" w14:paraId="2F7B30B3" w14:textId="77777777" w:rsidTr="00FF3C8D">
        <w:tc>
          <w:tcPr>
            <w:tcW w:w="8856" w:type="dxa"/>
          </w:tcPr>
          <w:p w14:paraId="20429658" w14:textId="77777777" w:rsidR="006D0F0A" w:rsidRPr="00BD1F38" w:rsidRDefault="006D0F0A" w:rsidP="00FF3C8D">
            <w:pPr>
              <w:pStyle w:val="NormalWeb"/>
              <w:spacing w:before="0" w:beforeAutospacing="0" w:after="0" w:afterAutospacing="0"/>
              <w:ind w:right="-334"/>
              <w:rPr>
                <w:bCs/>
              </w:rPr>
            </w:pPr>
            <w:r w:rsidRPr="00BD1F38">
              <w:rPr>
                <w:bCs/>
                <w:i/>
              </w:rPr>
              <w:t>For completion by the External Examiner</w:t>
            </w:r>
            <w:r w:rsidRPr="00BD1F38">
              <w:rPr>
                <w:bCs/>
              </w:rPr>
              <w:t>:</w:t>
            </w:r>
          </w:p>
          <w:p w14:paraId="358E78F9" w14:textId="77777777" w:rsidR="006D0F0A" w:rsidRPr="00BD1F38" w:rsidRDefault="006D0F0A" w:rsidP="00FF3C8D">
            <w:pPr>
              <w:pStyle w:val="NormalWeb"/>
              <w:spacing w:before="0" w:beforeAutospacing="0" w:after="0" w:afterAutospacing="0"/>
              <w:ind w:right="-334"/>
              <w:rPr>
                <w:bCs/>
              </w:rPr>
            </w:pPr>
          </w:p>
          <w:p w14:paraId="35C3BB7B" w14:textId="77777777" w:rsidR="006D0F0A" w:rsidRPr="00BD1F38" w:rsidRDefault="006D0F0A" w:rsidP="00FF3C8D">
            <w:pPr>
              <w:pStyle w:val="NormalWeb"/>
              <w:spacing w:before="0" w:beforeAutospacing="0" w:after="0" w:afterAutospacing="0"/>
              <w:ind w:right="-334"/>
              <w:rPr>
                <w:bCs/>
              </w:rPr>
            </w:pPr>
            <w:r w:rsidRPr="00BD1F38">
              <w:rPr>
                <w:bCs/>
              </w:rPr>
              <w:t>Comments:</w:t>
            </w:r>
          </w:p>
          <w:p w14:paraId="30FC1B0D" w14:textId="77777777" w:rsidR="006D0F0A" w:rsidRPr="00BD1F38" w:rsidRDefault="006D0F0A" w:rsidP="00FF3C8D">
            <w:pPr>
              <w:pStyle w:val="NormalWeb"/>
              <w:spacing w:before="0" w:beforeAutospacing="0" w:after="0" w:afterAutospacing="0"/>
              <w:ind w:right="-334"/>
              <w:rPr>
                <w:bCs/>
              </w:rPr>
            </w:pPr>
          </w:p>
          <w:p w14:paraId="52A6927F" w14:textId="77777777" w:rsidR="006D0F0A" w:rsidRPr="00BD1F38" w:rsidRDefault="006D0F0A" w:rsidP="00FF3C8D">
            <w:pPr>
              <w:pStyle w:val="NormalWeb"/>
              <w:spacing w:before="0" w:beforeAutospacing="0" w:after="0" w:afterAutospacing="0"/>
              <w:ind w:right="-334"/>
              <w:rPr>
                <w:bCs/>
              </w:rPr>
            </w:pPr>
          </w:p>
          <w:p w14:paraId="5B4EE4A2" w14:textId="77777777" w:rsidR="006D0F0A" w:rsidRPr="00BD1F38" w:rsidRDefault="006D0F0A" w:rsidP="00FF3C8D">
            <w:pPr>
              <w:pStyle w:val="NormalWeb"/>
              <w:spacing w:before="0" w:beforeAutospacing="0" w:after="0" w:afterAutospacing="0"/>
              <w:ind w:right="-334"/>
              <w:rPr>
                <w:bCs/>
              </w:rPr>
            </w:pPr>
          </w:p>
          <w:p w14:paraId="7CA5F42A" w14:textId="77777777" w:rsidR="006D0F0A" w:rsidRPr="00BD1F38" w:rsidRDefault="006D0F0A" w:rsidP="00FF3C8D">
            <w:pPr>
              <w:pStyle w:val="NormalWeb"/>
              <w:spacing w:before="0" w:beforeAutospacing="0" w:after="0" w:afterAutospacing="0"/>
              <w:ind w:right="-334"/>
              <w:rPr>
                <w:bCs/>
              </w:rPr>
            </w:pPr>
          </w:p>
          <w:p w14:paraId="0594DCE2" w14:textId="77777777" w:rsidR="006D0F0A" w:rsidRPr="00BD1F38" w:rsidRDefault="006D0F0A" w:rsidP="00FF3C8D">
            <w:pPr>
              <w:pStyle w:val="NormalWeb"/>
              <w:spacing w:before="0" w:beforeAutospacing="0" w:after="0" w:afterAutospacing="0"/>
              <w:ind w:right="-334"/>
              <w:rPr>
                <w:bCs/>
              </w:rPr>
            </w:pPr>
          </w:p>
          <w:p w14:paraId="3AEA73B0" w14:textId="77777777" w:rsidR="006D0F0A" w:rsidRPr="00BD1F38" w:rsidRDefault="006D0F0A" w:rsidP="00FF3C8D">
            <w:pPr>
              <w:pStyle w:val="NormalWeb"/>
              <w:spacing w:before="0" w:beforeAutospacing="0" w:after="0" w:afterAutospacing="0"/>
              <w:ind w:right="-334"/>
              <w:rPr>
                <w:bCs/>
              </w:rPr>
            </w:pPr>
          </w:p>
          <w:p w14:paraId="4F64F982" w14:textId="77777777" w:rsidR="006D0F0A" w:rsidRPr="00BD1F38" w:rsidRDefault="006D0F0A" w:rsidP="00FF3C8D">
            <w:pPr>
              <w:pStyle w:val="NormalWeb"/>
              <w:spacing w:before="0" w:beforeAutospacing="0" w:after="0" w:afterAutospacing="0"/>
              <w:ind w:right="-334"/>
              <w:rPr>
                <w:bCs/>
              </w:rPr>
            </w:pPr>
          </w:p>
          <w:p w14:paraId="6FC4D082" w14:textId="77777777" w:rsidR="006D0F0A" w:rsidRPr="00BD1F38" w:rsidRDefault="006D0F0A" w:rsidP="00FF3C8D">
            <w:pPr>
              <w:pStyle w:val="NormalWeb"/>
              <w:spacing w:before="0" w:beforeAutospacing="0" w:after="0" w:afterAutospacing="0"/>
              <w:ind w:right="-334"/>
              <w:rPr>
                <w:bCs/>
              </w:rPr>
            </w:pPr>
          </w:p>
          <w:p w14:paraId="6C7FF4B9" w14:textId="77777777" w:rsidR="006D0F0A" w:rsidRPr="00BD1F38" w:rsidRDefault="006D0F0A" w:rsidP="00FF3C8D">
            <w:pPr>
              <w:pStyle w:val="NormalWeb"/>
              <w:spacing w:before="0" w:beforeAutospacing="0" w:after="0" w:afterAutospacing="0"/>
              <w:ind w:right="-334"/>
              <w:rPr>
                <w:bCs/>
              </w:rPr>
            </w:pPr>
          </w:p>
          <w:p w14:paraId="03DC53D3" w14:textId="77777777" w:rsidR="006D0F0A" w:rsidRPr="00BD1F38" w:rsidRDefault="006D0F0A" w:rsidP="00FF3C8D">
            <w:pPr>
              <w:pStyle w:val="NormalWeb"/>
              <w:spacing w:before="0" w:beforeAutospacing="0" w:after="0" w:afterAutospacing="0"/>
              <w:ind w:right="-334"/>
              <w:rPr>
                <w:bCs/>
              </w:rPr>
            </w:pPr>
          </w:p>
          <w:p w14:paraId="36886772" w14:textId="77777777" w:rsidR="006D0F0A" w:rsidRPr="00BD1F38" w:rsidRDefault="006D0F0A" w:rsidP="00FF3C8D">
            <w:pPr>
              <w:pStyle w:val="NormalWeb"/>
              <w:spacing w:before="0" w:beforeAutospacing="0" w:after="0" w:afterAutospacing="0"/>
              <w:ind w:right="-334"/>
              <w:rPr>
                <w:bCs/>
              </w:rPr>
            </w:pPr>
          </w:p>
          <w:p w14:paraId="29F5572F" w14:textId="77777777" w:rsidR="006D0F0A" w:rsidRPr="00BD1F38" w:rsidRDefault="006D0F0A" w:rsidP="00FF3C8D">
            <w:pPr>
              <w:pStyle w:val="NormalWeb"/>
              <w:spacing w:before="0" w:beforeAutospacing="0" w:after="0" w:afterAutospacing="0"/>
              <w:ind w:right="-334"/>
              <w:rPr>
                <w:bCs/>
              </w:rPr>
            </w:pPr>
          </w:p>
          <w:p w14:paraId="441E6696" w14:textId="77777777" w:rsidR="006D0F0A" w:rsidRPr="00BD1F38" w:rsidRDefault="006D0F0A" w:rsidP="00FF3C8D">
            <w:pPr>
              <w:pStyle w:val="NormalWeb"/>
              <w:spacing w:before="0" w:beforeAutospacing="0" w:after="0" w:afterAutospacing="0"/>
              <w:ind w:right="-334"/>
              <w:rPr>
                <w:bCs/>
              </w:rPr>
            </w:pPr>
          </w:p>
          <w:p w14:paraId="5D527164" w14:textId="77777777" w:rsidR="006D0F0A" w:rsidRPr="00BD1F38" w:rsidRDefault="006D0F0A" w:rsidP="00FF3C8D">
            <w:pPr>
              <w:pStyle w:val="NormalWeb"/>
              <w:spacing w:before="0" w:beforeAutospacing="0" w:after="0" w:afterAutospacing="0"/>
              <w:ind w:right="-334"/>
              <w:rPr>
                <w:bCs/>
              </w:rPr>
            </w:pPr>
          </w:p>
          <w:p w14:paraId="3ED4EE8F" w14:textId="77777777" w:rsidR="006D0F0A" w:rsidRPr="00BD1F38" w:rsidRDefault="006D0F0A" w:rsidP="00FF3C8D">
            <w:pPr>
              <w:pStyle w:val="NormalWeb"/>
              <w:spacing w:before="0" w:beforeAutospacing="0" w:after="0" w:afterAutospacing="0"/>
              <w:ind w:right="-334"/>
              <w:rPr>
                <w:bCs/>
              </w:rPr>
            </w:pPr>
          </w:p>
          <w:p w14:paraId="09D0A6A4" w14:textId="77777777" w:rsidR="006D0F0A" w:rsidRPr="00BD1F38" w:rsidRDefault="006D0F0A" w:rsidP="00FF3C8D">
            <w:pPr>
              <w:pStyle w:val="NormalWeb"/>
              <w:spacing w:before="0" w:beforeAutospacing="0" w:after="0" w:afterAutospacing="0"/>
              <w:ind w:right="-334"/>
              <w:rPr>
                <w:bCs/>
              </w:rPr>
            </w:pPr>
          </w:p>
          <w:p w14:paraId="24958805" w14:textId="77777777" w:rsidR="006D0F0A" w:rsidRPr="00BD1F38" w:rsidRDefault="006D0F0A" w:rsidP="00FF3C8D">
            <w:pPr>
              <w:pStyle w:val="NormalWeb"/>
              <w:spacing w:before="0" w:beforeAutospacing="0" w:after="0" w:afterAutospacing="0"/>
              <w:ind w:right="-334"/>
              <w:rPr>
                <w:bCs/>
              </w:rPr>
            </w:pPr>
          </w:p>
          <w:p w14:paraId="178FE243" w14:textId="77777777" w:rsidR="006D0F0A" w:rsidRPr="00BD1F38" w:rsidRDefault="006D0F0A" w:rsidP="00FF3C8D">
            <w:pPr>
              <w:pStyle w:val="NormalWeb"/>
              <w:spacing w:before="0" w:beforeAutospacing="0" w:after="0" w:afterAutospacing="0"/>
              <w:ind w:right="-334"/>
              <w:rPr>
                <w:bCs/>
              </w:rPr>
            </w:pPr>
          </w:p>
          <w:p w14:paraId="05E7F1E5" w14:textId="77777777" w:rsidR="006D0F0A" w:rsidRPr="00BD1F38" w:rsidRDefault="006D0F0A" w:rsidP="00FF3C8D">
            <w:pPr>
              <w:pStyle w:val="NormalWeb"/>
              <w:spacing w:before="0" w:beforeAutospacing="0" w:after="0" w:afterAutospacing="0"/>
              <w:ind w:right="-334"/>
              <w:rPr>
                <w:bCs/>
              </w:rPr>
            </w:pPr>
          </w:p>
          <w:p w14:paraId="2E379198" w14:textId="77777777" w:rsidR="006D0F0A" w:rsidRPr="00BD1F38" w:rsidRDefault="006D0F0A" w:rsidP="00FF3C8D">
            <w:pPr>
              <w:pStyle w:val="NormalWeb"/>
              <w:spacing w:before="0" w:beforeAutospacing="0" w:after="0" w:afterAutospacing="0"/>
              <w:ind w:right="-334"/>
              <w:rPr>
                <w:bCs/>
              </w:rPr>
            </w:pPr>
          </w:p>
          <w:p w14:paraId="24D93EED" w14:textId="77777777" w:rsidR="006D0F0A" w:rsidRPr="00BD1F38" w:rsidRDefault="006D0F0A" w:rsidP="00FF3C8D">
            <w:pPr>
              <w:pStyle w:val="NormalWeb"/>
              <w:spacing w:before="0" w:beforeAutospacing="0" w:after="0" w:afterAutospacing="0"/>
              <w:ind w:right="-334"/>
              <w:rPr>
                <w:bCs/>
              </w:rPr>
            </w:pPr>
          </w:p>
          <w:p w14:paraId="3D4FC13F" w14:textId="77777777" w:rsidR="006D0F0A" w:rsidRPr="00BD1F38" w:rsidRDefault="006D0F0A" w:rsidP="00FF3C8D">
            <w:pPr>
              <w:pStyle w:val="NormalWeb"/>
              <w:spacing w:before="0" w:beforeAutospacing="0" w:after="0" w:afterAutospacing="0"/>
              <w:ind w:right="-334"/>
              <w:rPr>
                <w:bCs/>
              </w:rPr>
            </w:pPr>
          </w:p>
          <w:p w14:paraId="37B55BBD" w14:textId="77777777" w:rsidR="006D0F0A" w:rsidRPr="00BD1F38" w:rsidRDefault="006D0F0A" w:rsidP="00FF3C8D">
            <w:pPr>
              <w:pStyle w:val="NormalWeb"/>
              <w:spacing w:before="0" w:beforeAutospacing="0" w:after="0" w:afterAutospacing="0"/>
              <w:ind w:right="-334"/>
              <w:rPr>
                <w:bCs/>
              </w:rPr>
            </w:pPr>
          </w:p>
          <w:p w14:paraId="438D30EF" w14:textId="77777777" w:rsidR="006D0F0A" w:rsidRPr="00BD1F38" w:rsidRDefault="006D0F0A" w:rsidP="00FF3C8D">
            <w:pPr>
              <w:pStyle w:val="NormalWeb"/>
              <w:spacing w:before="0" w:beforeAutospacing="0" w:after="0" w:afterAutospacing="0"/>
              <w:ind w:right="-334"/>
              <w:rPr>
                <w:bCs/>
              </w:rPr>
            </w:pPr>
          </w:p>
          <w:p w14:paraId="1A9B2169" w14:textId="77777777" w:rsidR="006D0F0A" w:rsidRPr="00BD1F38" w:rsidRDefault="006D0F0A" w:rsidP="00FF3C8D">
            <w:pPr>
              <w:pStyle w:val="NormalWeb"/>
              <w:spacing w:before="0" w:beforeAutospacing="0" w:after="0" w:afterAutospacing="0"/>
              <w:ind w:right="-334"/>
              <w:rPr>
                <w:bCs/>
              </w:rPr>
            </w:pPr>
            <w:r w:rsidRPr="00BD1F38">
              <w:rPr>
                <w:bCs/>
              </w:rPr>
              <w:t>Proposed Mark:</w:t>
            </w:r>
          </w:p>
          <w:p w14:paraId="4C5D71CA" w14:textId="77777777" w:rsidR="006D0F0A" w:rsidRPr="00BD1F38" w:rsidRDefault="006D0F0A" w:rsidP="00FF3C8D">
            <w:pPr>
              <w:pStyle w:val="NormalWeb"/>
              <w:spacing w:before="0" w:beforeAutospacing="0" w:after="0" w:afterAutospacing="0"/>
              <w:ind w:right="-334"/>
              <w:rPr>
                <w:bCs/>
              </w:rPr>
            </w:pPr>
          </w:p>
          <w:p w14:paraId="37E33883" w14:textId="77777777" w:rsidR="006D0F0A" w:rsidRPr="00BD1F38" w:rsidRDefault="006D0F0A" w:rsidP="00FF3C8D">
            <w:pPr>
              <w:pStyle w:val="NormalWeb"/>
              <w:spacing w:before="0" w:beforeAutospacing="0" w:after="0" w:afterAutospacing="0"/>
              <w:ind w:right="-334"/>
              <w:rPr>
                <w:bCs/>
              </w:rPr>
            </w:pPr>
            <w:r w:rsidRPr="00BD1F38">
              <w:rPr>
                <w:bCs/>
              </w:rPr>
              <w:lastRenderedPageBreak/>
              <w:t>Signature of External Examiner:</w:t>
            </w:r>
          </w:p>
          <w:p w14:paraId="22FBC32C" w14:textId="77777777" w:rsidR="006D0F0A" w:rsidRPr="00BD1F38" w:rsidRDefault="006D0F0A" w:rsidP="00FF3C8D">
            <w:pPr>
              <w:pStyle w:val="NormalWeb"/>
              <w:spacing w:before="0" w:beforeAutospacing="0" w:after="0" w:afterAutospacing="0"/>
              <w:ind w:right="-334"/>
              <w:rPr>
                <w:bCs/>
              </w:rPr>
            </w:pPr>
          </w:p>
        </w:tc>
      </w:tr>
      <w:tr w:rsidR="006D0F0A" w:rsidRPr="00BD1F38" w14:paraId="624050BF" w14:textId="77777777" w:rsidTr="00FF3C8D">
        <w:trPr>
          <w:trHeight w:val="720"/>
        </w:trPr>
        <w:tc>
          <w:tcPr>
            <w:tcW w:w="8856" w:type="dxa"/>
          </w:tcPr>
          <w:p w14:paraId="240801F8" w14:textId="77777777" w:rsidR="006D0F0A" w:rsidRPr="00BD1F38" w:rsidRDefault="006D0F0A" w:rsidP="00FF3C8D">
            <w:pPr>
              <w:pStyle w:val="NormalWeb"/>
              <w:tabs>
                <w:tab w:val="left" w:pos="2835"/>
              </w:tabs>
              <w:spacing w:before="0" w:beforeAutospacing="0" w:after="0" w:afterAutospacing="0"/>
              <w:ind w:right="-334"/>
              <w:rPr>
                <w:bCs/>
              </w:rPr>
            </w:pPr>
            <w:r w:rsidRPr="00BD1F38">
              <w:rPr>
                <w:bCs/>
              </w:rPr>
              <w:lastRenderedPageBreak/>
              <w:t>Final Agreed Mark:</w:t>
            </w:r>
          </w:p>
        </w:tc>
      </w:tr>
      <w:tr w:rsidR="006D0F0A" w:rsidRPr="00BD1F38" w14:paraId="73D8C324" w14:textId="77777777" w:rsidTr="00FF3C8D">
        <w:trPr>
          <w:trHeight w:val="720"/>
        </w:trPr>
        <w:tc>
          <w:tcPr>
            <w:tcW w:w="8856" w:type="dxa"/>
          </w:tcPr>
          <w:p w14:paraId="58669E6E" w14:textId="77777777" w:rsidR="006D0F0A" w:rsidRPr="00BD1F38" w:rsidRDefault="006D0F0A" w:rsidP="00FF3C8D">
            <w:pPr>
              <w:pStyle w:val="NormalWeb"/>
              <w:tabs>
                <w:tab w:val="left" w:pos="2835"/>
              </w:tabs>
              <w:spacing w:before="0" w:beforeAutospacing="0" w:after="0" w:afterAutospacing="0"/>
              <w:ind w:right="-334"/>
              <w:rPr>
                <w:bCs/>
              </w:rPr>
            </w:pPr>
            <w:r w:rsidRPr="00BD1F38">
              <w:rPr>
                <w:bCs/>
              </w:rPr>
              <w:t>Comments (to indicate how the final agreed mark has been arrived at):</w:t>
            </w:r>
          </w:p>
        </w:tc>
      </w:tr>
    </w:tbl>
    <w:p w14:paraId="5DC32C78" w14:textId="77777777" w:rsidR="006D0F0A" w:rsidRPr="00BD1F38" w:rsidRDefault="006D0F0A" w:rsidP="006D0F0A">
      <w:pPr>
        <w:pStyle w:val="NormalWeb"/>
        <w:spacing w:before="0" w:beforeAutospacing="0" w:after="0" w:afterAutospacing="0"/>
        <w:ind w:right="-334"/>
        <w:rPr>
          <w:bCs/>
        </w:rPr>
      </w:pPr>
    </w:p>
    <w:p w14:paraId="742AD86E" w14:textId="52054D6C" w:rsidR="00C873FE" w:rsidRPr="00BD1F38" w:rsidRDefault="00C873FE" w:rsidP="00B55DF8">
      <w:pPr>
        <w:rPr>
          <w:sz w:val="52"/>
          <w:szCs w:val="52"/>
        </w:rPr>
      </w:pPr>
    </w:p>
    <w:p w14:paraId="771C5F16" w14:textId="77777777" w:rsidR="00307AE1" w:rsidRPr="00BD1F38" w:rsidRDefault="00307AE1" w:rsidP="00B55DF8">
      <w:pPr>
        <w:rPr>
          <w:sz w:val="52"/>
          <w:szCs w:val="52"/>
        </w:rPr>
      </w:pPr>
    </w:p>
    <w:p w14:paraId="340D7EC6" w14:textId="77777777" w:rsidR="00307AE1" w:rsidRPr="00BD1F38" w:rsidRDefault="00307AE1" w:rsidP="00B55DF8">
      <w:pPr>
        <w:rPr>
          <w:sz w:val="52"/>
          <w:szCs w:val="52"/>
        </w:rPr>
      </w:pPr>
    </w:p>
    <w:p w14:paraId="1E6EC7F5" w14:textId="77777777" w:rsidR="00307AE1" w:rsidRPr="00BD1F38" w:rsidRDefault="00307AE1" w:rsidP="00B55DF8">
      <w:pPr>
        <w:rPr>
          <w:sz w:val="52"/>
          <w:szCs w:val="52"/>
        </w:rPr>
      </w:pPr>
    </w:p>
    <w:p w14:paraId="7CC1B2AA" w14:textId="77777777" w:rsidR="00307AE1" w:rsidRPr="00BD1F38" w:rsidRDefault="00307AE1" w:rsidP="00B55DF8">
      <w:pPr>
        <w:rPr>
          <w:sz w:val="52"/>
          <w:szCs w:val="52"/>
        </w:rPr>
      </w:pPr>
    </w:p>
    <w:p w14:paraId="71D3F859" w14:textId="77777777" w:rsidR="00307AE1" w:rsidRPr="00BD1F38" w:rsidRDefault="00307AE1" w:rsidP="00B55DF8">
      <w:pPr>
        <w:rPr>
          <w:sz w:val="52"/>
          <w:szCs w:val="52"/>
        </w:rPr>
      </w:pPr>
    </w:p>
    <w:p w14:paraId="412A7908" w14:textId="77777777" w:rsidR="00307AE1" w:rsidRPr="00BD1F38" w:rsidRDefault="00307AE1" w:rsidP="00B55DF8">
      <w:pPr>
        <w:rPr>
          <w:sz w:val="52"/>
          <w:szCs w:val="52"/>
        </w:rPr>
      </w:pPr>
    </w:p>
    <w:p w14:paraId="52D94120" w14:textId="77777777" w:rsidR="00307AE1" w:rsidRPr="00BD1F38" w:rsidRDefault="00307AE1" w:rsidP="00B55DF8">
      <w:pPr>
        <w:rPr>
          <w:sz w:val="52"/>
          <w:szCs w:val="52"/>
        </w:rPr>
      </w:pPr>
    </w:p>
    <w:p w14:paraId="0100D09D" w14:textId="77777777" w:rsidR="00307AE1" w:rsidRPr="00BD1F38" w:rsidRDefault="00307AE1" w:rsidP="00B55DF8">
      <w:pPr>
        <w:rPr>
          <w:sz w:val="52"/>
          <w:szCs w:val="52"/>
        </w:rPr>
      </w:pPr>
    </w:p>
    <w:p w14:paraId="67F3F979" w14:textId="77777777" w:rsidR="00307AE1" w:rsidRPr="00BD1F38" w:rsidRDefault="00307AE1" w:rsidP="00B55DF8">
      <w:pPr>
        <w:rPr>
          <w:sz w:val="52"/>
          <w:szCs w:val="52"/>
        </w:rPr>
      </w:pPr>
    </w:p>
    <w:p w14:paraId="152D0B93" w14:textId="77777777" w:rsidR="00307AE1" w:rsidRPr="00BD1F38" w:rsidRDefault="00307AE1" w:rsidP="00B55DF8">
      <w:pPr>
        <w:rPr>
          <w:sz w:val="52"/>
          <w:szCs w:val="52"/>
        </w:rPr>
      </w:pPr>
    </w:p>
    <w:p w14:paraId="3488C28D" w14:textId="77777777" w:rsidR="00307AE1" w:rsidRPr="00BD1F38" w:rsidRDefault="00307AE1" w:rsidP="00B55DF8">
      <w:pPr>
        <w:rPr>
          <w:sz w:val="52"/>
          <w:szCs w:val="52"/>
        </w:rPr>
      </w:pPr>
    </w:p>
    <w:p w14:paraId="72FC5E3F" w14:textId="77777777" w:rsidR="00307AE1" w:rsidRPr="00BD1F38" w:rsidRDefault="00307AE1" w:rsidP="00B55DF8">
      <w:pPr>
        <w:rPr>
          <w:sz w:val="52"/>
          <w:szCs w:val="52"/>
        </w:rPr>
      </w:pPr>
    </w:p>
    <w:p w14:paraId="7EDA4985" w14:textId="77777777" w:rsidR="00307AE1" w:rsidRPr="00BD1F38" w:rsidRDefault="00307AE1" w:rsidP="00B55DF8">
      <w:pPr>
        <w:rPr>
          <w:sz w:val="52"/>
          <w:szCs w:val="52"/>
        </w:rPr>
      </w:pPr>
    </w:p>
    <w:p w14:paraId="0E46CE96" w14:textId="77777777" w:rsidR="00307AE1" w:rsidRPr="00BD1F38" w:rsidRDefault="00307AE1" w:rsidP="00B55DF8">
      <w:pPr>
        <w:rPr>
          <w:sz w:val="52"/>
          <w:szCs w:val="52"/>
        </w:rPr>
      </w:pPr>
    </w:p>
    <w:p w14:paraId="5DFEAB22" w14:textId="77777777" w:rsidR="00307AE1" w:rsidRPr="00BD1F38" w:rsidRDefault="00307AE1" w:rsidP="00B55DF8">
      <w:pPr>
        <w:rPr>
          <w:sz w:val="52"/>
          <w:szCs w:val="52"/>
        </w:rPr>
      </w:pPr>
    </w:p>
    <w:p w14:paraId="4CE97BF7" w14:textId="77777777" w:rsidR="000B6982" w:rsidRPr="00BD1F38" w:rsidRDefault="000B6982" w:rsidP="004525A8">
      <w:pPr>
        <w:rPr>
          <w:sz w:val="84"/>
          <w:szCs w:val="84"/>
          <w:u w:val="single"/>
        </w:rPr>
      </w:pPr>
    </w:p>
    <w:p w14:paraId="2CAB57D3" w14:textId="77777777" w:rsidR="004525A8" w:rsidRPr="00BD1F38" w:rsidRDefault="004525A8" w:rsidP="004525A8">
      <w:pPr>
        <w:rPr>
          <w:sz w:val="84"/>
          <w:szCs w:val="84"/>
          <w:u w:val="single"/>
        </w:rPr>
      </w:pPr>
    </w:p>
    <w:p w14:paraId="4EC2426F" w14:textId="77777777" w:rsidR="00683B5E" w:rsidRDefault="00683B5E" w:rsidP="001F4CDB">
      <w:pPr>
        <w:jc w:val="center"/>
        <w:rPr>
          <w:sz w:val="84"/>
          <w:szCs w:val="84"/>
          <w:u w:val="single"/>
        </w:rPr>
      </w:pPr>
    </w:p>
    <w:p w14:paraId="368B2CB6" w14:textId="52B34819" w:rsidR="00AC5249" w:rsidRDefault="00AC5249" w:rsidP="001F4CDB">
      <w:pPr>
        <w:jc w:val="center"/>
        <w:rPr>
          <w:sz w:val="84"/>
          <w:szCs w:val="84"/>
          <w:u w:val="single"/>
        </w:rPr>
      </w:pPr>
    </w:p>
    <w:p w14:paraId="6D5365A2" w14:textId="77777777" w:rsidR="00AC5249" w:rsidRPr="00BD1F38" w:rsidRDefault="00AC5249" w:rsidP="001F4CDB">
      <w:pPr>
        <w:jc w:val="center"/>
        <w:rPr>
          <w:sz w:val="84"/>
          <w:szCs w:val="84"/>
          <w:u w:val="single"/>
        </w:rPr>
      </w:pPr>
    </w:p>
    <w:p w14:paraId="78051BD5" w14:textId="3B0F2319" w:rsidR="004C4043" w:rsidRPr="00BD1F38" w:rsidRDefault="00830812" w:rsidP="001F4CDB">
      <w:pPr>
        <w:jc w:val="center"/>
        <w:rPr>
          <w:sz w:val="84"/>
          <w:szCs w:val="84"/>
          <w:u w:val="single"/>
        </w:rPr>
      </w:pPr>
      <w:r w:rsidRPr="00BD1F38">
        <w:rPr>
          <w:sz w:val="84"/>
          <w:szCs w:val="84"/>
          <w:u w:val="single"/>
        </w:rPr>
        <w:t>DEPTHS OF HEAVEN</w:t>
      </w:r>
    </w:p>
    <w:p w14:paraId="5B4D1808" w14:textId="5F0B0205" w:rsidR="005B35ED" w:rsidRPr="00BD1F38" w:rsidRDefault="004C4043" w:rsidP="00DF1E41">
      <w:pPr>
        <w:jc w:val="center"/>
        <w:rPr>
          <w:sz w:val="28"/>
          <w:szCs w:val="28"/>
        </w:rPr>
      </w:pPr>
      <w:r w:rsidRPr="00BD1F38">
        <w:rPr>
          <w:sz w:val="28"/>
          <w:szCs w:val="28"/>
        </w:rPr>
        <w:t xml:space="preserve">How &amp; Why May Water Have Influenced Divine Archetypes </w:t>
      </w:r>
      <w:proofErr w:type="gramStart"/>
      <w:r w:rsidR="00BD1F38" w:rsidRPr="00BD1F38">
        <w:rPr>
          <w:sz w:val="28"/>
          <w:szCs w:val="28"/>
        </w:rPr>
        <w:t>O</w:t>
      </w:r>
      <w:r w:rsidRPr="00BD1F38">
        <w:rPr>
          <w:sz w:val="28"/>
          <w:szCs w:val="28"/>
        </w:rPr>
        <w:t>f</w:t>
      </w:r>
      <w:proofErr w:type="gramEnd"/>
      <w:r w:rsidRPr="00BD1F38">
        <w:rPr>
          <w:sz w:val="28"/>
          <w:szCs w:val="28"/>
        </w:rPr>
        <w:t xml:space="preserve"> Select </w:t>
      </w:r>
      <w:r w:rsidR="009F0AD8" w:rsidRPr="00BD1F38">
        <w:rPr>
          <w:sz w:val="28"/>
          <w:szCs w:val="28"/>
        </w:rPr>
        <w:t>Judaic</w:t>
      </w:r>
      <w:r w:rsidRPr="00BD1F38">
        <w:rPr>
          <w:sz w:val="28"/>
          <w:szCs w:val="28"/>
        </w:rPr>
        <w:t xml:space="preserve"> </w:t>
      </w:r>
      <w:r w:rsidR="00BD1F38" w:rsidRPr="00BD1F38">
        <w:rPr>
          <w:sz w:val="28"/>
          <w:szCs w:val="28"/>
        </w:rPr>
        <w:t>A</w:t>
      </w:r>
      <w:r w:rsidRPr="00BD1F38">
        <w:rPr>
          <w:sz w:val="28"/>
          <w:szCs w:val="28"/>
        </w:rPr>
        <w:t xml:space="preserve">nd Vedic Thought, Respectively Represented </w:t>
      </w:r>
      <w:r w:rsidR="00BD1F38" w:rsidRPr="00BD1F38">
        <w:rPr>
          <w:sz w:val="28"/>
          <w:szCs w:val="28"/>
        </w:rPr>
        <w:t>I</w:t>
      </w:r>
      <w:r w:rsidRPr="00BD1F38">
        <w:rPr>
          <w:sz w:val="28"/>
          <w:szCs w:val="28"/>
        </w:rPr>
        <w:t xml:space="preserve">n The Torah &amp; Rig Veda, </w:t>
      </w:r>
      <w:r w:rsidR="00BD1F38" w:rsidRPr="00BD1F38">
        <w:rPr>
          <w:sz w:val="28"/>
          <w:szCs w:val="28"/>
        </w:rPr>
        <w:t>A</w:t>
      </w:r>
      <w:r w:rsidRPr="00BD1F38">
        <w:rPr>
          <w:sz w:val="28"/>
          <w:szCs w:val="28"/>
        </w:rPr>
        <w:t xml:space="preserve">nd To What Extent Has This Shaped </w:t>
      </w:r>
      <w:proofErr w:type="spellStart"/>
      <w:r w:rsidRPr="00BD1F38">
        <w:rPr>
          <w:sz w:val="28"/>
          <w:szCs w:val="28"/>
        </w:rPr>
        <w:t>And/Or</w:t>
      </w:r>
      <w:proofErr w:type="spellEnd"/>
      <w:r w:rsidRPr="00BD1F38">
        <w:rPr>
          <w:sz w:val="28"/>
          <w:szCs w:val="28"/>
        </w:rPr>
        <w:t xml:space="preserve"> Is Reflected In Eco-Spiritual </w:t>
      </w:r>
      <w:proofErr w:type="spellStart"/>
      <w:r w:rsidR="000A2B0A" w:rsidRPr="00BD1F38">
        <w:rPr>
          <w:sz w:val="28"/>
          <w:szCs w:val="28"/>
        </w:rPr>
        <w:t>Tevilah</w:t>
      </w:r>
      <w:proofErr w:type="spellEnd"/>
      <w:r w:rsidRPr="00BD1F38">
        <w:rPr>
          <w:sz w:val="28"/>
          <w:szCs w:val="28"/>
        </w:rPr>
        <w:t xml:space="preserve"> and Soma</w:t>
      </w:r>
      <w:r w:rsidR="008F2171" w:rsidRPr="00BD1F38">
        <w:rPr>
          <w:sz w:val="28"/>
          <w:szCs w:val="28"/>
        </w:rPr>
        <w:t xml:space="preserve"> </w:t>
      </w:r>
      <w:r w:rsidRPr="00BD1F38">
        <w:rPr>
          <w:sz w:val="28"/>
          <w:szCs w:val="28"/>
        </w:rPr>
        <w:t>Rituals</w:t>
      </w:r>
    </w:p>
    <w:p w14:paraId="092E8F56" w14:textId="77777777" w:rsidR="005B35ED" w:rsidRPr="00BD1F38" w:rsidRDefault="005B35ED" w:rsidP="004C4043">
      <w:pPr>
        <w:rPr>
          <w:sz w:val="32"/>
          <w:szCs w:val="32"/>
          <w:u w:val="single"/>
        </w:rPr>
      </w:pPr>
    </w:p>
    <w:p w14:paraId="142B2A74" w14:textId="2411515F" w:rsidR="002D2492" w:rsidRPr="00BD1F38" w:rsidRDefault="002D2492" w:rsidP="000C3FAE">
      <w:pPr>
        <w:pStyle w:val="NormalWeb"/>
        <w:jc w:val="center"/>
        <w:rPr>
          <w:sz w:val="28"/>
          <w:szCs w:val="28"/>
        </w:rPr>
      </w:pPr>
      <w:r w:rsidRPr="00BD1F38">
        <w:rPr>
          <w:sz w:val="28"/>
          <w:szCs w:val="28"/>
        </w:rPr>
        <w:t>James Berger</w:t>
      </w:r>
    </w:p>
    <w:p w14:paraId="101AE1FF" w14:textId="5DE15247" w:rsidR="000C3FAE" w:rsidRPr="00BD1F38" w:rsidRDefault="000C3FAE" w:rsidP="000C3FAE">
      <w:pPr>
        <w:pStyle w:val="NormalWeb"/>
        <w:jc w:val="center"/>
        <w:rPr>
          <w:sz w:val="28"/>
          <w:szCs w:val="28"/>
        </w:rPr>
      </w:pPr>
      <w:r w:rsidRPr="00BD1F38">
        <w:rPr>
          <w:sz w:val="28"/>
          <w:szCs w:val="28"/>
        </w:rPr>
        <w:t xml:space="preserve">Dissertation submitted in partial fulfilment of a Master of Arts in Ecology </w:t>
      </w:r>
      <w:r w:rsidR="000D139B" w:rsidRPr="00BD1F38">
        <w:rPr>
          <w:sz w:val="28"/>
          <w:szCs w:val="28"/>
        </w:rPr>
        <w:t>and</w:t>
      </w:r>
      <w:r w:rsidRPr="00BD1F38">
        <w:rPr>
          <w:sz w:val="28"/>
          <w:szCs w:val="28"/>
        </w:rPr>
        <w:t xml:space="preserve"> Spirituality </w:t>
      </w:r>
    </w:p>
    <w:p w14:paraId="133264E2" w14:textId="77777777" w:rsidR="000C3FAE" w:rsidRPr="00BD1F38" w:rsidRDefault="000C3FAE" w:rsidP="000C3FAE">
      <w:pPr>
        <w:pStyle w:val="NormalWeb"/>
        <w:jc w:val="center"/>
        <w:rPr>
          <w:sz w:val="28"/>
          <w:szCs w:val="28"/>
        </w:rPr>
      </w:pPr>
      <w:r w:rsidRPr="00BD1F38">
        <w:rPr>
          <w:sz w:val="28"/>
          <w:szCs w:val="28"/>
        </w:rPr>
        <w:t xml:space="preserve"> University of Wales Trinity Saint David </w:t>
      </w:r>
    </w:p>
    <w:p w14:paraId="300B9923" w14:textId="04A67E49" w:rsidR="000C3FAE" w:rsidRPr="00BD1F38" w:rsidRDefault="00EA194A" w:rsidP="000C3FAE">
      <w:pPr>
        <w:pStyle w:val="NormalWeb"/>
        <w:jc w:val="center"/>
      </w:pPr>
      <w:r w:rsidRPr="00BD1F38">
        <w:rPr>
          <w:sz w:val="28"/>
          <w:szCs w:val="28"/>
        </w:rPr>
        <w:t>29</w:t>
      </w:r>
      <w:r w:rsidR="000C3FAE" w:rsidRPr="00BD1F38">
        <w:rPr>
          <w:sz w:val="28"/>
          <w:szCs w:val="28"/>
        </w:rPr>
        <w:t xml:space="preserve"> January 2025</w:t>
      </w:r>
    </w:p>
    <w:p w14:paraId="72897568" w14:textId="30C927E0" w:rsidR="00447FCA" w:rsidRPr="00BD1F38" w:rsidRDefault="00447FCA" w:rsidP="00B55DF8">
      <w:pPr>
        <w:rPr>
          <w:sz w:val="52"/>
          <w:szCs w:val="52"/>
        </w:rPr>
      </w:pPr>
    </w:p>
    <w:p w14:paraId="63E1773F" w14:textId="77777777" w:rsidR="00447FCA" w:rsidRPr="00BD1F38" w:rsidRDefault="00447FCA" w:rsidP="00B55DF8">
      <w:pPr>
        <w:rPr>
          <w:sz w:val="52"/>
          <w:szCs w:val="52"/>
        </w:rPr>
      </w:pPr>
    </w:p>
    <w:p w14:paraId="6B4FE00B" w14:textId="77777777" w:rsidR="00447FCA" w:rsidRPr="00BD1F38" w:rsidRDefault="00447FCA" w:rsidP="00B55DF8">
      <w:pPr>
        <w:rPr>
          <w:sz w:val="52"/>
          <w:szCs w:val="52"/>
        </w:rPr>
      </w:pPr>
    </w:p>
    <w:p w14:paraId="71507BD4" w14:textId="77777777" w:rsidR="00447FCA" w:rsidRPr="00BD1F38" w:rsidRDefault="00447FCA" w:rsidP="00B55DF8">
      <w:pPr>
        <w:rPr>
          <w:sz w:val="52"/>
          <w:szCs w:val="52"/>
        </w:rPr>
      </w:pPr>
    </w:p>
    <w:p w14:paraId="59FA0871" w14:textId="77777777" w:rsidR="00447FCA" w:rsidRPr="00BD1F38" w:rsidRDefault="00447FCA" w:rsidP="00B55DF8">
      <w:pPr>
        <w:rPr>
          <w:sz w:val="52"/>
          <w:szCs w:val="52"/>
        </w:rPr>
      </w:pPr>
    </w:p>
    <w:p w14:paraId="6E4D127D" w14:textId="77777777" w:rsidR="00473F0B" w:rsidRPr="00BD1F38" w:rsidRDefault="00473F0B" w:rsidP="00B55DF8">
      <w:pPr>
        <w:rPr>
          <w:sz w:val="52"/>
          <w:szCs w:val="52"/>
        </w:rPr>
      </w:pPr>
    </w:p>
    <w:p w14:paraId="1580404E" w14:textId="77777777" w:rsidR="00473F0B" w:rsidRPr="00BD1F38" w:rsidRDefault="00473F0B" w:rsidP="00B55DF8">
      <w:pPr>
        <w:rPr>
          <w:sz w:val="52"/>
          <w:szCs w:val="52"/>
        </w:rPr>
      </w:pPr>
    </w:p>
    <w:p w14:paraId="3F1B91B4" w14:textId="77777777" w:rsidR="00AC5249" w:rsidRPr="00BD1F38" w:rsidRDefault="00AC5249" w:rsidP="00B55DF8">
      <w:pPr>
        <w:rPr>
          <w:sz w:val="52"/>
          <w:szCs w:val="52"/>
        </w:rPr>
      </w:pPr>
    </w:p>
    <w:p w14:paraId="39E0E4FA" w14:textId="2DC4B3B1" w:rsidR="00447FCA" w:rsidRPr="00BD1F38" w:rsidRDefault="00447FCA" w:rsidP="002503F8">
      <w:pPr>
        <w:jc w:val="center"/>
        <w:rPr>
          <w:sz w:val="72"/>
          <w:szCs w:val="72"/>
        </w:rPr>
      </w:pPr>
      <w:r w:rsidRPr="00BD1F38">
        <w:rPr>
          <w:sz w:val="72"/>
          <w:szCs w:val="72"/>
        </w:rPr>
        <w:t>ABSTRACT</w:t>
      </w:r>
    </w:p>
    <w:p w14:paraId="068C91D7" w14:textId="77777777" w:rsidR="0021734F" w:rsidRPr="00BD1F38" w:rsidRDefault="0021734F" w:rsidP="004B0BDA"/>
    <w:p w14:paraId="0DB85198" w14:textId="66168940" w:rsidR="00247787" w:rsidRPr="00BD1F38" w:rsidRDefault="002503F8" w:rsidP="009675C6">
      <w:r w:rsidRPr="00BD1F38">
        <w:t xml:space="preserve">The aim of this dissertation </w:t>
      </w:r>
      <w:r w:rsidR="00CD4434" w:rsidRPr="00BD1F38">
        <w:t>was</w:t>
      </w:r>
      <w:r w:rsidRPr="00BD1F38">
        <w:t xml:space="preserve"> to answer the research question: How &amp; Why May Water Have Influenced Divine Archetypes of Select Jewish and Vedic Thought, Respectively Represented </w:t>
      </w:r>
      <w:proofErr w:type="gramStart"/>
      <w:r w:rsidRPr="00BD1F38">
        <w:t>In</w:t>
      </w:r>
      <w:proofErr w:type="gramEnd"/>
      <w:r w:rsidRPr="00BD1F38">
        <w:t xml:space="preserve"> The Torah &amp; Rig Veda, And To What Extent Has This Shaped </w:t>
      </w:r>
      <w:proofErr w:type="spellStart"/>
      <w:r w:rsidRPr="00BD1F38">
        <w:t>And/Or</w:t>
      </w:r>
      <w:proofErr w:type="spellEnd"/>
      <w:r w:rsidRPr="00BD1F38">
        <w:t xml:space="preserve"> Is Reflected In Eco-Spiritual </w:t>
      </w:r>
      <w:proofErr w:type="spellStart"/>
      <w:r w:rsidRPr="00BD1F38">
        <w:t>Tevilah</w:t>
      </w:r>
      <w:proofErr w:type="spellEnd"/>
      <w:r w:rsidRPr="00BD1F38">
        <w:t xml:space="preserve"> and Soma Rituals. </w:t>
      </w:r>
      <w:r w:rsidR="004868B2" w:rsidRPr="00BD1F38">
        <w:t xml:space="preserve">To do so, I pursued research guidelines outlined by Prof. Christian </w:t>
      </w:r>
      <w:proofErr w:type="spellStart"/>
      <w:r w:rsidR="004868B2" w:rsidRPr="00BD1F38">
        <w:t>Roesler</w:t>
      </w:r>
      <w:proofErr w:type="spellEnd"/>
      <w:r w:rsidR="004868B2" w:rsidRPr="00BD1F38">
        <w:t xml:space="preserve"> in his </w:t>
      </w:r>
      <w:r w:rsidR="004868B2" w:rsidRPr="00BD1F38">
        <w:rPr>
          <w:i/>
          <w:iCs/>
        </w:rPr>
        <w:t>Development of a Reconceptualization of Archetype Theory</w:t>
      </w:r>
      <w:r w:rsidR="002E2814" w:rsidRPr="00BD1F38">
        <w:t xml:space="preserve"> </w:t>
      </w:r>
      <w:r w:rsidR="00605F45" w:rsidRPr="00BD1F38">
        <w:rPr>
          <w:rFonts w:eastAsiaTheme="minorEastAsia"/>
        </w:rPr>
        <w:t>through anthropological</w:t>
      </w:r>
      <w:r w:rsidR="00534AE0" w:rsidRPr="00BD1F38">
        <w:rPr>
          <w:rFonts w:eastAsiaTheme="minorEastAsia"/>
        </w:rPr>
        <w:t xml:space="preserve"> (</w:t>
      </w:r>
      <w:r w:rsidR="00EE2A89" w:rsidRPr="00BD1F38">
        <w:rPr>
          <w:rFonts w:eastAsiaTheme="minorEastAsia"/>
        </w:rPr>
        <w:t xml:space="preserve">specifically </w:t>
      </w:r>
      <w:r w:rsidR="00534AE0" w:rsidRPr="00BD1F38">
        <w:rPr>
          <w:rFonts w:eastAsiaTheme="minorEastAsia"/>
        </w:rPr>
        <w:t>Vedic and Judaic</w:t>
      </w:r>
      <w:r w:rsidR="008F049B" w:rsidRPr="00BD1F38">
        <w:rPr>
          <w:rFonts w:eastAsiaTheme="minorEastAsia"/>
        </w:rPr>
        <w:t xml:space="preserve"> culture</w:t>
      </w:r>
      <w:r w:rsidR="00534AE0" w:rsidRPr="00BD1F38">
        <w:rPr>
          <w:rFonts w:eastAsiaTheme="minorEastAsia"/>
        </w:rPr>
        <w:t>)</w:t>
      </w:r>
      <w:r w:rsidR="00605F45" w:rsidRPr="00BD1F38">
        <w:rPr>
          <w:rFonts w:eastAsiaTheme="minorEastAsia"/>
        </w:rPr>
        <w:t xml:space="preserve">, religious (textual and ritual), and comparative mythological interpretive examination </w:t>
      </w:r>
      <w:r w:rsidR="00F0194C" w:rsidRPr="00BD1F38">
        <w:rPr>
          <w:rFonts w:eastAsiaTheme="minorEastAsia"/>
        </w:rPr>
        <w:t xml:space="preserve">of </w:t>
      </w:r>
      <w:r w:rsidR="004D5DBD" w:rsidRPr="00BD1F38">
        <w:rPr>
          <w:rFonts w:eastAsiaTheme="minorEastAsia"/>
        </w:rPr>
        <w:t xml:space="preserve">my research question. </w:t>
      </w:r>
      <w:proofErr w:type="spellStart"/>
      <w:r w:rsidR="00B5582F" w:rsidRPr="00BD1F38">
        <w:t>Hierophany</w:t>
      </w:r>
      <w:proofErr w:type="spellEnd"/>
      <w:r w:rsidR="00B5582F" w:rsidRPr="00BD1F38">
        <w:t xml:space="preserve">, value, anthropomorphism, and their evident interconnectedness, were revealed in the evidence provided and interpreted in this thesis, as the most pressing ways in which water may have </w:t>
      </w:r>
      <w:r w:rsidR="00B5582F" w:rsidRPr="00BD1F38">
        <w:rPr>
          <w:rFonts w:eastAsiaTheme="minorEastAsia"/>
        </w:rPr>
        <w:t>influenced divine archetypes of select Judaic and Vedic thought, respectively represented in Torah and Rig Veda</w:t>
      </w:r>
      <w:r w:rsidR="00B5582F" w:rsidRPr="00BD1F38">
        <w:t xml:space="preserve">. How and </w:t>
      </w:r>
      <w:proofErr w:type="gramStart"/>
      <w:r w:rsidR="00B5582F" w:rsidRPr="00BD1F38">
        <w:t>why</w:t>
      </w:r>
      <w:proofErr w:type="gramEnd"/>
      <w:r w:rsidR="00B5582F" w:rsidRPr="00BD1F38">
        <w:t xml:space="preserve"> this was the case was indicated as being a complex array of </w:t>
      </w:r>
      <w:r w:rsidR="00E136D5" w:rsidRPr="00BD1F38">
        <w:t xml:space="preserve">individual and socio-cultural </w:t>
      </w:r>
      <w:r w:rsidR="00B5582F" w:rsidRPr="00BD1F38">
        <w:t xml:space="preserve">variances on psychological, physiological, and sociological </w:t>
      </w:r>
      <w:r w:rsidR="00666FD2" w:rsidRPr="00BD1F38">
        <w:t>transformations</w:t>
      </w:r>
      <w:r w:rsidR="00B5582F" w:rsidRPr="00BD1F38">
        <w:t xml:space="preserve"> of the experiential </w:t>
      </w:r>
      <w:r w:rsidR="00AA04CD" w:rsidRPr="00BD1F38">
        <w:t xml:space="preserve">aquatic </w:t>
      </w:r>
      <w:r w:rsidR="00B5582F" w:rsidRPr="00BD1F38">
        <w:t>stimuli</w:t>
      </w:r>
      <w:r w:rsidR="00DD63F3" w:rsidRPr="00BD1F38">
        <w:t xml:space="preserve"> which </w:t>
      </w:r>
      <w:r w:rsidR="00E0209E" w:rsidRPr="00BD1F38">
        <w:t>were</w:t>
      </w:r>
      <w:r w:rsidR="00DD63F3" w:rsidRPr="00BD1F38">
        <w:t xml:space="preserve"> </w:t>
      </w:r>
      <w:proofErr w:type="spellStart"/>
      <w:r w:rsidR="00E0209E" w:rsidRPr="00BD1F38">
        <w:t>categorisable</w:t>
      </w:r>
      <w:proofErr w:type="spellEnd"/>
      <w:r w:rsidR="00DD63F3" w:rsidRPr="00BD1F38">
        <w:t xml:space="preserve"> as one of or </w:t>
      </w:r>
      <w:r w:rsidR="008149FC" w:rsidRPr="00BD1F38">
        <w:t xml:space="preserve">as </w:t>
      </w:r>
      <w:r w:rsidR="00DD63F3" w:rsidRPr="00BD1F38">
        <w:t xml:space="preserve">multiple of </w:t>
      </w:r>
      <w:r w:rsidR="00EE132B" w:rsidRPr="00BD1F38">
        <w:t>what</w:t>
      </w:r>
      <w:r w:rsidR="0037516C" w:rsidRPr="00BD1F38">
        <w:t>:</w:t>
      </w:r>
      <w:r w:rsidR="00EE132B" w:rsidRPr="00BD1F38">
        <w:t xml:space="preserve"> </w:t>
      </w:r>
      <w:r w:rsidR="00DD63F3" w:rsidRPr="00BD1F38">
        <w:rPr>
          <w:i/>
          <w:iCs/>
        </w:rPr>
        <w:t>Water Giveth</w:t>
      </w:r>
      <w:r w:rsidR="00DD63F3" w:rsidRPr="00BD1F38">
        <w:t xml:space="preserve">; </w:t>
      </w:r>
      <w:r w:rsidR="00DD63F3" w:rsidRPr="00BD1F38">
        <w:rPr>
          <w:i/>
          <w:iCs/>
        </w:rPr>
        <w:t>Taketh Away</w:t>
      </w:r>
      <w:r w:rsidR="00DD63F3" w:rsidRPr="00BD1F38">
        <w:t xml:space="preserve">; and </w:t>
      </w:r>
      <w:r w:rsidR="00DD63F3" w:rsidRPr="00BD1F38">
        <w:rPr>
          <w:i/>
          <w:iCs/>
        </w:rPr>
        <w:t>Reflections</w:t>
      </w:r>
      <w:r w:rsidR="00C35E16" w:rsidRPr="00BD1F38">
        <w:t>;</w:t>
      </w:r>
      <w:r w:rsidR="00642C0A" w:rsidRPr="00BD1F38">
        <w:t xml:space="preserve"> which </w:t>
      </w:r>
      <w:r w:rsidR="00C35E16" w:rsidRPr="00BD1F38">
        <w:t xml:space="preserve">therefore </w:t>
      </w:r>
      <w:r w:rsidR="00642C0A" w:rsidRPr="00BD1F38">
        <w:t xml:space="preserve">became the chapter subheadings. </w:t>
      </w:r>
      <w:r w:rsidR="00B5582F" w:rsidRPr="00BD1F38">
        <w:t xml:space="preserve">These findings </w:t>
      </w:r>
      <w:r w:rsidR="00B5582F" w:rsidRPr="00BD1F38">
        <w:rPr>
          <w:rFonts w:eastAsiaTheme="minorEastAsia"/>
        </w:rPr>
        <w:t xml:space="preserve">contribute to wider academia (especially archetypal, eco-spiritual, </w:t>
      </w:r>
      <w:r w:rsidR="00B5582F" w:rsidRPr="00BD1F38">
        <w:t xml:space="preserve">and </w:t>
      </w:r>
      <w:r w:rsidR="00B5582F" w:rsidRPr="00BD1F38">
        <w:rPr>
          <w:rFonts w:eastAsiaTheme="minorEastAsia"/>
        </w:rPr>
        <w:t xml:space="preserve">sacred </w:t>
      </w:r>
      <w:r w:rsidR="00B5582F" w:rsidRPr="00BD1F38">
        <w:t>space</w:t>
      </w:r>
      <w:r w:rsidR="00B5582F" w:rsidRPr="00BD1F38">
        <w:rPr>
          <w:rFonts w:eastAsiaTheme="minorEastAsia"/>
        </w:rPr>
        <w:t xml:space="preserve"> </w:t>
      </w:r>
      <w:r w:rsidR="00B5582F" w:rsidRPr="00BD1F38">
        <w:t xml:space="preserve">research) </w:t>
      </w:r>
      <w:r w:rsidR="00B5582F" w:rsidRPr="00BD1F38">
        <w:rPr>
          <w:rFonts w:eastAsiaTheme="minorEastAsia"/>
        </w:rPr>
        <w:t>by assembling and positioning the tripartite lens through which it is seemingly clearer to see</w:t>
      </w:r>
      <w:r w:rsidR="00B5582F" w:rsidRPr="00BD1F38">
        <w:t>, specifically contextualise;</w:t>
      </w:r>
      <w:r w:rsidR="00B5582F" w:rsidRPr="00BD1F38">
        <w:rPr>
          <w:rFonts w:eastAsiaTheme="minorEastAsia"/>
        </w:rPr>
        <w:t xml:space="preserve"> and </w:t>
      </w:r>
      <w:r w:rsidR="00B5582F" w:rsidRPr="00BD1F38">
        <w:t xml:space="preserve">thus </w:t>
      </w:r>
      <w:r w:rsidR="00B5582F" w:rsidRPr="00BD1F38">
        <w:rPr>
          <w:rFonts w:eastAsiaTheme="minorEastAsia"/>
        </w:rPr>
        <w:t>understand</w:t>
      </w:r>
      <w:r w:rsidR="00B5582F" w:rsidRPr="00BD1F38">
        <w:t xml:space="preserve"> the </w:t>
      </w:r>
      <w:r w:rsidR="00B5582F" w:rsidRPr="00BD1F38">
        <w:rPr>
          <w:rFonts w:eastAsiaTheme="minorEastAsia"/>
          <w:lang w:val="en-US"/>
        </w:rPr>
        <w:t xml:space="preserve">eco-spiritual </w:t>
      </w:r>
      <w:proofErr w:type="spellStart"/>
      <w:r w:rsidR="00B5582F" w:rsidRPr="00BD1F38">
        <w:rPr>
          <w:lang w:val="en-US"/>
        </w:rPr>
        <w:t>interrelational</w:t>
      </w:r>
      <w:proofErr w:type="spellEnd"/>
      <w:r w:rsidR="00B5582F" w:rsidRPr="00BD1F38">
        <w:rPr>
          <w:lang w:val="en-US"/>
        </w:rPr>
        <w:t xml:space="preserve"> environment</w:t>
      </w:r>
      <w:r w:rsidR="00B5582F" w:rsidRPr="00BD1F38">
        <w:rPr>
          <w:rFonts w:eastAsiaTheme="minorEastAsia"/>
          <w:lang w:val="en-US"/>
        </w:rPr>
        <w:t xml:space="preserve"> of Vedic and Judaic peoples</w:t>
      </w:r>
      <w:r w:rsidR="00B5582F" w:rsidRPr="00BD1F38">
        <w:rPr>
          <w:lang w:val="en-US"/>
        </w:rPr>
        <w:t xml:space="preserve"> respectively</w:t>
      </w:r>
      <w:r w:rsidR="00B5582F" w:rsidRPr="00BD1F38">
        <w:rPr>
          <w:rFonts w:eastAsiaTheme="minorEastAsia"/>
          <w:lang w:val="en-US"/>
        </w:rPr>
        <w:t xml:space="preserve">, not only as part of their local </w:t>
      </w:r>
      <w:r w:rsidR="007C232C" w:rsidRPr="00BD1F38">
        <w:rPr>
          <w:rFonts w:eastAsiaTheme="minorEastAsia"/>
          <w:lang w:val="en-US"/>
        </w:rPr>
        <w:t>ecology</w:t>
      </w:r>
      <w:r w:rsidR="00B5582F" w:rsidRPr="00BD1F38">
        <w:rPr>
          <w:rFonts w:eastAsiaTheme="minorEastAsia"/>
          <w:lang w:val="en-US"/>
        </w:rPr>
        <w:t xml:space="preserve"> but also </w:t>
      </w:r>
      <w:r w:rsidR="00B54159" w:rsidRPr="00BD1F38">
        <w:rPr>
          <w:rFonts w:eastAsiaTheme="minorEastAsia"/>
          <w:lang w:val="en-US"/>
        </w:rPr>
        <w:t>with</w:t>
      </w:r>
      <w:r w:rsidR="00B5582F" w:rsidRPr="00BD1F38">
        <w:rPr>
          <w:rFonts w:eastAsiaTheme="minorEastAsia"/>
          <w:lang w:val="en-US"/>
        </w:rPr>
        <w:t xml:space="preserve">in </w:t>
      </w:r>
      <w:r w:rsidR="00B5582F" w:rsidRPr="00BD1F38">
        <w:rPr>
          <w:lang w:val="en-US"/>
        </w:rPr>
        <w:t>their greater sacred</w:t>
      </w:r>
      <w:r w:rsidR="00B5582F" w:rsidRPr="00BD1F38">
        <w:rPr>
          <w:rFonts w:eastAsiaTheme="minorEastAsia"/>
          <w:lang w:val="en-US"/>
        </w:rPr>
        <w:t xml:space="preserve"> cosmological environment composed of symbols and archetypal conception</w:t>
      </w:r>
      <w:r w:rsidR="00B5582F" w:rsidRPr="00BD1F38">
        <w:rPr>
          <w:lang w:val="en-US"/>
        </w:rPr>
        <w:t xml:space="preserve">, which, as people of faith - Eliade’s </w:t>
      </w:r>
      <w:r w:rsidR="00B5582F" w:rsidRPr="00BD1F38">
        <w:rPr>
          <w:i/>
          <w:iCs/>
          <w:lang w:val="en-US"/>
        </w:rPr>
        <w:t xml:space="preserve">homo </w:t>
      </w:r>
      <w:proofErr w:type="spellStart"/>
      <w:r w:rsidR="00344837" w:rsidRPr="00BD1F38">
        <w:rPr>
          <w:i/>
          <w:iCs/>
          <w:lang w:val="en-US"/>
        </w:rPr>
        <w:t>religio</w:t>
      </w:r>
      <w:r w:rsidR="008B7DD9" w:rsidRPr="00BD1F38">
        <w:rPr>
          <w:i/>
          <w:iCs/>
          <w:lang w:val="en-US"/>
        </w:rPr>
        <w:t>s</w:t>
      </w:r>
      <w:r w:rsidR="00344837" w:rsidRPr="00BD1F38">
        <w:rPr>
          <w:i/>
          <w:iCs/>
          <w:lang w:val="en-US"/>
        </w:rPr>
        <w:t>us</w:t>
      </w:r>
      <w:proofErr w:type="spellEnd"/>
      <w:r w:rsidR="00344837" w:rsidRPr="00BD1F38">
        <w:rPr>
          <w:lang w:val="en-US"/>
        </w:rPr>
        <w:t xml:space="preserve"> </w:t>
      </w:r>
      <w:r w:rsidR="00B5582F" w:rsidRPr="00BD1F38">
        <w:rPr>
          <w:lang w:val="en-US"/>
        </w:rPr>
        <w:t xml:space="preserve">– </w:t>
      </w:r>
      <w:r w:rsidR="00F65182" w:rsidRPr="00BD1F38">
        <w:rPr>
          <w:lang w:val="en-US"/>
        </w:rPr>
        <w:t xml:space="preserve">is </w:t>
      </w:r>
      <w:r w:rsidR="00F65182" w:rsidRPr="00BD1F38">
        <w:rPr>
          <w:i/>
          <w:iCs/>
          <w:lang w:val="en-US"/>
        </w:rPr>
        <w:t>integral</w:t>
      </w:r>
      <w:r w:rsidR="00F74467" w:rsidRPr="00BD1F38">
        <w:rPr>
          <w:lang w:val="en-US"/>
        </w:rPr>
        <w:t xml:space="preserve"> academic</w:t>
      </w:r>
      <w:r w:rsidR="00F65182" w:rsidRPr="00BD1F38">
        <w:rPr>
          <w:lang w:val="en-US"/>
        </w:rPr>
        <w:t xml:space="preserve"> </w:t>
      </w:r>
      <w:proofErr w:type="spellStart"/>
      <w:r w:rsidR="00F65182" w:rsidRPr="00BD1F38">
        <w:rPr>
          <w:lang w:val="en-US"/>
        </w:rPr>
        <w:t>contextualisation</w:t>
      </w:r>
      <w:proofErr w:type="spellEnd"/>
      <w:r w:rsidR="00F65182" w:rsidRPr="00BD1F38">
        <w:rPr>
          <w:lang w:val="en-US"/>
        </w:rPr>
        <w:t xml:space="preserve">. </w:t>
      </w:r>
      <w:r w:rsidR="00EB242E" w:rsidRPr="00BD1F38">
        <w:rPr>
          <w:lang w:val="en-US"/>
        </w:rPr>
        <w:t xml:space="preserve">This was lacking in </w:t>
      </w:r>
      <w:r w:rsidR="00E831B6" w:rsidRPr="00BD1F38">
        <w:rPr>
          <w:lang w:val="en-US"/>
        </w:rPr>
        <w:t xml:space="preserve">Stokowski’s </w:t>
      </w:r>
      <w:r w:rsidR="0071636F" w:rsidRPr="00BD1F38">
        <w:rPr>
          <w:lang w:val="en-US"/>
        </w:rPr>
        <w:t xml:space="preserve">excellent </w:t>
      </w:r>
      <w:r w:rsidR="009675C6" w:rsidRPr="00BD1F38">
        <w:rPr>
          <w:i/>
          <w:iCs/>
        </w:rPr>
        <w:t>Symbolic Aspects of Water</w:t>
      </w:r>
      <w:r w:rsidR="00D22A6D" w:rsidRPr="00BD1F38">
        <w:t xml:space="preserve">, </w:t>
      </w:r>
      <w:r w:rsidR="0074796B" w:rsidRPr="00BD1F38">
        <w:t xml:space="preserve">which detailed the varied importance (ecologically, sociologically, psychologically, and symbolically) of water to various cultures’ peoples, </w:t>
      </w:r>
      <w:r w:rsidR="00BA7115" w:rsidRPr="00BD1F38">
        <w:t xml:space="preserve">but </w:t>
      </w:r>
      <w:r w:rsidR="00D22A6D" w:rsidRPr="00BD1F38">
        <w:t xml:space="preserve">containing only fleeting </w:t>
      </w:r>
      <w:r w:rsidR="009675C6" w:rsidRPr="00BD1F38">
        <w:t xml:space="preserve">references to metaphysical and divine archetypes, therefore also lacking consistent referral to primary sacred texts. </w:t>
      </w:r>
      <w:r w:rsidR="00247787" w:rsidRPr="00BD1F38">
        <w:t>Creating</w:t>
      </w:r>
      <w:r w:rsidR="006219C8" w:rsidRPr="00BD1F38">
        <w:t>,</w:t>
      </w:r>
      <w:r w:rsidR="00247787" w:rsidRPr="00BD1F38">
        <w:t xml:space="preserve"> </w:t>
      </w:r>
      <w:r w:rsidR="00F7279E" w:rsidRPr="00BD1F38">
        <w:t xml:space="preserve">in conjunction with the </w:t>
      </w:r>
      <w:r w:rsidR="006219C8" w:rsidRPr="00BD1F38">
        <w:t xml:space="preserve">specific </w:t>
      </w:r>
      <w:r w:rsidR="00F7279E" w:rsidRPr="00BD1F38">
        <w:t xml:space="preserve">further archetypal research suggested by undertaken by </w:t>
      </w:r>
      <w:proofErr w:type="spellStart"/>
      <w:r w:rsidR="00F7279E" w:rsidRPr="00BD1F38">
        <w:t>Roesler</w:t>
      </w:r>
      <w:proofErr w:type="spellEnd"/>
      <w:r w:rsidR="00C73E69" w:rsidRPr="00BD1F38">
        <w:t>, the academic gap</w:t>
      </w:r>
      <w:r w:rsidR="00C1303E" w:rsidRPr="00BD1F38">
        <w:t xml:space="preserve"> which I attempt to somewhat bridge. </w:t>
      </w:r>
    </w:p>
    <w:p w14:paraId="5D37D334" w14:textId="77777777" w:rsidR="006219C8" w:rsidRPr="00BD1F38" w:rsidRDefault="006219C8" w:rsidP="009675C6">
      <w:pPr>
        <w:rPr>
          <w:sz w:val="20"/>
          <w:szCs w:val="20"/>
        </w:rPr>
      </w:pPr>
    </w:p>
    <w:p w14:paraId="57990B39" w14:textId="77777777" w:rsidR="006219C8" w:rsidRPr="00BD1F38" w:rsidRDefault="006219C8" w:rsidP="009675C6">
      <w:pPr>
        <w:rPr>
          <w:sz w:val="20"/>
          <w:szCs w:val="20"/>
        </w:rPr>
      </w:pPr>
    </w:p>
    <w:p w14:paraId="1B1B6019" w14:textId="77777777" w:rsidR="006219C8" w:rsidRPr="00BD1F38" w:rsidRDefault="006219C8" w:rsidP="009675C6">
      <w:pPr>
        <w:rPr>
          <w:sz w:val="20"/>
          <w:szCs w:val="20"/>
        </w:rPr>
      </w:pPr>
    </w:p>
    <w:p w14:paraId="57798EC2" w14:textId="77777777" w:rsidR="002B5DD2" w:rsidRPr="00BD1F38" w:rsidRDefault="002B5DD2" w:rsidP="009675C6">
      <w:pPr>
        <w:rPr>
          <w:sz w:val="20"/>
          <w:szCs w:val="20"/>
        </w:rPr>
      </w:pPr>
    </w:p>
    <w:p w14:paraId="1248BC17" w14:textId="77777777" w:rsidR="002B5DD2" w:rsidRPr="00BD1F38" w:rsidRDefault="002B5DD2" w:rsidP="009675C6">
      <w:pPr>
        <w:rPr>
          <w:sz w:val="20"/>
          <w:szCs w:val="20"/>
        </w:rPr>
      </w:pPr>
    </w:p>
    <w:p w14:paraId="2894FCDC" w14:textId="77777777" w:rsidR="002B5DD2" w:rsidRPr="00BD1F38" w:rsidRDefault="002B5DD2" w:rsidP="009675C6">
      <w:pPr>
        <w:rPr>
          <w:sz w:val="20"/>
          <w:szCs w:val="20"/>
        </w:rPr>
      </w:pPr>
    </w:p>
    <w:p w14:paraId="2708D172" w14:textId="77777777" w:rsidR="002B5DD2" w:rsidRPr="00BD1F38" w:rsidRDefault="002B5DD2" w:rsidP="009675C6">
      <w:pPr>
        <w:rPr>
          <w:sz w:val="20"/>
          <w:szCs w:val="20"/>
        </w:rPr>
      </w:pPr>
    </w:p>
    <w:p w14:paraId="797C2B64" w14:textId="77777777" w:rsidR="002B5DD2" w:rsidRPr="00BD1F38" w:rsidRDefault="002B5DD2" w:rsidP="009675C6">
      <w:pPr>
        <w:rPr>
          <w:sz w:val="20"/>
          <w:szCs w:val="20"/>
        </w:rPr>
      </w:pPr>
    </w:p>
    <w:p w14:paraId="3EA5C584" w14:textId="77777777" w:rsidR="002B5DD2" w:rsidRPr="00BD1F38" w:rsidRDefault="002B5DD2" w:rsidP="009675C6">
      <w:pPr>
        <w:rPr>
          <w:sz w:val="20"/>
          <w:szCs w:val="20"/>
        </w:rPr>
      </w:pPr>
    </w:p>
    <w:p w14:paraId="651251A9" w14:textId="77777777" w:rsidR="009675C6" w:rsidRPr="00BD1F38" w:rsidRDefault="009675C6" w:rsidP="004B0BDA">
      <w:pPr>
        <w:rPr>
          <w:sz w:val="20"/>
          <w:szCs w:val="20"/>
        </w:rPr>
      </w:pPr>
    </w:p>
    <w:p w14:paraId="28A5A570" w14:textId="77777777" w:rsidR="00605F45" w:rsidRPr="00BD1F38" w:rsidRDefault="00605F45" w:rsidP="00605F45">
      <w:pPr>
        <w:tabs>
          <w:tab w:val="left" w:pos="6260"/>
        </w:tabs>
        <w:autoSpaceDE w:val="0"/>
        <w:autoSpaceDN w:val="0"/>
        <w:adjustRightInd w:val="0"/>
        <w:rPr>
          <w:sz w:val="16"/>
          <w:szCs w:val="16"/>
        </w:rPr>
      </w:pPr>
    </w:p>
    <w:p w14:paraId="66038498" w14:textId="77777777" w:rsidR="00447FCA" w:rsidRPr="00BD1F38" w:rsidRDefault="00447FCA" w:rsidP="00B55DF8">
      <w:pPr>
        <w:rPr>
          <w:sz w:val="52"/>
          <w:szCs w:val="52"/>
        </w:rPr>
      </w:pPr>
    </w:p>
    <w:p w14:paraId="725041C0" w14:textId="77777777" w:rsidR="00447FCA" w:rsidRPr="00BD1F38" w:rsidRDefault="00447FCA" w:rsidP="00B55DF8">
      <w:pPr>
        <w:rPr>
          <w:sz w:val="52"/>
          <w:szCs w:val="52"/>
        </w:rPr>
      </w:pPr>
    </w:p>
    <w:p w14:paraId="5A16BDF9" w14:textId="77777777" w:rsidR="00447FCA" w:rsidRPr="00BD1F38" w:rsidRDefault="00447FCA" w:rsidP="00B55DF8">
      <w:pPr>
        <w:rPr>
          <w:sz w:val="52"/>
          <w:szCs w:val="52"/>
        </w:rPr>
      </w:pPr>
    </w:p>
    <w:p w14:paraId="57301ED9" w14:textId="77777777" w:rsidR="00891C1B" w:rsidRPr="00BD1F38" w:rsidRDefault="00891C1B" w:rsidP="00B55DF8">
      <w:pPr>
        <w:rPr>
          <w:sz w:val="52"/>
          <w:szCs w:val="52"/>
        </w:rPr>
      </w:pPr>
    </w:p>
    <w:p w14:paraId="1591547E" w14:textId="77777777" w:rsidR="00891C1B" w:rsidRPr="00BD1F38" w:rsidRDefault="00891C1B" w:rsidP="00B55DF8">
      <w:pPr>
        <w:rPr>
          <w:sz w:val="52"/>
          <w:szCs w:val="52"/>
        </w:rPr>
      </w:pPr>
    </w:p>
    <w:p w14:paraId="6D5EAABB" w14:textId="77777777" w:rsidR="002E2BB4" w:rsidRPr="00BD1F38" w:rsidRDefault="002E2BB4" w:rsidP="00B55DF8">
      <w:pPr>
        <w:rPr>
          <w:sz w:val="52"/>
          <w:szCs w:val="52"/>
        </w:rPr>
      </w:pPr>
    </w:p>
    <w:p w14:paraId="0DB527F1" w14:textId="77777777" w:rsidR="00891C1B" w:rsidRDefault="00891C1B" w:rsidP="00B55DF8">
      <w:pPr>
        <w:rPr>
          <w:sz w:val="52"/>
          <w:szCs w:val="52"/>
        </w:rPr>
      </w:pPr>
    </w:p>
    <w:p w14:paraId="77C502ED" w14:textId="77777777" w:rsidR="00AC5249" w:rsidRPr="00BD1F38" w:rsidRDefault="00AC5249" w:rsidP="00B55DF8">
      <w:pPr>
        <w:rPr>
          <w:sz w:val="52"/>
          <w:szCs w:val="52"/>
        </w:rPr>
      </w:pPr>
    </w:p>
    <w:p w14:paraId="4EFAE299" w14:textId="036325FE" w:rsidR="00447FCA" w:rsidRPr="00BD1F38" w:rsidRDefault="00447FCA" w:rsidP="00442546">
      <w:pPr>
        <w:jc w:val="center"/>
        <w:rPr>
          <w:sz w:val="72"/>
          <w:szCs w:val="72"/>
        </w:rPr>
      </w:pPr>
      <w:r w:rsidRPr="00BD1F38">
        <w:rPr>
          <w:sz w:val="72"/>
          <w:szCs w:val="72"/>
        </w:rPr>
        <w:t>ACKNOWLEDGEMENTS</w:t>
      </w:r>
    </w:p>
    <w:p w14:paraId="39084183" w14:textId="77777777" w:rsidR="00447FCA" w:rsidRPr="00BD1F38" w:rsidRDefault="00447FCA" w:rsidP="00B55DF8">
      <w:pPr>
        <w:rPr>
          <w:sz w:val="52"/>
          <w:szCs w:val="52"/>
        </w:rPr>
      </w:pPr>
    </w:p>
    <w:p w14:paraId="0A7C7DD2" w14:textId="1A259CA6" w:rsidR="00D57261" w:rsidRPr="00BD1F38" w:rsidRDefault="00D57261" w:rsidP="00D57261">
      <w:pPr>
        <w:autoSpaceDE w:val="0"/>
        <w:autoSpaceDN w:val="0"/>
        <w:adjustRightInd w:val="0"/>
        <w:rPr>
          <w:rFonts w:eastAsiaTheme="minorEastAsia"/>
        </w:rPr>
      </w:pPr>
      <w:r w:rsidRPr="00BD1F38">
        <w:rPr>
          <w:rFonts w:eastAsiaTheme="minorEastAsia"/>
        </w:rPr>
        <w:t>I’d like to extend my dearest gratitude for the supervision</w:t>
      </w:r>
      <w:r w:rsidR="00F6717B" w:rsidRPr="00BD1F38">
        <w:rPr>
          <w:rFonts w:eastAsiaTheme="minorEastAsia"/>
        </w:rPr>
        <w:t>,</w:t>
      </w:r>
      <w:r w:rsidRPr="00BD1F38">
        <w:rPr>
          <w:rFonts w:eastAsiaTheme="minorEastAsia"/>
        </w:rPr>
        <w:t xml:space="preserve"> support</w:t>
      </w:r>
      <w:r w:rsidR="00F6717B" w:rsidRPr="00BD1F38">
        <w:rPr>
          <w:rFonts w:eastAsiaTheme="minorEastAsia"/>
        </w:rPr>
        <w:t xml:space="preserve">, and understanding </w:t>
      </w:r>
      <w:r w:rsidRPr="00BD1F38">
        <w:rPr>
          <w:rFonts w:eastAsiaTheme="minorEastAsia"/>
        </w:rPr>
        <w:t>received</w:t>
      </w:r>
      <w:r w:rsidR="00244835" w:rsidRPr="00BD1F38">
        <w:rPr>
          <w:rFonts w:eastAsiaTheme="minorEastAsia"/>
        </w:rPr>
        <w:t xml:space="preserve"> from </w:t>
      </w:r>
      <w:r w:rsidR="00E747A7" w:rsidRPr="00BD1F38">
        <w:rPr>
          <w:rFonts w:eastAsiaTheme="minorEastAsia"/>
        </w:rPr>
        <w:t xml:space="preserve">my wife Shen </w:t>
      </w:r>
      <w:proofErr w:type="spellStart"/>
      <w:r w:rsidR="00E747A7" w:rsidRPr="00BD1F38">
        <w:rPr>
          <w:rFonts w:eastAsiaTheme="minorEastAsia"/>
        </w:rPr>
        <w:t>X</w:t>
      </w:r>
      <w:r w:rsidR="00BA7F1B" w:rsidRPr="00BD1F38">
        <w:rPr>
          <w:rFonts w:eastAsiaTheme="minorEastAsia"/>
        </w:rPr>
        <w:t>i</w:t>
      </w:r>
      <w:r w:rsidR="00E747A7" w:rsidRPr="00BD1F38">
        <w:rPr>
          <w:rFonts w:eastAsiaTheme="minorEastAsia"/>
        </w:rPr>
        <w:t>nYun</w:t>
      </w:r>
      <w:proofErr w:type="spellEnd"/>
      <w:r w:rsidR="005C7888" w:rsidRPr="00BD1F38">
        <w:rPr>
          <w:rFonts w:eastAsiaTheme="minorEastAsia"/>
        </w:rPr>
        <w:t>, my family</w:t>
      </w:r>
      <w:r w:rsidR="006D7BAC" w:rsidRPr="00BD1F38">
        <w:rPr>
          <w:rFonts w:eastAsiaTheme="minorEastAsia"/>
        </w:rPr>
        <w:t xml:space="preserve"> and friends</w:t>
      </w:r>
      <w:r w:rsidR="00E73CCF" w:rsidRPr="00BD1F38">
        <w:rPr>
          <w:rFonts w:eastAsiaTheme="minorEastAsia"/>
        </w:rPr>
        <w:t>,</w:t>
      </w:r>
      <w:r w:rsidR="0037318F" w:rsidRPr="00BD1F38">
        <w:rPr>
          <w:rFonts w:eastAsiaTheme="minorEastAsia"/>
        </w:rPr>
        <w:t xml:space="preserve"> Sophia Centre</w:t>
      </w:r>
      <w:r w:rsidR="00E73CCF" w:rsidRPr="00BD1F38">
        <w:rPr>
          <w:rFonts w:eastAsiaTheme="minorEastAsia"/>
        </w:rPr>
        <w:t xml:space="preserve"> </w:t>
      </w:r>
      <w:r w:rsidR="00244835" w:rsidRPr="00BD1F38">
        <w:rPr>
          <w:rFonts w:eastAsiaTheme="minorEastAsia"/>
        </w:rPr>
        <w:t xml:space="preserve">tutors </w:t>
      </w:r>
      <w:r w:rsidR="0037318F" w:rsidRPr="00BD1F38">
        <w:rPr>
          <w:rFonts w:eastAsiaTheme="minorEastAsia"/>
        </w:rPr>
        <w:t xml:space="preserve">Prof. </w:t>
      </w:r>
      <w:r w:rsidR="00244835" w:rsidRPr="00BD1F38">
        <w:rPr>
          <w:rFonts w:eastAsiaTheme="minorEastAsia"/>
        </w:rPr>
        <w:t xml:space="preserve">Nick Campion, </w:t>
      </w:r>
      <w:proofErr w:type="spellStart"/>
      <w:r w:rsidR="005256C8" w:rsidRPr="00BD1F38">
        <w:rPr>
          <w:rFonts w:eastAsiaTheme="minorEastAsia"/>
        </w:rPr>
        <w:t>Dr.</w:t>
      </w:r>
      <w:proofErr w:type="spellEnd"/>
      <w:r w:rsidR="005256C8" w:rsidRPr="00BD1F38">
        <w:rPr>
          <w:rFonts w:eastAsiaTheme="minorEastAsia"/>
        </w:rPr>
        <w:t xml:space="preserve"> </w:t>
      </w:r>
      <w:r w:rsidR="00244835" w:rsidRPr="00BD1F38">
        <w:rPr>
          <w:rFonts w:eastAsiaTheme="minorEastAsia"/>
        </w:rPr>
        <w:t xml:space="preserve">Frances </w:t>
      </w:r>
      <w:proofErr w:type="spellStart"/>
      <w:r w:rsidR="00244835" w:rsidRPr="00BD1F38">
        <w:rPr>
          <w:rFonts w:eastAsiaTheme="minorEastAsia"/>
        </w:rPr>
        <w:t>Clynes</w:t>
      </w:r>
      <w:proofErr w:type="spellEnd"/>
      <w:r w:rsidR="00244835" w:rsidRPr="00BD1F38">
        <w:rPr>
          <w:rFonts w:eastAsiaTheme="minorEastAsia"/>
        </w:rPr>
        <w:t xml:space="preserve">, and </w:t>
      </w:r>
      <w:r w:rsidR="00510F73" w:rsidRPr="00BD1F38">
        <w:rPr>
          <w:rFonts w:eastAsiaTheme="minorEastAsia"/>
        </w:rPr>
        <w:t>my dissertation tutor</w:t>
      </w:r>
      <w:r w:rsidR="00C73D57" w:rsidRPr="00BD1F38">
        <w:rPr>
          <w:rFonts w:eastAsiaTheme="minorEastAsia"/>
        </w:rPr>
        <w:t xml:space="preserve"> </w:t>
      </w:r>
      <w:proofErr w:type="spellStart"/>
      <w:r w:rsidR="005256C8" w:rsidRPr="00BD1F38">
        <w:rPr>
          <w:rFonts w:eastAsiaTheme="minorEastAsia"/>
        </w:rPr>
        <w:t>Dr.</w:t>
      </w:r>
      <w:proofErr w:type="spellEnd"/>
      <w:r w:rsidR="005256C8" w:rsidRPr="00BD1F38">
        <w:rPr>
          <w:rFonts w:eastAsiaTheme="minorEastAsia"/>
        </w:rPr>
        <w:t xml:space="preserve"> </w:t>
      </w:r>
      <w:r w:rsidR="00244835" w:rsidRPr="00BD1F38">
        <w:rPr>
          <w:rFonts w:eastAsiaTheme="minorEastAsia"/>
        </w:rPr>
        <w:t>Dawn Collins</w:t>
      </w:r>
      <w:r w:rsidR="00844447" w:rsidRPr="00BD1F38">
        <w:rPr>
          <w:rFonts w:eastAsiaTheme="minorEastAsia"/>
        </w:rPr>
        <w:t>.</w:t>
      </w:r>
      <w:r w:rsidR="00244835" w:rsidRPr="00BD1F38">
        <w:rPr>
          <w:rFonts w:eastAsiaTheme="minorEastAsia"/>
        </w:rPr>
        <w:t xml:space="preserve"> </w:t>
      </w:r>
    </w:p>
    <w:p w14:paraId="69624034" w14:textId="77777777" w:rsidR="00D57261" w:rsidRPr="00BD1F38" w:rsidRDefault="00D57261" w:rsidP="00D57261">
      <w:pPr>
        <w:autoSpaceDE w:val="0"/>
        <w:autoSpaceDN w:val="0"/>
        <w:adjustRightInd w:val="0"/>
        <w:rPr>
          <w:rFonts w:eastAsiaTheme="minorEastAsia"/>
          <w:sz w:val="26"/>
          <w:szCs w:val="26"/>
        </w:rPr>
      </w:pPr>
    </w:p>
    <w:p w14:paraId="2317AE80" w14:textId="77777777" w:rsidR="00447FCA" w:rsidRPr="00BD1F38" w:rsidRDefault="00447FCA" w:rsidP="00B55DF8">
      <w:pPr>
        <w:rPr>
          <w:sz w:val="52"/>
          <w:szCs w:val="52"/>
        </w:rPr>
      </w:pPr>
    </w:p>
    <w:p w14:paraId="1198A5AD" w14:textId="77777777" w:rsidR="00447FCA" w:rsidRPr="00BD1F38" w:rsidRDefault="00447FCA" w:rsidP="00B55DF8">
      <w:pPr>
        <w:rPr>
          <w:sz w:val="52"/>
          <w:szCs w:val="52"/>
        </w:rPr>
      </w:pPr>
    </w:p>
    <w:p w14:paraId="553AC468" w14:textId="77777777" w:rsidR="00447FCA" w:rsidRPr="00BD1F38" w:rsidRDefault="00447FCA" w:rsidP="00B55DF8">
      <w:pPr>
        <w:rPr>
          <w:sz w:val="52"/>
          <w:szCs w:val="52"/>
        </w:rPr>
      </w:pPr>
    </w:p>
    <w:p w14:paraId="3560ACBB" w14:textId="77777777" w:rsidR="00447FCA" w:rsidRPr="00BD1F38" w:rsidRDefault="00447FCA" w:rsidP="00B55DF8">
      <w:pPr>
        <w:rPr>
          <w:sz w:val="52"/>
          <w:szCs w:val="52"/>
        </w:rPr>
      </w:pPr>
    </w:p>
    <w:p w14:paraId="23432C29" w14:textId="77777777" w:rsidR="00447FCA" w:rsidRPr="00BD1F38" w:rsidRDefault="00447FCA" w:rsidP="00B55DF8">
      <w:pPr>
        <w:rPr>
          <w:sz w:val="52"/>
          <w:szCs w:val="52"/>
        </w:rPr>
      </w:pPr>
    </w:p>
    <w:p w14:paraId="596244FE" w14:textId="77777777" w:rsidR="00447FCA" w:rsidRPr="00BD1F38" w:rsidRDefault="00447FCA" w:rsidP="00B55DF8">
      <w:pPr>
        <w:rPr>
          <w:sz w:val="52"/>
          <w:szCs w:val="52"/>
        </w:rPr>
      </w:pPr>
    </w:p>
    <w:p w14:paraId="01D58E24" w14:textId="77777777" w:rsidR="00447FCA" w:rsidRPr="00BD1F38" w:rsidRDefault="00447FCA" w:rsidP="00B55DF8">
      <w:pPr>
        <w:rPr>
          <w:sz w:val="52"/>
          <w:szCs w:val="52"/>
        </w:rPr>
      </w:pPr>
    </w:p>
    <w:p w14:paraId="2E53FD6A" w14:textId="77777777" w:rsidR="00447FCA" w:rsidRPr="00BD1F38" w:rsidRDefault="00447FCA" w:rsidP="00B55DF8">
      <w:pPr>
        <w:rPr>
          <w:sz w:val="52"/>
          <w:szCs w:val="52"/>
        </w:rPr>
      </w:pPr>
    </w:p>
    <w:p w14:paraId="58088A14" w14:textId="77777777" w:rsidR="00A74761" w:rsidRPr="00BD1F38" w:rsidRDefault="00A74761" w:rsidP="00B55DF8">
      <w:pPr>
        <w:rPr>
          <w:sz w:val="52"/>
          <w:szCs w:val="52"/>
        </w:rPr>
      </w:pPr>
    </w:p>
    <w:p w14:paraId="2010AB05" w14:textId="45742594" w:rsidR="00447FCA" w:rsidRPr="00BD1F38" w:rsidRDefault="00F17FC4" w:rsidP="00F97D40">
      <w:pPr>
        <w:jc w:val="center"/>
        <w:rPr>
          <w:b/>
          <w:bCs/>
          <w:sz w:val="52"/>
          <w:szCs w:val="52"/>
        </w:rPr>
      </w:pPr>
      <w:r w:rsidRPr="00BD1F38">
        <w:rPr>
          <w:b/>
          <w:bCs/>
          <w:sz w:val="52"/>
          <w:szCs w:val="52"/>
        </w:rPr>
        <w:lastRenderedPageBreak/>
        <w:t xml:space="preserve">TABLE OF </w:t>
      </w:r>
      <w:r w:rsidR="00447FCA" w:rsidRPr="00BD1F38">
        <w:rPr>
          <w:b/>
          <w:bCs/>
          <w:sz w:val="52"/>
          <w:szCs w:val="52"/>
        </w:rPr>
        <w:t>CONTENTS</w:t>
      </w:r>
    </w:p>
    <w:p w14:paraId="5147FDCD" w14:textId="77777777" w:rsidR="007C3C31" w:rsidRPr="00BD1F38" w:rsidRDefault="007C3C31" w:rsidP="00B55DF8">
      <w:pPr>
        <w:rPr>
          <w:sz w:val="32"/>
          <w:szCs w:val="32"/>
        </w:rPr>
      </w:pPr>
    </w:p>
    <w:p w14:paraId="3F4D3909" w14:textId="6DE939E1" w:rsidR="007C3C31" w:rsidRPr="00BD1F38" w:rsidRDefault="00E44A1E" w:rsidP="00B55DF8">
      <w:pPr>
        <w:rPr>
          <w:b/>
          <w:bCs/>
        </w:rPr>
      </w:pPr>
      <w:r w:rsidRPr="00BD1F38">
        <w:rPr>
          <w:b/>
          <w:bCs/>
        </w:rPr>
        <w:t>Introduction, Methodological Approach &amp; Academic Rationale</w:t>
      </w:r>
      <w:r w:rsidR="007C3C31" w:rsidRPr="00BD1F38">
        <w:t>...</w:t>
      </w:r>
      <w:r w:rsidR="008F7E98" w:rsidRPr="00BD1F38">
        <w:t>......................</w:t>
      </w:r>
      <w:r w:rsidRPr="00BD1F38">
        <w:t>..</w:t>
      </w:r>
      <w:r w:rsidR="00986719" w:rsidRPr="00BD1F38">
        <w:t>.................9</w:t>
      </w:r>
    </w:p>
    <w:p w14:paraId="11FDAB71" w14:textId="4BA6B9BC" w:rsidR="00FB0D4A" w:rsidRPr="00BD1F38" w:rsidRDefault="00FB0D4A" w:rsidP="00B55DF8">
      <w:r w:rsidRPr="00BD1F38">
        <w:tab/>
      </w:r>
    </w:p>
    <w:p w14:paraId="3BBAE6B2" w14:textId="4675105E" w:rsidR="009D52A2" w:rsidRPr="00BD1F38" w:rsidRDefault="00FB0D4A" w:rsidP="00B55DF8">
      <w:r w:rsidRPr="00BD1F38">
        <w:tab/>
      </w:r>
      <w:r w:rsidR="009D52A2" w:rsidRPr="00BD1F38">
        <w:t>Archetypes</w:t>
      </w:r>
      <w:r w:rsidR="00986719" w:rsidRPr="00BD1F38">
        <w:t>………………………………………………………………………...…</w:t>
      </w:r>
      <w:proofErr w:type="gramStart"/>
      <w:r w:rsidR="00986719" w:rsidRPr="00BD1F38">
        <w:t>…..</w:t>
      </w:r>
      <w:proofErr w:type="gramEnd"/>
      <w:r w:rsidR="00986719" w:rsidRPr="00BD1F38">
        <w:t>11</w:t>
      </w:r>
    </w:p>
    <w:p w14:paraId="5D4396D8" w14:textId="77777777" w:rsidR="00F97D40" w:rsidRPr="00BD1F38" w:rsidRDefault="00F97D40" w:rsidP="00B55DF8"/>
    <w:p w14:paraId="7E82C2FE" w14:textId="1CA34EB2" w:rsidR="009D52A2" w:rsidRPr="00BD1F38" w:rsidRDefault="009D52A2" w:rsidP="00B55DF8">
      <w:r w:rsidRPr="00BD1F38">
        <w:tab/>
        <w:t>Eco-</w:t>
      </w:r>
      <w:r w:rsidR="00BD2DAD">
        <w:t>S</w:t>
      </w:r>
      <w:r w:rsidRPr="00BD1F38">
        <w:t>pirituality</w:t>
      </w:r>
      <w:r w:rsidR="00986719" w:rsidRPr="00BD1F38">
        <w:t>………………………………………………………………………</w:t>
      </w:r>
      <w:proofErr w:type="gramStart"/>
      <w:r w:rsidR="00986719" w:rsidRPr="00BD1F38">
        <w:t>…..</w:t>
      </w:r>
      <w:proofErr w:type="gramEnd"/>
      <w:r w:rsidR="00986719" w:rsidRPr="00BD1F38">
        <w:t>12</w:t>
      </w:r>
    </w:p>
    <w:p w14:paraId="3B627DD6" w14:textId="77777777" w:rsidR="00F97D40" w:rsidRPr="00BD1F38" w:rsidRDefault="00F97D40" w:rsidP="00B55DF8"/>
    <w:p w14:paraId="1F5983E1" w14:textId="35F66E2B" w:rsidR="009D52A2" w:rsidRPr="00BD1F38" w:rsidRDefault="009D52A2" w:rsidP="00B55DF8">
      <w:r w:rsidRPr="00BD1F38">
        <w:tab/>
        <w:t>Sacred Space</w:t>
      </w:r>
      <w:r w:rsidR="00986719" w:rsidRPr="00BD1F38">
        <w:t>…………………………………………………………………………</w:t>
      </w:r>
      <w:proofErr w:type="gramStart"/>
      <w:r w:rsidR="00DE74BD" w:rsidRPr="00BD1F38">
        <w:t>….</w:t>
      </w:r>
      <w:r w:rsidR="002924A6">
        <w:t>.</w:t>
      </w:r>
      <w:proofErr w:type="gramEnd"/>
      <w:r w:rsidR="00986719" w:rsidRPr="00BD1F38">
        <w:t>1</w:t>
      </w:r>
      <w:r w:rsidR="002924A6">
        <w:t>2</w:t>
      </w:r>
      <w:r w:rsidR="00411FDC" w:rsidRPr="00BD1F38">
        <w:br/>
      </w:r>
    </w:p>
    <w:p w14:paraId="42249EEE" w14:textId="195BE136" w:rsidR="00411FDC" w:rsidRPr="00BD1F38" w:rsidRDefault="00411FDC" w:rsidP="00B55DF8">
      <w:r w:rsidRPr="00BD1F38">
        <w:tab/>
      </w:r>
      <w:r w:rsidR="005E1B23" w:rsidRPr="00BD1F38">
        <w:t xml:space="preserve">Select Judaic Thought &amp; </w:t>
      </w:r>
      <w:r w:rsidRPr="00BD1F38">
        <w:t>Torah</w:t>
      </w:r>
      <w:r w:rsidR="00986719" w:rsidRPr="00BD1F38">
        <w:t>………………………………………………………</w:t>
      </w:r>
      <w:proofErr w:type="gramStart"/>
      <w:r w:rsidR="00986719" w:rsidRPr="00BD1F38">
        <w:t>..</w:t>
      </w:r>
      <w:r w:rsidR="006F66F4">
        <w:t>..</w:t>
      </w:r>
      <w:r w:rsidR="00986719" w:rsidRPr="00BD1F38">
        <w:t>.</w:t>
      </w:r>
      <w:proofErr w:type="gramEnd"/>
      <w:r w:rsidR="00986719" w:rsidRPr="00BD1F38">
        <w:t>1</w:t>
      </w:r>
      <w:r w:rsidR="00032679">
        <w:t>3</w:t>
      </w:r>
    </w:p>
    <w:p w14:paraId="3CFD513A" w14:textId="77777777" w:rsidR="00411FDC" w:rsidRPr="00BD1F38" w:rsidRDefault="00411FDC" w:rsidP="00B55DF8"/>
    <w:p w14:paraId="79396DF2" w14:textId="609CCD08" w:rsidR="00411FDC" w:rsidRPr="00BD1F38" w:rsidRDefault="00411FDC" w:rsidP="00B55DF8">
      <w:r w:rsidRPr="00BD1F38">
        <w:tab/>
      </w:r>
      <w:r w:rsidR="005E1B23" w:rsidRPr="00BD1F38">
        <w:t xml:space="preserve">Select Vedic Thought &amp; </w:t>
      </w:r>
      <w:r w:rsidRPr="00BD1F38">
        <w:t>Rig Veda</w:t>
      </w:r>
      <w:r w:rsidR="00986719" w:rsidRPr="00BD1F38">
        <w:t>……………………………………………………...</w:t>
      </w:r>
      <w:r w:rsidR="006F66F4">
        <w:t>.</w:t>
      </w:r>
      <w:r w:rsidR="00986719" w:rsidRPr="00BD1F38">
        <w:t>1</w:t>
      </w:r>
      <w:r w:rsidR="00032679">
        <w:t>4</w:t>
      </w:r>
    </w:p>
    <w:p w14:paraId="45EDF8A5" w14:textId="77777777" w:rsidR="00411FDC" w:rsidRPr="00BD1F38" w:rsidRDefault="00411FDC" w:rsidP="00B55DF8"/>
    <w:p w14:paraId="2A0EDACA" w14:textId="10883D1B" w:rsidR="00411FDC" w:rsidRPr="00BD1F38" w:rsidRDefault="00411FDC" w:rsidP="00B55DF8">
      <w:r w:rsidRPr="00BD1F38">
        <w:tab/>
      </w:r>
      <w:proofErr w:type="spellStart"/>
      <w:r w:rsidRPr="00BD1F38">
        <w:t>Tevilah</w:t>
      </w:r>
      <w:proofErr w:type="spellEnd"/>
      <w:r w:rsidR="00986719" w:rsidRPr="00BD1F38">
        <w:t>…………………………………………………………………………………...1</w:t>
      </w:r>
      <w:r w:rsidR="0052081C" w:rsidRPr="00BD1F38">
        <w:t>5</w:t>
      </w:r>
    </w:p>
    <w:p w14:paraId="44B58578" w14:textId="77777777" w:rsidR="00411FDC" w:rsidRPr="00BD1F38" w:rsidRDefault="00411FDC" w:rsidP="00B55DF8"/>
    <w:p w14:paraId="38DC0B0D" w14:textId="46E834CE" w:rsidR="00411FDC" w:rsidRPr="00BD1F38" w:rsidRDefault="00411FDC" w:rsidP="00B55DF8">
      <w:r w:rsidRPr="00BD1F38">
        <w:tab/>
        <w:t>Soma</w:t>
      </w:r>
      <w:r w:rsidR="00986719" w:rsidRPr="00BD1F38">
        <w:t>…………………………………………………………………………………</w:t>
      </w:r>
      <w:proofErr w:type="gramStart"/>
      <w:r w:rsidR="00986719" w:rsidRPr="00BD1F38">
        <w:t>…..</w:t>
      </w:r>
      <w:proofErr w:type="gramEnd"/>
      <w:r w:rsidR="00986719" w:rsidRPr="00BD1F38">
        <w:t>1</w:t>
      </w:r>
      <w:r w:rsidR="00032679">
        <w:t>5</w:t>
      </w:r>
    </w:p>
    <w:p w14:paraId="6CFFD094" w14:textId="77777777" w:rsidR="00F97D40" w:rsidRPr="00BD1F38" w:rsidRDefault="00F97D40" w:rsidP="00B55DF8"/>
    <w:p w14:paraId="4DC76ACF" w14:textId="1E366B63" w:rsidR="00F97D40" w:rsidRPr="00BD1F38" w:rsidRDefault="00F97D40" w:rsidP="00F97D40">
      <w:pPr>
        <w:ind w:firstLine="720"/>
      </w:pPr>
      <w:r w:rsidRPr="00BD1F38">
        <w:t>Potential Limitations &amp; Attempted Mitigations</w:t>
      </w:r>
      <w:r w:rsidR="00986719" w:rsidRPr="00BD1F38">
        <w:t>………………………………………</w:t>
      </w:r>
      <w:r w:rsidR="006F66F4">
        <w:t>…</w:t>
      </w:r>
      <w:r w:rsidR="00986719" w:rsidRPr="00BD1F38">
        <w:t>1</w:t>
      </w:r>
      <w:r w:rsidR="00032679">
        <w:t>6</w:t>
      </w:r>
    </w:p>
    <w:p w14:paraId="6E241FFE" w14:textId="77777777" w:rsidR="00F97D40" w:rsidRPr="00BD1F38" w:rsidRDefault="00F97D40" w:rsidP="00F97D40">
      <w:pPr>
        <w:ind w:firstLine="720"/>
      </w:pPr>
    </w:p>
    <w:p w14:paraId="53B36A73" w14:textId="77777777" w:rsidR="00F97D40" w:rsidRPr="00BD1F38" w:rsidRDefault="00F97D40" w:rsidP="00F97D40">
      <w:pPr>
        <w:ind w:firstLine="720"/>
      </w:pPr>
    </w:p>
    <w:p w14:paraId="5898A773" w14:textId="77777777" w:rsidR="007C3C31" w:rsidRPr="00BD1F38" w:rsidRDefault="007C3C31" w:rsidP="00B55DF8"/>
    <w:p w14:paraId="4C66D041" w14:textId="0F7427F0" w:rsidR="007C3C31" w:rsidRPr="00BD1F38" w:rsidRDefault="00DF3311" w:rsidP="00B55DF8">
      <w:r w:rsidRPr="00BD1F38">
        <w:rPr>
          <w:b/>
          <w:bCs/>
        </w:rPr>
        <w:t>Body</w:t>
      </w:r>
      <w:r w:rsidRPr="00BD1F38">
        <w:t>…………………………………………………</w:t>
      </w:r>
      <w:r w:rsidR="000A018A" w:rsidRPr="00BD1F38">
        <w:t>…………………………………………..</w:t>
      </w:r>
      <w:r w:rsidR="00AE06CA">
        <w:t>.</w:t>
      </w:r>
      <w:r w:rsidR="000A018A" w:rsidRPr="00BD1F38">
        <w:t>1</w:t>
      </w:r>
      <w:r w:rsidR="00032679">
        <w:t>8</w:t>
      </w:r>
    </w:p>
    <w:p w14:paraId="22898C44" w14:textId="77777777" w:rsidR="00E90BEC" w:rsidRPr="00BD1F38" w:rsidRDefault="00E90BEC" w:rsidP="00B55DF8"/>
    <w:p w14:paraId="7A3ACC7A" w14:textId="32D0CDCE" w:rsidR="00E90BEC" w:rsidRPr="00BD1F38" w:rsidRDefault="004D367D" w:rsidP="00B55DF8">
      <w:r w:rsidRPr="00BD1F38">
        <w:tab/>
        <w:t>Water Giveth……………………………………………………</w:t>
      </w:r>
      <w:r w:rsidR="000A018A" w:rsidRPr="00BD1F38">
        <w:t>……………………</w:t>
      </w:r>
      <w:proofErr w:type="gramStart"/>
      <w:r w:rsidR="000A018A" w:rsidRPr="00BD1F38">
        <w:t>…</w:t>
      </w:r>
      <w:r w:rsidR="003B5458" w:rsidRPr="00BD1F38">
        <w:t>.</w:t>
      </w:r>
      <w:r w:rsidR="00AE06CA">
        <w:t>.</w:t>
      </w:r>
      <w:proofErr w:type="gramEnd"/>
      <w:r w:rsidR="000A018A" w:rsidRPr="00BD1F38">
        <w:t>1</w:t>
      </w:r>
      <w:r w:rsidR="00032679">
        <w:t>8</w:t>
      </w:r>
    </w:p>
    <w:p w14:paraId="0437D504" w14:textId="6CF3A1F0" w:rsidR="004D367D" w:rsidRPr="00BD1F38" w:rsidRDefault="004D367D" w:rsidP="00B55DF8">
      <w:r w:rsidRPr="00BD1F38">
        <w:tab/>
      </w:r>
    </w:p>
    <w:p w14:paraId="4720A462" w14:textId="491CAD37" w:rsidR="004D367D" w:rsidRPr="00BD1F38" w:rsidRDefault="004D367D" w:rsidP="00B55DF8">
      <w:r w:rsidRPr="00BD1F38">
        <w:tab/>
        <w:t>Water Taketh Away……………………………………………</w:t>
      </w:r>
      <w:r w:rsidR="000A018A" w:rsidRPr="00BD1F38">
        <w:t>……………………….</w:t>
      </w:r>
      <w:r w:rsidR="003B5458" w:rsidRPr="00BD1F38">
        <w:t>.</w:t>
      </w:r>
      <w:r w:rsidR="006F66F4">
        <w:t>.</w:t>
      </w:r>
      <w:r w:rsidR="00782EB4">
        <w:t>30</w:t>
      </w:r>
    </w:p>
    <w:p w14:paraId="555812A9" w14:textId="77777777" w:rsidR="004D367D" w:rsidRPr="00BD1F38" w:rsidRDefault="004D367D" w:rsidP="00B55DF8"/>
    <w:p w14:paraId="1BBB6BC6" w14:textId="650D99D3" w:rsidR="004D367D" w:rsidRPr="00BD1F38" w:rsidRDefault="004D367D" w:rsidP="00B55DF8">
      <w:r w:rsidRPr="00BD1F38">
        <w:tab/>
        <w:t>Reflections………………………………………………………</w:t>
      </w:r>
      <w:r w:rsidR="000A018A" w:rsidRPr="00BD1F38">
        <w:t>………………………</w:t>
      </w:r>
      <w:r w:rsidR="003B5458" w:rsidRPr="00BD1F38">
        <w:t>.</w:t>
      </w:r>
      <w:r w:rsidR="000A018A" w:rsidRPr="00BD1F38">
        <w:t>3</w:t>
      </w:r>
      <w:r w:rsidR="00782EB4">
        <w:t>7</w:t>
      </w:r>
    </w:p>
    <w:p w14:paraId="2B38F072" w14:textId="77777777" w:rsidR="00F97D40" w:rsidRPr="00BD1F38" w:rsidRDefault="00F97D40" w:rsidP="00B55DF8"/>
    <w:p w14:paraId="327535DC" w14:textId="77777777" w:rsidR="00F97D40" w:rsidRPr="00BD1F38" w:rsidRDefault="00F97D40" w:rsidP="00B55DF8"/>
    <w:p w14:paraId="16D26153" w14:textId="77777777" w:rsidR="004A0A2C" w:rsidRPr="00BD1F38" w:rsidRDefault="004A0A2C" w:rsidP="00B55DF8"/>
    <w:p w14:paraId="67B70012" w14:textId="0AA98779" w:rsidR="006C0D3F" w:rsidRPr="00BD1F38" w:rsidRDefault="006C0D3F" w:rsidP="00B55DF8">
      <w:r w:rsidRPr="00BD1F38">
        <w:rPr>
          <w:b/>
          <w:bCs/>
        </w:rPr>
        <w:t xml:space="preserve">Summary &amp; </w:t>
      </w:r>
      <w:r w:rsidR="004A0A2C" w:rsidRPr="00BD1F38">
        <w:rPr>
          <w:b/>
          <w:bCs/>
        </w:rPr>
        <w:t>Conclusion</w:t>
      </w:r>
      <w:r w:rsidR="00143D74" w:rsidRPr="00BD1F38">
        <w:t>………………………………………………</w:t>
      </w:r>
      <w:r w:rsidR="00C92798" w:rsidRPr="00BD1F38">
        <w:t>…………………</w:t>
      </w:r>
      <w:r w:rsidR="00B324D5" w:rsidRPr="00BD1F38">
        <w:t>…</w:t>
      </w:r>
      <w:proofErr w:type="gramStart"/>
      <w:r w:rsidR="00B324D5" w:rsidRPr="00BD1F38">
        <w:t>…</w:t>
      </w:r>
      <w:r w:rsidR="000274BA" w:rsidRPr="00BD1F38">
        <w:t>..</w:t>
      </w:r>
      <w:proofErr w:type="gramEnd"/>
      <w:r w:rsidR="00782EB4">
        <w:t>50</w:t>
      </w:r>
    </w:p>
    <w:p w14:paraId="4A93DBC0" w14:textId="41DEFDA7" w:rsidR="006C0D3F" w:rsidRPr="00BD1F38" w:rsidRDefault="00805990" w:rsidP="00B55DF8">
      <w:r w:rsidRPr="00BD1F38">
        <w:tab/>
      </w:r>
    </w:p>
    <w:p w14:paraId="4BCAC092" w14:textId="53D71FA8" w:rsidR="004A0A2C" w:rsidRPr="00BD1F38" w:rsidRDefault="00805990" w:rsidP="00805990">
      <w:pPr>
        <w:ind w:firstLine="720"/>
      </w:pPr>
      <w:proofErr w:type="spellStart"/>
      <w:r w:rsidRPr="00BD1F38">
        <w:t>Hierophany</w:t>
      </w:r>
      <w:proofErr w:type="spellEnd"/>
      <w:r w:rsidR="00741E41" w:rsidRPr="00BD1F38">
        <w:t>……………………………………………………</w:t>
      </w:r>
      <w:r w:rsidR="00C92798" w:rsidRPr="00BD1F38">
        <w:t>………………………</w:t>
      </w:r>
      <w:proofErr w:type="gramStart"/>
      <w:r w:rsidR="00C92798" w:rsidRPr="00BD1F38">
        <w:t>..</w:t>
      </w:r>
      <w:r w:rsidR="003B5458" w:rsidRPr="00BD1F38">
        <w:t>..</w:t>
      </w:r>
      <w:r w:rsidR="006F66F4">
        <w:t>.</w:t>
      </w:r>
      <w:proofErr w:type="gramEnd"/>
      <w:r w:rsidR="00782EB4">
        <w:t>51</w:t>
      </w:r>
    </w:p>
    <w:p w14:paraId="057B08DD" w14:textId="77777777" w:rsidR="00805990" w:rsidRPr="00BD1F38" w:rsidRDefault="00805990" w:rsidP="00805990">
      <w:pPr>
        <w:ind w:firstLine="720"/>
      </w:pPr>
    </w:p>
    <w:p w14:paraId="6361937C" w14:textId="5241444A" w:rsidR="00805990" w:rsidRPr="00BD1F38" w:rsidRDefault="00805990" w:rsidP="00805990">
      <w:pPr>
        <w:ind w:firstLine="720"/>
      </w:pPr>
      <w:r w:rsidRPr="00BD1F38">
        <w:t>Value…………………………………………………………</w:t>
      </w:r>
      <w:r w:rsidR="00C92798" w:rsidRPr="00BD1F38">
        <w:t>………………………</w:t>
      </w:r>
      <w:proofErr w:type="gramStart"/>
      <w:r w:rsidR="00C92798" w:rsidRPr="00BD1F38">
        <w:t>…</w:t>
      </w:r>
      <w:r w:rsidR="003B5458" w:rsidRPr="00BD1F38">
        <w:t>..</w:t>
      </w:r>
      <w:proofErr w:type="gramEnd"/>
      <w:r w:rsidR="00C92798" w:rsidRPr="00BD1F38">
        <w:t>5</w:t>
      </w:r>
      <w:r w:rsidR="00782EB4">
        <w:t>3</w:t>
      </w:r>
    </w:p>
    <w:p w14:paraId="437EE1EB" w14:textId="77777777" w:rsidR="00805990" w:rsidRPr="00BD1F38" w:rsidRDefault="00805990" w:rsidP="00805990">
      <w:pPr>
        <w:ind w:firstLine="720"/>
      </w:pPr>
    </w:p>
    <w:p w14:paraId="28035CD5" w14:textId="6558905C" w:rsidR="00805990" w:rsidRPr="00BD1F38" w:rsidRDefault="008306F6" w:rsidP="00805990">
      <w:pPr>
        <w:ind w:firstLine="720"/>
      </w:pPr>
      <w:r w:rsidRPr="00BD1F38">
        <w:t>Anthropomorphism……………………………………………</w:t>
      </w:r>
      <w:r w:rsidR="00C92798" w:rsidRPr="00BD1F38">
        <w:t>………………………</w:t>
      </w:r>
      <w:r w:rsidR="003B5458" w:rsidRPr="00BD1F38">
        <w:t>.</w:t>
      </w:r>
      <w:r w:rsidR="006F66F4">
        <w:t>.</w:t>
      </w:r>
      <w:r w:rsidR="003B5458" w:rsidRPr="00BD1F38">
        <w:t>..</w:t>
      </w:r>
      <w:r w:rsidR="00C92798" w:rsidRPr="00BD1F38">
        <w:t>5</w:t>
      </w:r>
      <w:r w:rsidR="00782EB4">
        <w:t>6</w:t>
      </w:r>
    </w:p>
    <w:p w14:paraId="39419DC7" w14:textId="77777777" w:rsidR="00187260" w:rsidRPr="00BD1F38" w:rsidRDefault="00187260" w:rsidP="00805990">
      <w:pPr>
        <w:ind w:firstLine="720"/>
      </w:pPr>
    </w:p>
    <w:p w14:paraId="53A7F7A4" w14:textId="40159D33" w:rsidR="00187260" w:rsidRPr="00BD1F38" w:rsidRDefault="00187260" w:rsidP="00805990">
      <w:pPr>
        <w:ind w:firstLine="720"/>
      </w:pPr>
      <w:r w:rsidRPr="00BD1F38">
        <w:t>Final Thoughts</w:t>
      </w:r>
      <w:r w:rsidR="00863869" w:rsidRPr="00BD1F38">
        <w:t>…………………………………………………………</w:t>
      </w:r>
      <w:proofErr w:type="gramStart"/>
      <w:r w:rsidR="00863869" w:rsidRPr="00BD1F38">
        <w:t>…..</w:t>
      </w:r>
      <w:proofErr w:type="gramEnd"/>
      <w:r w:rsidR="0079248C" w:rsidRPr="00BD1F38">
        <w:t>……</w:t>
      </w:r>
      <w:r w:rsidR="00C92798" w:rsidRPr="00BD1F38">
        <w:t>……</w:t>
      </w:r>
      <w:r w:rsidR="003B5458" w:rsidRPr="00BD1F38">
        <w:t>…</w:t>
      </w:r>
      <w:r w:rsidR="006F66F4">
        <w:t>.</w:t>
      </w:r>
      <w:r w:rsidR="00863869" w:rsidRPr="00BD1F38">
        <w:t>5</w:t>
      </w:r>
      <w:r w:rsidR="00782EB4">
        <w:t>9</w:t>
      </w:r>
    </w:p>
    <w:p w14:paraId="72923D3D" w14:textId="77777777" w:rsidR="00F97D40" w:rsidRPr="00BD1F38" w:rsidRDefault="00F97D40" w:rsidP="00805990">
      <w:pPr>
        <w:ind w:firstLine="720"/>
      </w:pPr>
    </w:p>
    <w:p w14:paraId="78785A75" w14:textId="77777777" w:rsidR="00F97D40" w:rsidRPr="00BD1F38" w:rsidRDefault="00F97D40" w:rsidP="00805990">
      <w:pPr>
        <w:ind w:firstLine="720"/>
      </w:pPr>
    </w:p>
    <w:p w14:paraId="2B7BA046" w14:textId="77777777" w:rsidR="00741E41" w:rsidRPr="00BD1F38" w:rsidRDefault="00741E41" w:rsidP="00B55DF8"/>
    <w:p w14:paraId="1A6F35F8" w14:textId="74E56197" w:rsidR="00244366" w:rsidRPr="00BD1F38" w:rsidRDefault="00741E41" w:rsidP="00B55DF8">
      <w:r w:rsidRPr="00BD1F38">
        <w:rPr>
          <w:b/>
          <w:bCs/>
        </w:rPr>
        <w:t>Bibliography</w:t>
      </w:r>
      <w:r w:rsidRPr="00BD1F38">
        <w:t>…………………………………………………………</w:t>
      </w:r>
      <w:r w:rsidR="009A2C3B" w:rsidRPr="00BD1F38">
        <w:t>………………………….6</w:t>
      </w:r>
      <w:r w:rsidR="00782EB4">
        <w:t>2</w:t>
      </w:r>
    </w:p>
    <w:p w14:paraId="713BF255" w14:textId="77777777" w:rsidR="00E56F21" w:rsidRPr="00BD1F38" w:rsidRDefault="0045403B" w:rsidP="0045403B">
      <w:pPr>
        <w:jc w:val="center"/>
        <w:rPr>
          <w:b/>
          <w:bCs/>
          <w:sz w:val="72"/>
          <w:szCs w:val="72"/>
        </w:rPr>
      </w:pPr>
      <w:r w:rsidRPr="00BD1F38">
        <w:rPr>
          <w:b/>
          <w:bCs/>
          <w:sz w:val="72"/>
          <w:szCs w:val="72"/>
        </w:rPr>
        <w:lastRenderedPageBreak/>
        <w:t>I</w:t>
      </w:r>
      <w:r w:rsidR="00E56F21" w:rsidRPr="00BD1F38">
        <w:rPr>
          <w:b/>
          <w:bCs/>
          <w:sz w:val="72"/>
          <w:szCs w:val="72"/>
        </w:rPr>
        <w:t xml:space="preserve">NTRODUCTION, METHODOLOGICAL APPROACH &amp; ACADEMIC RATIONALE </w:t>
      </w:r>
    </w:p>
    <w:p w14:paraId="5E927448" w14:textId="77777777" w:rsidR="0045403B" w:rsidRPr="00BD1F38" w:rsidRDefault="0045403B" w:rsidP="0045403B">
      <w:pPr>
        <w:rPr>
          <w:sz w:val="22"/>
          <w:szCs w:val="22"/>
        </w:rPr>
      </w:pPr>
    </w:p>
    <w:p w14:paraId="3383CD9E" w14:textId="77777777" w:rsidR="0045403B" w:rsidRPr="00BD1F38" w:rsidRDefault="0045403B" w:rsidP="0045403B"/>
    <w:p w14:paraId="6273E99B" w14:textId="7F23C4FA" w:rsidR="0045403B" w:rsidRPr="00BD1F38" w:rsidRDefault="0045403B" w:rsidP="0045403B">
      <w:pPr>
        <w:spacing w:line="360" w:lineRule="auto"/>
      </w:pPr>
      <w:r w:rsidRPr="00BD1F38">
        <w:t xml:space="preserve">The aim of this dissertation is to answer the research question: How &amp; Why May Water Have Influenced Divine Archetypes of Select Jewish and Vedic Thought, Respectively Represented </w:t>
      </w:r>
      <w:proofErr w:type="gramStart"/>
      <w:r w:rsidRPr="00BD1F38">
        <w:t>In</w:t>
      </w:r>
      <w:proofErr w:type="gramEnd"/>
      <w:r w:rsidRPr="00BD1F38">
        <w:t xml:space="preserve"> The Torah &amp; Rig Veda, And To What Extent Has This Shaped </w:t>
      </w:r>
      <w:proofErr w:type="spellStart"/>
      <w:r w:rsidRPr="00BD1F38">
        <w:t>And/Or</w:t>
      </w:r>
      <w:proofErr w:type="spellEnd"/>
      <w:r w:rsidRPr="00BD1F38">
        <w:t xml:space="preserve"> Is Reflected In Eco-Spiritual </w:t>
      </w:r>
      <w:proofErr w:type="spellStart"/>
      <w:r w:rsidRPr="00BD1F38">
        <w:t>Tevilah</w:t>
      </w:r>
      <w:proofErr w:type="spellEnd"/>
      <w:r w:rsidRPr="00BD1F38">
        <w:t xml:space="preserve"> and Soma Rituals. To do so, this paper will pursue research guidelines outlined by Prof. Christian </w:t>
      </w:r>
      <w:proofErr w:type="spellStart"/>
      <w:r w:rsidRPr="00BD1F38">
        <w:t>Roesler</w:t>
      </w:r>
      <w:proofErr w:type="spellEnd"/>
      <w:r w:rsidRPr="00BD1F38">
        <w:t xml:space="preserve"> in his conclusion to the report </w:t>
      </w:r>
      <w:r w:rsidRPr="00BD1F38">
        <w:rPr>
          <w:i/>
          <w:iCs/>
        </w:rPr>
        <w:t>Development of a Reconceptualization of Archetype Theory</w:t>
      </w:r>
      <w:r w:rsidRPr="00BD1F38">
        <w:t>, utilising the qualitative data of sacred texts (Torah and Rig Veda) for their descriptions of divine archetypes and using ‘interpretive research methods’, starting ‘from the insights and approaches which have developed in the respective disciplines, namely anthropology, religious studies, comparative mythology etc’.</w:t>
      </w:r>
      <w:r w:rsidRPr="00BD1F38">
        <w:rPr>
          <w:rStyle w:val="FootnoteReference"/>
        </w:rPr>
        <w:footnoteReference w:id="1"/>
      </w:r>
      <w:r w:rsidRPr="00BD1F38">
        <w:t xml:space="preserve"> Since </w:t>
      </w:r>
      <w:proofErr w:type="spellStart"/>
      <w:r w:rsidRPr="00BD1F38">
        <w:t>Roesler’s</w:t>
      </w:r>
      <w:proofErr w:type="spellEnd"/>
      <w:r w:rsidRPr="00BD1F38">
        <w:t xml:space="preserve"> criteria for valuable further research into archetypes details the pitfalls of insinuating the evergreen nature of archetypes,</w:t>
      </w:r>
      <w:r w:rsidRPr="00BD1F38">
        <w:rPr>
          <w:rStyle w:val="FootnoteReference"/>
        </w:rPr>
        <w:footnoteReference w:id="2"/>
      </w:r>
      <w:r w:rsidRPr="00BD1F38">
        <w:t xml:space="preserve"> </w:t>
      </w:r>
      <w:r w:rsidR="00E46CA0" w:rsidRPr="00BD1F38">
        <w:t>m</w:t>
      </w:r>
      <w:r w:rsidRPr="00BD1F38">
        <w:t>y research extends beyond the sole use of sacred textual primary source material due to their difficulty in reflecting the changing ‘needs and interests’ of cultures that empower and embody the dynamic substance and subsistence of archetypes; studying eco-spiritual ritual and practise (</w:t>
      </w:r>
      <w:proofErr w:type="spellStart"/>
      <w:r w:rsidRPr="00BD1F38">
        <w:t>Tevilah</w:t>
      </w:r>
      <w:proofErr w:type="spellEnd"/>
      <w:r w:rsidRPr="00BD1F38">
        <w:t xml:space="preserve"> and Soma) with their ability to reflect the historical changes and influences that text can struggle to. </w:t>
      </w:r>
      <w:r w:rsidRPr="00BD1F38">
        <w:rPr>
          <w:rFonts w:eastAsiaTheme="minorEastAsia"/>
        </w:rPr>
        <w:t xml:space="preserve">My reasoning for focusing on two distinct cultural archetypal modes of thought (Vedic and Judaic) as opposed to just one also lie in </w:t>
      </w:r>
      <w:proofErr w:type="spellStart"/>
      <w:r w:rsidRPr="00BD1F38">
        <w:rPr>
          <w:rFonts w:eastAsiaTheme="minorEastAsia"/>
        </w:rPr>
        <w:t>Roesler’s</w:t>
      </w:r>
      <w:proofErr w:type="spellEnd"/>
      <w:r w:rsidRPr="00BD1F38">
        <w:rPr>
          <w:rFonts w:eastAsiaTheme="minorEastAsia"/>
        </w:rPr>
        <w:t xml:space="preserve"> interpretive research suggestions - with the ‘insights and approaches’ of </w:t>
      </w:r>
      <w:r w:rsidRPr="00BD1F38">
        <w:rPr>
          <w:rFonts w:eastAsiaTheme="minorEastAsia"/>
          <w:i/>
          <w:iCs/>
        </w:rPr>
        <w:t>comparative</w:t>
      </w:r>
      <w:r w:rsidRPr="00BD1F38">
        <w:rPr>
          <w:rFonts w:eastAsiaTheme="minorEastAsia"/>
        </w:rPr>
        <w:t xml:space="preserve"> mythology necessitating some level of cultural comparison.</w:t>
      </w:r>
      <w:r w:rsidRPr="00BD1F38">
        <w:rPr>
          <w:rStyle w:val="FootnoteReference"/>
          <w:rFonts w:eastAsiaTheme="minorEastAsia"/>
        </w:rPr>
        <w:footnoteReference w:id="3"/>
      </w:r>
      <w:r w:rsidRPr="00BD1F38">
        <w:rPr>
          <w:rFonts w:eastAsiaTheme="minorEastAsia"/>
        </w:rPr>
        <w:t xml:space="preserve"> </w:t>
      </w:r>
    </w:p>
    <w:p w14:paraId="13D5DCE4" w14:textId="77777777" w:rsidR="0045403B" w:rsidRPr="00BD1F38" w:rsidRDefault="0045403B" w:rsidP="0045403B">
      <w:pPr>
        <w:spacing w:line="360" w:lineRule="auto"/>
        <w:rPr>
          <w:sz w:val="28"/>
          <w:szCs w:val="28"/>
        </w:rPr>
      </w:pPr>
    </w:p>
    <w:p w14:paraId="0E87DACB" w14:textId="77777777" w:rsidR="0045403B" w:rsidRPr="00BD1F38" w:rsidRDefault="0045403B" w:rsidP="0045403B">
      <w:pPr>
        <w:spacing w:line="360" w:lineRule="auto"/>
      </w:pPr>
      <w:r w:rsidRPr="00BD1F38">
        <w:lastRenderedPageBreak/>
        <w:t xml:space="preserve">The nearest academic writing to this work is ‘Chapter 2: Symbolic Aspects of Water’ of </w:t>
      </w:r>
      <w:r w:rsidRPr="00BD1F38">
        <w:rPr>
          <w:i/>
          <w:iCs/>
        </w:rPr>
        <w:t>Water and People: Challenges at the Interface of Symbolic and Utilitarian Values</w:t>
      </w:r>
      <w:r w:rsidRPr="00BD1F38">
        <w:t xml:space="preserve"> in the sense that this chapter extensively details the varied importance (ecologically, sociologically, psychologically, and symbolically) of water to various cultures’ peoples,</w:t>
      </w:r>
      <w:r w:rsidRPr="00BD1F38">
        <w:rPr>
          <w:rStyle w:val="FootnoteReference"/>
        </w:rPr>
        <w:footnoteReference w:id="4"/>
      </w:r>
      <w:r w:rsidRPr="00BD1F38">
        <w:t xml:space="preserve"> however it does not entirely encompass the research conducted here. It contains only fleeting references to the third integral component of my paper: metaphysical and divine archetypes, therefore also lacking consistent referral to primary sacred texts. There is an academic gap here to be filled through interpretation of Torah and </w:t>
      </w:r>
      <w:proofErr w:type="spellStart"/>
      <w:r w:rsidRPr="00BD1F38">
        <w:t>Tevilah</w:t>
      </w:r>
      <w:proofErr w:type="spellEnd"/>
      <w:r w:rsidRPr="00BD1F38">
        <w:t>, and Rig Veda and Soma, and the eco-spiritual socio-cultural-specific details they can deeply contextualise; helping unveil the aquatic interrelationship between their earthly and greater sacred cosmological environments composed of their archetypal symbolism, since as people of faith – Eliade’s ‘</w:t>
      </w:r>
      <w:r w:rsidRPr="00BD1F38">
        <w:rPr>
          <w:i/>
          <w:iCs/>
        </w:rPr>
        <w:t xml:space="preserve">homo </w:t>
      </w:r>
      <w:proofErr w:type="spellStart"/>
      <w:r w:rsidRPr="00BD1F38">
        <w:rPr>
          <w:i/>
          <w:iCs/>
        </w:rPr>
        <w:t>religiosus</w:t>
      </w:r>
      <w:proofErr w:type="spellEnd"/>
      <w:r w:rsidRPr="00BD1F38">
        <w:rPr>
          <w:i/>
          <w:iCs/>
        </w:rPr>
        <w:t xml:space="preserve">’ </w:t>
      </w:r>
      <w:r w:rsidRPr="00BD1F38">
        <w:rPr>
          <w:rStyle w:val="FootnoteReference"/>
        </w:rPr>
        <w:footnoteReference w:id="5"/>
      </w:r>
      <w:r w:rsidRPr="00BD1F38">
        <w:rPr>
          <w:i/>
          <w:iCs/>
        </w:rPr>
        <w:t xml:space="preserve">- </w:t>
      </w:r>
      <w:r w:rsidRPr="00BD1F38">
        <w:t>this is how they perceive their environment and corresponding symbolic interrelationship and interaction.</w:t>
      </w:r>
      <w:r w:rsidRPr="00BD1F38">
        <w:rPr>
          <w:rStyle w:val="FootnoteReference"/>
        </w:rPr>
        <w:footnoteReference w:id="6"/>
      </w:r>
      <w:r w:rsidRPr="00BD1F38">
        <w:t xml:space="preserve"> </w:t>
      </w:r>
    </w:p>
    <w:p w14:paraId="0CE1478F" w14:textId="77777777" w:rsidR="0045403B" w:rsidRPr="00BD1F38" w:rsidRDefault="0045403B" w:rsidP="0045403B">
      <w:pPr>
        <w:spacing w:line="360" w:lineRule="auto"/>
      </w:pPr>
    </w:p>
    <w:p w14:paraId="3982FA10" w14:textId="450EB518" w:rsidR="0045403B" w:rsidRPr="00BD1F38" w:rsidRDefault="0045403B" w:rsidP="0045403B">
      <w:pPr>
        <w:spacing w:line="360" w:lineRule="auto"/>
      </w:pPr>
      <w:r w:rsidRPr="00BD1F38">
        <w:t xml:space="preserve">My methodological approach involves selecting examples of the numerous divine archetypes present within Torah and Rig Veda that have water-centric imagery and interpreting them through the lens of the themes most </w:t>
      </w:r>
      <w:r w:rsidR="00E46CA0" w:rsidRPr="00BD1F38">
        <w:t>relevant</w:t>
      </w:r>
      <w:r w:rsidRPr="00BD1F38">
        <w:t xml:space="preserve"> to the research question: archetypes; sacred space; ritual; and eco-spirituality. Through this methodology, my resea</w:t>
      </w:r>
      <w:r w:rsidR="00C861B5" w:rsidRPr="00BD1F38">
        <w:t>r</w:t>
      </w:r>
      <w:r w:rsidRPr="00BD1F38">
        <w:t xml:space="preserve">ch seeks to uncover any emergent themes suggestive of how and why these may have originated and been perpetuated, and to see how these themes interplay and frame it within an eco-spiritual context.   </w:t>
      </w:r>
    </w:p>
    <w:p w14:paraId="70C00BBB" w14:textId="77777777" w:rsidR="0045403B" w:rsidRPr="00BD1F38" w:rsidRDefault="0045403B" w:rsidP="0045403B">
      <w:pPr>
        <w:spacing w:line="360" w:lineRule="auto"/>
      </w:pPr>
    </w:p>
    <w:p w14:paraId="128EEF8F" w14:textId="77777777" w:rsidR="0045403B" w:rsidRPr="00BD1F38" w:rsidRDefault="0045403B" w:rsidP="0045403B">
      <w:pPr>
        <w:spacing w:line="360" w:lineRule="auto"/>
      </w:pPr>
      <w:r w:rsidRPr="00BD1F38">
        <w:t xml:space="preserve">I have split the research findings into three sections – Water Giveth, Water Taketh Away, and Reflections - as these encompass what seem to me the most representative of Torahic and Rig Vedic textual, and </w:t>
      </w:r>
      <w:proofErr w:type="spellStart"/>
      <w:r w:rsidRPr="00BD1F38">
        <w:t>Tevilah</w:t>
      </w:r>
      <w:proofErr w:type="spellEnd"/>
      <w:r w:rsidRPr="00BD1F38">
        <w:t xml:space="preserve"> and Soma ritual demonstrations of Vedic and Judaic interrelationship with water. Within these subheadings however is considerable crossover. As such, when summarising and concluding upon the research findings, it will be the interconnected emergent themes within these three subheadings and their </w:t>
      </w:r>
      <w:proofErr w:type="gramStart"/>
      <w:r w:rsidRPr="00BD1F38">
        <w:t>aforementioned eco-</w:t>
      </w:r>
      <w:proofErr w:type="gramEnd"/>
      <w:r w:rsidRPr="00BD1F38">
        <w:t xml:space="preserve">spiritual implications that I summarise and conclude upon, not the three subheadings individually. </w:t>
      </w:r>
    </w:p>
    <w:p w14:paraId="108906B6" w14:textId="77777777" w:rsidR="0045403B" w:rsidRPr="00BD1F38" w:rsidRDefault="0045403B" w:rsidP="0045403B">
      <w:pPr>
        <w:textAlignment w:val="baseline"/>
        <w:rPr>
          <w:sz w:val="22"/>
          <w:szCs w:val="22"/>
          <w:u w:val="single"/>
        </w:rPr>
      </w:pPr>
    </w:p>
    <w:p w14:paraId="73D32BB6" w14:textId="77777777" w:rsidR="0045403B" w:rsidRPr="00BD1F38" w:rsidRDefault="0045403B" w:rsidP="0045403B">
      <w:pPr>
        <w:textAlignment w:val="baseline"/>
        <w:rPr>
          <w:color w:val="000000"/>
          <w:sz w:val="15"/>
          <w:szCs w:val="15"/>
        </w:rPr>
      </w:pPr>
    </w:p>
    <w:p w14:paraId="0740DCC8" w14:textId="77777777" w:rsidR="0045403B" w:rsidRPr="00BD1F38" w:rsidRDefault="0045403B" w:rsidP="0045403B">
      <w:pPr>
        <w:autoSpaceDE w:val="0"/>
        <w:autoSpaceDN w:val="0"/>
        <w:adjustRightInd w:val="0"/>
        <w:jc w:val="center"/>
        <w:rPr>
          <w:b/>
          <w:bCs/>
          <w:sz w:val="40"/>
          <w:szCs w:val="40"/>
        </w:rPr>
      </w:pPr>
      <w:r w:rsidRPr="00BD1F38">
        <w:rPr>
          <w:b/>
          <w:bCs/>
          <w:sz w:val="40"/>
          <w:szCs w:val="40"/>
        </w:rPr>
        <w:t>ARCHETYPES</w:t>
      </w:r>
    </w:p>
    <w:p w14:paraId="5E629B47" w14:textId="77777777" w:rsidR="0045403B" w:rsidRPr="00BD1F38" w:rsidRDefault="0045403B" w:rsidP="0045403B">
      <w:pPr>
        <w:autoSpaceDE w:val="0"/>
        <w:autoSpaceDN w:val="0"/>
        <w:adjustRightInd w:val="0"/>
        <w:jc w:val="center"/>
        <w:rPr>
          <w:b/>
          <w:bCs/>
          <w:sz w:val="40"/>
          <w:szCs w:val="40"/>
        </w:rPr>
      </w:pPr>
    </w:p>
    <w:p w14:paraId="07EBDC98" w14:textId="77777777" w:rsidR="0045403B" w:rsidRPr="00BD1F38" w:rsidRDefault="0045403B" w:rsidP="0045403B">
      <w:pPr>
        <w:autoSpaceDE w:val="0"/>
        <w:autoSpaceDN w:val="0"/>
        <w:adjustRightInd w:val="0"/>
        <w:rPr>
          <w:sz w:val="22"/>
          <w:szCs w:val="22"/>
          <w:u w:val="single"/>
        </w:rPr>
      </w:pPr>
    </w:p>
    <w:p w14:paraId="7E7A78F9" w14:textId="3B3F46E5" w:rsidR="0045403B" w:rsidRPr="00BD1F38" w:rsidRDefault="0045403B" w:rsidP="0045403B">
      <w:pPr>
        <w:autoSpaceDE w:val="0"/>
        <w:autoSpaceDN w:val="0"/>
        <w:adjustRightInd w:val="0"/>
        <w:spacing w:line="360" w:lineRule="auto"/>
        <w:rPr>
          <w:lang w:val="en-US"/>
        </w:rPr>
      </w:pPr>
      <w:r w:rsidRPr="00BD1F38">
        <w:t xml:space="preserve">One of the central axes of this dissertation is the concept of the archetype. Swiss psychiatrist Carl Gustav Jung (1875-1961) coined the term in 1919’s </w:t>
      </w:r>
      <w:r w:rsidRPr="00BD1F38">
        <w:rPr>
          <w:i/>
          <w:iCs/>
        </w:rPr>
        <w:t>Instinct and the Unconscious</w:t>
      </w:r>
      <w:r w:rsidRPr="00BD1F38">
        <w:rPr>
          <w:rStyle w:val="FootnoteReference"/>
          <w:i/>
          <w:iCs/>
        </w:rPr>
        <w:footnoteReference w:id="7"/>
      </w:r>
      <w:r w:rsidRPr="00BD1F38">
        <w:rPr>
          <w:i/>
          <w:iCs/>
        </w:rPr>
        <w:t>,</w:t>
      </w:r>
      <w:r w:rsidRPr="00BD1F38">
        <w:t xml:space="preserve"> but diversified and contradicted his initial definition in his resulting works such that it has proved problematic to demarcate. My use of the term ‘archetype’ does not, as Jung’s does, impose </w:t>
      </w:r>
      <w:r w:rsidRPr="00BD1F38">
        <w:rPr>
          <w:i/>
          <w:iCs/>
        </w:rPr>
        <w:t>a priori</w:t>
      </w:r>
      <w:r w:rsidRPr="00BD1F38">
        <w:t xml:space="preserve"> universal ‘pre-existent’ conceptualisation-determinants,</w:t>
      </w:r>
      <w:r w:rsidRPr="00BD1F38">
        <w:rPr>
          <w:rStyle w:val="FootnoteReference"/>
        </w:rPr>
        <w:footnoteReference w:id="8"/>
      </w:r>
      <w:r w:rsidRPr="00BD1F38">
        <w:t xml:space="preserve"> heeding </w:t>
      </w:r>
      <w:proofErr w:type="spellStart"/>
      <w:r w:rsidRPr="00BD1F38">
        <w:t>Roesler’s</w:t>
      </w:r>
      <w:proofErr w:type="spellEnd"/>
      <w:r w:rsidRPr="00BD1F38">
        <w:t xml:space="preserve"> advice that ‘it makes no sense for these patterns on the level of biology, in genes, instincts and the like’ to be investigated (when looking into archetypes), and that it is ‘sufficient to investigate human habits and institutionalized rules and procedures on the level of social practices, habits and customs, religious ideas and beliefs, ritual processes, mythological stories etc.’,</w:t>
      </w:r>
      <w:r w:rsidRPr="00BD1F38">
        <w:rPr>
          <w:rStyle w:val="FootnoteReference"/>
        </w:rPr>
        <w:footnoteReference w:id="9"/>
      </w:r>
      <w:r w:rsidRPr="00BD1F38">
        <w:t xml:space="preserve"> with attention paid to ‘specific social, cultural and environmental contexts’.</w:t>
      </w:r>
      <w:r w:rsidR="005E325E" w:rsidRPr="00BD1F38">
        <w:rPr>
          <w:rStyle w:val="FootnoteReference"/>
        </w:rPr>
        <w:footnoteReference w:id="10"/>
      </w:r>
      <w:r w:rsidRPr="00BD1F38">
        <w:t xml:space="preserve"> Therefore, archetypal and eco-spirituality research can be considered somewhat interdisciplinary academic fields. </w:t>
      </w:r>
    </w:p>
    <w:p w14:paraId="3B7FECC8" w14:textId="77777777" w:rsidR="0045403B" w:rsidRPr="00BD1F38" w:rsidRDefault="0045403B" w:rsidP="0045403B">
      <w:pPr>
        <w:autoSpaceDE w:val="0"/>
        <w:autoSpaceDN w:val="0"/>
        <w:adjustRightInd w:val="0"/>
        <w:spacing w:line="360" w:lineRule="auto"/>
      </w:pPr>
    </w:p>
    <w:p w14:paraId="35AB861B" w14:textId="0C38EAAE" w:rsidR="0045403B" w:rsidRPr="00BD1F38" w:rsidRDefault="0045403B" w:rsidP="0045403B">
      <w:pPr>
        <w:autoSpaceDE w:val="0"/>
        <w:autoSpaceDN w:val="0"/>
        <w:adjustRightInd w:val="0"/>
        <w:spacing w:line="360" w:lineRule="auto"/>
      </w:pPr>
      <w:r w:rsidRPr="00BD1F38">
        <w:t xml:space="preserve">To synopsise, a </w:t>
      </w:r>
      <w:r w:rsidRPr="00BD1F38">
        <w:rPr>
          <w:i/>
          <w:iCs/>
        </w:rPr>
        <w:t>divine</w:t>
      </w:r>
      <w:r w:rsidRPr="00BD1F38">
        <w:t xml:space="preserve"> archetype as it pertains to my research question would be what Jung calls the ‘God-image’ – a culture’s visualisation or representational rendering of divinity and/or architecture of their greater sacred cosmological environment.</w:t>
      </w:r>
      <w:r w:rsidR="005E325E" w:rsidRPr="00BD1F38">
        <w:rPr>
          <w:rStyle w:val="FootnoteReference"/>
        </w:rPr>
        <w:footnoteReference w:id="11"/>
      </w:r>
      <w:r w:rsidRPr="00BD1F38">
        <w:t xml:space="preserve"> Since Jung briefs that ‘an archetype presupposes an imprinter’,</w:t>
      </w:r>
      <w:r w:rsidR="00C751BE" w:rsidRPr="00BD1F38">
        <w:rPr>
          <w:rStyle w:val="FootnoteReference"/>
        </w:rPr>
        <w:footnoteReference w:id="12"/>
      </w:r>
      <w:r w:rsidRPr="00BD1F38">
        <w:t xml:space="preserve"> this thesis seeks to illustrate </w:t>
      </w:r>
      <w:r w:rsidRPr="00BD1F38">
        <w:rPr>
          <w:i/>
          <w:iCs/>
        </w:rPr>
        <w:t>how</w:t>
      </w:r>
      <w:r w:rsidRPr="00BD1F38">
        <w:t xml:space="preserve"> and </w:t>
      </w:r>
      <w:r w:rsidRPr="00BD1F38">
        <w:rPr>
          <w:i/>
          <w:iCs/>
        </w:rPr>
        <w:t>why</w:t>
      </w:r>
      <w:r w:rsidRPr="00BD1F38">
        <w:t xml:space="preserve"> </w:t>
      </w:r>
      <w:r w:rsidRPr="00BD1F38">
        <w:rPr>
          <w:i/>
          <w:iCs/>
        </w:rPr>
        <w:t>water</w:t>
      </w:r>
      <w:r w:rsidRPr="00BD1F38">
        <w:t xml:space="preserve"> may have imprinted upon these archetypal beliefs, the latter of which Stokowski’s work mostly overlooks. </w:t>
      </w:r>
    </w:p>
    <w:p w14:paraId="10447E4C" w14:textId="77777777" w:rsidR="0045403B" w:rsidRPr="00BD1F38" w:rsidRDefault="0045403B" w:rsidP="0045403B">
      <w:pPr>
        <w:autoSpaceDE w:val="0"/>
        <w:autoSpaceDN w:val="0"/>
        <w:adjustRightInd w:val="0"/>
        <w:spacing w:line="360" w:lineRule="auto"/>
      </w:pPr>
    </w:p>
    <w:p w14:paraId="2EADDDD6" w14:textId="77777777" w:rsidR="0045403B" w:rsidRPr="00BD1F38" w:rsidRDefault="0045403B" w:rsidP="0045403B">
      <w:pPr>
        <w:autoSpaceDE w:val="0"/>
        <w:autoSpaceDN w:val="0"/>
        <w:adjustRightInd w:val="0"/>
        <w:spacing w:line="360" w:lineRule="auto"/>
        <w:rPr>
          <w:rFonts w:eastAsiaTheme="minorEastAsia"/>
          <w:lang w:val="en-US"/>
        </w:rPr>
      </w:pPr>
      <w:r w:rsidRPr="00BD1F38">
        <w:t xml:space="preserve">Jung also defines archetypes as natural patterns of thought and behaviour consummated within the experiential local cultural environment, with a (religious) person representing a reflective </w:t>
      </w:r>
      <w:r w:rsidRPr="00BD1F38">
        <w:lastRenderedPageBreak/>
        <w:t xml:space="preserve">microcosm of their greater cosmological environment composed of their (sacred) archetypal symbolism, ‘bearing the cosmic “correspondence” within’. I seek to illustrate how this ‘cosmic “correspondence”’ may manifest through capturing elements of the </w:t>
      </w:r>
      <w:proofErr w:type="spellStart"/>
      <w:r w:rsidRPr="00BD1F38">
        <w:t>interrelationality</w:t>
      </w:r>
      <w:proofErr w:type="spellEnd"/>
      <w:r w:rsidRPr="00BD1F38">
        <w:t xml:space="preserve"> of Vedic and Judaic peoples with their ecological locale (specifically in relation to water) and its imprinting onto that greater cosmological environment composed of their divine archetypes in the mind - understood by Jung to be </w:t>
      </w:r>
      <w:r w:rsidRPr="00BD1F38">
        <w:rPr>
          <w:rFonts w:eastAsiaTheme="minorEastAsia"/>
          <w:lang w:val="en-US"/>
        </w:rPr>
        <w:t>a ‘</w:t>
      </w:r>
      <w:r w:rsidRPr="00BD1F38">
        <w:rPr>
          <w:rFonts w:eastAsiaTheme="minorEastAsia"/>
          <w:i/>
          <w:iCs/>
          <w:lang w:val="en-US"/>
        </w:rPr>
        <w:t>system of adaptation determined by the conditions of an earthly environment.’</w:t>
      </w:r>
      <w:r w:rsidRPr="00BD1F38">
        <w:rPr>
          <w:rStyle w:val="FootnoteReference"/>
          <w:rFonts w:eastAsiaTheme="minorEastAsia"/>
          <w:i/>
          <w:iCs/>
          <w:lang w:val="en-US"/>
        </w:rPr>
        <w:footnoteReference w:id="13"/>
      </w:r>
      <w:r w:rsidRPr="00BD1F38">
        <w:rPr>
          <w:rFonts w:eastAsiaTheme="minorEastAsia"/>
          <w:lang w:val="en-US"/>
        </w:rPr>
        <w:t xml:space="preserve"> Jung contended that these motifs relate and orient the people, resonating profoundly emotionally, culturally, and generationally, but reflecting cultures’ dynamic needs and interests since archetypes are capable of endless development and differentiation.</w:t>
      </w:r>
      <w:r w:rsidRPr="00BD1F38">
        <w:rPr>
          <w:rStyle w:val="FootnoteReference"/>
          <w:rFonts w:eastAsiaTheme="minorEastAsia"/>
          <w:lang w:val="en-US"/>
        </w:rPr>
        <w:footnoteReference w:id="14"/>
      </w:r>
    </w:p>
    <w:p w14:paraId="5F24255F" w14:textId="77777777" w:rsidR="0045403B" w:rsidRPr="00BD1F38" w:rsidRDefault="0045403B" w:rsidP="0045403B">
      <w:pPr>
        <w:autoSpaceDE w:val="0"/>
        <w:autoSpaceDN w:val="0"/>
        <w:adjustRightInd w:val="0"/>
        <w:spacing w:line="360" w:lineRule="auto"/>
        <w:rPr>
          <w:rFonts w:eastAsiaTheme="minorEastAsia"/>
          <w:lang w:val="en-US"/>
        </w:rPr>
      </w:pPr>
    </w:p>
    <w:p w14:paraId="08BA840F" w14:textId="77777777" w:rsidR="0045403B" w:rsidRPr="00BD1F38" w:rsidRDefault="0045403B" w:rsidP="0045403B">
      <w:pPr>
        <w:autoSpaceDE w:val="0"/>
        <w:autoSpaceDN w:val="0"/>
        <w:adjustRightInd w:val="0"/>
        <w:rPr>
          <w:sz w:val="22"/>
          <w:szCs w:val="22"/>
          <w:u w:val="single"/>
        </w:rPr>
      </w:pPr>
    </w:p>
    <w:p w14:paraId="7668DF0E" w14:textId="77777777" w:rsidR="0045403B" w:rsidRPr="00BD1F38" w:rsidRDefault="0045403B" w:rsidP="0045403B">
      <w:pPr>
        <w:jc w:val="center"/>
        <w:rPr>
          <w:b/>
          <w:bCs/>
          <w:sz w:val="40"/>
          <w:szCs w:val="40"/>
        </w:rPr>
      </w:pPr>
      <w:r w:rsidRPr="00BD1F38">
        <w:rPr>
          <w:b/>
          <w:bCs/>
          <w:sz w:val="40"/>
          <w:szCs w:val="40"/>
        </w:rPr>
        <w:t>ECO-SPIRITUALITY</w:t>
      </w:r>
    </w:p>
    <w:p w14:paraId="3042115A" w14:textId="77777777" w:rsidR="0045403B" w:rsidRPr="00BD1F38" w:rsidRDefault="0045403B" w:rsidP="0045403B">
      <w:pPr>
        <w:jc w:val="center"/>
        <w:rPr>
          <w:b/>
          <w:bCs/>
          <w:sz w:val="40"/>
          <w:szCs w:val="40"/>
        </w:rPr>
      </w:pPr>
    </w:p>
    <w:p w14:paraId="71A06782" w14:textId="77777777" w:rsidR="0045403B" w:rsidRPr="00BD1F38" w:rsidRDefault="0045403B" w:rsidP="0045403B"/>
    <w:p w14:paraId="31AFE0CF" w14:textId="77777777" w:rsidR="0045403B" w:rsidRPr="00BD1F38" w:rsidRDefault="0045403B" w:rsidP="0045403B">
      <w:pPr>
        <w:spacing w:line="360" w:lineRule="auto"/>
        <w:rPr>
          <w:rFonts w:eastAsiaTheme="minorEastAsia"/>
          <w:lang w:val="en-US"/>
        </w:rPr>
      </w:pPr>
      <w:r w:rsidRPr="00BD1F38">
        <w:t xml:space="preserve">In her book </w:t>
      </w:r>
      <w:proofErr w:type="spellStart"/>
      <w:r w:rsidRPr="00BD1F38">
        <w:rPr>
          <w:i/>
          <w:iCs/>
        </w:rPr>
        <w:t>Ecospirituality</w:t>
      </w:r>
      <w:proofErr w:type="spellEnd"/>
      <w:r w:rsidRPr="00BD1F38">
        <w:rPr>
          <w:i/>
          <w:iCs/>
        </w:rPr>
        <w:t>: An Introduction</w:t>
      </w:r>
      <w:r w:rsidRPr="00BD1F38">
        <w:t>, Rachael Wheeler defines eco-spirituality as ‘how one relates to the sacred within the context of our natural, global, and even cosmic ecosystems’.</w:t>
      </w:r>
      <w:r w:rsidRPr="00BD1F38">
        <w:rPr>
          <w:rStyle w:val="FootnoteReference"/>
        </w:rPr>
        <w:footnoteReference w:id="15"/>
      </w:r>
      <w:r w:rsidRPr="00BD1F38">
        <w:t xml:space="preserve"> This situates this work in its intentions: to cognise how aquatic environmental circumstances may have influenced the formation of divine archetypes and how this may have influenced perception of and interrelationship with the local environment - believing that this research will help contextualise the </w:t>
      </w:r>
      <w:r w:rsidRPr="00BD1F38">
        <w:rPr>
          <w:rFonts w:eastAsiaTheme="minorEastAsia"/>
          <w:lang w:val="en-US"/>
        </w:rPr>
        <w:t xml:space="preserve">eco-spiritual settlements of Vedic and Judaic peoples in both the earthly sense and as part of their greater sacred cosmological environment composed of symbols and archetypal conception. </w:t>
      </w:r>
    </w:p>
    <w:p w14:paraId="43504555" w14:textId="77777777" w:rsidR="0045403B" w:rsidRPr="00BD1F38" w:rsidRDefault="0045403B" w:rsidP="0045403B">
      <w:pPr>
        <w:rPr>
          <w:rFonts w:eastAsiaTheme="minorEastAsia"/>
          <w:sz w:val="26"/>
          <w:szCs w:val="26"/>
          <w:u w:val="single"/>
          <w:lang w:val="en-US"/>
        </w:rPr>
      </w:pPr>
    </w:p>
    <w:p w14:paraId="7980A970" w14:textId="77777777" w:rsidR="0045403B" w:rsidRPr="00BD1F38" w:rsidRDefault="0045403B" w:rsidP="0045403B"/>
    <w:p w14:paraId="57F12C8A" w14:textId="77777777" w:rsidR="0045403B" w:rsidRPr="00BD1F38" w:rsidRDefault="0045403B" w:rsidP="0045403B">
      <w:pPr>
        <w:jc w:val="center"/>
        <w:rPr>
          <w:b/>
          <w:bCs/>
          <w:sz w:val="40"/>
          <w:szCs w:val="40"/>
        </w:rPr>
      </w:pPr>
      <w:r w:rsidRPr="00BD1F38">
        <w:rPr>
          <w:b/>
          <w:bCs/>
          <w:sz w:val="40"/>
          <w:szCs w:val="40"/>
        </w:rPr>
        <w:t>SACRED SPACE</w:t>
      </w:r>
    </w:p>
    <w:p w14:paraId="5A4697E7" w14:textId="77777777" w:rsidR="0045403B" w:rsidRPr="00BD1F38" w:rsidRDefault="0045403B" w:rsidP="0045403B">
      <w:pPr>
        <w:jc w:val="center"/>
        <w:rPr>
          <w:b/>
          <w:bCs/>
          <w:sz w:val="40"/>
          <w:szCs w:val="40"/>
        </w:rPr>
      </w:pPr>
    </w:p>
    <w:p w14:paraId="613E56BA" w14:textId="77777777" w:rsidR="0045403B" w:rsidRPr="00BD1F38" w:rsidRDefault="0045403B" w:rsidP="0045403B">
      <w:pPr>
        <w:autoSpaceDE w:val="0"/>
        <w:autoSpaceDN w:val="0"/>
        <w:adjustRightInd w:val="0"/>
        <w:rPr>
          <w:sz w:val="22"/>
          <w:szCs w:val="22"/>
          <w:u w:val="single"/>
        </w:rPr>
      </w:pPr>
    </w:p>
    <w:p w14:paraId="2F92074C" w14:textId="7FF2A998" w:rsidR="0045403B" w:rsidRPr="00BD1F38" w:rsidRDefault="0045403B" w:rsidP="0045403B">
      <w:pPr>
        <w:autoSpaceDE w:val="0"/>
        <w:autoSpaceDN w:val="0"/>
        <w:adjustRightInd w:val="0"/>
        <w:spacing w:line="360" w:lineRule="auto"/>
      </w:pPr>
      <w:r w:rsidRPr="00BD1F38">
        <w:t xml:space="preserve">Since this work is one of relationship between humanity, water, and cogitating the sacred; the concept of place is a pressing one. A </w:t>
      </w:r>
      <w:r w:rsidR="00E46CA0" w:rsidRPr="00BD1F38">
        <w:t>principal</w:t>
      </w:r>
      <w:r w:rsidRPr="00BD1F38">
        <w:t xml:space="preserve"> scholar in the field of space and place, and </w:t>
      </w:r>
      <w:r w:rsidRPr="00BD1F38">
        <w:lastRenderedPageBreak/>
        <w:t xml:space="preserve">especially the distinction between sacred and profane types of space, their characteristics, and elements of our relationship with them, is Romanian religious historian Mircea Eliade (1907-1986). Eliade stressed the cultural importance and physiological and psychological consequence of choosing a habitation; that the selecting and development of a particular environment into a </w:t>
      </w:r>
      <w:r w:rsidRPr="00BD1F38">
        <w:rPr>
          <w:i/>
          <w:iCs/>
        </w:rPr>
        <w:t>home</w:t>
      </w:r>
      <w:r w:rsidRPr="00BD1F38">
        <w:t xml:space="preserve"> was an act of cosmological creation, maintenance, and renewal,</w:t>
      </w:r>
      <w:r w:rsidRPr="00BD1F38">
        <w:rPr>
          <w:rStyle w:val="FootnoteReference"/>
        </w:rPr>
        <w:footnoteReference w:id="16"/>
      </w:r>
      <w:r w:rsidRPr="00BD1F38">
        <w:t xml:space="preserve"> with these ‘techniques of orientation […] techniques for the construction of sacred space’. Eliade furthermore stated that the miniature cosmology that constitutes a </w:t>
      </w:r>
      <w:r w:rsidRPr="00BD1F38">
        <w:rPr>
          <w:i/>
          <w:iCs/>
        </w:rPr>
        <w:t>place</w:t>
      </w:r>
      <w:r w:rsidRPr="00BD1F38">
        <w:t xml:space="preserve"> and even the ‘daily routine with its acts and gestures’ can be ‘transfigured’ and ‘</w:t>
      </w:r>
      <w:proofErr w:type="spellStart"/>
      <w:r w:rsidRPr="00BD1F38">
        <w:t>valorized</w:t>
      </w:r>
      <w:proofErr w:type="spellEnd"/>
      <w:r w:rsidRPr="00BD1F38">
        <w:t xml:space="preserve"> on the religious and metaphysical plane’,</w:t>
      </w:r>
      <w:r w:rsidRPr="00BD1F38">
        <w:rPr>
          <w:rStyle w:val="FootnoteReference"/>
        </w:rPr>
        <w:footnoteReference w:id="17"/>
      </w:r>
      <w:r w:rsidRPr="00BD1F38">
        <w:t xml:space="preserve"> seeing decipherable patterns everywhere,</w:t>
      </w:r>
      <w:r w:rsidRPr="00BD1F38">
        <w:rPr>
          <w:rStyle w:val="FootnoteReference"/>
        </w:rPr>
        <w:footnoteReference w:id="18"/>
      </w:r>
      <w:r w:rsidRPr="00BD1F38">
        <w:t xml:space="preserve"> with </w:t>
      </w:r>
      <w:r w:rsidRPr="00BD1F38">
        <w:rPr>
          <w:rFonts w:eastAsiaTheme="minorEastAsia"/>
        </w:rPr>
        <w:t>even ‘the most habitual gesture’ signifying a spiritual act.</w:t>
      </w:r>
      <w:r w:rsidRPr="00BD1F38">
        <w:rPr>
          <w:rStyle w:val="FootnoteReference"/>
          <w:rFonts w:eastAsiaTheme="minorEastAsia"/>
        </w:rPr>
        <w:footnoteReference w:id="19"/>
      </w:r>
      <w:r w:rsidRPr="00BD1F38">
        <w:rPr>
          <w:rFonts w:eastAsiaTheme="minorEastAsia"/>
        </w:rPr>
        <w:t xml:space="preserve"> Subsequently, Eliade emphasised that ‘symbolically, man became contemporary with the cosmogony’; that ‘he was present at the creation of the world’</w:t>
      </w:r>
      <w:r w:rsidRPr="00BD1F38">
        <w:rPr>
          <w:rStyle w:val="FootnoteReference"/>
          <w:rFonts w:eastAsiaTheme="minorEastAsia"/>
        </w:rPr>
        <w:footnoteReference w:id="20"/>
      </w:r>
      <w:r w:rsidRPr="00BD1F38">
        <w:rPr>
          <w:rFonts w:eastAsiaTheme="minorEastAsia"/>
        </w:rPr>
        <w:t xml:space="preserve"> by which he means the world infused with its sacred symbological archetypes.</w:t>
      </w:r>
      <w:r w:rsidRPr="00BD1F38">
        <w:rPr>
          <w:rStyle w:val="FootnoteReference"/>
        </w:rPr>
        <w:footnoteReference w:id="21"/>
      </w:r>
      <w:r w:rsidRPr="00BD1F38">
        <w:t xml:space="preserve"> </w:t>
      </w:r>
    </w:p>
    <w:p w14:paraId="52F25DB2" w14:textId="77777777" w:rsidR="00986719" w:rsidRPr="00BD1F38" w:rsidRDefault="00986719" w:rsidP="0045403B">
      <w:pPr>
        <w:autoSpaceDE w:val="0"/>
        <w:autoSpaceDN w:val="0"/>
        <w:adjustRightInd w:val="0"/>
        <w:spacing w:line="360" w:lineRule="auto"/>
      </w:pPr>
    </w:p>
    <w:p w14:paraId="102EAD67" w14:textId="77777777" w:rsidR="0045403B" w:rsidRPr="00BD1F38" w:rsidRDefault="0045403B" w:rsidP="0045403B">
      <w:pPr>
        <w:autoSpaceDE w:val="0"/>
        <w:autoSpaceDN w:val="0"/>
        <w:adjustRightInd w:val="0"/>
        <w:rPr>
          <w:sz w:val="22"/>
          <w:szCs w:val="22"/>
          <w:u w:val="single"/>
        </w:rPr>
      </w:pPr>
    </w:p>
    <w:p w14:paraId="69BF0422" w14:textId="77777777" w:rsidR="0045403B" w:rsidRPr="00BD1F38" w:rsidRDefault="0045403B" w:rsidP="0045403B">
      <w:pPr>
        <w:rPr>
          <w:sz w:val="16"/>
          <w:szCs w:val="16"/>
        </w:rPr>
      </w:pPr>
    </w:p>
    <w:p w14:paraId="600E83A3" w14:textId="77777777" w:rsidR="0045403B" w:rsidRPr="00BD1F38" w:rsidRDefault="0045403B" w:rsidP="0045403B">
      <w:pPr>
        <w:jc w:val="center"/>
        <w:rPr>
          <w:b/>
          <w:bCs/>
          <w:sz w:val="40"/>
          <w:szCs w:val="40"/>
        </w:rPr>
      </w:pPr>
      <w:r w:rsidRPr="00BD1F38">
        <w:rPr>
          <w:b/>
          <w:bCs/>
          <w:sz w:val="40"/>
          <w:szCs w:val="40"/>
        </w:rPr>
        <w:t>SELECT JUDAIC THOUGHT &amp; TORAH</w:t>
      </w:r>
    </w:p>
    <w:p w14:paraId="27DCE4A6" w14:textId="77777777" w:rsidR="0045403B" w:rsidRPr="00BD1F38" w:rsidRDefault="0045403B" w:rsidP="0045403B">
      <w:pPr>
        <w:jc w:val="center"/>
        <w:rPr>
          <w:b/>
          <w:bCs/>
          <w:sz w:val="40"/>
          <w:szCs w:val="40"/>
          <w:u w:val="single"/>
        </w:rPr>
      </w:pPr>
    </w:p>
    <w:p w14:paraId="175DBA27" w14:textId="77777777" w:rsidR="00796A10" w:rsidRPr="00BD1F38" w:rsidRDefault="00796A10" w:rsidP="0045403B">
      <w:pPr>
        <w:jc w:val="center"/>
        <w:rPr>
          <w:b/>
          <w:bCs/>
          <w:sz w:val="40"/>
          <w:szCs w:val="40"/>
          <w:u w:val="single"/>
        </w:rPr>
      </w:pPr>
    </w:p>
    <w:p w14:paraId="0CD5A23F" w14:textId="77777777" w:rsidR="0045403B" w:rsidRPr="00BD1F38" w:rsidRDefault="0045403B" w:rsidP="0045403B">
      <w:pPr>
        <w:spacing w:line="360" w:lineRule="auto"/>
      </w:pPr>
      <w:r w:rsidRPr="00BD1F38">
        <w:t>The Torah’s place within select Judaic thought is described by ‘Many classical Jewish sources […] as both the foundation of the universe and the most sacred and precious of all objects, and most insist on an unbroken continuity of transmission of the text from generation to generation.’</w:t>
      </w:r>
      <w:r w:rsidRPr="00BD1F38">
        <w:rPr>
          <w:rStyle w:val="FootnoteReference"/>
        </w:rPr>
        <w:footnoteReference w:id="22"/>
      </w:r>
      <w:r w:rsidRPr="00BD1F38">
        <w:t xml:space="preserve"> It consists of the books of Genesis, Exodus, Leviticus, Numbers, and Deuteronomy,</w:t>
      </w:r>
      <w:r w:rsidRPr="00BD1F38">
        <w:rPr>
          <w:rStyle w:val="FootnoteReference"/>
        </w:rPr>
        <w:footnoteReference w:id="23"/>
      </w:r>
      <w:r w:rsidRPr="00BD1F38">
        <w:t xml:space="preserve"> which are also the first five books of the Christian Old Testament, and ‘the first of the tripartite Jewish Bible’.</w:t>
      </w:r>
      <w:r w:rsidRPr="00BD1F38">
        <w:rPr>
          <w:rStyle w:val="FootnoteReference"/>
        </w:rPr>
        <w:footnoteReference w:id="24"/>
      </w:r>
      <w:r w:rsidRPr="00BD1F38">
        <w:t xml:space="preserve"> According to </w:t>
      </w:r>
      <w:proofErr w:type="spellStart"/>
      <w:r w:rsidRPr="00BD1F38">
        <w:t>Brettler</w:t>
      </w:r>
      <w:proofErr w:type="spellEnd"/>
      <w:r w:rsidRPr="00BD1F38">
        <w:t xml:space="preserve">, ‘Modern scholarship has persuasively argued that each of these books is composite, consisting of many sources from different time </w:t>
      </w:r>
      <w:r w:rsidRPr="00BD1F38">
        <w:lastRenderedPageBreak/>
        <w:t>periods in Israel’s history.’</w:t>
      </w:r>
      <w:r w:rsidRPr="00BD1F38">
        <w:rPr>
          <w:rStyle w:val="FootnoteReference"/>
        </w:rPr>
        <w:footnoteReference w:id="25"/>
      </w:r>
      <w:r w:rsidRPr="00BD1F38">
        <w:t xml:space="preserve"> </w:t>
      </w:r>
      <w:proofErr w:type="spellStart"/>
      <w:r w:rsidRPr="00BD1F38">
        <w:t>Brettler</w:t>
      </w:r>
      <w:proofErr w:type="spellEnd"/>
      <w:r w:rsidRPr="00BD1F38">
        <w:t xml:space="preserve"> goes on to iterate that these were collected and redacted but that the redactors, like with other ancient works, were ‘not interested in creating a purely consistent, singular perspective, but incorporated a variety of voices and perspectives and wished to preserve them’.</w:t>
      </w:r>
      <w:r w:rsidRPr="00BD1F38">
        <w:rPr>
          <w:rStyle w:val="FootnoteReference"/>
        </w:rPr>
        <w:footnoteReference w:id="26"/>
      </w:r>
      <w:r w:rsidRPr="00BD1F38">
        <w:t xml:space="preserve"> This makes the Torah a favourable primary source material for answering my research question, since it likely presents a somewhat holistic sample-size, and arguably consists of longer held beliefs and more established archetypes within the religion, but with diversity in practise and symbolism, and the aforementioned unbroken transmission with resulting increased likelihood of either accurate transmission or multi-generational amendment; both of which are useful for this thesis’ rounded evidence.</w:t>
      </w:r>
      <w:r w:rsidRPr="00BD1F38">
        <w:rPr>
          <w:rStyle w:val="FootnoteReference"/>
        </w:rPr>
        <w:footnoteReference w:id="27"/>
      </w:r>
      <w:r w:rsidRPr="00BD1F38">
        <w:t xml:space="preserve"> To compartmentalise, Genesis illustrates the founding of the world, as such revealing divine archetypes integral to creation and perceived cosmological law. Exodus describes divine intervention and giving of divine commandments, thus indicating human-divine relationship and communication,</w:t>
      </w:r>
      <w:r w:rsidRPr="00BD1F38">
        <w:rPr>
          <w:rStyle w:val="FootnoteReference"/>
        </w:rPr>
        <w:footnoteReference w:id="28"/>
      </w:r>
      <w:r w:rsidRPr="00BD1F38">
        <w:t xml:space="preserve"> similarly presenting miracles and their interpretation, as well as the process of socially actualising archetypal directives indicative of certain perceived cosmological truths. Leviticus details symbolic rituals and how practically to live a holy life, with its emphasis on ritual purity being highly appropriate for understanding </w:t>
      </w:r>
      <w:proofErr w:type="spellStart"/>
      <w:r w:rsidRPr="00BD1F38">
        <w:t>Tevilah</w:t>
      </w:r>
      <w:proofErr w:type="spellEnd"/>
      <w:r w:rsidRPr="00BD1F38">
        <w:t>.</w:t>
      </w:r>
      <w:r w:rsidRPr="00BD1F38">
        <w:rPr>
          <w:rStyle w:val="FootnoteReference"/>
        </w:rPr>
        <w:footnoteReference w:id="29"/>
      </w:r>
      <w:r w:rsidRPr="00BD1F38">
        <w:t xml:space="preserve"> Numbers and Deuteronomy are not particularly relevant to this thesis so have been circumvented. I cite the King James Version as it is considered the ‘classical [English] translation’ of the Hebrew Bible.</w:t>
      </w:r>
      <w:r w:rsidRPr="00BD1F38">
        <w:rPr>
          <w:rStyle w:val="FootnoteReference"/>
        </w:rPr>
        <w:footnoteReference w:id="30"/>
      </w:r>
      <w:r w:rsidRPr="00BD1F38">
        <w:t xml:space="preserve"> </w:t>
      </w:r>
    </w:p>
    <w:p w14:paraId="7ABE13B7" w14:textId="77777777" w:rsidR="0045403B" w:rsidRPr="00BD1F38" w:rsidRDefault="0045403B" w:rsidP="0045403B">
      <w:pPr>
        <w:autoSpaceDE w:val="0"/>
        <w:autoSpaceDN w:val="0"/>
        <w:adjustRightInd w:val="0"/>
        <w:rPr>
          <w:rFonts w:eastAsiaTheme="minorEastAsia"/>
          <w:b/>
          <w:bCs/>
          <w:sz w:val="40"/>
          <w:szCs w:val="40"/>
        </w:rPr>
      </w:pPr>
    </w:p>
    <w:p w14:paraId="69074299" w14:textId="77777777" w:rsidR="0045403B" w:rsidRPr="00BD1F38" w:rsidRDefault="0045403B" w:rsidP="0045403B">
      <w:pPr>
        <w:autoSpaceDE w:val="0"/>
        <w:autoSpaceDN w:val="0"/>
        <w:adjustRightInd w:val="0"/>
        <w:jc w:val="center"/>
        <w:rPr>
          <w:rFonts w:eastAsiaTheme="minorEastAsia"/>
          <w:b/>
          <w:bCs/>
          <w:sz w:val="40"/>
          <w:szCs w:val="40"/>
        </w:rPr>
      </w:pPr>
      <w:r w:rsidRPr="00BD1F38">
        <w:rPr>
          <w:rFonts w:eastAsiaTheme="minorEastAsia"/>
          <w:b/>
          <w:bCs/>
          <w:sz w:val="40"/>
          <w:szCs w:val="40"/>
        </w:rPr>
        <w:t>SELECT VEDIC THOUGHT &amp; RIG VEDA</w:t>
      </w:r>
    </w:p>
    <w:p w14:paraId="5692CFCE" w14:textId="77777777" w:rsidR="0045403B" w:rsidRPr="00BD1F38" w:rsidRDefault="0045403B" w:rsidP="0045403B">
      <w:pPr>
        <w:autoSpaceDE w:val="0"/>
        <w:autoSpaceDN w:val="0"/>
        <w:adjustRightInd w:val="0"/>
        <w:jc w:val="center"/>
        <w:rPr>
          <w:rFonts w:eastAsiaTheme="minorEastAsia"/>
          <w:b/>
          <w:bCs/>
          <w:sz w:val="40"/>
          <w:szCs w:val="40"/>
        </w:rPr>
      </w:pPr>
    </w:p>
    <w:p w14:paraId="593B0513" w14:textId="77777777" w:rsidR="0045403B" w:rsidRPr="00BD1F38" w:rsidRDefault="0045403B" w:rsidP="0045403B">
      <w:pPr>
        <w:autoSpaceDE w:val="0"/>
        <w:autoSpaceDN w:val="0"/>
        <w:adjustRightInd w:val="0"/>
        <w:rPr>
          <w:rFonts w:eastAsiaTheme="minorEastAsia"/>
          <w:b/>
          <w:bCs/>
        </w:rPr>
      </w:pPr>
    </w:p>
    <w:p w14:paraId="236789A5" w14:textId="6626D414" w:rsidR="0045403B" w:rsidRPr="00782EB4" w:rsidRDefault="0045403B" w:rsidP="00782EB4">
      <w:pPr>
        <w:autoSpaceDE w:val="0"/>
        <w:autoSpaceDN w:val="0"/>
        <w:adjustRightInd w:val="0"/>
        <w:spacing w:line="360" w:lineRule="auto"/>
        <w:rPr>
          <w:rFonts w:eastAsiaTheme="minorEastAsia"/>
        </w:rPr>
      </w:pPr>
      <w:r w:rsidRPr="00BD1F38">
        <w:rPr>
          <w:rFonts w:eastAsiaTheme="minorEastAsia"/>
        </w:rPr>
        <w:t>Being of hymns that describe and accompany ritual practises; presenting both detailed descriptions of the rituals, their reasoning, and heavily imbued with the imagery and symbology associated with them, written in the words of poets, who are dubbed, ‘inspired priests’,</w:t>
      </w:r>
      <w:r w:rsidRPr="00BD1F38">
        <w:rPr>
          <w:rStyle w:val="FootnoteReference"/>
          <w:rFonts w:eastAsiaTheme="minorEastAsia"/>
        </w:rPr>
        <w:footnoteReference w:id="31"/>
      </w:r>
      <w:r w:rsidRPr="00BD1F38">
        <w:rPr>
          <w:rFonts w:eastAsiaTheme="minorEastAsia"/>
        </w:rPr>
        <w:t xml:space="preserve"> </w:t>
      </w:r>
      <w:r w:rsidRPr="00BD1F38">
        <w:rPr>
          <w:rFonts w:eastAsiaTheme="minorEastAsia"/>
        </w:rPr>
        <w:lastRenderedPageBreak/>
        <w:t>revealing intimately the ‘ritual world’ of Vedic peoples,</w:t>
      </w:r>
      <w:r w:rsidRPr="00BD1F38">
        <w:rPr>
          <w:rStyle w:val="FootnoteReference"/>
          <w:rFonts w:eastAsiaTheme="minorEastAsia"/>
        </w:rPr>
        <w:footnoteReference w:id="32"/>
      </w:r>
      <w:r w:rsidRPr="00BD1F38">
        <w:rPr>
          <w:rFonts w:eastAsiaTheme="minorEastAsia"/>
        </w:rPr>
        <w:t xml:space="preserve"> the Rig Veda feels a fine choice for my Vedic primary source material. Furthermore, the Rig Veda has water ‘at its heart’, with several of its hymns specifically ‘devoted to the waters’.</w:t>
      </w:r>
      <w:r w:rsidRPr="00BD1F38">
        <w:rPr>
          <w:rStyle w:val="FootnoteReference"/>
          <w:rFonts w:eastAsiaTheme="minorEastAsia"/>
        </w:rPr>
        <w:footnoteReference w:id="33"/>
      </w:r>
      <w:r w:rsidRPr="00BD1F38">
        <w:rPr>
          <w:rFonts w:eastAsiaTheme="minorEastAsia"/>
        </w:rPr>
        <w:t xml:space="preserve"> Though it is a sacred book, it is dubbed ‘a very worldly sacred book’.</w:t>
      </w:r>
      <w:r w:rsidRPr="00BD1F38">
        <w:rPr>
          <w:rStyle w:val="FootnoteReference"/>
          <w:rFonts w:eastAsiaTheme="minorEastAsia"/>
        </w:rPr>
        <w:footnoteReference w:id="34"/>
      </w:r>
      <w:r w:rsidRPr="00BD1F38">
        <w:rPr>
          <w:rFonts w:eastAsiaTheme="minorEastAsia"/>
        </w:rPr>
        <w:t xml:space="preserve"> The implication of this is although this paper only utilises it to offer a glimpse into </w:t>
      </w:r>
      <w:r w:rsidRPr="00BD1F38">
        <w:rPr>
          <w:rFonts w:eastAsiaTheme="minorEastAsia"/>
          <w:i/>
          <w:iCs/>
        </w:rPr>
        <w:t>Vedic</w:t>
      </w:r>
      <w:r w:rsidRPr="00BD1F38">
        <w:rPr>
          <w:rFonts w:eastAsiaTheme="minorEastAsia"/>
        </w:rPr>
        <w:t xml:space="preserve"> thought, and in comparison with Judaic, it may in conjunction with my research prove useful for further research seeking to answer the same research question but in relation to other world religions. Furthermore, its </w:t>
      </w:r>
      <w:r w:rsidRPr="00BD1F38">
        <w:rPr>
          <w:rFonts w:eastAsiaTheme="minorEastAsia"/>
          <w:i/>
          <w:iCs/>
        </w:rPr>
        <w:t>worldliness</w:t>
      </w:r>
      <w:r w:rsidRPr="00BD1F38">
        <w:rPr>
          <w:rFonts w:eastAsiaTheme="minorEastAsia"/>
        </w:rPr>
        <w:t xml:space="preserve"> sounds ideal for capturing elements of the thought and active engagement of Vedic people </w:t>
      </w:r>
      <w:proofErr w:type="spellStart"/>
      <w:r w:rsidRPr="00BD1F38">
        <w:rPr>
          <w:rFonts w:eastAsiaTheme="minorEastAsia"/>
        </w:rPr>
        <w:t>interrelationally</w:t>
      </w:r>
      <w:proofErr w:type="spellEnd"/>
      <w:r w:rsidRPr="00BD1F38">
        <w:rPr>
          <w:rFonts w:eastAsiaTheme="minorEastAsia"/>
        </w:rPr>
        <w:t xml:space="preserve"> with their </w:t>
      </w:r>
      <w:r w:rsidRPr="00BD1F38">
        <w:rPr>
          <w:rFonts w:eastAsiaTheme="minorEastAsia"/>
          <w:i/>
          <w:iCs/>
        </w:rPr>
        <w:t>world</w:t>
      </w:r>
      <w:r w:rsidRPr="00BD1F38">
        <w:rPr>
          <w:rFonts w:eastAsiaTheme="minorEastAsia"/>
        </w:rPr>
        <w:t xml:space="preserve"> (both in their ecological locale, and their greater sacred cosmological environment composed of their archetypal symbolism as Eliade’s </w:t>
      </w:r>
      <w:r w:rsidRPr="00BD1F38">
        <w:rPr>
          <w:rFonts w:eastAsiaTheme="minorEastAsia"/>
          <w:i/>
          <w:iCs/>
        </w:rPr>
        <w:t xml:space="preserve">homo </w:t>
      </w:r>
      <w:proofErr w:type="spellStart"/>
      <w:r w:rsidRPr="00BD1F38">
        <w:rPr>
          <w:rFonts w:eastAsiaTheme="minorEastAsia"/>
          <w:i/>
          <w:iCs/>
        </w:rPr>
        <w:t>religiosus</w:t>
      </w:r>
      <w:proofErr w:type="spellEnd"/>
      <w:r w:rsidRPr="00BD1F38">
        <w:rPr>
          <w:rFonts w:eastAsiaTheme="minorEastAsia"/>
        </w:rPr>
        <w:t>.</w:t>
      </w:r>
      <w:r w:rsidRPr="00BD1F38">
        <w:rPr>
          <w:rStyle w:val="FootnoteReference"/>
        </w:rPr>
        <w:footnoteReference w:id="35"/>
      </w:r>
    </w:p>
    <w:p w14:paraId="4853D989" w14:textId="77777777" w:rsidR="00986719" w:rsidRPr="00BD1F38" w:rsidRDefault="00986719" w:rsidP="0045403B">
      <w:pPr>
        <w:rPr>
          <w:sz w:val="22"/>
          <w:szCs w:val="22"/>
        </w:rPr>
      </w:pPr>
    </w:p>
    <w:p w14:paraId="0AA34B70" w14:textId="77777777" w:rsidR="00986719" w:rsidRPr="00BD1F38" w:rsidRDefault="00986719" w:rsidP="0045403B">
      <w:pPr>
        <w:rPr>
          <w:sz w:val="22"/>
          <w:szCs w:val="22"/>
        </w:rPr>
      </w:pPr>
    </w:p>
    <w:p w14:paraId="3186FA49" w14:textId="77777777" w:rsidR="00986719" w:rsidRPr="00BD1F38" w:rsidRDefault="00986719" w:rsidP="0045403B">
      <w:pPr>
        <w:rPr>
          <w:sz w:val="22"/>
          <w:szCs w:val="22"/>
        </w:rPr>
      </w:pPr>
    </w:p>
    <w:p w14:paraId="561832B7" w14:textId="77777777" w:rsidR="0045403B" w:rsidRPr="00BD1F38" w:rsidRDefault="0045403B" w:rsidP="0045403B">
      <w:pPr>
        <w:jc w:val="center"/>
        <w:rPr>
          <w:b/>
          <w:bCs/>
          <w:sz w:val="40"/>
          <w:szCs w:val="40"/>
        </w:rPr>
      </w:pPr>
      <w:r w:rsidRPr="00BD1F38">
        <w:rPr>
          <w:b/>
          <w:bCs/>
          <w:sz w:val="40"/>
          <w:szCs w:val="40"/>
        </w:rPr>
        <w:t>TEVILAH</w:t>
      </w:r>
    </w:p>
    <w:p w14:paraId="795E8406" w14:textId="77777777" w:rsidR="0045403B" w:rsidRPr="00BD1F38" w:rsidRDefault="0045403B" w:rsidP="0045403B">
      <w:pPr>
        <w:jc w:val="center"/>
        <w:rPr>
          <w:b/>
          <w:bCs/>
          <w:sz w:val="40"/>
          <w:szCs w:val="40"/>
        </w:rPr>
      </w:pPr>
    </w:p>
    <w:p w14:paraId="39FBC973" w14:textId="77777777" w:rsidR="0045403B" w:rsidRPr="00BD1F38" w:rsidRDefault="0045403B" w:rsidP="0045403B">
      <w:pPr>
        <w:rPr>
          <w:sz w:val="22"/>
          <w:szCs w:val="22"/>
        </w:rPr>
      </w:pPr>
    </w:p>
    <w:p w14:paraId="0B6C1094" w14:textId="77777777" w:rsidR="0045403B" w:rsidRPr="00BD1F38" w:rsidRDefault="0045403B" w:rsidP="0045403B">
      <w:pPr>
        <w:spacing w:line="360" w:lineRule="auto"/>
      </w:pPr>
      <w:r w:rsidRPr="00BD1F38">
        <w:t>Practised by Jews for ‘over two millennia’, traditionally rabbinically viewed by as a ritual ‘mandated by the Torah itself’,</w:t>
      </w:r>
      <w:r w:rsidRPr="00BD1F38">
        <w:rPr>
          <w:rStyle w:val="FootnoteReference"/>
        </w:rPr>
        <w:footnoteReference w:id="36"/>
      </w:r>
      <w:r w:rsidRPr="00BD1F38">
        <w:t xml:space="preserve"> </w:t>
      </w:r>
      <w:proofErr w:type="spellStart"/>
      <w:r w:rsidRPr="00BD1F38">
        <w:t>Tevilah</w:t>
      </w:r>
      <w:proofErr w:type="spellEnd"/>
      <w:r w:rsidRPr="00BD1F38">
        <w:t xml:space="preserve"> is the name given to ritual </w:t>
      </w:r>
      <w:r w:rsidRPr="00BD1F38">
        <w:rPr>
          <w:i/>
          <w:iCs/>
        </w:rPr>
        <w:t xml:space="preserve">Mikvah </w:t>
      </w:r>
      <w:r w:rsidRPr="00BD1F38">
        <w:t>body-submersion and cleansing. The Mikvah ‘denotes a place where water gathers naturally and does not flow away’,</w:t>
      </w:r>
      <w:r w:rsidRPr="00BD1F38">
        <w:rPr>
          <w:rStyle w:val="FootnoteReference"/>
        </w:rPr>
        <w:footnoteReference w:id="37"/>
      </w:r>
      <w:r w:rsidRPr="00BD1F38">
        <w:t xml:space="preserve"> such as a spring, where one ‘achieves the highest level of purity’.</w:t>
      </w:r>
      <w:r w:rsidRPr="00BD1F38">
        <w:rPr>
          <w:rStyle w:val="FootnoteReference"/>
        </w:rPr>
        <w:footnoteReference w:id="38"/>
      </w:r>
      <w:r w:rsidRPr="00BD1F38">
        <w:t xml:space="preserve"> The archetypal sacred symbolism of </w:t>
      </w:r>
      <w:proofErr w:type="spellStart"/>
      <w:r w:rsidRPr="00BD1F38">
        <w:t>Tevilah</w:t>
      </w:r>
      <w:proofErr w:type="spellEnd"/>
      <w:r w:rsidRPr="00BD1F38">
        <w:t xml:space="preserve"> is vast and deeply bound in cultural eco-spiritual </w:t>
      </w:r>
      <w:proofErr w:type="spellStart"/>
      <w:r w:rsidRPr="00BD1F38">
        <w:t>hierophany</w:t>
      </w:r>
      <w:proofErr w:type="spellEnd"/>
      <w:r w:rsidRPr="00BD1F38">
        <w:t xml:space="preserve">, value, and anthropomorphism as will become increasingly clearer, as the research of this body of work progresses in answering its research question, as will its relevance to living a holy life. </w:t>
      </w:r>
    </w:p>
    <w:p w14:paraId="4BC4C266" w14:textId="77777777" w:rsidR="0045403B" w:rsidRPr="00BD1F38" w:rsidRDefault="0045403B" w:rsidP="0045403B">
      <w:pPr>
        <w:rPr>
          <w:sz w:val="22"/>
          <w:szCs w:val="22"/>
        </w:rPr>
      </w:pPr>
    </w:p>
    <w:p w14:paraId="5662AB94" w14:textId="77777777" w:rsidR="0045403B" w:rsidRPr="00BD1F38" w:rsidRDefault="0045403B" w:rsidP="0045403B">
      <w:pPr>
        <w:rPr>
          <w:sz w:val="22"/>
          <w:szCs w:val="22"/>
        </w:rPr>
      </w:pPr>
    </w:p>
    <w:p w14:paraId="225D3584" w14:textId="77777777" w:rsidR="0045403B" w:rsidRPr="00BD1F38" w:rsidRDefault="0045403B" w:rsidP="0045403B">
      <w:pPr>
        <w:jc w:val="center"/>
        <w:rPr>
          <w:b/>
          <w:bCs/>
          <w:sz w:val="40"/>
          <w:szCs w:val="40"/>
        </w:rPr>
      </w:pPr>
      <w:r w:rsidRPr="00BD1F38">
        <w:rPr>
          <w:b/>
          <w:bCs/>
          <w:sz w:val="40"/>
          <w:szCs w:val="40"/>
        </w:rPr>
        <w:t>SOMA</w:t>
      </w:r>
    </w:p>
    <w:p w14:paraId="6CDAE03E" w14:textId="77777777" w:rsidR="0045403B" w:rsidRPr="00BD1F38" w:rsidRDefault="0045403B" w:rsidP="0045403B">
      <w:pPr>
        <w:autoSpaceDE w:val="0"/>
        <w:autoSpaceDN w:val="0"/>
        <w:adjustRightInd w:val="0"/>
        <w:rPr>
          <w:sz w:val="18"/>
          <w:szCs w:val="18"/>
        </w:rPr>
      </w:pPr>
    </w:p>
    <w:p w14:paraId="35176DB0" w14:textId="77777777" w:rsidR="006C1CCA" w:rsidRPr="00BD1F38" w:rsidRDefault="006C1CCA" w:rsidP="0045403B">
      <w:pPr>
        <w:autoSpaceDE w:val="0"/>
        <w:autoSpaceDN w:val="0"/>
        <w:adjustRightInd w:val="0"/>
        <w:spacing w:line="360" w:lineRule="auto"/>
      </w:pPr>
    </w:p>
    <w:p w14:paraId="23D99BD1" w14:textId="0A3DC202" w:rsidR="0045403B" w:rsidRPr="00BD1F38" w:rsidRDefault="0045403B" w:rsidP="0045403B">
      <w:pPr>
        <w:autoSpaceDE w:val="0"/>
        <w:autoSpaceDN w:val="0"/>
        <w:adjustRightInd w:val="0"/>
        <w:spacing w:line="360" w:lineRule="auto"/>
      </w:pPr>
      <w:r w:rsidRPr="00BD1F38">
        <w:lastRenderedPageBreak/>
        <w:t>Pinning down exactly what Soma was has proven scholarly divisive,</w:t>
      </w:r>
      <w:r w:rsidRPr="00BD1F38">
        <w:rPr>
          <w:rStyle w:val="FootnoteReference"/>
        </w:rPr>
        <w:footnoteReference w:id="39"/>
      </w:r>
      <w:r w:rsidRPr="00BD1F38">
        <w:t xml:space="preserve"> its textual references being diverse and poetic in language.</w:t>
      </w:r>
      <w:r w:rsidRPr="00BD1F38">
        <w:rPr>
          <w:rStyle w:val="FootnoteReference"/>
        </w:rPr>
        <w:footnoteReference w:id="40"/>
      </w:r>
      <w:r w:rsidRPr="00BD1F38">
        <w:t xml:space="preserve"> As such, its effects too, are similarly ambiguous, notwithstanding the fact it seems satisfactory to deduce that it had </w:t>
      </w:r>
      <w:r w:rsidRPr="00BD1F38">
        <w:rPr>
          <w:i/>
          <w:iCs/>
        </w:rPr>
        <w:t>some</w:t>
      </w:r>
      <w:r w:rsidRPr="00BD1F38">
        <w:t xml:space="preserve"> psychoactive properties when consumed and was composed of botanic </w:t>
      </w:r>
      <w:r w:rsidR="002A790E" w:rsidRPr="00BD1F38">
        <w:t>ingredients</w:t>
      </w:r>
      <w:r w:rsidRPr="00BD1F38">
        <w:t>, based on numerous passages of Rig Veda.</w:t>
      </w:r>
      <w:r w:rsidRPr="00BD1F38">
        <w:rPr>
          <w:rStyle w:val="FootnoteReference"/>
        </w:rPr>
        <w:footnoteReference w:id="41"/>
      </w:r>
      <w:r w:rsidRPr="00BD1F38">
        <w:t xml:space="preserve"> Soma rasa (often just shortened to Soma) is the ritual liquid made from botanic ingredients ritually ground together in a vessel likened to a womb with a pestle likened to a phallus.</w:t>
      </w:r>
      <w:r w:rsidRPr="00BD1F38">
        <w:rPr>
          <w:rStyle w:val="FootnoteReference"/>
        </w:rPr>
        <w:footnoteReference w:id="42"/>
      </w:r>
      <w:r w:rsidRPr="00BD1F38">
        <w:t xml:space="preserve"> </w:t>
      </w:r>
      <w:r w:rsidRPr="00BD1F38">
        <w:rPr>
          <w:rFonts w:eastAsiaTheme="minorEastAsia"/>
          <w:i/>
          <w:iCs/>
        </w:rPr>
        <w:t>Exactly</w:t>
      </w:r>
      <w:r w:rsidRPr="00BD1F38">
        <w:rPr>
          <w:rFonts w:eastAsiaTheme="minorEastAsia"/>
        </w:rPr>
        <w:t xml:space="preserve"> what Soma was constituted of however, is not of huge significance in its relevance to answering the research question of this paper since its accompanying ritual process, symbolism, characteristics, and effects are textually documented throughout the Rig Veda.</w:t>
      </w:r>
      <w:r w:rsidRPr="00BD1F38">
        <w:rPr>
          <w:rStyle w:val="FootnoteReference"/>
          <w:rFonts w:eastAsiaTheme="minorEastAsia"/>
        </w:rPr>
        <w:footnoteReference w:id="43"/>
      </w:r>
      <w:r w:rsidRPr="00BD1F38">
        <w:rPr>
          <w:rFonts w:eastAsiaTheme="minorEastAsia"/>
        </w:rPr>
        <w:t xml:space="preserve"> </w:t>
      </w:r>
    </w:p>
    <w:p w14:paraId="6E3B6CFA" w14:textId="77777777" w:rsidR="0045403B" w:rsidRPr="00BD1F38" w:rsidRDefault="0045403B" w:rsidP="0045403B">
      <w:pPr>
        <w:autoSpaceDE w:val="0"/>
        <w:autoSpaceDN w:val="0"/>
        <w:adjustRightInd w:val="0"/>
        <w:spacing w:line="360" w:lineRule="auto"/>
        <w:rPr>
          <w:rFonts w:eastAsiaTheme="minorEastAsia"/>
        </w:rPr>
      </w:pPr>
    </w:p>
    <w:p w14:paraId="78D09AAB" w14:textId="7E488750" w:rsidR="0045403B" w:rsidRPr="00BD1F38" w:rsidRDefault="0045403B" w:rsidP="0045403B">
      <w:pPr>
        <w:autoSpaceDE w:val="0"/>
        <w:autoSpaceDN w:val="0"/>
        <w:adjustRightInd w:val="0"/>
        <w:spacing w:line="360" w:lineRule="auto"/>
      </w:pPr>
      <w:r w:rsidRPr="00BD1F38">
        <w:t>The Rig Veda, as well as other Vedic texts</w:t>
      </w:r>
      <w:r w:rsidR="002A790E" w:rsidRPr="00BD1F38">
        <w:t>,</w:t>
      </w:r>
      <w:r w:rsidRPr="00BD1F38">
        <w:t xml:space="preserve"> referred to Soma rituals as some of the most prominent and central rituals in the area, hence its selection by me as the eco-spiritual ritual representing select Vedic thought and their sacred cosmological archetypes.</w:t>
      </w:r>
    </w:p>
    <w:p w14:paraId="753E571B" w14:textId="77777777" w:rsidR="00300A79" w:rsidRPr="00BD1F38" w:rsidRDefault="00300A79" w:rsidP="0045403B">
      <w:pPr>
        <w:autoSpaceDE w:val="0"/>
        <w:autoSpaceDN w:val="0"/>
        <w:adjustRightInd w:val="0"/>
        <w:rPr>
          <w:rFonts w:eastAsiaTheme="minorEastAsia"/>
          <w:sz w:val="18"/>
          <w:szCs w:val="18"/>
        </w:rPr>
      </w:pPr>
    </w:p>
    <w:p w14:paraId="7E363445" w14:textId="77777777" w:rsidR="0073118E" w:rsidRPr="00BD1F38" w:rsidRDefault="0073118E" w:rsidP="0045403B">
      <w:pPr>
        <w:autoSpaceDE w:val="0"/>
        <w:autoSpaceDN w:val="0"/>
        <w:adjustRightInd w:val="0"/>
        <w:rPr>
          <w:rFonts w:eastAsiaTheme="minorEastAsia"/>
          <w:sz w:val="18"/>
          <w:szCs w:val="18"/>
        </w:rPr>
      </w:pPr>
    </w:p>
    <w:p w14:paraId="50C52AF4" w14:textId="77777777" w:rsidR="0073118E" w:rsidRPr="00BD1F38" w:rsidRDefault="0073118E" w:rsidP="0045403B">
      <w:pPr>
        <w:autoSpaceDE w:val="0"/>
        <w:autoSpaceDN w:val="0"/>
        <w:adjustRightInd w:val="0"/>
        <w:rPr>
          <w:rFonts w:eastAsiaTheme="minorEastAsia"/>
          <w:sz w:val="18"/>
          <w:szCs w:val="18"/>
        </w:rPr>
      </w:pPr>
    </w:p>
    <w:p w14:paraId="75F7DBEF" w14:textId="77777777" w:rsidR="0045403B" w:rsidRPr="00BD1F38" w:rsidRDefault="0045403B" w:rsidP="0045403B">
      <w:pPr>
        <w:autoSpaceDE w:val="0"/>
        <w:autoSpaceDN w:val="0"/>
        <w:adjustRightInd w:val="0"/>
        <w:rPr>
          <w:rFonts w:eastAsiaTheme="minorEastAsia"/>
          <w:sz w:val="18"/>
          <w:szCs w:val="18"/>
        </w:rPr>
      </w:pPr>
    </w:p>
    <w:p w14:paraId="40BD4C8C" w14:textId="77777777" w:rsidR="0045403B" w:rsidRPr="00BD1F38" w:rsidRDefault="0045403B" w:rsidP="0045403B">
      <w:pPr>
        <w:autoSpaceDE w:val="0"/>
        <w:autoSpaceDN w:val="0"/>
        <w:adjustRightInd w:val="0"/>
        <w:jc w:val="center"/>
        <w:rPr>
          <w:rFonts w:eastAsiaTheme="minorEastAsia"/>
          <w:b/>
          <w:bCs/>
          <w:sz w:val="40"/>
          <w:szCs w:val="40"/>
        </w:rPr>
      </w:pPr>
      <w:r w:rsidRPr="00BD1F38">
        <w:rPr>
          <w:rFonts w:eastAsiaTheme="minorEastAsia"/>
          <w:b/>
          <w:bCs/>
          <w:sz w:val="40"/>
          <w:szCs w:val="40"/>
        </w:rPr>
        <w:t>POSSIBLE LIMITATIONS AND ATTEMPTED MITIGATIONS</w:t>
      </w:r>
    </w:p>
    <w:p w14:paraId="74901748" w14:textId="77777777" w:rsidR="00300A79" w:rsidRPr="00BD1F38" w:rsidRDefault="00300A79" w:rsidP="0045403B">
      <w:pPr>
        <w:autoSpaceDE w:val="0"/>
        <w:autoSpaceDN w:val="0"/>
        <w:adjustRightInd w:val="0"/>
        <w:spacing w:line="360" w:lineRule="auto"/>
        <w:rPr>
          <w:rFonts w:eastAsiaTheme="minorEastAsia"/>
          <w:b/>
          <w:bCs/>
          <w:lang w:val="en-US"/>
        </w:rPr>
      </w:pPr>
    </w:p>
    <w:p w14:paraId="591ED4D1" w14:textId="77777777" w:rsidR="00300A79" w:rsidRPr="00BD1F38" w:rsidRDefault="00300A79" w:rsidP="0045403B">
      <w:pPr>
        <w:autoSpaceDE w:val="0"/>
        <w:autoSpaceDN w:val="0"/>
        <w:adjustRightInd w:val="0"/>
        <w:spacing w:line="360" w:lineRule="auto"/>
        <w:rPr>
          <w:rFonts w:eastAsiaTheme="minorEastAsia"/>
          <w:lang w:val="en-US"/>
        </w:rPr>
      </w:pPr>
    </w:p>
    <w:p w14:paraId="1B6F88E9" w14:textId="45A80043" w:rsidR="0045403B" w:rsidRPr="00BD1F38" w:rsidRDefault="0045403B" w:rsidP="0045403B">
      <w:pPr>
        <w:autoSpaceDE w:val="0"/>
        <w:autoSpaceDN w:val="0"/>
        <w:adjustRightInd w:val="0"/>
        <w:spacing w:line="360" w:lineRule="auto"/>
      </w:pPr>
      <w:r w:rsidRPr="00BD1F38">
        <w:rPr>
          <w:rFonts w:eastAsiaTheme="minorEastAsia"/>
          <w:lang w:val="en-US"/>
        </w:rPr>
        <w:t xml:space="preserve">One potential limitation with this research is that the information about </w:t>
      </w:r>
      <w:proofErr w:type="spellStart"/>
      <w:r w:rsidRPr="00BD1F38">
        <w:rPr>
          <w:rFonts w:eastAsiaTheme="minorEastAsia"/>
          <w:lang w:val="en-US"/>
        </w:rPr>
        <w:t>Tevilah</w:t>
      </w:r>
      <w:proofErr w:type="spellEnd"/>
      <w:r w:rsidRPr="00BD1F38">
        <w:rPr>
          <w:rFonts w:eastAsiaTheme="minorEastAsia"/>
          <w:lang w:val="en-US"/>
        </w:rPr>
        <w:t xml:space="preserve"> and Soma rituals come either from the sacred primary texts, or secondary sources’ analyses, rather than personal direct involvement, case study, or the like. This is partly responsible for the decision to specify in the research question that I seek to posit an answer to how and why water </w:t>
      </w:r>
      <w:r w:rsidRPr="00BD1F38">
        <w:rPr>
          <w:rFonts w:eastAsiaTheme="minorEastAsia"/>
          <w:i/>
          <w:iCs/>
          <w:lang w:val="en-US"/>
        </w:rPr>
        <w:t>may</w:t>
      </w:r>
      <w:r w:rsidRPr="00BD1F38">
        <w:rPr>
          <w:rFonts w:eastAsiaTheme="minorEastAsia"/>
          <w:lang w:val="en-US"/>
        </w:rPr>
        <w:t xml:space="preserve"> have influenced divine archetypes of </w:t>
      </w:r>
      <w:r w:rsidRPr="00BD1F38">
        <w:rPr>
          <w:rFonts w:eastAsiaTheme="minorEastAsia"/>
          <w:i/>
          <w:iCs/>
          <w:lang w:val="en-US"/>
        </w:rPr>
        <w:t>select</w:t>
      </w:r>
      <w:r w:rsidRPr="00BD1F38">
        <w:rPr>
          <w:rFonts w:eastAsiaTheme="minorEastAsia"/>
          <w:lang w:val="en-US"/>
        </w:rPr>
        <w:t xml:space="preserve"> Vedic and Judaic thought </w:t>
      </w:r>
      <w:r w:rsidRPr="00BD1F38">
        <w:rPr>
          <w:rFonts w:eastAsiaTheme="minorEastAsia"/>
          <w:i/>
          <w:iCs/>
          <w:lang w:val="en-US"/>
        </w:rPr>
        <w:t xml:space="preserve">respectively represented in Rig Veda and Torah </w:t>
      </w:r>
      <w:r w:rsidRPr="00BD1F38">
        <w:rPr>
          <w:rFonts w:eastAsiaTheme="minorEastAsia"/>
          <w:lang w:val="en-US"/>
        </w:rPr>
        <w:t xml:space="preserve">in attempt to avoid unfounded claims. This dissertation does not profess to claim that </w:t>
      </w:r>
      <w:r w:rsidRPr="00BD1F38">
        <w:lastRenderedPageBreak/>
        <w:t xml:space="preserve">water </w:t>
      </w:r>
      <w:r w:rsidRPr="00BD1F38">
        <w:rPr>
          <w:i/>
          <w:iCs/>
        </w:rPr>
        <w:t>was</w:t>
      </w:r>
      <w:r w:rsidRPr="00BD1F38">
        <w:t xml:space="preserve"> or </w:t>
      </w:r>
      <w:r w:rsidRPr="00BD1F38">
        <w:rPr>
          <w:i/>
          <w:iCs/>
        </w:rPr>
        <w:t>was not</w:t>
      </w:r>
      <w:r w:rsidRPr="00BD1F38">
        <w:t xml:space="preserve"> a significant inspiration for the formation of certain divine archetypes; but offers possible evidence suggestive of why and how it </w:t>
      </w:r>
      <w:r w:rsidRPr="00BD1F38">
        <w:rPr>
          <w:i/>
          <w:iCs/>
        </w:rPr>
        <w:t>may</w:t>
      </w:r>
      <w:r w:rsidRPr="00BD1F38">
        <w:t xml:space="preserve"> have. </w:t>
      </w:r>
    </w:p>
    <w:p w14:paraId="20E419AE" w14:textId="77777777" w:rsidR="0045403B" w:rsidRPr="00BD1F38" w:rsidRDefault="0045403B" w:rsidP="0045403B">
      <w:pPr>
        <w:autoSpaceDE w:val="0"/>
        <w:autoSpaceDN w:val="0"/>
        <w:adjustRightInd w:val="0"/>
        <w:spacing w:line="360" w:lineRule="auto"/>
        <w:rPr>
          <w:rFonts w:eastAsiaTheme="minorEastAsia"/>
          <w:lang w:val="en-US"/>
        </w:rPr>
      </w:pPr>
    </w:p>
    <w:p w14:paraId="69B9E32D" w14:textId="77777777" w:rsidR="0045403B" w:rsidRPr="00BD1F38" w:rsidRDefault="0045403B" w:rsidP="0045403B">
      <w:pPr>
        <w:autoSpaceDE w:val="0"/>
        <w:autoSpaceDN w:val="0"/>
        <w:adjustRightInd w:val="0"/>
        <w:spacing w:line="360" w:lineRule="auto"/>
      </w:pPr>
      <w:r w:rsidRPr="00BD1F38">
        <w:rPr>
          <w:rFonts w:eastAsiaTheme="minorEastAsia"/>
          <w:lang w:val="en-US"/>
        </w:rPr>
        <w:t>Specifically in the case of Soma, the deep envelopment in symbolism plausibly makes it harder to reliably extract the meaning, origination, and function, especially since Soma rituals are longer practiced and Vedic beliefs has been assimilated into certain Hindu beliefs.</w:t>
      </w:r>
      <w:r w:rsidRPr="00BD1F38">
        <w:rPr>
          <w:rStyle w:val="FootnoteReference"/>
          <w:rFonts w:eastAsiaTheme="minorEastAsia"/>
          <w:lang w:val="en-US"/>
        </w:rPr>
        <w:footnoteReference w:id="44"/>
      </w:r>
      <w:r w:rsidRPr="00BD1F38">
        <w:rPr>
          <w:rFonts w:eastAsiaTheme="minorEastAsia"/>
          <w:lang w:val="en-US"/>
        </w:rPr>
        <w:t xml:space="preserve"> This is however, similarly a strength since symbolism is ultimately the locus of this paper. </w:t>
      </w:r>
      <w:r w:rsidRPr="00BD1F38">
        <w:t xml:space="preserve">Soma appears in the Rig Veda as both </w:t>
      </w:r>
      <w:proofErr w:type="gramStart"/>
      <w:r w:rsidRPr="00BD1F38">
        <w:t>god</w:t>
      </w:r>
      <w:proofErr w:type="gramEnd"/>
      <w:r w:rsidRPr="00BD1F38">
        <w:t xml:space="preserve"> and liquid, deity and ritual, oblation and gift; ritualised, symbolised, carnalised, </w:t>
      </w:r>
      <w:proofErr w:type="spellStart"/>
      <w:r w:rsidRPr="00BD1F38">
        <w:t>cosmicised</w:t>
      </w:r>
      <w:proofErr w:type="spellEnd"/>
      <w:r w:rsidRPr="00BD1F38">
        <w:t>, and sacralised,</w:t>
      </w:r>
      <w:r w:rsidRPr="00BD1F38">
        <w:rPr>
          <w:rStyle w:val="FootnoteReference"/>
        </w:rPr>
        <w:footnoteReference w:id="45"/>
      </w:r>
      <w:r w:rsidRPr="00BD1F38">
        <w:t xml:space="preserve"> and as such it seems a valuable intersection of divinity, water, and humanity for this paper. </w:t>
      </w:r>
    </w:p>
    <w:p w14:paraId="1B4D33AE" w14:textId="77777777" w:rsidR="0045403B" w:rsidRPr="00BD1F38" w:rsidRDefault="0045403B" w:rsidP="0045403B">
      <w:pPr>
        <w:autoSpaceDE w:val="0"/>
        <w:autoSpaceDN w:val="0"/>
        <w:adjustRightInd w:val="0"/>
        <w:spacing w:line="360" w:lineRule="auto"/>
      </w:pPr>
    </w:p>
    <w:p w14:paraId="364F5A51" w14:textId="7AA2F2C1" w:rsidR="0045403B" w:rsidRPr="00BD1F38" w:rsidRDefault="0045403B" w:rsidP="0045403B">
      <w:pPr>
        <w:autoSpaceDE w:val="0"/>
        <w:autoSpaceDN w:val="0"/>
        <w:adjustRightInd w:val="0"/>
        <w:spacing w:line="360" w:lineRule="auto"/>
      </w:pPr>
      <w:r w:rsidRPr="00BD1F38">
        <w:t xml:space="preserve">Another issue lies in reliance on translated primary texts and the resulting unknown potential for translational discrepancies of both Torah and Rig Veda. However, for Judaic thought represented in Torah I have examined passages with reference to the interpretations of Rabbinic scholars who interpret the material from its original Hebrew. Regarding Rig Veda, a potential applicable rebuttal to this problem comes from the translator, Wendy </w:t>
      </w:r>
      <w:proofErr w:type="spellStart"/>
      <w:r w:rsidRPr="00BD1F38">
        <w:t>Doniger</w:t>
      </w:r>
      <w:proofErr w:type="spellEnd"/>
      <w:r w:rsidRPr="00BD1F38">
        <w:t xml:space="preserve">, herself, since she asserts that her use of: </w:t>
      </w:r>
    </w:p>
    <w:p w14:paraId="1D489A4A" w14:textId="77777777" w:rsidR="0045403B" w:rsidRPr="00BD1F38" w:rsidRDefault="0045403B" w:rsidP="0045403B">
      <w:pPr>
        <w:autoSpaceDE w:val="0"/>
        <w:autoSpaceDN w:val="0"/>
        <w:adjustRightInd w:val="0"/>
        <w:ind w:left="1440"/>
        <w:rPr>
          <w:rFonts w:eastAsiaTheme="minorEastAsia"/>
        </w:rPr>
      </w:pPr>
      <w:r w:rsidRPr="00BD1F38">
        <w:rPr>
          <w:rFonts w:eastAsiaTheme="minorEastAsia"/>
        </w:rPr>
        <w:t xml:space="preserve">equivalents for single words along a broad spectrum of linked concepts is ultimately more productive than to seek to boil down such a term into a single neutral word that can be plugged into any context. </w:t>
      </w:r>
    </w:p>
    <w:p w14:paraId="0553B997" w14:textId="77777777" w:rsidR="0045403B" w:rsidRPr="00BD1F38" w:rsidRDefault="0045403B" w:rsidP="0045403B">
      <w:pPr>
        <w:autoSpaceDE w:val="0"/>
        <w:autoSpaceDN w:val="0"/>
        <w:adjustRightInd w:val="0"/>
        <w:spacing w:line="360" w:lineRule="auto"/>
        <w:ind w:left="1440"/>
        <w:rPr>
          <w:rFonts w:eastAsiaTheme="minorEastAsia"/>
        </w:rPr>
      </w:pPr>
    </w:p>
    <w:p w14:paraId="63A40D9E" w14:textId="5847E11B" w:rsidR="00300A79" w:rsidRPr="00782EB4" w:rsidRDefault="0045403B" w:rsidP="00782EB4">
      <w:pPr>
        <w:autoSpaceDE w:val="0"/>
        <w:autoSpaceDN w:val="0"/>
        <w:adjustRightInd w:val="0"/>
        <w:spacing w:line="360" w:lineRule="auto"/>
        <w:rPr>
          <w:rFonts w:eastAsiaTheme="minorEastAsia"/>
        </w:rPr>
      </w:pPr>
      <w:r w:rsidRPr="00BD1F38">
        <w:rPr>
          <w:rFonts w:eastAsiaTheme="minorEastAsia"/>
        </w:rPr>
        <w:t>It is in this way that her translation attempts to insure against misconstruction. She further attests that ‘Poetic applications [which archetypal divine symbolism, in the understanding of philosopher Paul Tillich, is an example of]</w:t>
      </w:r>
      <w:r w:rsidRPr="00BD1F38">
        <w:rPr>
          <w:rStyle w:val="FootnoteReference"/>
          <w:rFonts w:eastAsiaTheme="minorEastAsia"/>
        </w:rPr>
        <w:footnoteReference w:id="46"/>
      </w:r>
      <w:r w:rsidRPr="00BD1F38">
        <w:rPr>
          <w:rFonts w:eastAsiaTheme="minorEastAsia"/>
        </w:rPr>
        <w:t xml:space="preserve"> even of basic terms always retains a certain measure of ambiguity’ but this application cannot be captured by compromising on portrayal and interpretation.</w:t>
      </w:r>
      <w:r w:rsidRPr="00BD1F38">
        <w:rPr>
          <w:rStyle w:val="FootnoteReference"/>
          <w:rFonts w:eastAsiaTheme="minorEastAsia"/>
        </w:rPr>
        <w:footnoteReference w:id="47"/>
      </w:r>
    </w:p>
    <w:p w14:paraId="08C78929" w14:textId="77777777" w:rsidR="0045403B" w:rsidRPr="00BD1F38" w:rsidRDefault="0045403B" w:rsidP="0045403B">
      <w:pPr>
        <w:autoSpaceDE w:val="0"/>
        <w:autoSpaceDN w:val="0"/>
        <w:adjustRightInd w:val="0"/>
        <w:jc w:val="center"/>
        <w:rPr>
          <w:sz w:val="144"/>
          <w:szCs w:val="144"/>
        </w:rPr>
      </w:pPr>
      <w:r w:rsidRPr="00BD1F38">
        <w:rPr>
          <w:sz w:val="144"/>
          <w:szCs w:val="144"/>
        </w:rPr>
        <w:lastRenderedPageBreak/>
        <w:t>BODY</w:t>
      </w:r>
    </w:p>
    <w:p w14:paraId="69E5A037" w14:textId="77777777" w:rsidR="0045403B" w:rsidRPr="00BD1F38" w:rsidRDefault="0045403B" w:rsidP="0045403B">
      <w:pPr>
        <w:autoSpaceDE w:val="0"/>
        <w:autoSpaceDN w:val="0"/>
        <w:adjustRightInd w:val="0"/>
        <w:jc w:val="center"/>
        <w:rPr>
          <w:sz w:val="56"/>
          <w:szCs w:val="56"/>
        </w:rPr>
      </w:pPr>
    </w:p>
    <w:p w14:paraId="29405245" w14:textId="77777777" w:rsidR="0045403B" w:rsidRPr="00BD1F38" w:rsidRDefault="0045403B" w:rsidP="0045403B">
      <w:pPr>
        <w:autoSpaceDE w:val="0"/>
        <w:autoSpaceDN w:val="0"/>
        <w:adjustRightInd w:val="0"/>
        <w:jc w:val="center"/>
        <w:rPr>
          <w:color w:val="211E1E"/>
          <w:sz w:val="72"/>
          <w:szCs w:val="72"/>
        </w:rPr>
      </w:pPr>
      <w:r w:rsidRPr="00BD1F38">
        <w:rPr>
          <w:sz w:val="72"/>
          <w:szCs w:val="72"/>
        </w:rPr>
        <w:t xml:space="preserve">Water Giveth </w:t>
      </w:r>
    </w:p>
    <w:p w14:paraId="23A0F750" w14:textId="77777777" w:rsidR="0045403B" w:rsidRPr="00BD1F38" w:rsidRDefault="0045403B" w:rsidP="0045403B">
      <w:pPr>
        <w:pStyle w:val="NormalWeb"/>
        <w:spacing w:line="360" w:lineRule="auto"/>
        <w:rPr>
          <w:i/>
          <w:iCs/>
          <w:color w:val="000000" w:themeColor="text1"/>
          <w:sz w:val="20"/>
          <w:szCs w:val="20"/>
        </w:rPr>
      </w:pPr>
    </w:p>
    <w:p w14:paraId="713C6E28" w14:textId="77777777" w:rsidR="0045403B" w:rsidRPr="00BD1F38" w:rsidRDefault="0045403B" w:rsidP="0045403B">
      <w:pPr>
        <w:pStyle w:val="NormalWeb"/>
        <w:spacing w:line="360" w:lineRule="auto"/>
        <w:rPr>
          <w:color w:val="000000" w:themeColor="text1"/>
        </w:rPr>
      </w:pPr>
      <w:r w:rsidRPr="00BD1F38">
        <w:rPr>
          <w:color w:val="000000" w:themeColor="text1"/>
        </w:rPr>
        <w:t>Culture, i.e.,</w:t>
      </w:r>
      <w:r w:rsidRPr="00BD1F38">
        <w:rPr>
          <w:i/>
          <w:iCs/>
          <w:color w:val="000000" w:themeColor="text1"/>
        </w:rPr>
        <w:t xml:space="preserve"> ‘the set of distinctive spiritual, material, intellectual and emotional features of society or a social group’ </w:t>
      </w:r>
      <w:r w:rsidRPr="00BD1F38">
        <w:rPr>
          <w:color w:val="000000" w:themeColor="text1"/>
        </w:rPr>
        <w:t>encompassing</w:t>
      </w:r>
      <w:r w:rsidRPr="00BD1F38">
        <w:rPr>
          <w:i/>
          <w:iCs/>
          <w:color w:val="000000" w:themeColor="text1"/>
        </w:rPr>
        <w:t xml:space="preserve"> ‘in addition to art and literature, lifestyles, ways of living together, value systems</w:t>
      </w:r>
      <w:r w:rsidRPr="00BD1F38">
        <w:rPr>
          <w:color w:val="000000" w:themeColor="text1"/>
        </w:rPr>
        <w:t>, [and]</w:t>
      </w:r>
      <w:r w:rsidRPr="00BD1F38">
        <w:rPr>
          <w:i/>
          <w:iCs/>
          <w:color w:val="000000" w:themeColor="text1"/>
        </w:rPr>
        <w:t xml:space="preserve"> traditions and beliefs</w:t>
      </w:r>
      <w:r w:rsidRPr="00BD1F38">
        <w:rPr>
          <w:color w:val="000000" w:themeColor="text1"/>
        </w:rPr>
        <w:t>’, ‘directly influences how the values of water are perceived, derived and used.’ Judaic and Vedic culture and thought represented in Torah and Rig Veda, as with ‘Every society, group or individual [,] exists in their own cultural setting that is moulded by a varying mix of heritage, tradition, history, education, life experience, exposure to information and media, social status, and gender, among many other factors.’</w:t>
      </w:r>
      <w:r w:rsidRPr="00BD1F38">
        <w:rPr>
          <w:rStyle w:val="FootnoteReference"/>
          <w:color w:val="000000" w:themeColor="text1"/>
        </w:rPr>
        <w:footnoteReference w:id="48"/>
      </w:r>
      <w:r w:rsidRPr="00BD1F38">
        <w:rPr>
          <w:color w:val="000000" w:themeColor="text1"/>
        </w:rPr>
        <w:t xml:space="preserve"> An example of this cultural perception of water’s value and its resulting ‘spiritual, material, intellectual and emotional’ influence,</w:t>
      </w:r>
      <w:r w:rsidRPr="00BD1F38">
        <w:rPr>
          <w:rStyle w:val="FootnoteReference"/>
          <w:color w:val="000000" w:themeColor="text1"/>
        </w:rPr>
        <w:footnoteReference w:id="49"/>
      </w:r>
      <w:r w:rsidRPr="00BD1F38">
        <w:rPr>
          <w:color w:val="000000" w:themeColor="text1"/>
        </w:rPr>
        <w:t xml:space="preserve"> in conjunction with the dynamics of Judaic and Vedic </w:t>
      </w:r>
      <w:r w:rsidRPr="00BD1F38">
        <w:rPr>
          <w:i/>
          <w:iCs/>
          <w:color w:val="000000" w:themeColor="text1"/>
        </w:rPr>
        <w:t xml:space="preserve">cultural setting, </w:t>
      </w:r>
      <w:r w:rsidRPr="00BD1F38">
        <w:rPr>
          <w:color w:val="000000" w:themeColor="text1"/>
        </w:rPr>
        <w:t xml:space="preserve">is in its value ‘determined by scarcity’. </w:t>
      </w:r>
      <w:r w:rsidRPr="00BD1F38">
        <w:rPr>
          <w:rStyle w:val="FootnoteReference"/>
          <w:rFonts w:eastAsiaTheme="minorEastAsia"/>
          <w:color w:val="000000" w:themeColor="text1"/>
          <w:lang w:val="en-US"/>
        </w:rPr>
        <w:footnoteReference w:id="50"/>
      </w:r>
    </w:p>
    <w:p w14:paraId="365AFA47" w14:textId="13B38431" w:rsidR="0045403B" w:rsidRPr="00BD1F38" w:rsidRDefault="0045403B" w:rsidP="0045403B">
      <w:pPr>
        <w:pStyle w:val="NormalWeb"/>
        <w:spacing w:line="360" w:lineRule="auto"/>
        <w:rPr>
          <w:color w:val="000000" w:themeColor="text1"/>
        </w:rPr>
      </w:pPr>
      <w:r w:rsidRPr="00BD1F38">
        <w:rPr>
          <w:rFonts w:eastAsia="PingFang TC"/>
          <w:color w:val="000000" w:themeColor="text1"/>
        </w:rPr>
        <w:t>Exodus 15:22 tells of a time when the Israelites, led by Moses, having crossed the Red Sea, ‘went three days in the wilderness, and found no water.’</w:t>
      </w:r>
      <w:r w:rsidRPr="00BD1F38">
        <w:rPr>
          <w:rStyle w:val="FootnoteReference"/>
          <w:rFonts w:eastAsia="PingFang TC"/>
          <w:color w:val="000000" w:themeColor="text1"/>
        </w:rPr>
        <w:footnoteReference w:id="51"/>
      </w:r>
      <w:r w:rsidRPr="00BD1F38">
        <w:rPr>
          <w:rFonts w:eastAsia="PingFang TC"/>
          <w:color w:val="000000" w:themeColor="text1"/>
        </w:rPr>
        <w:t xml:space="preserve"> Upon arrival into Marah, and discovering the local water was </w:t>
      </w:r>
      <w:proofErr w:type="spellStart"/>
      <w:r w:rsidRPr="00BD1F38">
        <w:rPr>
          <w:rFonts w:eastAsia="PingFang TC"/>
          <w:color w:val="000000" w:themeColor="text1"/>
        </w:rPr>
        <w:t>undrinkably</w:t>
      </w:r>
      <w:proofErr w:type="spellEnd"/>
      <w:r w:rsidRPr="00BD1F38">
        <w:rPr>
          <w:rFonts w:eastAsia="PingFang TC"/>
          <w:color w:val="000000" w:themeColor="text1"/>
        </w:rPr>
        <w:t xml:space="preserve"> bitter, Moses beseeched the divine for help, ‘and the LORD shewed him a tree, [which] when he had cast into the waters, the waters were made sweet’.</w:t>
      </w:r>
      <w:r w:rsidRPr="00BD1F38">
        <w:rPr>
          <w:rStyle w:val="FootnoteReference"/>
          <w:rFonts w:eastAsia="PingFang TC"/>
          <w:color w:val="000000" w:themeColor="text1"/>
        </w:rPr>
        <w:footnoteReference w:id="52"/>
      </w:r>
      <w:r w:rsidRPr="00BD1F38">
        <w:rPr>
          <w:rFonts w:eastAsia="PingFang TC"/>
          <w:color w:val="000000" w:themeColor="text1"/>
        </w:rPr>
        <w:t xml:space="preserve"> Not only does this illuminate distinctly corporeal aspects of historical Jewish </w:t>
      </w:r>
      <w:r w:rsidRPr="00BD1F38">
        <w:rPr>
          <w:rFonts w:eastAsia="PingFang TC"/>
          <w:color w:val="000000" w:themeColor="text1"/>
        </w:rPr>
        <w:lastRenderedPageBreak/>
        <w:t>environmental survival, it is also expanded upon in the Midrash (ancient scriptural commentary), and in the Babylonian Talmud, where it is stated that water in that context is also a metaphor for Torah. In response to that event, prophets supposedly legislated ‘that the Torah should be read on the second and fifth days of the week as well as on Shabbat so that they would not let three days pass without Torah’,</w:t>
      </w:r>
      <w:r w:rsidRPr="00BD1F38">
        <w:rPr>
          <w:rStyle w:val="FootnoteReference"/>
          <w:rFonts w:eastAsia="PingFang TC"/>
          <w:color w:val="000000" w:themeColor="text1"/>
        </w:rPr>
        <w:footnoteReference w:id="53"/>
      </w:r>
      <w:r w:rsidRPr="00BD1F38">
        <w:rPr>
          <w:rFonts w:eastAsia="PingFang TC"/>
          <w:color w:val="000000" w:themeColor="text1"/>
        </w:rPr>
        <w:t xml:space="preserve"> referring also to Isaiah 55:1 which analogises hearing a Torah reading to the quenching of thirst: ‘Ho, all who are thirsty, come for water’.</w:t>
      </w:r>
      <w:r w:rsidRPr="00BD1F38">
        <w:rPr>
          <w:rStyle w:val="FootnoteReference"/>
          <w:rFonts w:eastAsia="PingFang TC"/>
          <w:color w:val="000000" w:themeColor="text1"/>
        </w:rPr>
        <w:footnoteReference w:id="54"/>
      </w:r>
      <w:r w:rsidRPr="00BD1F38">
        <w:rPr>
          <w:rFonts w:eastAsia="PingFang TC"/>
          <w:color w:val="000000" w:themeColor="text1"/>
        </w:rPr>
        <w:t xml:space="preserve"> As such, the Torah, but more essentially, divine </w:t>
      </w:r>
      <w:r w:rsidRPr="00BD1F38">
        <w:rPr>
          <w:rFonts w:eastAsia="PingFang TC"/>
          <w:i/>
          <w:iCs/>
          <w:color w:val="000000" w:themeColor="text1"/>
        </w:rPr>
        <w:t>teachings</w:t>
      </w:r>
      <w:r w:rsidRPr="00BD1F38">
        <w:rPr>
          <w:rFonts w:eastAsia="PingFang TC"/>
          <w:color w:val="000000" w:themeColor="text1"/>
        </w:rPr>
        <w:t>, are symbolically attendant to the need for water. As Eliade stated, the need for quenching one’s thirst with water, as a ‘daily routine’ has here been ‘transfigured’ and ‘</w:t>
      </w:r>
      <w:proofErr w:type="spellStart"/>
      <w:r w:rsidRPr="00BD1F38">
        <w:rPr>
          <w:rFonts w:eastAsia="PingFang TC"/>
          <w:color w:val="000000" w:themeColor="text1"/>
        </w:rPr>
        <w:t>valorized</w:t>
      </w:r>
      <w:proofErr w:type="spellEnd"/>
      <w:r w:rsidRPr="00BD1F38">
        <w:rPr>
          <w:rFonts w:eastAsia="PingFang TC"/>
          <w:color w:val="000000" w:themeColor="text1"/>
        </w:rPr>
        <w:t xml:space="preserve"> on the religious and metaphysical plane’,</w:t>
      </w:r>
      <w:r w:rsidRPr="00BD1F38">
        <w:rPr>
          <w:rStyle w:val="FootnoteReference"/>
          <w:rFonts w:eastAsia="PingFang TC"/>
          <w:color w:val="000000" w:themeColor="text1"/>
        </w:rPr>
        <w:footnoteReference w:id="55"/>
      </w:r>
      <w:r w:rsidRPr="00BD1F38">
        <w:rPr>
          <w:rFonts w:eastAsia="PingFang TC"/>
          <w:color w:val="000000" w:themeColor="text1"/>
        </w:rPr>
        <w:t xml:space="preserve"> arguably creating an archetype of the regular ritual necessity of </w:t>
      </w:r>
      <w:r w:rsidRPr="00BD1F38">
        <w:rPr>
          <w:rFonts w:eastAsia="PingFang TC"/>
          <w:i/>
          <w:iCs/>
          <w:color w:val="000000" w:themeColor="text1"/>
        </w:rPr>
        <w:t>metaphysical</w:t>
      </w:r>
      <w:r w:rsidRPr="00BD1F38">
        <w:rPr>
          <w:rFonts w:eastAsia="PingFang TC"/>
          <w:color w:val="000000" w:themeColor="text1"/>
        </w:rPr>
        <w:t xml:space="preserve"> quenching – </w:t>
      </w:r>
      <w:proofErr w:type="gramStart"/>
      <w:r w:rsidR="00BE7B04" w:rsidRPr="00BD1F38">
        <w:rPr>
          <w:rFonts w:eastAsia="PingFang TC"/>
          <w:color w:val="000000" w:themeColor="text1"/>
        </w:rPr>
        <w:t>i.e.</w:t>
      </w:r>
      <w:proofErr w:type="gramEnd"/>
      <w:r w:rsidRPr="00BD1F38">
        <w:rPr>
          <w:rFonts w:eastAsia="PingFang TC"/>
          <w:color w:val="000000" w:themeColor="text1"/>
        </w:rPr>
        <w:t xml:space="preserve"> Torah reading on Sabbath, Monday, and Thursday. It is also in this example of extreme thirst, where the </w:t>
      </w:r>
      <w:r w:rsidRPr="00BD1F38">
        <w:rPr>
          <w:rFonts w:eastAsia="PingFang TC"/>
          <w:i/>
          <w:iCs/>
          <w:color w:val="000000" w:themeColor="text1"/>
        </w:rPr>
        <w:t>value</w:t>
      </w:r>
      <w:r w:rsidRPr="00BD1F38">
        <w:rPr>
          <w:rFonts w:eastAsia="PingFang TC"/>
          <w:color w:val="000000" w:themeColor="text1"/>
        </w:rPr>
        <w:t xml:space="preserve"> of water is intensified. Upon reaching Elim, ‘where [were] twelve wells of water […] they encamped there by the waters’,</w:t>
      </w:r>
      <w:r w:rsidRPr="00BD1F38">
        <w:rPr>
          <w:rStyle w:val="FootnoteReference"/>
          <w:rFonts w:eastAsia="PingFang TC"/>
          <w:color w:val="000000" w:themeColor="text1"/>
        </w:rPr>
        <w:footnoteReference w:id="56"/>
      </w:r>
      <w:r w:rsidRPr="00BD1F38">
        <w:rPr>
          <w:rFonts w:eastAsia="PingFang TC"/>
          <w:color w:val="000000" w:themeColor="text1"/>
        </w:rPr>
        <w:t xml:space="preserve"> indicating that this place was deemed </w:t>
      </w:r>
      <w:r w:rsidRPr="00BD1F38">
        <w:rPr>
          <w:rFonts w:eastAsia="PingFang TC"/>
          <w:i/>
          <w:iCs/>
          <w:color w:val="000000" w:themeColor="text1"/>
        </w:rPr>
        <w:t>valuable</w:t>
      </w:r>
      <w:r w:rsidRPr="00BD1F38">
        <w:rPr>
          <w:rFonts w:eastAsia="PingFang TC"/>
          <w:color w:val="000000" w:themeColor="text1"/>
        </w:rPr>
        <w:t xml:space="preserve"> enough for at least temporary settlement, with the act of settlement, organisation, and inhabitation of a place </w:t>
      </w:r>
      <w:r w:rsidRPr="00BD1F38">
        <w:rPr>
          <w:color w:val="000000" w:themeColor="text1"/>
        </w:rPr>
        <w:t xml:space="preserve">necessitating ‘a vital decision that involves the existence of the entire community’ and therefore presupposes the perceived </w:t>
      </w:r>
      <w:r w:rsidRPr="00BD1F38">
        <w:rPr>
          <w:i/>
          <w:iCs/>
          <w:color w:val="000000" w:themeColor="text1"/>
        </w:rPr>
        <w:t>value</w:t>
      </w:r>
      <w:r w:rsidRPr="00BD1F38">
        <w:rPr>
          <w:color w:val="000000" w:themeColor="text1"/>
        </w:rPr>
        <w:t xml:space="preserve"> of that place.</w:t>
      </w:r>
      <w:r w:rsidRPr="00BD1F38">
        <w:rPr>
          <w:rStyle w:val="FootnoteReference"/>
          <w:color w:val="000000" w:themeColor="text1"/>
        </w:rPr>
        <w:footnoteReference w:id="57"/>
      </w:r>
      <w:r w:rsidRPr="00BD1F38">
        <w:rPr>
          <w:color w:val="000000" w:themeColor="text1"/>
        </w:rPr>
        <w:t xml:space="preserve"> Therefore, similarly, Elim, due to desperation of that thirst, would have been potentially experienced as an</w:t>
      </w:r>
      <w:r w:rsidRPr="00BD1F38">
        <w:rPr>
          <w:rFonts w:eastAsia="PingFang TC"/>
          <w:color w:val="000000" w:themeColor="text1"/>
        </w:rPr>
        <w:t xml:space="preserve"> ‘irrupting’ of non-homogenous space both visually, on the back of their waterless trek through desert, and valuably.</w:t>
      </w:r>
      <w:r w:rsidRPr="00BD1F38">
        <w:rPr>
          <w:rStyle w:val="FootnoteReference"/>
          <w:rFonts w:eastAsia="PingFang TC"/>
          <w:color w:val="000000" w:themeColor="text1"/>
        </w:rPr>
        <w:footnoteReference w:id="58"/>
      </w:r>
      <w:r w:rsidRPr="00BD1F38">
        <w:rPr>
          <w:rFonts w:eastAsia="PingFang TC"/>
          <w:color w:val="000000" w:themeColor="text1"/>
        </w:rPr>
        <w:t xml:space="preserve"> Also telling is the fact that in the above passage of Torah, water provides a communicative link between divinity and humanity, with McCool et al. writing that ‘</w:t>
      </w:r>
      <w:r w:rsidRPr="00BD1F38">
        <w:rPr>
          <w:color w:val="000000" w:themeColor="text1"/>
        </w:rPr>
        <w:t>water in its in situ form is valued as it exists and for the connections it represents’.</w:t>
      </w:r>
      <w:r w:rsidRPr="00BD1F38">
        <w:rPr>
          <w:rStyle w:val="FootnoteReference"/>
          <w:color w:val="000000" w:themeColor="text1"/>
        </w:rPr>
        <w:footnoteReference w:id="59"/>
      </w:r>
      <w:r w:rsidRPr="00BD1F38">
        <w:rPr>
          <w:color w:val="000000" w:themeColor="text1"/>
        </w:rPr>
        <w:t xml:space="preserve"> Here perhaps therefore indicating that water’s value was not only practical to the Israelites in terms of corporeally quenching, but similarly as a receptacle for divine exchange and intervention and metaphysical quenching like as is </w:t>
      </w:r>
      <w:proofErr w:type="spellStart"/>
      <w:r w:rsidRPr="00BD1F38">
        <w:rPr>
          <w:color w:val="000000" w:themeColor="text1"/>
        </w:rPr>
        <w:t>archetypalised</w:t>
      </w:r>
      <w:proofErr w:type="spellEnd"/>
      <w:r w:rsidRPr="00BD1F38">
        <w:rPr>
          <w:color w:val="000000" w:themeColor="text1"/>
        </w:rPr>
        <w:t xml:space="preserve"> of the Torah.</w:t>
      </w:r>
    </w:p>
    <w:p w14:paraId="5B405879" w14:textId="457D7086" w:rsidR="0045403B" w:rsidRPr="00BD1F38" w:rsidRDefault="0045403B" w:rsidP="0045403B">
      <w:pPr>
        <w:pStyle w:val="NormalWeb"/>
        <w:spacing w:line="360" w:lineRule="auto"/>
        <w:rPr>
          <w:color w:val="000000" w:themeColor="text1"/>
        </w:rPr>
      </w:pPr>
      <w:r w:rsidRPr="00BD1F38">
        <w:rPr>
          <w:color w:val="000000" w:themeColor="text1"/>
        </w:rPr>
        <w:lastRenderedPageBreak/>
        <w:t xml:space="preserve">On this communicative link, Mircea Eliade, recognised that a settlement is its inhabitants’ perceived </w:t>
      </w:r>
      <w:r w:rsidRPr="00BD1F38">
        <w:rPr>
          <w:i/>
          <w:iCs/>
          <w:color w:val="000000" w:themeColor="text1"/>
        </w:rPr>
        <w:t>imago mundi</w:t>
      </w:r>
      <w:r w:rsidR="00BE7B04" w:rsidRPr="00BD1F38">
        <w:rPr>
          <w:rStyle w:val="FootnoteReference"/>
          <w:color w:val="000000" w:themeColor="text1"/>
        </w:rPr>
        <w:footnoteReference w:id="60"/>
      </w:r>
      <w:r w:rsidRPr="00BD1F38">
        <w:rPr>
          <w:color w:val="000000" w:themeColor="text1"/>
        </w:rPr>
        <w:t xml:space="preserve"> - the centre of their world; the connective </w:t>
      </w:r>
      <w:r w:rsidRPr="00BD1F38">
        <w:rPr>
          <w:i/>
          <w:iCs/>
          <w:color w:val="000000" w:themeColor="text1"/>
        </w:rPr>
        <w:t xml:space="preserve">axis mundi </w:t>
      </w:r>
      <w:r w:rsidRPr="00BD1F38">
        <w:rPr>
          <w:color w:val="000000" w:themeColor="text1"/>
        </w:rPr>
        <w:t>or ‘cosmic pillar’ ‘that support[s] heaven and at the same time open[s] the road to the world of the gods’,</w:t>
      </w:r>
      <w:r w:rsidRPr="00BD1F38">
        <w:rPr>
          <w:rStyle w:val="FootnoteReference"/>
          <w:color w:val="000000" w:themeColor="text1"/>
        </w:rPr>
        <w:footnoteReference w:id="61"/>
      </w:r>
      <w:r w:rsidRPr="00BD1F38">
        <w:rPr>
          <w:color w:val="000000" w:themeColor="text1"/>
        </w:rPr>
        <w:t xml:space="preserve"> and where the sacred reveals itself. The </w:t>
      </w:r>
      <w:proofErr w:type="spellStart"/>
      <w:r w:rsidRPr="00BD1F38">
        <w:rPr>
          <w:color w:val="000000" w:themeColor="text1"/>
        </w:rPr>
        <w:t>aforecited</w:t>
      </w:r>
      <w:proofErr w:type="spellEnd"/>
      <w:r w:rsidRPr="00BD1F38">
        <w:rPr>
          <w:color w:val="000000" w:themeColor="text1"/>
        </w:rPr>
        <w:t xml:space="preserve"> Torah passage illustrates the potential for the water of the settlement to be that connective </w:t>
      </w:r>
      <w:r w:rsidRPr="00BD1F38">
        <w:rPr>
          <w:i/>
          <w:iCs/>
          <w:color w:val="000000" w:themeColor="text1"/>
        </w:rPr>
        <w:t>axis mundi</w:t>
      </w:r>
      <w:r w:rsidRPr="00BD1F38">
        <w:rPr>
          <w:color w:val="000000" w:themeColor="text1"/>
        </w:rPr>
        <w:t xml:space="preserve"> between divinity and humanity. The tree submerged and infused in the waters ‘that </w:t>
      </w:r>
      <w:proofErr w:type="spellStart"/>
      <w:r w:rsidRPr="00BD1F38">
        <w:rPr>
          <w:color w:val="000000" w:themeColor="text1"/>
        </w:rPr>
        <w:t>healeth</w:t>
      </w:r>
      <w:proofErr w:type="spellEnd"/>
      <w:r w:rsidRPr="00BD1F38">
        <w:rPr>
          <w:color w:val="000000" w:themeColor="text1"/>
        </w:rPr>
        <w:t xml:space="preserve">’ them, here from thirst bares unusual similarities with the </w:t>
      </w:r>
      <w:proofErr w:type="spellStart"/>
      <w:r w:rsidRPr="00BD1F38">
        <w:rPr>
          <w:color w:val="000000" w:themeColor="text1"/>
        </w:rPr>
        <w:t>Tevilah</w:t>
      </w:r>
      <w:proofErr w:type="spellEnd"/>
      <w:r w:rsidRPr="00BD1F38">
        <w:rPr>
          <w:color w:val="000000" w:themeColor="text1"/>
        </w:rPr>
        <w:t xml:space="preserve"> ritual.</w:t>
      </w:r>
      <w:r w:rsidR="00A5348F" w:rsidRPr="00BD1F38">
        <w:rPr>
          <w:rStyle w:val="FootnoteReference"/>
          <w:color w:val="000000" w:themeColor="text1"/>
        </w:rPr>
        <w:footnoteReference w:id="62"/>
      </w:r>
      <w:r w:rsidRPr="00BD1F38">
        <w:rPr>
          <w:color w:val="000000" w:themeColor="text1"/>
        </w:rPr>
        <w:t xml:space="preserve"> In a sense, the tree is almost akin to a sacrifice for the Israelites, since the Torah moments earlier mentions how the LORD cast the Egyptian Pharaoh and ‘his chosen captains’ into, to be drowned in, the very Red Sea he parted for them: ‘The depths have covered them: they sank into the bottom as a stone.’</w:t>
      </w:r>
      <w:r w:rsidRPr="00BD1F38">
        <w:rPr>
          <w:rStyle w:val="FootnoteReference"/>
          <w:color w:val="000000" w:themeColor="text1"/>
        </w:rPr>
        <w:footnoteReference w:id="63"/>
      </w:r>
      <w:r w:rsidRPr="00BD1F38">
        <w:rPr>
          <w:color w:val="000000" w:themeColor="text1"/>
        </w:rPr>
        <w:t xml:space="preserve"> </w:t>
      </w:r>
      <w:proofErr w:type="spellStart"/>
      <w:r w:rsidRPr="00BD1F38">
        <w:rPr>
          <w:color w:val="000000" w:themeColor="text1"/>
        </w:rPr>
        <w:t>Tevilah</w:t>
      </w:r>
      <w:proofErr w:type="spellEnd"/>
      <w:r w:rsidRPr="00BD1F38">
        <w:rPr>
          <w:color w:val="000000" w:themeColor="text1"/>
        </w:rPr>
        <w:t xml:space="preserve"> ‘is traditionally associated with significant changes in ontological status’,</w:t>
      </w:r>
      <w:r w:rsidRPr="00BD1F38">
        <w:rPr>
          <w:rStyle w:val="FootnoteReference"/>
          <w:color w:val="000000" w:themeColor="text1"/>
        </w:rPr>
        <w:footnoteReference w:id="64"/>
      </w:r>
      <w:r w:rsidRPr="00BD1F38">
        <w:rPr>
          <w:color w:val="000000" w:themeColor="text1"/>
        </w:rPr>
        <w:t xml:space="preserve"> functioning as a sacred means of transforming the impure into the pure, the uncanny into the orderly - and by implication, for leaving behind a lesser stage of existence and entering a higher one’;</w:t>
      </w:r>
      <w:r w:rsidRPr="00BD1F38">
        <w:rPr>
          <w:rStyle w:val="FootnoteReference"/>
          <w:color w:val="000000" w:themeColor="text1"/>
        </w:rPr>
        <w:footnoteReference w:id="65"/>
      </w:r>
      <w:r w:rsidRPr="00BD1F38">
        <w:rPr>
          <w:color w:val="000000" w:themeColor="text1"/>
        </w:rPr>
        <w:t xml:space="preserve"> in other words: ritual symbolic death, and sacred </w:t>
      </w:r>
      <w:proofErr w:type="spellStart"/>
      <w:r w:rsidRPr="00BD1F38">
        <w:rPr>
          <w:color w:val="000000" w:themeColor="text1"/>
        </w:rPr>
        <w:t>reconstitutional</w:t>
      </w:r>
      <w:proofErr w:type="spellEnd"/>
      <w:r w:rsidRPr="00BD1F38">
        <w:rPr>
          <w:color w:val="000000" w:themeColor="text1"/>
        </w:rPr>
        <w:t xml:space="preserve"> rebirth, as is also a plausible reading of this Torah passage – the tree cast into the waters mirroring the drowning of the Pharaoh and the tree and water reacting together as though a </w:t>
      </w:r>
      <w:r w:rsidRPr="00BD1F38">
        <w:rPr>
          <w:i/>
          <w:iCs/>
          <w:color w:val="000000" w:themeColor="text1"/>
        </w:rPr>
        <w:t>potion</w:t>
      </w:r>
      <w:r w:rsidRPr="00BD1F38">
        <w:rPr>
          <w:color w:val="000000" w:themeColor="text1"/>
        </w:rPr>
        <w:t xml:space="preserve">, to produce something </w:t>
      </w:r>
      <w:r w:rsidRPr="00BD1F38">
        <w:rPr>
          <w:i/>
          <w:iCs/>
          <w:color w:val="000000" w:themeColor="text1"/>
        </w:rPr>
        <w:t>pure</w:t>
      </w:r>
      <w:r w:rsidRPr="00BD1F38">
        <w:rPr>
          <w:color w:val="000000" w:themeColor="text1"/>
        </w:rPr>
        <w:t xml:space="preserve"> – both corporeally and spiritually quenching for the Israelites. This is also symbolised in the Rig Veda, where ritual oblation synthesises ‘the clarified butter out of the waters and the Man out of the plants’,</w:t>
      </w:r>
      <w:r w:rsidRPr="00BD1F38">
        <w:rPr>
          <w:rStyle w:val="FootnoteReference"/>
          <w:color w:val="000000" w:themeColor="text1"/>
        </w:rPr>
        <w:footnoteReference w:id="66"/>
      </w:r>
      <w:r w:rsidRPr="00BD1F38">
        <w:rPr>
          <w:color w:val="000000" w:themeColor="text1"/>
        </w:rPr>
        <w:t xml:space="preserve"> the clarified butter being ‘the </w:t>
      </w:r>
      <w:r w:rsidRPr="00BD1F38">
        <w:rPr>
          <w:i/>
          <w:iCs/>
          <w:color w:val="000000" w:themeColor="text1"/>
        </w:rPr>
        <w:t>essence</w:t>
      </w:r>
      <w:r w:rsidRPr="00BD1F38">
        <w:rPr>
          <w:color w:val="000000" w:themeColor="text1"/>
        </w:rPr>
        <w:t xml:space="preserve"> of the waters, the most precious of fluids, and also something that is placed in the waters (in ritual and in cosmogonies, the golden seed – another form of </w:t>
      </w:r>
      <w:proofErr w:type="gramStart"/>
      <w:r w:rsidRPr="00BD1F38">
        <w:rPr>
          <w:color w:val="000000" w:themeColor="text1"/>
        </w:rPr>
        <w:t>god</w:t>
      </w:r>
      <w:proofErr w:type="gramEnd"/>
      <w:r w:rsidRPr="00BD1F38">
        <w:rPr>
          <w:color w:val="000000" w:themeColor="text1"/>
        </w:rPr>
        <w:t xml:space="preserve"> Agni himself – in the waters). The man of the plants may be the personified god […] or the corpse that is given to Agni’.</w:t>
      </w:r>
      <w:r w:rsidRPr="00BD1F38">
        <w:rPr>
          <w:rStyle w:val="FootnoteReference"/>
          <w:color w:val="000000" w:themeColor="text1"/>
        </w:rPr>
        <w:footnoteReference w:id="67"/>
      </w:r>
      <w:r w:rsidRPr="00BD1F38">
        <w:rPr>
          <w:color w:val="000000" w:themeColor="text1"/>
        </w:rPr>
        <w:t xml:space="preserve"> As such, the tree in the passage of Torah may too be </w:t>
      </w:r>
      <w:r w:rsidRPr="00BD1F38">
        <w:rPr>
          <w:i/>
          <w:iCs/>
          <w:color w:val="000000" w:themeColor="text1"/>
        </w:rPr>
        <w:t>personified god</w:t>
      </w:r>
      <w:r w:rsidRPr="00BD1F38">
        <w:rPr>
          <w:color w:val="000000" w:themeColor="text1"/>
        </w:rPr>
        <w:t xml:space="preserve">, and the </w:t>
      </w:r>
      <w:r w:rsidRPr="00BD1F38">
        <w:rPr>
          <w:i/>
          <w:iCs/>
          <w:color w:val="000000" w:themeColor="text1"/>
        </w:rPr>
        <w:t>corpse given</w:t>
      </w:r>
      <w:r w:rsidRPr="00BD1F38">
        <w:rPr>
          <w:color w:val="000000" w:themeColor="text1"/>
        </w:rPr>
        <w:t xml:space="preserve"> might have been the pharaoh.   </w:t>
      </w:r>
    </w:p>
    <w:p w14:paraId="4E8EFC43" w14:textId="77777777" w:rsidR="0045403B" w:rsidRPr="00BD1F38" w:rsidRDefault="0045403B" w:rsidP="0045403B">
      <w:pPr>
        <w:pStyle w:val="NormalWeb"/>
        <w:spacing w:line="360" w:lineRule="auto"/>
        <w:rPr>
          <w:color w:val="000000" w:themeColor="text1"/>
        </w:rPr>
      </w:pPr>
      <w:r w:rsidRPr="00BD1F38">
        <w:rPr>
          <w:color w:val="000000" w:themeColor="text1"/>
        </w:rPr>
        <w:t xml:space="preserve">The potential is there then, for water to be the connective metaphysical </w:t>
      </w:r>
      <w:r w:rsidRPr="00BD1F38">
        <w:rPr>
          <w:i/>
          <w:iCs/>
          <w:color w:val="000000" w:themeColor="text1"/>
        </w:rPr>
        <w:t>axis mundi</w:t>
      </w:r>
      <w:r w:rsidRPr="00BD1F38">
        <w:rPr>
          <w:color w:val="000000" w:themeColor="text1"/>
        </w:rPr>
        <w:t xml:space="preserve"> of the </w:t>
      </w:r>
      <w:r w:rsidRPr="00BD1F38">
        <w:rPr>
          <w:i/>
          <w:iCs/>
          <w:color w:val="000000" w:themeColor="text1"/>
        </w:rPr>
        <w:t xml:space="preserve">imago mundi. </w:t>
      </w:r>
      <w:r w:rsidRPr="00BD1F38">
        <w:rPr>
          <w:color w:val="000000" w:themeColor="text1"/>
        </w:rPr>
        <w:t xml:space="preserve">This allusion to water as envoy between human and divine realms is similarly suggested </w:t>
      </w:r>
      <w:r w:rsidRPr="00BD1F38">
        <w:rPr>
          <w:color w:val="000000" w:themeColor="text1"/>
        </w:rPr>
        <w:lastRenderedPageBreak/>
        <w:t>in the Rig Veda: ‘The same water travels up and down day after day’.</w:t>
      </w:r>
      <w:r w:rsidRPr="00BD1F38">
        <w:rPr>
          <w:rStyle w:val="FootnoteReference"/>
          <w:color w:val="000000" w:themeColor="text1"/>
        </w:rPr>
        <w:footnoteReference w:id="68"/>
      </w:r>
      <w:r w:rsidRPr="00BD1F38">
        <w:rPr>
          <w:color w:val="000000" w:themeColor="text1"/>
        </w:rPr>
        <w:t xml:space="preserve"> The perceived centre of the world with water realistically at the centre of </w:t>
      </w:r>
      <w:r w:rsidRPr="00BD1F38">
        <w:rPr>
          <w:i/>
          <w:iCs/>
          <w:color w:val="000000" w:themeColor="text1"/>
        </w:rPr>
        <w:t>its</w:t>
      </w:r>
      <w:r w:rsidRPr="00BD1F38">
        <w:rPr>
          <w:color w:val="000000" w:themeColor="text1"/>
        </w:rPr>
        <w:t xml:space="preserve"> world, is indicated also by the naming of Marah, named after the Hebrew word for bitterness upon inspiration of the water there; indicative of water being the potential nominative determinant of a place’s identity. This is even demonstrated to be the case for </w:t>
      </w:r>
      <w:r w:rsidRPr="00BD1F38">
        <w:rPr>
          <w:i/>
          <w:iCs/>
          <w:color w:val="000000" w:themeColor="text1"/>
        </w:rPr>
        <w:t>group</w:t>
      </w:r>
      <w:r w:rsidRPr="00BD1F38">
        <w:rPr>
          <w:color w:val="000000" w:themeColor="text1"/>
        </w:rPr>
        <w:t xml:space="preserve"> identity, with the etymology of Hindu being the same Sindhu of the </w:t>
      </w:r>
      <w:proofErr w:type="gramStart"/>
      <w:r w:rsidRPr="00BD1F38">
        <w:rPr>
          <w:color w:val="000000" w:themeColor="text1"/>
        </w:rPr>
        <w:t>Sindhu river</w:t>
      </w:r>
      <w:proofErr w:type="gramEnd"/>
      <w:r w:rsidRPr="00BD1F38">
        <w:rPr>
          <w:color w:val="000000" w:themeColor="text1"/>
        </w:rPr>
        <w:t xml:space="preserve"> where many of the Vedic peoples lived.</w:t>
      </w:r>
      <w:r w:rsidRPr="00BD1F38">
        <w:rPr>
          <w:rStyle w:val="FootnoteReference"/>
          <w:color w:val="000000" w:themeColor="text1"/>
        </w:rPr>
        <w:footnoteReference w:id="69"/>
      </w:r>
      <w:r w:rsidRPr="00BD1F38">
        <w:rPr>
          <w:color w:val="000000" w:themeColor="text1"/>
        </w:rPr>
        <w:t xml:space="preserve"> This identifying link between a place and its water and a people and their place’s water, is also immediately suggestive of water’s conceivable importance within the make-up of the settlement’s greater sacred cosmological environment composed of divine archetypes. </w:t>
      </w:r>
    </w:p>
    <w:p w14:paraId="5E707C2A" w14:textId="77777777" w:rsidR="0045403B" w:rsidRPr="00BD1F38" w:rsidRDefault="0045403B" w:rsidP="0045403B">
      <w:pPr>
        <w:pStyle w:val="NormalWeb"/>
        <w:spacing w:line="360" w:lineRule="auto"/>
        <w:rPr>
          <w:color w:val="000000" w:themeColor="text1"/>
        </w:rPr>
      </w:pPr>
      <w:r w:rsidRPr="00BD1F38">
        <w:rPr>
          <w:color w:val="000000" w:themeColor="text1"/>
        </w:rPr>
        <w:t xml:space="preserve">This is even the case for the god Indra of the Rig Veda, despite generally considered to not have come from Sindhu by scholars. Both Indra and Sindhu are believed to have consistent etymological origins, with Edward Delavan Perry in his book </w:t>
      </w:r>
      <w:r w:rsidRPr="00BD1F38">
        <w:rPr>
          <w:i/>
          <w:iCs/>
          <w:color w:val="000000" w:themeColor="text1"/>
        </w:rPr>
        <w:t xml:space="preserve">Indra In The Rig Veda </w:t>
      </w:r>
      <w:r w:rsidRPr="00BD1F38">
        <w:rPr>
          <w:color w:val="000000" w:themeColor="text1"/>
        </w:rPr>
        <w:t xml:space="preserve">citing linguist Max Müller’s stance that Indra comes from the proto-Indo-European root word </w:t>
      </w:r>
      <w:proofErr w:type="spellStart"/>
      <w:r w:rsidRPr="00BD1F38">
        <w:rPr>
          <w:i/>
          <w:iCs/>
          <w:color w:val="000000" w:themeColor="text1"/>
        </w:rPr>
        <w:t>indu</w:t>
      </w:r>
      <w:proofErr w:type="spellEnd"/>
      <w:r w:rsidRPr="00BD1F38">
        <w:rPr>
          <w:i/>
          <w:iCs/>
          <w:color w:val="000000" w:themeColor="text1"/>
        </w:rPr>
        <w:t>,</w:t>
      </w:r>
      <w:r w:rsidRPr="00BD1F38">
        <w:rPr>
          <w:color w:val="000000" w:themeColor="text1"/>
        </w:rPr>
        <w:t xml:space="preserve"> or ‘drop’, ‘sap’, or ‘swell’ so Indra is still nominatively linked to water, more specifically to rain.</w:t>
      </w:r>
      <w:r w:rsidRPr="00BD1F38">
        <w:rPr>
          <w:rStyle w:val="FootnoteReference"/>
          <w:color w:val="000000" w:themeColor="text1"/>
        </w:rPr>
        <w:footnoteReference w:id="70"/>
      </w:r>
      <w:r w:rsidRPr="00BD1F38">
        <w:rPr>
          <w:color w:val="000000" w:themeColor="text1"/>
        </w:rPr>
        <w:t xml:space="preserve"> </w:t>
      </w:r>
      <w:bookmarkStart w:id="0" w:name="OLE_LINK7"/>
      <w:bookmarkStart w:id="1" w:name="OLE_LINK8"/>
      <w:r w:rsidRPr="00BD1F38">
        <w:rPr>
          <w:color w:val="000000" w:themeColor="text1"/>
        </w:rPr>
        <w:t>To conclude: place, people, and divinity has seemingly all been nominatively distinguished by their relationship to the water of that area, demonstrating its grouping consequence in the functioning, actions, and perceptions of the people dependent on it; and therefore also seemingly their archetypes as derivations, perceptions, and ritual influences.</w:t>
      </w:r>
      <w:r w:rsidRPr="00BD1F38">
        <w:rPr>
          <w:rStyle w:val="FootnoteReference"/>
          <w:color w:val="000000" w:themeColor="text1"/>
        </w:rPr>
        <w:footnoteReference w:id="71"/>
      </w:r>
    </w:p>
    <w:bookmarkEnd w:id="0"/>
    <w:bookmarkEnd w:id="1"/>
    <w:p w14:paraId="1C5851B1" w14:textId="785C22CB" w:rsidR="0045403B" w:rsidRPr="00BD1F38" w:rsidRDefault="0045403B" w:rsidP="0045403B">
      <w:pPr>
        <w:pStyle w:val="NormalWeb"/>
        <w:spacing w:line="360" w:lineRule="auto"/>
        <w:rPr>
          <w:color w:val="000000" w:themeColor="text1"/>
        </w:rPr>
      </w:pPr>
      <w:r w:rsidRPr="00BD1F38">
        <w:rPr>
          <w:color w:val="000000" w:themeColor="text1"/>
        </w:rPr>
        <w:t>Eliade acknowledges the revelation of a place’s non-homogeneousness as being ‘a primary religious experience that precedes all reflection on the world’</w:t>
      </w:r>
      <w:r w:rsidRPr="00BD1F38">
        <w:rPr>
          <w:rStyle w:val="FootnoteReference"/>
          <w:color w:val="000000" w:themeColor="text1"/>
        </w:rPr>
        <w:footnoteReference w:id="72"/>
      </w:r>
      <w:r w:rsidRPr="00BD1F38">
        <w:rPr>
          <w:color w:val="000000" w:themeColor="text1"/>
        </w:rPr>
        <w:t xml:space="preserve"> hence also preceding metaphysical archetypes; being the ‘central axis of all future orientation’, revealing for the first time the ‘absolute reality’ associated with the holy.</w:t>
      </w:r>
      <w:r w:rsidRPr="00BD1F38">
        <w:rPr>
          <w:rStyle w:val="FootnoteReference"/>
          <w:color w:val="000000" w:themeColor="text1"/>
        </w:rPr>
        <w:footnoteReference w:id="73"/>
      </w:r>
      <w:r w:rsidRPr="00BD1F38">
        <w:rPr>
          <w:color w:val="000000" w:themeColor="text1"/>
        </w:rPr>
        <w:t xml:space="preserve"> A prime example of this is Abram’s </w:t>
      </w:r>
      <w:proofErr w:type="spellStart"/>
      <w:r w:rsidRPr="00BD1F38">
        <w:rPr>
          <w:color w:val="000000" w:themeColor="text1"/>
        </w:rPr>
        <w:t>hierophany</w:t>
      </w:r>
      <w:proofErr w:type="spellEnd"/>
      <w:r w:rsidRPr="00BD1F38">
        <w:rPr>
          <w:color w:val="000000" w:themeColor="text1"/>
        </w:rPr>
        <w:t xml:space="preserve"> in Genesis, despite it being of a </w:t>
      </w:r>
      <w:r w:rsidRPr="00BD1F38">
        <w:rPr>
          <w:i/>
          <w:iCs/>
          <w:color w:val="000000" w:themeColor="text1"/>
        </w:rPr>
        <w:t>promised</w:t>
      </w:r>
      <w:r w:rsidRPr="00BD1F38">
        <w:rPr>
          <w:color w:val="000000" w:themeColor="text1"/>
        </w:rPr>
        <w:t xml:space="preserve"> land and not the land in which he resided, since Eliade asserts that when the sacred manifests itself in any </w:t>
      </w:r>
      <w:proofErr w:type="spellStart"/>
      <w:r w:rsidRPr="00BD1F38">
        <w:rPr>
          <w:color w:val="000000" w:themeColor="text1"/>
        </w:rPr>
        <w:t>hierophany</w:t>
      </w:r>
      <w:proofErr w:type="spellEnd"/>
      <w:r w:rsidRPr="00BD1F38">
        <w:rPr>
          <w:color w:val="000000" w:themeColor="text1"/>
        </w:rPr>
        <w:t xml:space="preserve">, there is that ‘break in the homogeneity of space’. The promised land is inherently linked to fertility; the birth of a </w:t>
      </w:r>
      <w:r w:rsidRPr="00BD1F38">
        <w:rPr>
          <w:color w:val="000000" w:themeColor="text1"/>
        </w:rPr>
        <w:lastRenderedPageBreak/>
        <w:t>nation, the ‘everlasting covenant’ with the LORD</w:t>
      </w:r>
      <w:r w:rsidRPr="00BD1F38">
        <w:rPr>
          <w:rStyle w:val="FootnoteReference"/>
          <w:color w:val="000000" w:themeColor="text1"/>
        </w:rPr>
        <w:footnoteReference w:id="74"/>
      </w:r>
      <w:r w:rsidRPr="00BD1F38">
        <w:rPr>
          <w:color w:val="000000" w:themeColor="text1"/>
        </w:rPr>
        <w:t xml:space="preserve"> and ‘everlasting possession’ of that land.</w:t>
      </w:r>
      <w:r w:rsidRPr="00BD1F38">
        <w:rPr>
          <w:rStyle w:val="FootnoteReference"/>
          <w:color w:val="000000" w:themeColor="text1"/>
        </w:rPr>
        <w:footnoteReference w:id="75"/>
      </w:r>
      <w:r w:rsidRPr="00BD1F38">
        <w:rPr>
          <w:color w:val="000000" w:themeColor="text1"/>
        </w:rPr>
        <w:t xml:space="preserve"> The consequence of this vision is ultimately the arduous journey of the Israelites, led by Moses – descendant of Abram-turned-Abraham – with the Israelites’ group </w:t>
      </w:r>
      <w:r w:rsidRPr="00BD1F38">
        <w:rPr>
          <w:i/>
          <w:iCs/>
          <w:color w:val="000000" w:themeColor="text1"/>
        </w:rPr>
        <w:t>faithful</w:t>
      </w:r>
      <w:r w:rsidRPr="00BD1F38">
        <w:rPr>
          <w:color w:val="000000" w:themeColor="text1"/>
        </w:rPr>
        <w:t xml:space="preserve"> beliefs and behaviour based on that primary religious experience; being that central axis of all future orientation materially, socially, psychologically, ritually, and spiritually, which thusly ‘directly influences how the values of [this] water are perceived, derived and used’.</w:t>
      </w:r>
      <w:r w:rsidRPr="00BD1F38">
        <w:rPr>
          <w:rStyle w:val="FootnoteReference"/>
          <w:color w:val="000000" w:themeColor="text1"/>
        </w:rPr>
        <w:footnoteReference w:id="76"/>
      </w:r>
      <w:r w:rsidRPr="00BD1F38">
        <w:rPr>
          <w:color w:val="000000" w:themeColor="text1"/>
        </w:rPr>
        <w:t xml:space="preserve"> </w:t>
      </w:r>
      <w:r w:rsidRPr="00BD1F38">
        <w:rPr>
          <w:rStyle w:val="FootnoteReference"/>
          <w:color w:val="000000" w:themeColor="text1"/>
        </w:rPr>
        <w:footnoteReference w:id="77"/>
      </w:r>
      <w:r w:rsidRPr="00BD1F38">
        <w:rPr>
          <w:color w:val="000000" w:themeColor="text1"/>
        </w:rPr>
        <w:t xml:space="preserve"> Regarding the central locus of water to the promised land, it is revealed to be ‘a land of brooks of water, of fountains and depths of springs out of valleys and hills’</w:t>
      </w:r>
      <w:r w:rsidRPr="00BD1F38">
        <w:rPr>
          <w:rStyle w:val="FootnoteReference"/>
          <w:color w:val="000000" w:themeColor="text1"/>
        </w:rPr>
        <w:footnoteReference w:id="78"/>
      </w:r>
      <w:r w:rsidRPr="00BD1F38">
        <w:rPr>
          <w:color w:val="000000" w:themeColor="text1"/>
        </w:rPr>
        <w:t xml:space="preserve"> as well as a land of ‘milk and honey’ where ‘thou shalt not lack any [thing] in it’.</w:t>
      </w:r>
      <w:r w:rsidRPr="00BD1F38">
        <w:rPr>
          <w:rStyle w:val="FootnoteReference"/>
          <w:color w:val="000000" w:themeColor="text1"/>
        </w:rPr>
        <w:footnoteReference w:id="79"/>
      </w:r>
      <w:r w:rsidRPr="00BD1F38">
        <w:rPr>
          <w:color w:val="000000" w:themeColor="text1"/>
        </w:rPr>
        <w:t xml:space="preserve"> It was this same ‘manifestation of the sacred’ derived from water [that] ontologically founds the world’, its experiential local setting and </w:t>
      </w:r>
      <w:r w:rsidRPr="00BD1F38">
        <w:rPr>
          <w:i/>
          <w:iCs/>
          <w:color w:val="000000" w:themeColor="text1"/>
        </w:rPr>
        <w:t>order</w:t>
      </w:r>
      <w:r w:rsidRPr="00BD1F38">
        <w:rPr>
          <w:color w:val="000000" w:themeColor="text1"/>
        </w:rPr>
        <w:t xml:space="preserve"> of communal belief,</w:t>
      </w:r>
      <w:r w:rsidRPr="00BD1F38">
        <w:rPr>
          <w:rStyle w:val="FootnoteReference"/>
          <w:color w:val="000000" w:themeColor="text1"/>
        </w:rPr>
        <w:footnoteReference w:id="80"/>
      </w:r>
      <w:r w:rsidRPr="00BD1F38">
        <w:rPr>
          <w:color w:val="000000" w:themeColor="text1"/>
        </w:rPr>
        <w:t xml:space="preserve"> and eco-spiritual ‘</w:t>
      </w:r>
      <w:r w:rsidRPr="00BD1F38">
        <w:rPr>
          <w:i/>
          <w:iCs/>
          <w:color w:val="000000" w:themeColor="text1"/>
        </w:rPr>
        <w:t xml:space="preserve">ways of living together’ </w:t>
      </w:r>
      <w:r w:rsidRPr="00BD1F38">
        <w:rPr>
          <w:color w:val="000000" w:themeColor="text1"/>
        </w:rPr>
        <w:t>in environmental interrelationship with</w:t>
      </w:r>
      <w:r w:rsidRPr="00BD1F38">
        <w:rPr>
          <w:i/>
          <w:iCs/>
          <w:color w:val="000000" w:themeColor="text1"/>
        </w:rPr>
        <w:t xml:space="preserve"> </w:t>
      </w:r>
      <w:r w:rsidRPr="00BD1F38">
        <w:rPr>
          <w:color w:val="000000" w:themeColor="text1"/>
        </w:rPr>
        <w:t>corresponding</w:t>
      </w:r>
      <w:r w:rsidRPr="00BD1F38">
        <w:rPr>
          <w:i/>
          <w:iCs/>
          <w:color w:val="000000" w:themeColor="text1"/>
        </w:rPr>
        <w:t xml:space="preserve"> ‘value systems</w:t>
      </w:r>
      <w:r w:rsidRPr="00BD1F38">
        <w:rPr>
          <w:color w:val="000000" w:themeColor="text1"/>
        </w:rPr>
        <w:t>, [and]</w:t>
      </w:r>
      <w:r w:rsidRPr="00BD1F38">
        <w:rPr>
          <w:i/>
          <w:iCs/>
          <w:color w:val="000000" w:themeColor="text1"/>
        </w:rPr>
        <w:t xml:space="preserve"> traditions and beliefs</w:t>
      </w:r>
      <w:r w:rsidRPr="00BD1F38">
        <w:rPr>
          <w:color w:val="000000" w:themeColor="text1"/>
        </w:rPr>
        <w:t>’</w:t>
      </w:r>
      <w:r w:rsidRPr="00BD1F38">
        <w:rPr>
          <w:rStyle w:val="FootnoteReference"/>
          <w:color w:val="000000" w:themeColor="text1"/>
        </w:rPr>
        <w:footnoteReference w:id="81"/>
      </w:r>
    </w:p>
    <w:p w14:paraId="0342C580" w14:textId="77777777" w:rsidR="0045403B" w:rsidRPr="00BD1F38" w:rsidRDefault="0045403B" w:rsidP="0045403B">
      <w:pPr>
        <w:pStyle w:val="NormalWeb"/>
        <w:spacing w:line="360" w:lineRule="auto"/>
      </w:pPr>
      <w:r w:rsidRPr="00BD1F38">
        <w:t>To the Israelites, it founds their archetype that that particular land is their true home and that they are the chosen people of the divine – being two extant cornerstones of Jewish worldview.</w:t>
      </w:r>
      <w:r w:rsidRPr="00BD1F38">
        <w:rPr>
          <w:rStyle w:val="FootnoteReference"/>
        </w:rPr>
        <w:footnoteReference w:id="82"/>
      </w:r>
      <w:r w:rsidRPr="00BD1F38">
        <w:t xml:space="preserve"> It is also said by Eliade to ontologically found ritual,</w:t>
      </w:r>
      <w:r w:rsidRPr="00BD1F38">
        <w:rPr>
          <w:rStyle w:val="FootnoteReference"/>
        </w:rPr>
        <w:footnoteReference w:id="83"/>
      </w:r>
      <w:r w:rsidRPr="00BD1F38">
        <w:t xml:space="preserve"> which seems to be corroborated by both long-term ritual actions of the Israelites, and promptly in response to the </w:t>
      </w:r>
      <w:proofErr w:type="spellStart"/>
      <w:r w:rsidRPr="00BD1F38">
        <w:t>hierophany</w:t>
      </w:r>
      <w:proofErr w:type="spellEnd"/>
      <w:r w:rsidRPr="00BD1F38">
        <w:t xml:space="preserve">: when Jacob-turned-Israel (Abram-turned-Abraham’s grandson), ‘set up a pillar in the place where he talked with him [the divine], [even] a pillar of stone: and he poured a drink offering thereon, and he poured oil thereon. And Jacob called the name of the place where God </w:t>
      </w:r>
      <w:proofErr w:type="spellStart"/>
      <w:r w:rsidRPr="00BD1F38">
        <w:t>spake</w:t>
      </w:r>
      <w:proofErr w:type="spellEnd"/>
      <w:r w:rsidRPr="00BD1F38">
        <w:t xml:space="preserve"> with him, Bethel’, meaning house of the divine.</w:t>
      </w:r>
      <w:r w:rsidRPr="00BD1F38">
        <w:rPr>
          <w:rStyle w:val="FootnoteReference"/>
        </w:rPr>
        <w:footnoteReference w:id="84"/>
      </w:r>
      <w:r w:rsidRPr="00BD1F38">
        <w:t xml:space="preserve"> It is said by Eliade, that the irruption of sacred space likewise ontologically founds construction: exemplified in that </w:t>
      </w:r>
      <w:proofErr w:type="gramStart"/>
      <w:r w:rsidRPr="00BD1F38">
        <w:t>aforementioned Torah</w:t>
      </w:r>
      <w:proofErr w:type="gramEnd"/>
      <w:r w:rsidRPr="00BD1F38">
        <w:t xml:space="preserve"> passage and the </w:t>
      </w:r>
      <w:r w:rsidRPr="00BD1F38">
        <w:lastRenderedPageBreak/>
        <w:t>eventual construction of the holy city of Israel,</w:t>
      </w:r>
      <w:r w:rsidRPr="00BD1F38">
        <w:rPr>
          <w:rStyle w:val="FootnoteReference"/>
        </w:rPr>
        <w:footnoteReference w:id="85"/>
      </w:r>
      <w:r w:rsidRPr="00BD1F38">
        <w:t xml:space="preserve"> alongside the divine archetypes that arise from it as aforementioned.  </w:t>
      </w:r>
    </w:p>
    <w:p w14:paraId="339F7CF1" w14:textId="77777777" w:rsidR="0045403B" w:rsidRPr="00BD1F38" w:rsidRDefault="0045403B" w:rsidP="0045403B">
      <w:pPr>
        <w:pStyle w:val="NormalWeb"/>
        <w:spacing w:line="360" w:lineRule="auto"/>
      </w:pPr>
      <w:r w:rsidRPr="00BD1F38">
        <w:t>Further corresponding to these statements from Eliade, the Talmud observes that ‘Whoever lives outside the land is as if he had no God’ and that ‘Living in the land of Israel is of equal importance to all the commandments of the Torah’,</w:t>
      </w:r>
      <w:r w:rsidRPr="00BD1F38">
        <w:rPr>
          <w:rStyle w:val="FootnoteReference"/>
        </w:rPr>
        <w:footnoteReference w:id="86"/>
      </w:r>
      <w:r w:rsidRPr="00BD1F38">
        <w:t xml:space="preserve"> hinting at the environmental substance of faith; the sacred, according to Eliade, perceived to be made manifest in this world within its modalities, structure, and phenomena.</w:t>
      </w:r>
      <w:r w:rsidRPr="00BD1F38">
        <w:rPr>
          <w:rStyle w:val="FootnoteReference"/>
        </w:rPr>
        <w:footnoteReference w:id="87"/>
      </w:r>
    </w:p>
    <w:p w14:paraId="0889014C" w14:textId="77777777" w:rsidR="0045403B" w:rsidRPr="00BD1F38" w:rsidRDefault="0045403B" w:rsidP="0045403B">
      <w:pPr>
        <w:pStyle w:val="NormalWeb"/>
        <w:spacing w:line="360" w:lineRule="auto"/>
      </w:pPr>
      <w:r w:rsidRPr="00BD1F38">
        <w:t>An example of this modality, structure, and phenomena reflected in water and therefore suggestive of its manifestation of the sacred in their world is in the Sarasvati of the Rig Veda. One of the Sindhu, Sarasvati was identified as river, goddess, and sacred concept.</w:t>
      </w:r>
      <w:r w:rsidRPr="00BD1F38">
        <w:rPr>
          <w:rStyle w:val="FootnoteReference"/>
        </w:rPr>
        <w:footnoteReference w:id="88"/>
      </w:r>
      <w:r w:rsidRPr="00BD1F38">
        <w:t xml:space="preserve"> </w:t>
      </w:r>
      <w:r w:rsidRPr="00BD1F38">
        <w:rPr>
          <w:rStyle w:val="FootnoteReference"/>
        </w:rPr>
        <w:footnoteReference w:id="89"/>
      </w:r>
      <w:r w:rsidRPr="00BD1F38">
        <w:t xml:space="preserve"> Pertinently, Sarasvati was identified as ‘a goddess of Speech and as the river in the sky (cf. v. 25) and on earth’,</w:t>
      </w:r>
      <w:r w:rsidRPr="00BD1F38">
        <w:rPr>
          <w:rStyle w:val="FootnoteReference"/>
        </w:rPr>
        <w:footnoteReference w:id="90"/>
      </w:r>
      <w:r w:rsidRPr="00BD1F38">
        <w:t xml:space="preserve"> perhaps indicating that this particular river did genuinely act as spiritual link for its people to the metaphysical sacred; giving voice to divinity and enabling communication, with ‘</w:t>
      </w:r>
      <w:proofErr w:type="spellStart"/>
      <w:r w:rsidRPr="00BD1F38">
        <w:t>vāk</w:t>
      </w:r>
      <w:proofErr w:type="spellEnd"/>
      <w:r w:rsidRPr="00BD1F38">
        <w:t>’ (speech/word) often loaded with spiritual weight like the archetypal divine Word;</w:t>
      </w:r>
      <w:r w:rsidRPr="00BD1F38">
        <w:rPr>
          <w:rStyle w:val="FootnoteReference"/>
        </w:rPr>
        <w:footnoteReference w:id="91"/>
      </w:r>
      <w:r w:rsidRPr="00BD1F38">
        <w:t xml:space="preserve"> teaching of the </w:t>
      </w:r>
      <w:r w:rsidRPr="00BD1F38">
        <w:rPr>
          <w:i/>
          <w:iCs/>
        </w:rPr>
        <w:t>absolute</w:t>
      </w:r>
      <w:r w:rsidRPr="00BD1F38">
        <w:t xml:space="preserve"> reality that Eliade references in </w:t>
      </w:r>
      <w:r w:rsidRPr="00BD1F38">
        <w:rPr>
          <w:i/>
          <w:iCs/>
        </w:rPr>
        <w:t>The Sacred &amp; The Profane</w:t>
      </w:r>
      <w:r w:rsidRPr="00BD1F38">
        <w:t xml:space="preserve"> when defining how sacred space is made manifest. Sarasvati is also described in the Rig Veda as ‘Best of Mothers, Best of Rivers, Best of Goddesses’,</w:t>
      </w:r>
      <w:r w:rsidRPr="00BD1F38">
        <w:rPr>
          <w:rStyle w:val="FootnoteReference"/>
        </w:rPr>
        <w:footnoteReference w:id="92"/>
      </w:r>
      <w:r w:rsidRPr="00BD1F38">
        <w:t xml:space="preserve"> similarly suggestive of </w:t>
      </w:r>
      <w:proofErr w:type="gramStart"/>
      <w:r w:rsidRPr="00BD1F38">
        <w:t>its</w:t>
      </w:r>
      <w:proofErr w:type="gramEnd"/>
      <w:r w:rsidRPr="00BD1F38">
        <w:t xml:space="preserve"> having some revered distinguishing qualities pertaining to its description: ‘Your inexhaustible breast, Sarasvati, that flows with the food of life, that you use to nourish all that one could wish for, freely giving treasure and wealth and beautiful gifts’. This seems to collectively reveal elements of the river’s modality, structure, and phenomena, which here do appear to manifest the archetypal group conceptualisation of its holiness. This is insinuated in Sarasvati’s use as local ritual hub, where: ‘The gods sacrificed to the sacrifice with the sacrifice’, with these sacrifices even becoming ‘the </w:t>
      </w:r>
      <w:r w:rsidRPr="00BD1F38">
        <w:lastRenderedPageBreak/>
        <w:t xml:space="preserve">first ritual </w:t>
      </w:r>
      <w:proofErr w:type="gramStart"/>
      <w:r w:rsidRPr="00BD1F38">
        <w:t>laws’</w:t>
      </w:r>
      <w:proofErr w:type="gramEnd"/>
      <w:r w:rsidRPr="00BD1F38">
        <w:t>.</w:t>
      </w:r>
      <w:r w:rsidRPr="00BD1F38">
        <w:rPr>
          <w:rStyle w:val="FootnoteReference"/>
        </w:rPr>
        <w:footnoteReference w:id="93"/>
      </w:r>
      <w:r w:rsidRPr="00BD1F38">
        <w:t xml:space="preserve"> In these ritual sacrifices, the gods themselves were not only beneficiaries but also benefactors: sometimes inherently </w:t>
      </w:r>
      <w:r w:rsidRPr="00BD1F38">
        <w:rPr>
          <w:i/>
          <w:iCs/>
        </w:rPr>
        <w:t>part</w:t>
      </w:r>
      <w:r w:rsidRPr="00BD1F38">
        <w:t xml:space="preserve"> of the sacrificial object or sacramental ceremonial environment. The Soma ritual of the Rig Veda is an example given its status as both deity (to which may be sacrificed and who gives itself as sacrifice), liquid ritual object made from components of the peoples’ local ecosystem, and mechanism of the birth of the structure of sacred cosmology - visualised through ritual insemination symbolism further illuminated in the third section of this thesis: </w:t>
      </w:r>
      <w:r w:rsidRPr="00BD1F38">
        <w:rPr>
          <w:i/>
          <w:iCs/>
        </w:rPr>
        <w:t>Reflections</w:t>
      </w:r>
      <w:r w:rsidRPr="00BD1F38">
        <w:t>.</w:t>
      </w:r>
      <w:r w:rsidRPr="00BD1F38">
        <w:rPr>
          <w:rStyle w:val="FootnoteReference"/>
        </w:rPr>
        <w:footnoteReference w:id="94"/>
      </w:r>
      <w:r w:rsidRPr="00BD1F38">
        <w:t xml:space="preserve">  </w:t>
      </w:r>
    </w:p>
    <w:p w14:paraId="0B037FA1" w14:textId="77777777" w:rsidR="0045403B" w:rsidRPr="00BD1F38" w:rsidRDefault="0045403B" w:rsidP="0045403B">
      <w:pPr>
        <w:autoSpaceDE w:val="0"/>
        <w:autoSpaceDN w:val="0"/>
        <w:adjustRightInd w:val="0"/>
        <w:spacing w:line="360" w:lineRule="auto"/>
        <w:rPr>
          <w:rFonts w:eastAsiaTheme="minorEastAsia"/>
        </w:rPr>
      </w:pPr>
      <w:r w:rsidRPr="00BD1F38">
        <w:rPr>
          <w:rFonts w:eastAsiaTheme="minorEastAsia"/>
        </w:rPr>
        <w:t xml:space="preserve">Eliade, in </w:t>
      </w:r>
      <w:r w:rsidRPr="00BD1F38">
        <w:rPr>
          <w:rFonts w:eastAsiaTheme="minorEastAsia"/>
          <w:i/>
          <w:iCs/>
        </w:rPr>
        <w:t>Patterns In Comparative Religion</w:t>
      </w:r>
      <w:r w:rsidRPr="00BD1F38">
        <w:rPr>
          <w:rFonts w:eastAsiaTheme="minorEastAsia"/>
        </w:rPr>
        <w:t>, also notes how some bodies of water were understood to have greater powers</w:t>
      </w:r>
      <w:r w:rsidRPr="00BD1F38">
        <w:rPr>
          <w:rStyle w:val="FootnoteReference"/>
          <w:rFonts w:eastAsiaTheme="minorEastAsia"/>
        </w:rPr>
        <w:footnoteReference w:id="95"/>
      </w:r>
      <w:r w:rsidRPr="00BD1F38">
        <w:rPr>
          <w:rFonts w:eastAsiaTheme="minorEastAsia"/>
        </w:rPr>
        <w:t xml:space="preserve"> - corresponding ‘to these many different values given to’ them - particularly ‘springs held to be curative’ - a sacred archetypal value which ‘displays a striking continuity’, and those with a taste for providing ‘local epiphany’.</w:t>
      </w:r>
      <w:r w:rsidRPr="00BD1F38">
        <w:rPr>
          <w:rStyle w:val="FootnoteReference"/>
          <w:rFonts w:eastAsiaTheme="minorEastAsia"/>
        </w:rPr>
        <w:t xml:space="preserve"> </w:t>
      </w:r>
      <w:r w:rsidRPr="00BD1F38">
        <w:rPr>
          <w:rStyle w:val="FootnoteReference"/>
          <w:rFonts w:eastAsiaTheme="minorEastAsia"/>
        </w:rPr>
        <w:footnoteReference w:id="96"/>
      </w:r>
      <w:r w:rsidRPr="00BD1F38">
        <w:rPr>
          <w:rFonts w:eastAsiaTheme="minorEastAsia"/>
        </w:rPr>
        <w:t xml:space="preserve"> As such, the greater medicinal quality or miraculous, </w:t>
      </w:r>
      <w:proofErr w:type="spellStart"/>
      <w:r w:rsidRPr="00BD1F38">
        <w:rPr>
          <w:rFonts w:eastAsiaTheme="minorEastAsia"/>
        </w:rPr>
        <w:t>hierophanic</w:t>
      </w:r>
      <w:proofErr w:type="spellEnd"/>
      <w:r w:rsidRPr="00BD1F38">
        <w:rPr>
          <w:rFonts w:eastAsiaTheme="minorEastAsia"/>
        </w:rPr>
        <w:t xml:space="preserve"> nature of certain waters may have led to or reinforced the sacredness of that place, and therefore increased their likelihood of becoming a settlement and/or eco-spiritual ritual hub; maintained as imago </w:t>
      </w:r>
      <w:r w:rsidRPr="00BD1F38">
        <w:rPr>
          <w:rFonts w:eastAsiaTheme="minorEastAsia"/>
          <w:i/>
          <w:iCs/>
        </w:rPr>
        <w:t>and</w:t>
      </w:r>
      <w:r w:rsidRPr="00BD1F38">
        <w:rPr>
          <w:rFonts w:eastAsiaTheme="minorEastAsia"/>
        </w:rPr>
        <w:t xml:space="preserve"> axis mundi between the local and greater sacred cosmological environment composed of the conceptualisation of divinity and corresponding archetypal imagery.</w:t>
      </w:r>
      <w:r w:rsidRPr="00BD1F38">
        <w:rPr>
          <w:rStyle w:val="FootnoteReference"/>
          <w:rFonts w:eastAsiaTheme="minorEastAsia"/>
        </w:rPr>
        <w:footnoteReference w:id="97"/>
      </w:r>
      <w:r w:rsidRPr="00BD1F38">
        <w:rPr>
          <w:rFonts w:eastAsiaTheme="minorEastAsia"/>
        </w:rPr>
        <w:t xml:space="preserve"> In Vedic archetypes, sacred waters are considered to present ‘sanctity and miracles’.</w:t>
      </w:r>
      <w:r w:rsidRPr="00BD1F38">
        <w:rPr>
          <w:rStyle w:val="FootnoteReference"/>
          <w:rFonts w:eastAsiaTheme="minorEastAsia"/>
        </w:rPr>
        <w:footnoteReference w:id="98"/>
      </w:r>
      <w:r w:rsidRPr="00BD1F38">
        <w:rPr>
          <w:rFonts w:eastAsiaTheme="minorEastAsia"/>
        </w:rPr>
        <w:t xml:space="preserve"> These </w:t>
      </w:r>
      <w:r w:rsidRPr="00BD1F38">
        <w:rPr>
          <w:rFonts w:eastAsiaTheme="minorEastAsia"/>
          <w:i/>
          <w:iCs/>
        </w:rPr>
        <w:t>miracles</w:t>
      </w:r>
      <w:r w:rsidRPr="00BD1F38">
        <w:rPr>
          <w:rFonts w:eastAsiaTheme="minorEastAsia"/>
        </w:rPr>
        <w:t xml:space="preserve"> vary broadly in specifics, from the curative to the revelatory, the prophetic to the cataclysmic, and their transition from ecological events or properties to psychological sensations and resulting transformation into divine archetypes can be interpreted in relation to what is called </w:t>
      </w:r>
      <w:r w:rsidRPr="00BD1F38">
        <w:rPr>
          <w:rFonts w:eastAsiaTheme="minorEastAsia"/>
          <w:i/>
          <w:iCs/>
        </w:rPr>
        <w:t>rasa</w:t>
      </w:r>
      <w:r w:rsidRPr="00BD1F38">
        <w:rPr>
          <w:rFonts w:eastAsiaTheme="minorEastAsia"/>
        </w:rPr>
        <w:t xml:space="preserve">. Despite traditionally articulated regarding dramaturgy, </w:t>
      </w:r>
      <w:r w:rsidRPr="00BD1F38">
        <w:rPr>
          <w:rFonts w:eastAsiaTheme="minorEastAsia"/>
          <w:i/>
          <w:iCs/>
        </w:rPr>
        <w:t>rasa</w:t>
      </w:r>
      <w:r w:rsidRPr="00BD1F38">
        <w:rPr>
          <w:rFonts w:eastAsiaTheme="minorEastAsia"/>
        </w:rPr>
        <w:t xml:space="preserve"> owe much of their substance to the authentic interrelationship of stimuli and psychological, sociological, and spiritual response;</w:t>
      </w:r>
      <w:r w:rsidRPr="00BD1F38">
        <w:rPr>
          <w:rStyle w:val="FootnoteReference"/>
          <w:rFonts w:eastAsiaTheme="minorEastAsia"/>
        </w:rPr>
        <w:footnoteReference w:id="99"/>
      </w:r>
      <w:r w:rsidRPr="00BD1F38">
        <w:rPr>
          <w:rFonts w:eastAsiaTheme="minorEastAsia"/>
        </w:rPr>
        <w:t xml:space="preserve"> and therefore utilising elements of the </w:t>
      </w:r>
      <w:proofErr w:type="spellStart"/>
      <w:r w:rsidRPr="00BD1F38">
        <w:rPr>
          <w:rFonts w:eastAsiaTheme="minorEastAsia"/>
          <w:i/>
          <w:iCs/>
        </w:rPr>
        <w:t>Adbhuta</w:t>
      </w:r>
      <w:proofErr w:type="spellEnd"/>
      <w:r w:rsidRPr="00BD1F38">
        <w:rPr>
          <w:rFonts w:eastAsiaTheme="minorEastAsia"/>
          <w:i/>
          <w:iCs/>
        </w:rPr>
        <w:t xml:space="preserve"> rasa</w:t>
      </w:r>
      <w:r w:rsidRPr="00BD1F38">
        <w:rPr>
          <w:rFonts w:eastAsiaTheme="minorEastAsia"/>
        </w:rPr>
        <w:t xml:space="preserve"> is arguably highly applicable to the explicating of how and why water may have influenced divine archetypes of Vedic thought, represented in the Rig Veda, and how this may </w:t>
      </w:r>
      <w:r w:rsidRPr="00BD1F38">
        <w:rPr>
          <w:rFonts w:eastAsiaTheme="minorEastAsia"/>
        </w:rPr>
        <w:lastRenderedPageBreak/>
        <w:t xml:space="preserve">have shaped and/or is reflected in eco-spiritual Soma ritual. Fittingly too, </w:t>
      </w:r>
      <w:r w:rsidRPr="00BD1F38">
        <w:rPr>
          <w:rFonts w:eastAsiaTheme="minorEastAsia"/>
          <w:i/>
          <w:iCs/>
        </w:rPr>
        <w:t>rasa</w:t>
      </w:r>
      <w:r w:rsidRPr="00BD1F38">
        <w:rPr>
          <w:rFonts w:eastAsiaTheme="minorEastAsia"/>
        </w:rPr>
        <w:t xml:space="preserve"> is expressed in the Rig Veda as liquid, extract or juice, or essence. Within Indian arts, it denotes the aesthetic flavour of what is experienced.</w:t>
      </w:r>
      <w:r w:rsidRPr="00BD1F38">
        <w:rPr>
          <w:rStyle w:val="FootnoteReference"/>
          <w:rFonts w:eastAsiaTheme="minorEastAsia"/>
        </w:rPr>
        <w:footnoteReference w:id="100"/>
      </w:r>
    </w:p>
    <w:p w14:paraId="2043EDC0" w14:textId="77777777" w:rsidR="0045403B" w:rsidRPr="00BD1F38" w:rsidRDefault="0045403B" w:rsidP="0045403B">
      <w:pPr>
        <w:autoSpaceDE w:val="0"/>
        <w:autoSpaceDN w:val="0"/>
        <w:adjustRightInd w:val="0"/>
        <w:spacing w:line="360" w:lineRule="auto"/>
        <w:rPr>
          <w:rFonts w:eastAsiaTheme="minorEastAsia"/>
        </w:rPr>
      </w:pPr>
    </w:p>
    <w:p w14:paraId="6904A34F" w14:textId="77777777" w:rsidR="0045403B" w:rsidRPr="00BD1F38" w:rsidRDefault="0045403B" w:rsidP="0045403B">
      <w:pPr>
        <w:autoSpaceDE w:val="0"/>
        <w:autoSpaceDN w:val="0"/>
        <w:adjustRightInd w:val="0"/>
        <w:spacing w:line="360" w:lineRule="auto"/>
        <w:rPr>
          <w:rStyle w:val="Emphasis"/>
          <w:i w:val="0"/>
          <w:iCs w:val="0"/>
          <w:color w:val="1E1E1E"/>
        </w:rPr>
      </w:pPr>
      <w:r w:rsidRPr="00BD1F38">
        <w:t xml:space="preserve">The </w:t>
      </w:r>
      <w:proofErr w:type="spellStart"/>
      <w:r w:rsidRPr="00BD1F38">
        <w:rPr>
          <w:i/>
          <w:iCs/>
        </w:rPr>
        <w:t>Adbhuta</w:t>
      </w:r>
      <w:proofErr w:type="spellEnd"/>
      <w:r w:rsidRPr="00BD1F38">
        <w:t xml:space="preserve"> </w:t>
      </w:r>
      <w:r w:rsidRPr="00BD1F38">
        <w:rPr>
          <w:i/>
          <w:iCs/>
        </w:rPr>
        <w:t>rasa</w:t>
      </w:r>
      <w:r w:rsidRPr="00BD1F38">
        <w:t xml:space="preserve">, as with the other </w:t>
      </w:r>
      <w:r w:rsidRPr="00BD1F38">
        <w:rPr>
          <w:i/>
          <w:iCs/>
        </w:rPr>
        <w:t>rasa</w:t>
      </w:r>
      <w:r w:rsidRPr="00BD1F38">
        <w:t>, is a penetrative, meaningful, and ontologically illuminating sensation, woven into the fabric of human experience.</w:t>
      </w:r>
      <w:r w:rsidRPr="00BD1F38">
        <w:rPr>
          <w:rStyle w:val="FootnoteReference"/>
        </w:rPr>
        <w:footnoteReference w:id="101"/>
      </w:r>
      <w:r w:rsidRPr="00BD1F38">
        <w:t xml:space="preserve"> The </w:t>
      </w:r>
      <w:proofErr w:type="spellStart"/>
      <w:r w:rsidRPr="00BD1F38">
        <w:rPr>
          <w:i/>
          <w:iCs/>
        </w:rPr>
        <w:t>Adbhuta</w:t>
      </w:r>
      <w:proofErr w:type="spellEnd"/>
      <w:r w:rsidRPr="00BD1F38">
        <w:rPr>
          <w:i/>
          <w:iCs/>
        </w:rPr>
        <w:t xml:space="preserve"> rasa</w:t>
      </w:r>
      <w:r w:rsidRPr="00BD1F38">
        <w:t xml:space="preserve"> is the experience of the extraordinary, where reality seems to gain further depth in the face of ignorance.</w:t>
      </w:r>
      <w:r w:rsidRPr="00BD1F38">
        <w:rPr>
          <w:rStyle w:val="FootnoteReference"/>
        </w:rPr>
        <w:footnoteReference w:id="102"/>
      </w:r>
      <w:r w:rsidRPr="00BD1F38">
        <w:t xml:space="preserve"> The persistent acknowledgement within Vedic (and later: Hindu) thought of these phenomenon suggests that there were enough </w:t>
      </w:r>
      <w:proofErr w:type="spellStart"/>
      <w:r w:rsidRPr="00BD1F38">
        <w:rPr>
          <w:rStyle w:val="Emphasis"/>
          <w:color w:val="1E1E1E"/>
        </w:rPr>
        <w:t>Vibhāvas</w:t>
      </w:r>
      <w:proofErr w:type="spellEnd"/>
      <w:r w:rsidRPr="00BD1F38">
        <w:rPr>
          <w:rStyle w:val="Emphasis"/>
          <w:color w:val="1E1E1E"/>
        </w:rPr>
        <w:t xml:space="preserve"> </w:t>
      </w:r>
      <w:r w:rsidRPr="00BD1F38">
        <w:rPr>
          <w:rStyle w:val="Emphasis"/>
          <w:i w:val="0"/>
          <w:iCs w:val="0"/>
          <w:color w:val="1E1E1E"/>
        </w:rPr>
        <w:t>(stimuli or provocations) to maintain the concept. One stimulus is said to be the encounter with ‘beautiful or sacred spaces’.</w:t>
      </w:r>
      <w:r w:rsidRPr="00BD1F38">
        <w:rPr>
          <w:rStyle w:val="FootnoteReference"/>
          <w:color w:val="1E1E1E"/>
        </w:rPr>
        <w:footnoteReference w:id="103"/>
      </w:r>
      <w:r w:rsidRPr="00BD1F38">
        <w:rPr>
          <w:rStyle w:val="Emphasis"/>
          <w:color w:val="1E1E1E"/>
        </w:rPr>
        <w:t xml:space="preserve"> </w:t>
      </w:r>
      <w:r w:rsidRPr="00BD1F38">
        <w:rPr>
          <w:rStyle w:val="Emphasis"/>
          <w:i w:val="0"/>
          <w:iCs w:val="0"/>
          <w:color w:val="1E1E1E"/>
        </w:rPr>
        <w:t>Water adjacent places – awesome, ‘woven into human experience’,</w:t>
      </w:r>
      <w:r w:rsidRPr="00BD1F38">
        <w:rPr>
          <w:rStyle w:val="FootnoteReference"/>
          <w:color w:val="1E1E1E"/>
        </w:rPr>
        <w:footnoteReference w:id="104"/>
      </w:r>
      <w:r w:rsidRPr="00BD1F38">
        <w:rPr>
          <w:rStyle w:val="Emphasis"/>
          <w:i w:val="0"/>
          <w:iCs w:val="0"/>
          <w:color w:val="1E1E1E"/>
        </w:rPr>
        <w:t xml:space="preserve"> and according to scholar Rana P. B. Singh: psychologically magnetic, as will be further elucidated in a following paragraph,</w:t>
      </w:r>
      <w:r w:rsidRPr="00BD1F38">
        <w:rPr>
          <w:rStyle w:val="FootnoteReference"/>
          <w:rFonts w:eastAsiaTheme="minorEastAsia"/>
        </w:rPr>
        <w:footnoteReference w:id="105"/>
      </w:r>
      <w:r w:rsidRPr="00BD1F38">
        <w:rPr>
          <w:i/>
          <w:iCs/>
          <w:color w:val="1E1E1E"/>
        </w:rPr>
        <w:t xml:space="preserve"> </w:t>
      </w:r>
      <w:r w:rsidRPr="00BD1F38">
        <w:rPr>
          <w:rStyle w:val="Emphasis"/>
          <w:i w:val="0"/>
          <w:iCs w:val="0"/>
          <w:color w:val="1E1E1E"/>
        </w:rPr>
        <w:t xml:space="preserve">are uniquely primed for being perceived as such, and can thusly be considered distinctly stimulating for </w:t>
      </w:r>
      <w:proofErr w:type="spellStart"/>
      <w:r w:rsidRPr="00BD1F38">
        <w:rPr>
          <w:rStyle w:val="Emphasis"/>
          <w:i w:val="0"/>
          <w:iCs w:val="0"/>
          <w:color w:val="1E1E1E"/>
        </w:rPr>
        <w:t>Adbhuta</w:t>
      </w:r>
      <w:proofErr w:type="spellEnd"/>
      <w:r w:rsidRPr="00BD1F38">
        <w:rPr>
          <w:rStyle w:val="Emphasis"/>
          <w:i w:val="0"/>
          <w:iCs w:val="0"/>
          <w:color w:val="1E1E1E"/>
        </w:rPr>
        <w:t xml:space="preserve">, which in turn can be considered distinctly stimulating for divine metaphysical conceptualisation and ritual, with Eliade specifying that ‘every spatial </w:t>
      </w:r>
      <w:proofErr w:type="spellStart"/>
      <w:r w:rsidRPr="00BD1F38">
        <w:rPr>
          <w:rStyle w:val="Emphasis"/>
          <w:i w:val="0"/>
          <w:iCs w:val="0"/>
          <w:color w:val="1E1E1E"/>
        </w:rPr>
        <w:t>hierophany</w:t>
      </w:r>
      <w:proofErr w:type="spellEnd"/>
      <w:r w:rsidRPr="00BD1F38">
        <w:rPr>
          <w:rStyle w:val="Emphasis"/>
          <w:i w:val="0"/>
          <w:iCs w:val="0"/>
          <w:color w:val="1E1E1E"/>
        </w:rPr>
        <w:t xml:space="preserve"> […] is equivalent to a cosmogony’.</w:t>
      </w:r>
      <w:r w:rsidRPr="00BD1F38">
        <w:rPr>
          <w:rStyle w:val="FootnoteReference"/>
          <w:i/>
          <w:iCs/>
          <w:color w:val="1E1E1E"/>
        </w:rPr>
        <w:footnoteReference w:id="106"/>
      </w:r>
      <w:r w:rsidRPr="00BD1F38">
        <w:rPr>
          <w:rStyle w:val="Emphasis"/>
          <w:i w:val="0"/>
          <w:iCs w:val="0"/>
          <w:color w:val="1E1E1E"/>
        </w:rPr>
        <w:t xml:space="preserve"> The spatial </w:t>
      </w:r>
      <w:proofErr w:type="spellStart"/>
      <w:r w:rsidRPr="00BD1F38">
        <w:rPr>
          <w:rStyle w:val="Emphasis"/>
          <w:i w:val="0"/>
          <w:iCs w:val="0"/>
          <w:color w:val="1E1E1E"/>
        </w:rPr>
        <w:t>hierophany</w:t>
      </w:r>
      <w:proofErr w:type="spellEnd"/>
      <w:r w:rsidRPr="00BD1F38">
        <w:rPr>
          <w:rStyle w:val="Emphasis"/>
          <w:i w:val="0"/>
          <w:iCs w:val="0"/>
          <w:color w:val="1E1E1E"/>
        </w:rPr>
        <w:t xml:space="preserve"> of </w:t>
      </w:r>
      <w:proofErr w:type="spellStart"/>
      <w:r w:rsidRPr="00BD1F38">
        <w:rPr>
          <w:rStyle w:val="Emphasis"/>
          <w:i w:val="0"/>
          <w:iCs w:val="0"/>
          <w:color w:val="1E1E1E"/>
        </w:rPr>
        <w:t>Adbhuta</w:t>
      </w:r>
      <w:proofErr w:type="spellEnd"/>
      <w:r w:rsidRPr="00BD1F38">
        <w:rPr>
          <w:rStyle w:val="Emphasis"/>
          <w:i w:val="0"/>
          <w:iCs w:val="0"/>
          <w:color w:val="1E1E1E"/>
        </w:rPr>
        <w:t xml:space="preserve"> rasa through the ‘passion, activity of the senses, etc.’ creates the ‘quasi-“psychic”’ ‘organic sympathy’</w:t>
      </w:r>
      <w:r w:rsidRPr="00BD1F38">
        <w:rPr>
          <w:rStyle w:val="FootnoteReference"/>
          <w:i/>
          <w:iCs/>
          <w:color w:val="1E1E1E"/>
        </w:rPr>
        <w:footnoteReference w:id="107"/>
      </w:r>
      <w:r w:rsidRPr="00BD1F38">
        <w:rPr>
          <w:rStyle w:val="Emphasis"/>
          <w:i w:val="0"/>
          <w:iCs w:val="0"/>
          <w:color w:val="1E1E1E"/>
        </w:rPr>
        <w:t xml:space="preserve"> that generates the personalised cosmos, manifesting its initially private divine conceptualisations,</w:t>
      </w:r>
      <w:r w:rsidRPr="00BD1F38">
        <w:rPr>
          <w:rStyle w:val="FootnoteReference"/>
          <w:i/>
          <w:iCs/>
          <w:color w:val="1E1E1E"/>
        </w:rPr>
        <w:footnoteReference w:id="108"/>
      </w:r>
      <w:r w:rsidRPr="00BD1F38">
        <w:rPr>
          <w:rStyle w:val="Emphasis"/>
          <w:i w:val="0"/>
          <w:iCs w:val="0"/>
          <w:color w:val="1E1E1E"/>
        </w:rPr>
        <w:t xml:space="preserve"> </w:t>
      </w:r>
      <w:r w:rsidRPr="00BD1F38">
        <w:rPr>
          <w:rStyle w:val="FootnoteReference"/>
          <w:i/>
          <w:iCs/>
        </w:rPr>
        <w:footnoteReference w:id="109"/>
      </w:r>
      <w:r w:rsidRPr="00BD1F38">
        <w:rPr>
          <w:rStyle w:val="Emphasis"/>
          <w:i w:val="0"/>
          <w:iCs w:val="0"/>
          <w:color w:val="1E1E1E"/>
        </w:rPr>
        <w:t xml:space="preserve"> eventually organised into to fully fledged group archetypes.</w:t>
      </w:r>
      <w:r w:rsidRPr="00BD1F38">
        <w:rPr>
          <w:rStyle w:val="FootnoteReference"/>
          <w:color w:val="1E1E1E"/>
        </w:rPr>
        <w:footnoteReference w:id="110"/>
      </w:r>
      <w:r w:rsidRPr="00BD1F38">
        <w:rPr>
          <w:rStyle w:val="Emphasis"/>
          <w:i w:val="0"/>
          <w:iCs w:val="0"/>
          <w:color w:val="1E1E1E"/>
        </w:rPr>
        <w:t xml:space="preserve"> This example in the Rig Veda: ‘</w:t>
      </w:r>
      <w:r w:rsidRPr="00BD1F38">
        <w:rPr>
          <w:rFonts w:eastAsiaTheme="minorEastAsia"/>
        </w:rPr>
        <w:t>[</w:t>
      </w:r>
      <w:proofErr w:type="spellStart"/>
      <w:r w:rsidRPr="00BD1F38">
        <w:rPr>
          <w:rFonts w:eastAsiaTheme="minorEastAsia"/>
        </w:rPr>
        <w:t>Saramā</w:t>
      </w:r>
      <w:proofErr w:type="spellEnd"/>
      <w:r w:rsidRPr="00BD1F38">
        <w:rPr>
          <w:rFonts w:eastAsiaTheme="minorEastAsia"/>
        </w:rPr>
        <w:t>:] ‘I have journeyed here, sent as the messenger of Indra […] thus I crossed the waters of the Rasa’</w:t>
      </w:r>
      <w:r w:rsidRPr="00BD1F38">
        <w:rPr>
          <w:rStyle w:val="FootnoteReference"/>
          <w:rFonts w:eastAsiaTheme="minorEastAsia"/>
        </w:rPr>
        <w:footnoteReference w:id="111"/>
      </w:r>
      <w:r w:rsidRPr="00BD1F38">
        <w:rPr>
          <w:rFonts w:eastAsiaTheme="minorEastAsia"/>
        </w:rPr>
        <w:t xml:space="preserve"> illustrates the waters of the Rasa being a medium for the god Indra’s messages; further evidencing the plausible perception of rivers being </w:t>
      </w:r>
      <w:r w:rsidRPr="00BD1F38">
        <w:rPr>
          <w:rFonts w:eastAsiaTheme="minorEastAsia"/>
          <w:i/>
          <w:iCs/>
        </w:rPr>
        <w:t>axis mundi</w:t>
      </w:r>
      <w:r w:rsidRPr="00BD1F38">
        <w:rPr>
          <w:rFonts w:eastAsiaTheme="minorEastAsia"/>
        </w:rPr>
        <w:t xml:space="preserve"> as already discussed. The passage also seems to reference an initiatory crossing over and transmigration of profane to sacred </w:t>
      </w:r>
      <w:r w:rsidRPr="00BD1F38">
        <w:rPr>
          <w:rFonts w:eastAsiaTheme="minorEastAsia"/>
        </w:rPr>
        <w:lastRenderedPageBreak/>
        <w:t xml:space="preserve">environmentally and spiritually. The compatible dual symbolism of ‘Rasa’ can here be interpreted as the river being the key to the sacredly understood </w:t>
      </w:r>
      <w:proofErr w:type="spellStart"/>
      <w:r w:rsidRPr="00BD1F38">
        <w:rPr>
          <w:rFonts w:eastAsiaTheme="minorEastAsia"/>
          <w:i/>
          <w:iCs/>
        </w:rPr>
        <w:t>Adbhuta</w:t>
      </w:r>
      <w:proofErr w:type="spellEnd"/>
      <w:r w:rsidRPr="00BD1F38">
        <w:rPr>
          <w:rFonts w:eastAsiaTheme="minorEastAsia"/>
          <w:i/>
          <w:iCs/>
        </w:rPr>
        <w:t xml:space="preserve"> rasa</w:t>
      </w:r>
      <w:r w:rsidRPr="00BD1F38">
        <w:rPr>
          <w:rFonts w:eastAsiaTheme="minorEastAsia"/>
        </w:rPr>
        <w:t xml:space="preserve">, or the pharmacological response to the </w:t>
      </w:r>
      <w:r w:rsidRPr="00BD1F38">
        <w:rPr>
          <w:rFonts w:eastAsiaTheme="minorEastAsia"/>
          <w:i/>
          <w:iCs/>
        </w:rPr>
        <w:t>Soma Rasa</w:t>
      </w:r>
      <w:r w:rsidRPr="00BD1F38">
        <w:rPr>
          <w:rFonts w:eastAsiaTheme="minorEastAsia"/>
        </w:rPr>
        <w:t xml:space="preserve"> being that key. Consistently, </w:t>
      </w:r>
      <w:proofErr w:type="spellStart"/>
      <w:r w:rsidRPr="00BD1F38">
        <w:rPr>
          <w:rFonts w:eastAsiaTheme="minorEastAsia"/>
          <w:i/>
          <w:iCs/>
        </w:rPr>
        <w:t>Adbhuta</w:t>
      </w:r>
      <w:proofErr w:type="spellEnd"/>
      <w:r w:rsidRPr="00BD1F38">
        <w:rPr>
          <w:rFonts w:eastAsiaTheme="minorEastAsia"/>
          <w:i/>
          <w:iCs/>
        </w:rPr>
        <w:t xml:space="preserve"> rasa</w:t>
      </w:r>
      <w:r w:rsidRPr="00BD1F38">
        <w:rPr>
          <w:rFonts w:eastAsiaTheme="minorEastAsia"/>
        </w:rPr>
        <w:t xml:space="preserve"> necessitates that the recipient is a </w:t>
      </w:r>
      <w:r w:rsidRPr="00BD1F38">
        <w:rPr>
          <w:rFonts w:eastAsiaTheme="minorEastAsia"/>
          <w:i/>
          <w:iCs/>
        </w:rPr>
        <w:t xml:space="preserve">sahṛdaya, </w:t>
      </w:r>
      <w:r w:rsidRPr="00BD1F38">
        <w:rPr>
          <w:rFonts w:eastAsiaTheme="minorEastAsia"/>
        </w:rPr>
        <w:t xml:space="preserve">whom </w:t>
      </w:r>
      <w:r w:rsidRPr="00BD1F38">
        <w:t xml:space="preserve">Ramakrishna </w:t>
      </w:r>
      <w:proofErr w:type="spellStart"/>
      <w:r w:rsidRPr="00BD1F38">
        <w:t>Pejathaya</w:t>
      </w:r>
      <w:proofErr w:type="spellEnd"/>
      <w:r w:rsidRPr="00BD1F38">
        <w:t xml:space="preserve"> and </w:t>
      </w:r>
      <w:proofErr w:type="spellStart"/>
      <w:r w:rsidRPr="00BD1F38">
        <w:t>Anagha</w:t>
      </w:r>
      <w:proofErr w:type="spellEnd"/>
      <w:r w:rsidRPr="00BD1F38">
        <w:t xml:space="preserve"> Pradeep, in their article ‘Sahṛdaya: A touchstone for creative imagination’ for the </w:t>
      </w:r>
      <w:r w:rsidRPr="00BD1F38">
        <w:rPr>
          <w:i/>
          <w:iCs/>
        </w:rPr>
        <w:t>International Journal of Sanskrit Research</w:t>
      </w:r>
      <w:r w:rsidRPr="00BD1F38">
        <w:t>, called ‘the ones whose minds’ mirrors, cleansed by involved appreciation and dedicated practice […] are capable of wholly immersing themselves in the described’.</w:t>
      </w:r>
      <w:r w:rsidRPr="00BD1F38">
        <w:rPr>
          <w:rStyle w:val="FootnoteReference"/>
        </w:rPr>
        <w:footnoteReference w:id="112"/>
      </w:r>
      <w:r w:rsidRPr="00BD1F38">
        <w:t xml:space="preserve"> </w:t>
      </w:r>
      <w:r w:rsidRPr="00BD1F38">
        <w:rPr>
          <w:rStyle w:val="Emphasis"/>
          <w:rFonts w:eastAsiaTheme="minorEastAsia"/>
          <w:i w:val="0"/>
          <w:iCs w:val="0"/>
        </w:rPr>
        <w:t>In</w:t>
      </w:r>
      <w:r w:rsidRPr="00BD1F38">
        <w:rPr>
          <w:rStyle w:val="Emphasis"/>
          <w:rFonts w:eastAsiaTheme="minorEastAsia"/>
        </w:rPr>
        <w:t xml:space="preserve"> such </w:t>
      </w:r>
      <w:r w:rsidRPr="00BD1F38">
        <w:rPr>
          <w:rStyle w:val="Emphasis"/>
          <w:rFonts w:eastAsiaTheme="minorEastAsia"/>
          <w:i w:val="0"/>
          <w:iCs w:val="0"/>
        </w:rPr>
        <w:t>an</w:t>
      </w:r>
      <w:r w:rsidRPr="00BD1F38">
        <w:rPr>
          <w:rStyle w:val="Emphasis"/>
          <w:color w:val="1E1E1E"/>
        </w:rPr>
        <w:t xml:space="preserve"> </w:t>
      </w:r>
      <w:r w:rsidRPr="00BD1F38">
        <w:rPr>
          <w:rStyle w:val="Emphasis"/>
          <w:i w:val="0"/>
          <w:iCs w:val="0"/>
          <w:color w:val="1E1E1E"/>
        </w:rPr>
        <w:t xml:space="preserve">example, the presentiment of a water landscape, and its liquid-based </w:t>
      </w:r>
      <w:r w:rsidRPr="00BD1F38">
        <w:rPr>
          <w:rStyle w:val="Emphasis"/>
          <w:color w:val="1E1E1E"/>
        </w:rPr>
        <w:t>resources</w:t>
      </w:r>
      <w:r w:rsidRPr="00BD1F38">
        <w:rPr>
          <w:rStyle w:val="Emphasis"/>
          <w:i w:val="0"/>
          <w:iCs w:val="0"/>
          <w:color w:val="1E1E1E"/>
        </w:rPr>
        <w:t xml:space="preserve"> (</w:t>
      </w:r>
      <w:proofErr w:type="spellStart"/>
      <w:r w:rsidRPr="00BD1F38">
        <w:rPr>
          <w:rStyle w:val="Emphasis"/>
          <w:i w:val="0"/>
          <w:iCs w:val="0"/>
          <w:color w:val="1E1E1E"/>
        </w:rPr>
        <w:t>ie</w:t>
      </w:r>
      <w:proofErr w:type="spellEnd"/>
      <w:r w:rsidRPr="00BD1F38">
        <w:rPr>
          <w:rStyle w:val="Emphasis"/>
          <w:i w:val="0"/>
          <w:iCs w:val="0"/>
          <w:color w:val="1E1E1E"/>
        </w:rPr>
        <w:t>. Soma) to the receptive is shown to react in that aforementioned ‘quasi</w:t>
      </w:r>
      <w:proofErr w:type="gramStart"/>
      <w:r w:rsidRPr="00BD1F38">
        <w:rPr>
          <w:rStyle w:val="Emphasis"/>
          <w:i w:val="0"/>
          <w:iCs w:val="0"/>
          <w:color w:val="1E1E1E"/>
        </w:rPr>
        <w:t>-“</w:t>
      </w:r>
      <w:proofErr w:type="gramEnd"/>
      <w:r w:rsidRPr="00BD1F38">
        <w:rPr>
          <w:rStyle w:val="Emphasis"/>
          <w:i w:val="0"/>
          <w:iCs w:val="0"/>
          <w:color w:val="1E1E1E"/>
        </w:rPr>
        <w:t>psychic”’ ‘organic sympathy’</w:t>
      </w:r>
      <w:r w:rsidRPr="00BD1F38">
        <w:rPr>
          <w:rStyle w:val="FootnoteReference"/>
          <w:i/>
          <w:iCs/>
          <w:color w:val="1E1E1E"/>
        </w:rPr>
        <w:footnoteReference w:id="113"/>
      </w:r>
      <w:r w:rsidRPr="00BD1F38">
        <w:rPr>
          <w:rStyle w:val="Emphasis"/>
          <w:i w:val="0"/>
          <w:iCs w:val="0"/>
          <w:color w:val="1E1E1E"/>
        </w:rPr>
        <w:t xml:space="preserve"> that affects both individual and cultural eco-spiritual relationships with the environment both in the earthly sense, and in regard to what is considered the greater divine cosmological environment.</w:t>
      </w:r>
      <w:r w:rsidRPr="00BD1F38">
        <w:rPr>
          <w:rStyle w:val="FootnoteReference"/>
          <w:color w:val="1E1E1E"/>
        </w:rPr>
        <w:footnoteReference w:id="114"/>
      </w:r>
      <w:r w:rsidRPr="00BD1F38">
        <w:rPr>
          <w:rStyle w:val="Emphasis"/>
          <w:i w:val="0"/>
          <w:iCs w:val="0"/>
          <w:color w:val="1E1E1E"/>
        </w:rPr>
        <w:t xml:space="preserve"> </w:t>
      </w:r>
    </w:p>
    <w:p w14:paraId="71F9EF41" w14:textId="77777777" w:rsidR="0045403B" w:rsidRPr="00BD1F38" w:rsidRDefault="0045403B" w:rsidP="0045403B">
      <w:pPr>
        <w:autoSpaceDE w:val="0"/>
        <w:autoSpaceDN w:val="0"/>
        <w:adjustRightInd w:val="0"/>
        <w:spacing w:line="360" w:lineRule="auto"/>
        <w:rPr>
          <w:rStyle w:val="Emphasis"/>
          <w:i w:val="0"/>
          <w:iCs w:val="0"/>
          <w:color w:val="1E1E1E"/>
        </w:rPr>
      </w:pPr>
    </w:p>
    <w:p w14:paraId="1C5C7D7D" w14:textId="77777777" w:rsidR="0045403B" w:rsidRPr="00BD1F38" w:rsidRDefault="0045403B" w:rsidP="0045403B">
      <w:pPr>
        <w:autoSpaceDE w:val="0"/>
        <w:autoSpaceDN w:val="0"/>
        <w:adjustRightInd w:val="0"/>
        <w:spacing w:line="360" w:lineRule="auto"/>
      </w:pPr>
      <w:r w:rsidRPr="00BD1F38">
        <w:rPr>
          <w:rStyle w:val="Emphasis"/>
          <w:i w:val="0"/>
          <w:iCs w:val="0"/>
          <w:color w:val="1E1E1E"/>
        </w:rPr>
        <w:t>Similarly appropriate, additional stimuluses responsible for</w:t>
      </w:r>
      <w:r w:rsidRPr="00BD1F38">
        <w:rPr>
          <w:rStyle w:val="Emphasis"/>
          <w:color w:val="1E1E1E"/>
        </w:rPr>
        <w:t xml:space="preserve"> </w:t>
      </w:r>
      <w:proofErr w:type="spellStart"/>
      <w:r w:rsidRPr="00BD1F38">
        <w:rPr>
          <w:i/>
          <w:iCs/>
        </w:rPr>
        <w:t>Adbhuta</w:t>
      </w:r>
      <w:proofErr w:type="spellEnd"/>
      <w:r w:rsidRPr="00BD1F38">
        <w:rPr>
          <w:i/>
          <w:iCs/>
        </w:rPr>
        <w:t xml:space="preserve"> are said to </w:t>
      </w:r>
      <w:r w:rsidRPr="00BD1F38">
        <w:t>include: participation in ceremonial rituals; realising meaningful desires; witnessing the mind-expanding; and seeing divine entities.</w:t>
      </w:r>
      <w:r w:rsidRPr="00BD1F38">
        <w:rPr>
          <w:rStyle w:val="FootnoteReference"/>
        </w:rPr>
        <w:footnoteReference w:id="115"/>
      </w:r>
      <w:r w:rsidRPr="00BD1F38">
        <w:t xml:space="preserve"> The </w:t>
      </w:r>
      <w:proofErr w:type="spellStart"/>
      <w:r w:rsidRPr="00BD1F38">
        <w:t>hierophanic</w:t>
      </w:r>
      <w:proofErr w:type="spellEnd"/>
      <w:r w:rsidRPr="00BD1F38">
        <w:t xml:space="preserve"> psychedelic euphoria of Soma rasa intoxication was reported as being a ‘transcendental experience that transported the soul to a land devoid of hunger, sorrow and strife’ and akin to ‘a vision in a dream’, allowing the drinker to </w:t>
      </w:r>
      <w:r w:rsidRPr="00BD1F38">
        <w:rPr>
          <w:i/>
          <w:iCs/>
        </w:rPr>
        <w:t>discover the gods</w:t>
      </w:r>
      <w:r w:rsidRPr="00BD1F38">
        <w:t>.</w:t>
      </w:r>
      <w:r w:rsidRPr="00BD1F38">
        <w:rPr>
          <w:rStyle w:val="FootnoteReference"/>
        </w:rPr>
        <w:footnoteReference w:id="116"/>
      </w:r>
      <w:r w:rsidRPr="00BD1F38">
        <w:t xml:space="preserve"> Not only were the gods </w:t>
      </w:r>
      <w:r w:rsidRPr="00BD1F38">
        <w:rPr>
          <w:i/>
          <w:iCs/>
        </w:rPr>
        <w:t>discovered</w:t>
      </w:r>
      <w:r w:rsidRPr="00BD1F38">
        <w:t xml:space="preserve">, this powerful and holy drink allowed them to be </w:t>
      </w:r>
      <w:r w:rsidRPr="00BD1F38">
        <w:rPr>
          <w:i/>
          <w:iCs/>
        </w:rPr>
        <w:t>understood,</w:t>
      </w:r>
      <w:r w:rsidRPr="00BD1F38">
        <w:t xml:space="preserve"> with the drinkers themselves </w:t>
      </w:r>
      <w:r w:rsidRPr="00BD1F38">
        <w:rPr>
          <w:i/>
          <w:iCs/>
        </w:rPr>
        <w:t>becoming gods</w:t>
      </w:r>
      <w:r w:rsidRPr="00BD1F38">
        <w:t xml:space="preserve"> - attaining ‘omniscience, perfection, and immortality’ while under the effects. It was because of this in part that Soma became associated as ‘both the cause and effect of the Aryan cosmos’.</w:t>
      </w:r>
      <w:r w:rsidRPr="00BD1F38">
        <w:rPr>
          <w:rStyle w:val="FootnoteReference"/>
        </w:rPr>
        <w:footnoteReference w:id="117"/>
      </w:r>
      <w:r w:rsidRPr="00BD1F38">
        <w:t xml:space="preserve"> This local-environmentally-sourced liquid-substance therefore, fuelled by its inspirational state of </w:t>
      </w:r>
      <w:proofErr w:type="spellStart"/>
      <w:r w:rsidRPr="00BD1F38">
        <w:rPr>
          <w:i/>
          <w:iCs/>
        </w:rPr>
        <w:t>Adbhuta</w:t>
      </w:r>
      <w:proofErr w:type="spellEnd"/>
      <w:r w:rsidRPr="00BD1F38">
        <w:rPr>
          <w:i/>
          <w:iCs/>
        </w:rPr>
        <w:t xml:space="preserve"> rasa</w:t>
      </w:r>
      <w:r w:rsidRPr="00BD1F38">
        <w:t xml:space="preserve">, influenced ritual, mythology, divine </w:t>
      </w:r>
      <w:proofErr w:type="gramStart"/>
      <w:r w:rsidRPr="00BD1F38">
        <w:t>archetypes</w:t>
      </w:r>
      <w:proofErr w:type="gramEnd"/>
      <w:r w:rsidRPr="00BD1F38">
        <w:t xml:space="preserve"> and symbology, and consequently helped orient Vedic people in their greater sacred cosmological environment.</w:t>
      </w:r>
      <w:r w:rsidRPr="00BD1F38">
        <w:rPr>
          <w:rStyle w:val="FootnoteReference"/>
        </w:rPr>
        <w:footnoteReference w:id="118"/>
      </w:r>
      <w:r w:rsidRPr="00BD1F38">
        <w:t xml:space="preserve"> </w:t>
      </w:r>
    </w:p>
    <w:p w14:paraId="2346D50A" w14:textId="77777777" w:rsidR="0045403B" w:rsidRPr="00BD1F38" w:rsidRDefault="0045403B" w:rsidP="0045403B">
      <w:pPr>
        <w:autoSpaceDE w:val="0"/>
        <w:autoSpaceDN w:val="0"/>
        <w:adjustRightInd w:val="0"/>
        <w:spacing w:line="360" w:lineRule="auto"/>
      </w:pPr>
    </w:p>
    <w:p w14:paraId="6F67B60C" w14:textId="77777777" w:rsidR="0045403B" w:rsidRPr="00BD1F38" w:rsidRDefault="0045403B" w:rsidP="0045403B">
      <w:pPr>
        <w:autoSpaceDE w:val="0"/>
        <w:autoSpaceDN w:val="0"/>
        <w:adjustRightInd w:val="0"/>
        <w:spacing w:line="360" w:lineRule="auto"/>
      </w:pPr>
      <w:r w:rsidRPr="00BD1F38">
        <w:lastRenderedPageBreak/>
        <w:t>The ‘waters of the’</w:t>
      </w:r>
      <w:r w:rsidRPr="00BD1F38">
        <w:rPr>
          <w:rStyle w:val="FootnoteReference"/>
        </w:rPr>
        <w:footnoteReference w:id="119"/>
      </w:r>
      <w:r w:rsidRPr="00BD1F38">
        <w:t xml:space="preserve"> </w:t>
      </w:r>
      <w:r w:rsidRPr="00BD1F38">
        <w:rPr>
          <w:i/>
          <w:iCs/>
        </w:rPr>
        <w:t>Soma rasa</w:t>
      </w:r>
      <w:r w:rsidRPr="00BD1F38">
        <w:t xml:space="preserve">, through ritual engagement, cleansed and thusly prepared the </w:t>
      </w:r>
      <w:proofErr w:type="spellStart"/>
      <w:r w:rsidRPr="00BD1F38">
        <w:rPr>
          <w:i/>
          <w:iCs/>
        </w:rPr>
        <w:t>Sahṛdaya’s</w:t>
      </w:r>
      <w:proofErr w:type="spellEnd"/>
      <w:r w:rsidRPr="00BD1F38">
        <w:rPr>
          <w:i/>
          <w:iCs/>
        </w:rPr>
        <w:t xml:space="preserve"> </w:t>
      </w:r>
      <w:r w:rsidRPr="00BD1F38">
        <w:t xml:space="preserve">minds to be able to creatively interpret as </w:t>
      </w:r>
      <w:r w:rsidRPr="00BD1F38">
        <w:rPr>
          <w:i/>
          <w:iCs/>
        </w:rPr>
        <w:t>sacred</w:t>
      </w:r>
      <w:r w:rsidRPr="00BD1F38">
        <w:t xml:space="preserve"> the natural phenomena revealed in the water-based landscape despite, as Eliade communicates, their having no existing archetypes to order such </w:t>
      </w:r>
      <w:proofErr w:type="spellStart"/>
      <w:r w:rsidRPr="00BD1F38">
        <w:t>hierophanies</w:t>
      </w:r>
      <w:proofErr w:type="spellEnd"/>
      <w:r w:rsidRPr="00BD1F38">
        <w:t>;</w:t>
      </w:r>
      <w:r w:rsidRPr="00BD1F38">
        <w:rPr>
          <w:rStyle w:val="FootnoteReference"/>
        </w:rPr>
        <w:footnoteReference w:id="120"/>
      </w:r>
      <w:r w:rsidRPr="00BD1F38">
        <w:t xml:space="preserve"> perhaps, as </w:t>
      </w:r>
      <w:proofErr w:type="spellStart"/>
      <w:r w:rsidRPr="00BD1F38">
        <w:t>Pejathaya</w:t>
      </w:r>
      <w:proofErr w:type="spellEnd"/>
      <w:r w:rsidRPr="00BD1F38">
        <w:t xml:space="preserve"> and Pradeep observe, leading to the immersion into this newly revealed ‘absolute reality’,</w:t>
      </w:r>
      <w:r w:rsidRPr="00BD1F38">
        <w:rPr>
          <w:rStyle w:val="FootnoteReference"/>
        </w:rPr>
        <w:footnoteReference w:id="121"/>
      </w:r>
      <w:r w:rsidRPr="00BD1F38">
        <w:t xml:space="preserve"> </w:t>
      </w:r>
      <w:r w:rsidRPr="00BD1F38">
        <w:rPr>
          <w:rStyle w:val="FootnoteReference"/>
        </w:rPr>
        <w:footnoteReference w:id="122"/>
      </w:r>
      <w:r w:rsidRPr="00BD1F38">
        <w:t xml:space="preserve"> as ‘primary religious experience that precedes’ archetype formation,</w:t>
      </w:r>
      <w:r w:rsidRPr="00BD1F38">
        <w:rPr>
          <w:rStyle w:val="FootnoteReference"/>
        </w:rPr>
        <w:footnoteReference w:id="123"/>
      </w:r>
      <w:r w:rsidRPr="00BD1F38">
        <w:t xml:space="preserve"> with the water-centred environment acting as that ‘central axis for all future orientation’.</w:t>
      </w:r>
      <w:r w:rsidRPr="00BD1F38">
        <w:rPr>
          <w:rStyle w:val="FootnoteReference"/>
        </w:rPr>
        <w:footnoteReference w:id="124"/>
      </w:r>
      <w:r w:rsidRPr="00BD1F38">
        <w:t xml:space="preserve"> This would, according to aforementioned scholars like Eliade have been affirmed and reaffirmed through individual or group ritual engagements and recurring activity of the aquatic ecology (</w:t>
      </w:r>
      <w:proofErr w:type="spellStart"/>
      <w:r w:rsidRPr="00BD1F38">
        <w:t>ie</w:t>
      </w:r>
      <w:proofErr w:type="spellEnd"/>
      <w:r w:rsidRPr="00BD1F38">
        <w:t>. through its relationship to the making of Soma and its purported psychotropic transformative effects, and/or beauty; purifying; healing qualities, etc, of the body of water),</w:t>
      </w:r>
      <w:r w:rsidRPr="00BD1F38">
        <w:rPr>
          <w:rStyle w:val="FootnoteReference"/>
        </w:rPr>
        <w:footnoteReference w:id="125"/>
      </w:r>
      <w:r w:rsidRPr="00BD1F38">
        <w:t xml:space="preserve"> and thus rendering the locale of these experiences, as noted, an axis mundi or place of special reverence and valuable potency through its interrelationship with </w:t>
      </w:r>
      <w:r w:rsidRPr="00BD1F38">
        <w:rPr>
          <w:rFonts w:eastAsiaTheme="minorEastAsia"/>
          <w:i/>
          <w:iCs/>
        </w:rPr>
        <w:t xml:space="preserve">sahṛdaya; </w:t>
      </w:r>
      <w:r w:rsidRPr="00BD1F38">
        <w:rPr>
          <w:rFonts w:eastAsiaTheme="minorEastAsia"/>
        </w:rPr>
        <w:t>creating the organic sympathy between man and the cosmos’.</w:t>
      </w:r>
      <w:r w:rsidRPr="00BD1F38">
        <w:rPr>
          <w:rStyle w:val="FootnoteReference"/>
          <w:rFonts w:eastAsiaTheme="minorEastAsia"/>
        </w:rPr>
        <w:footnoteReference w:id="126"/>
      </w:r>
      <w:r w:rsidRPr="00BD1F38">
        <w:rPr>
          <w:rFonts w:eastAsiaTheme="minorEastAsia"/>
        </w:rPr>
        <w:t xml:space="preserve"> </w:t>
      </w:r>
    </w:p>
    <w:p w14:paraId="78BFED42" w14:textId="77777777" w:rsidR="0045403B" w:rsidRPr="00BD1F38" w:rsidRDefault="0045403B" w:rsidP="0045403B">
      <w:pPr>
        <w:autoSpaceDE w:val="0"/>
        <w:autoSpaceDN w:val="0"/>
        <w:adjustRightInd w:val="0"/>
        <w:spacing w:line="360" w:lineRule="auto"/>
        <w:rPr>
          <w:rFonts w:eastAsiaTheme="minorEastAsia"/>
        </w:rPr>
      </w:pPr>
    </w:p>
    <w:p w14:paraId="75FDE367" w14:textId="77777777" w:rsidR="0045403B" w:rsidRPr="00BD1F38" w:rsidRDefault="0045403B" w:rsidP="0045403B">
      <w:pPr>
        <w:autoSpaceDE w:val="0"/>
        <w:autoSpaceDN w:val="0"/>
        <w:adjustRightInd w:val="0"/>
        <w:spacing w:line="360" w:lineRule="auto"/>
        <w:rPr>
          <w:rFonts w:eastAsiaTheme="minorEastAsia"/>
        </w:rPr>
      </w:pPr>
      <w:r w:rsidRPr="00BD1F38">
        <w:t>It is in this revered interrelationship between humanity and waterbodies and liquid substance, initially prompted by experience and then ‘maintained by the varieties of performances and rituals’</w:t>
      </w:r>
      <w:r w:rsidRPr="00BD1F38">
        <w:rPr>
          <w:rStyle w:val="FootnoteReference"/>
        </w:rPr>
        <w:footnoteReference w:id="127"/>
      </w:r>
      <w:r w:rsidRPr="00BD1F38">
        <w:t xml:space="preserve"> that creates what Rana P. B. Singh calls ‘psychic attachment to a place and maintenance of cultural traditions’.</w:t>
      </w:r>
      <w:r w:rsidRPr="00BD1F38">
        <w:rPr>
          <w:rStyle w:val="FootnoteReference"/>
        </w:rPr>
        <w:footnoteReference w:id="128"/>
      </w:r>
      <w:r w:rsidRPr="00BD1F38">
        <w:t xml:space="preserve"> </w:t>
      </w:r>
      <w:r w:rsidRPr="00BD1F38">
        <w:rPr>
          <w:rFonts w:eastAsiaTheme="minorEastAsia"/>
        </w:rPr>
        <w:t xml:space="preserve">This psychic link occurs with much greater frequency, she says, in instances of ‘unique natural landscape, unique body of water, and an association with some great sage’. The great sage can even be, as is arguably the case with Soma or </w:t>
      </w:r>
      <w:proofErr w:type="spellStart"/>
      <w:r w:rsidRPr="00BD1F38">
        <w:rPr>
          <w:rFonts w:eastAsiaTheme="minorEastAsia"/>
          <w:i/>
          <w:iCs/>
        </w:rPr>
        <w:t>Adbhuta</w:t>
      </w:r>
      <w:proofErr w:type="spellEnd"/>
      <w:r w:rsidRPr="00BD1F38">
        <w:rPr>
          <w:rFonts w:eastAsiaTheme="minorEastAsia"/>
        </w:rPr>
        <w:t xml:space="preserve">-stirring spaces – being as these are </w:t>
      </w:r>
      <w:r w:rsidRPr="00BD1F38">
        <w:rPr>
          <w:rFonts w:eastAsiaTheme="minorEastAsia"/>
          <w:i/>
          <w:iCs/>
        </w:rPr>
        <w:t>illuminating</w:t>
      </w:r>
      <w:r w:rsidRPr="00BD1F38">
        <w:rPr>
          <w:rFonts w:eastAsiaTheme="minorEastAsia"/>
        </w:rPr>
        <w:t xml:space="preserve"> – the liquid substance or landscape themselves. This is reflected in </w:t>
      </w:r>
      <w:proofErr w:type="spellStart"/>
      <w:r w:rsidRPr="00BD1F38">
        <w:rPr>
          <w:rFonts w:eastAsiaTheme="minorEastAsia"/>
        </w:rPr>
        <w:t>Saramā</w:t>
      </w:r>
      <w:proofErr w:type="spellEnd"/>
      <w:r w:rsidRPr="00BD1F38">
        <w:rPr>
          <w:rFonts w:eastAsiaTheme="minorEastAsia"/>
        </w:rPr>
        <w:t xml:space="preserve"> meeting the recipient </w:t>
      </w:r>
      <w:r w:rsidRPr="00BD1F38">
        <w:rPr>
          <w:rFonts w:eastAsiaTheme="minorEastAsia"/>
          <w:i/>
          <w:iCs/>
        </w:rPr>
        <w:t>through</w:t>
      </w:r>
      <w:r w:rsidRPr="00BD1F38">
        <w:rPr>
          <w:rFonts w:eastAsiaTheme="minorEastAsia"/>
        </w:rPr>
        <w:t xml:space="preserve"> ‘waters of the Rasa’</w:t>
      </w:r>
      <w:r w:rsidRPr="00BD1F38">
        <w:rPr>
          <w:rStyle w:val="FootnoteReference"/>
          <w:rFonts w:eastAsiaTheme="minorEastAsia"/>
        </w:rPr>
        <w:footnoteReference w:id="129"/>
      </w:r>
      <w:r w:rsidRPr="00BD1F38">
        <w:rPr>
          <w:rFonts w:eastAsiaTheme="minorEastAsia"/>
        </w:rPr>
        <w:t xml:space="preserve"> </w:t>
      </w:r>
    </w:p>
    <w:p w14:paraId="2809CBF3" w14:textId="77777777" w:rsidR="0045403B" w:rsidRPr="00BD1F38" w:rsidRDefault="0045403B" w:rsidP="0045403B">
      <w:pPr>
        <w:autoSpaceDE w:val="0"/>
        <w:autoSpaceDN w:val="0"/>
        <w:adjustRightInd w:val="0"/>
        <w:spacing w:line="360" w:lineRule="auto"/>
      </w:pPr>
    </w:p>
    <w:p w14:paraId="1AE1E18D" w14:textId="77777777" w:rsidR="0045403B" w:rsidRPr="00BD1F38" w:rsidRDefault="0045403B" w:rsidP="0045403B">
      <w:pPr>
        <w:autoSpaceDE w:val="0"/>
        <w:autoSpaceDN w:val="0"/>
        <w:adjustRightInd w:val="0"/>
        <w:spacing w:line="360" w:lineRule="auto"/>
      </w:pPr>
      <w:r w:rsidRPr="00BD1F38">
        <w:lastRenderedPageBreak/>
        <w:t>In Exodus 24:9, Moses, and Aaron, Nadab, and Abihu, and seventy of the elders of Israel’, enwombed within cloud atop Mt. Sinai, ‘</w:t>
      </w:r>
      <w:r w:rsidRPr="00BD1F38">
        <w:rPr>
          <w:rFonts w:eastAsiaTheme="minorEastAsia"/>
        </w:rPr>
        <w:t>saw the God of Israel: and [there was] under his feet as it were a paved work of a sapphire stone, and as it were the body of heaven in [his] clearness.’</w:t>
      </w:r>
      <w:r w:rsidRPr="00BD1F38">
        <w:rPr>
          <w:rStyle w:val="FootnoteReference"/>
          <w:rFonts w:eastAsiaTheme="minorEastAsia"/>
        </w:rPr>
        <w:footnoteReference w:id="130"/>
      </w:r>
      <w:r w:rsidRPr="00BD1F38">
        <w:t xml:space="preserve"> This passage is plausibly interpreted as also representative of a unique body of water, sparkling as sapphire; extraordinary in ‘</w:t>
      </w:r>
      <w:r w:rsidRPr="00BD1F38">
        <w:rPr>
          <w:i/>
          <w:iCs/>
        </w:rPr>
        <w:t>clearness’ -</w:t>
      </w:r>
      <w:r w:rsidRPr="00BD1F38">
        <w:t xml:space="preserve"> or </w:t>
      </w:r>
      <w:r w:rsidRPr="00BD1F38">
        <w:rPr>
          <w:i/>
          <w:iCs/>
        </w:rPr>
        <w:t>purity or illuminative nature</w:t>
      </w:r>
      <w:r w:rsidRPr="00BD1F38">
        <w:t xml:space="preserve">. The sapphire is notably ‘paved’ as though a path, comparably suggestive of the God of Israel’s crossing ontological plains over water as </w:t>
      </w:r>
      <w:proofErr w:type="spellStart"/>
      <w:r w:rsidRPr="00BD1F38">
        <w:rPr>
          <w:rFonts w:eastAsiaTheme="minorEastAsia"/>
        </w:rPr>
        <w:t>Saramā</w:t>
      </w:r>
      <w:proofErr w:type="spellEnd"/>
      <w:r w:rsidRPr="00BD1F38">
        <w:rPr>
          <w:rFonts w:eastAsiaTheme="minorEastAsia"/>
        </w:rPr>
        <w:t xml:space="preserve"> did in the Vedic archetype,</w:t>
      </w:r>
      <w:r w:rsidRPr="00BD1F38">
        <w:rPr>
          <w:rStyle w:val="FootnoteReference"/>
          <w:rFonts w:eastAsiaTheme="minorEastAsia"/>
        </w:rPr>
        <w:footnoteReference w:id="131"/>
      </w:r>
      <w:r w:rsidRPr="00BD1F38">
        <w:rPr>
          <w:rFonts w:eastAsiaTheme="minorEastAsia"/>
        </w:rPr>
        <w:t xml:space="preserve"> and thus similarly </w:t>
      </w:r>
      <w:r w:rsidRPr="00BD1F38">
        <w:rPr>
          <w:rFonts w:eastAsiaTheme="minorEastAsia"/>
          <w:i/>
          <w:iCs/>
        </w:rPr>
        <w:t>paving</w:t>
      </w:r>
      <w:r w:rsidRPr="00BD1F38">
        <w:rPr>
          <w:rFonts w:eastAsiaTheme="minorEastAsia"/>
        </w:rPr>
        <w:t xml:space="preserve"> the way for a spiritual conduit. It is here too, that the divine gives Moses the ‘law, and commandments […] that thou mayest teach them’,</w:t>
      </w:r>
      <w:r w:rsidRPr="00BD1F38">
        <w:rPr>
          <w:rStyle w:val="FootnoteReference"/>
          <w:rFonts w:eastAsiaTheme="minorEastAsia"/>
        </w:rPr>
        <w:footnoteReference w:id="132"/>
      </w:r>
      <w:r w:rsidRPr="00BD1F38">
        <w:rPr>
          <w:rFonts w:eastAsiaTheme="minorEastAsia"/>
        </w:rPr>
        <w:t xml:space="preserve"> indicating that the ‘psychic attachment’</w:t>
      </w:r>
      <w:r w:rsidRPr="00BD1F38">
        <w:rPr>
          <w:rStyle w:val="FootnoteReference"/>
          <w:rFonts w:eastAsiaTheme="minorEastAsia"/>
        </w:rPr>
        <w:footnoteReference w:id="133"/>
      </w:r>
      <w:r w:rsidRPr="00BD1F38">
        <w:rPr>
          <w:rFonts w:eastAsiaTheme="minorEastAsia"/>
        </w:rPr>
        <w:t xml:space="preserve"> to a place and its deeming sacred, </w:t>
      </w:r>
      <w:r w:rsidRPr="00BD1F38">
        <w:t xml:space="preserve">initially plausibly prompted by the experience of sapphire-like water in the environment, would have, if the case, been furthermore maintained by the proceeding law and commandments that would be enacted in the fundamental beliefs and rituals of Judaic people directly from this </w:t>
      </w:r>
      <w:proofErr w:type="spellStart"/>
      <w:r w:rsidRPr="00BD1F38">
        <w:t>hierophanic</w:t>
      </w:r>
      <w:proofErr w:type="spellEnd"/>
      <w:r w:rsidRPr="00BD1F38">
        <w:t xml:space="preserve"> encounter, creating and maintaining cultural traditions and therefore associated symbolism and archetypes.</w:t>
      </w:r>
      <w:r w:rsidRPr="00BD1F38">
        <w:rPr>
          <w:rStyle w:val="FootnoteReference"/>
        </w:rPr>
        <w:footnoteReference w:id="134"/>
      </w:r>
      <w:r w:rsidRPr="00BD1F38">
        <w:t xml:space="preserve"> Eliade also stressed that: </w:t>
      </w:r>
    </w:p>
    <w:p w14:paraId="6696A182" w14:textId="77777777" w:rsidR="0045403B" w:rsidRPr="00BD1F38" w:rsidRDefault="0045403B" w:rsidP="0045403B">
      <w:pPr>
        <w:autoSpaceDE w:val="0"/>
        <w:autoSpaceDN w:val="0"/>
        <w:adjustRightInd w:val="0"/>
      </w:pPr>
    </w:p>
    <w:p w14:paraId="3BBED669" w14:textId="77777777" w:rsidR="0045403B" w:rsidRPr="00BD1F38" w:rsidRDefault="0045403B" w:rsidP="0045403B">
      <w:pPr>
        <w:autoSpaceDE w:val="0"/>
        <w:autoSpaceDN w:val="0"/>
        <w:adjustRightInd w:val="0"/>
        <w:ind w:left="1440"/>
      </w:pPr>
      <w:r w:rsidRPr="00BD1F38">
        <w:t xml:space="preserve">By their very nature, spring and river display power, life, perpetual renewal; they </w:t>
      </w:r>
      <w:proofErr w:type="gramStart"/>
      <w:r w:rsidRPr="00BD1F38">
        <w:rPr>
          <w:i/>
          <w:iCs/>
        </w:rPr>
        <w:t>are</w:t>
      </w:r>
      <w:proofErr w:type="gramEnd"/>
      <w:r w:rsidRPr="00BD1F38">
        <w:t xml:space="preserve"> and they are </w:t>
      </w:r>
      <w:r w:rsidRPr="00BD1F38">
        <w:rPr>
          <w:i/>
          <w:iCs/>
        </w:rPr>
        <w:t>alive</w:t>
      </w:r>
      <w:r w:rsidRPr="00BD1F38">
        <w:t xml:space="preserve">. </w:t>
      </w:r>
      <w:proofErr w:type="gramStart"/>
      <w:r w:rsidRPr="00BD1F38">
        <w:t>Thus</w:t>
      </w:r>
      <w:proofErr w:type="gramEnd"/>
      <w:r w:rsidRPr="00BD1F38">
        <w:t xml:space="preserve"> they have a certain autonomy, and their worship persists in spite of other epiphanies and other religious revolutions. Each continues always to reveal the sacred force that is peculiarly its own, and at the same time shares in the prerogatives of water as such. </w:t>
      </w:r>
      <w:r w:rsidRPr="00BD1F38">
        <w:rPr>
          <w:rStyle w:val="FootnoteReference"/>
        </w:rPr>
        <w:footnoteReference w:id="135"/>
      </w:r>
    </w:p>
    <w:p w14:paraId="23346059" w14:textId="77777777" w:rsidR="0045403B" w:rsidRPr="00BD1F38" w:rsidRDefault="0045403B" w:rsidP="0045403B">
      <w:pPr>
        <w:autoSpaceDE w:val="0"/>
        <w:autoSpaceDN w:val="0"/>
        <w:adjustRightInd w:val="0"/>
        <w:spacing w:line="360" w:lineRule="auto"/>
      </w:pPr>
    </w:p>
    <w:p w14:paraId="2B6106E2" w14:textId="77777777" w:rsidR="0045403B" w:rsidRPr="00BD1F38" w:rsidRDefault="0045403B" w:rsidP="0045403B">
      <w:pPr>
        <w:autoSpaceDE w:val="0"/>
        <w:autoSpaceDN w:val="0"/>
        <w:adjustRightInd w:val="0"/>
        <w:spacing w:line="360" w:lineRule="auto"/>
      </w:pPr>
      <w:r w:rsidRPr="00BD1F38">
        <w:t xml:space="preserve">Eliade further elucidates the </w:t>
      </w:r>
      <w:r w:rsidRPr="00BD1F38">
        <w:rPr>
          <w:i/>
          <w:iCs/>
        </w:rPr>
        <w:t>unique</w:t>
      </w:r>
      <w:r w:rsidRPr="00BD1F38">
        <w:t xml:space="preserve"> divine revelatory potential of a river to continue </w:t>
      </w:r>
      <w:r w:rsidRPr="00BD1F38">
        <w:rPr>
          <w:i/>
          <w:iCs/>
        </w:rPr>
        <w:t>always</w:t>
      </w:r>
      <w:r w:rsidRPr="00BD1F38">
        <w:t xml:space="preserve"> to reveal its </w:t>
      </w:r>
      <w:r w:rsidRPr="00BD1F38">
        <w:rPr>
          <w:i/>
          <w:iCs/>
        </w:rPr>
        <w:t xml:space="preserve">sacred force; </w:t>
      </w:r>
      <w:r w:rsidRPr="00BD1F38">
        <w:t xml:space="preserve">and attests to the fact that their worship persists, and regardless of any other </w:t>
      </w:r>
      <w:proofErr w:type="spellStart"/>
      <w:r w:rsidRPr="00BD1F38">
        <w:t>hierophanic</w:t>
      </w:r>
      <w:proofErr w:type="spellEnd"/>
      <w:r w:rsidRPr="00BD1F38">
        <w:t xml:space="preserve"> </w:t>
      </w:r>
      <w:proofErr w:type="spellStart"/>
      <w:r w:rsidRPr="00BD1F38">
        <w:t>percepts</w:t>
      </w:r>
      <w:proofErr w:type="spellEnd"/>
      <w:r w:rsidRPr="00BD1F38">
        <w:t xml:space="preserve">, the body of water holds a culturally sacred intransience; </w:t>
      </w:r>
      <w:proofErr w:type="gramStart"/>
      <w:r w:rsidRPr="00BD1F38">
        <w:t>therefore</w:t>
      </w:r>
      <w:proofErr w:type="gramEnd"/>
      <w:r w:rsidRPr="00BD1F38">
        <w:t xml:space="preserve"> able to create and maintain lasting traditions, and the dynamic archetypes and rituals.</w:t>
      </w:r>
      <w:r w:rsidRPr="00BD1F38">
        <w:rPr>
          <w:rStyle w:val="FootnoteReference"/>
        </w:rPr>
        <w:footnoteReference w:id="136"/>
      </w:r>
      <w:r w:rsidRPr="00BD1F38">
        <w:t xml:space="preserve"> </w:t>
      </w:r>
    </w:p>
    <w:p w14:paraId="4451C9B1" w14:textId="77777777" w:rsidR="0045403B" w:rsidRPr="00BD1F38" w:rsidRDefault="0045403B" w:rsidP="0045403B">
      <w:pPr>
        <w:autoSpaceDE w:val="0"/>
        <w:autoSpaceDN w:val="0"/>
        <w:adjustRightInd w:val="0"/>
        <w:spacing w:line="360" w:lineRule="auto"/>
      </w:pPr>
    </w:p>
    <w:p w14:paraId="10B370FB" w14:textId="77777777" w:rsidR="0045403B" w:rsidRPr="00BD1F38" w:rsidRDefault="0045403B" w:rsidP="0045403B">
      <w:pPr>
        <w:autoSpaceDE w:val="0"/>
        <w:autoSpaceDN w:val="0"/>
        <w:adjustRightInd w:val="0"/>
        <w:spacing w:line="360" w:lineRule="auto"/>
        <w:rPr>
          <w:rFonts w:eastAsiaTheme="minorEastAsia"/>
          <w:lang w:val="en-US"/>
        </w:rPr>
      </w:pPr>
      <w:r w:rsidRPr="00BD1F38">
        <w:t>The symbology used within those Torah passages mirror some of the Rig Veda: ‘</w:t>
      </w:r>
      <w:r w:rsidRPr="00BD1F38">
        <w:rPr>
          <w:rFonts w:eastAsiaTheme="minorEastAsia"/>
          <w:lang w:val="en-US"/>
        </w:rPr>
        <w:t xml:space="preserve">Our words flow together like rivers, made clear by understanding deep within the heart. […] Smiling the streams </w:t>
      </w:r>
      <w:r w:rsidRPr="00BD1F38">
        <w:rPr>
          <w:rFonts w:eastAsiaTheme="minorEastAsia"/>
          <w:lang w:val="en-US"/>
        </w:rPr>
        <w:lastRenderedPageBreak/>
        <w:t>[…] rush to Agni’,</w:t>
      </w:r>
      <w:r w:rsidRPr="00BD1F38">
        <w:rPr>
          <w:rStyle w:val="FootnoteReference"/>
          <w:rFonts w:eastAsiaTheme="minorEastAsia"/>
          <w:lang w:val="en-US"/>
        </w:rPr>
        <w:footnoteReference w:id="137"/>
      </w:r>
      <w:r w:rsidRPr="00BD1F38">
        <w:rPr>
          <w:rFonts w:eastAsiaTheme="minorEastAsia"/>
          <w:lang w:val="en-US"/>
        </w:rPr>
        <w:t xml:space="preserve"> which insinuate rivers’ clearness’ association with </w:t>
      </w:r>
      <w:proofErr w:type="spellStart"/>
      <w:r w:rsidRPr="00BD1F38">
        <w:rPr>
          <w:rFonts w:eastAsiaTheme="minorEastAsia"/>
          <w:lang w:val="en-US"/>
        </w:rPr>
        <w:t>revelatorily</w:t>
      </w:r>
      <w:proofErr w:type="spellEnd"/>
      <w:r w:rsidRPr="00BD1F38">
        <w:rPr>
          <w:rFonts w:eastAsiaTheme="minorEastAsia"/>
          <w:lang w:val="en-US"/>
        </w:rPr>
        <w:t xml:space="preserve"> cosmologically understanding its context, and from this the streams (earthly and of consciousness) rush directly to the knowledge, </w:t>
      </w:r>
      <w:proofErr w:type="spellStart"/>
      <w:r w:rsidRPr="00BD1F38">
        <w:rPr>
          <w:rFonts w:eastAsiaTheme="minorEastAsia"/>
          <w:lang w:val="en-US"/>
        </w:rPr>
        <w:t>ie</w:t>
      </w:r>
      <w:proofErr w:type="spellEnd"/>
      <w:r w:rsidRPr="00BD1F38">
        <w:rPr>
          <w:rFonts w:eastAsiaTheme="minorEastAsia"/>
          <w:lang w:val="en-US"/>
        </w:rPr>
        <w:t xml:space="preserve">. the </w:t>
      </w:r>
      <w:proofErr w:type="spellStart"/>
      <w:r w:rsidRPr="00BD1F38">
        <w:rPr>
          <w:rFonts w:eastAsiaTheme="minorEastAsia"/>
          <w:lang w:val="en-US"/>
        </w:rPr>
        <w:t>archetypalising</w:t>
      </w:r>
      <w:proofErr w:type="spellEnd"/>
      <w:r w:rsidRPr="00BD1F38">
        <w:rPr>
          <w:rFonts w:eastAsiaTheme="minorEastAsia"/>
          <w:lang w:val="en-US"/>
        </w:rPr>
        <w:t xml:space="preserve">, of </w:t>
      </w:r>
      <w:proofErr w:type="gramStart"/>
      <w:r w:rsidRPr="00BD1F38">
        <w:rPr>
          <w:rFonts w:eastAsiaTheme="minorEastAsia"/>
          <w:lang w:val="en-US"/>
        </w:rPr>
        <w:t>god</w:t>
      </w:r>
      <w:proofErr w:type="gramEnd"/>
      <w:r w:rsidRPr="00BD1F38">
        <w:rPr>
          <w:rFonts w:eastAsiaTheme="minorEastAsia"/>
          <w:lang w:val="en-US"/>
        </w:rPr>
        <w:t xml:space="preserve"> Agni. Furthermore, </w:t>
      </w:r>
      <w:r w:rsidRPr="00BD1F38">
        <w:t xml:space="preserve">this passage and its textual context refers to the Soma ritual, re-emphasising that it is this clearness of river, </w:t>
      </w:r>
      <w:proofErr w:type="gramStart"/>
      <w:r w:rsidRPr="00BD1F38">
        <w:t>mind</w:t>
      </w:r>
      <w:proofErr w:type="gramEnd"/>
      <w:r w:rsidRPr="00BD1F38">
        <w:t xml:space="preserve"> and heart, arising through ecology and eco-spiritual ritual engagement that allows for the clarifying imagery of divinity to be </w:t>
      </w:r>
      <w:proofErr w:type="spellStart"/>
      <w:r w:rsidRPr="00BD1F38">
        <w:t>archetypalised</w:t>
      </w:r>
      <w:proofErr w:type="spellEnd"/>
      <w:r w:rsidRPr="00BD1F38">
        <w:t xml:space="preserve">.  It is also the </w:t>
      </w:r>
      <w:r w:rsidRPr="00BD1F38">
        <w:rPr>
          <w:i/>
          <w:iCs/>
        </w:rPr>
        <w:t>words</w:t>
      </w:r>
      <w:r w:rsidRPr="00BD1F38">
        <w:t xml:space="preserve"> – i.e., the accompanying hymns to Soma ritual (many of which Rig Veda passages are) in the interpretation of the </w:t>
      </w:r>
      <w:r w:rsidRPr="00BD1F38">
        <w:rPr>
          <w:i/>
          <w:iCs/>
        </w:rPr>
        <w:t>Sahṛdaya</w:t>
      </w:r>
      <w:r w:rsidRPr="00BD1F38">
        <w:t xml:space="preserve"> - that enables the dissemination and persistence of these clear divine archetypes maintained through rituals like Soma.</w:t>
      </w:r>
      <w:r w:rsidRPr="00BD1F38">
        <w:rPr>
          <w:rStyle w:val="FootnoteReference"/>
        </w:rPr>
        <w:footnoteReference w:id="138"/>
      </w:r>
      <w:r w:rsidRPr="00BD1F38">
        <w:t xml:space="preserve"> </w:t>
      </w:r>
    </w:p>
    <w:p w14:paraId="4F021351" w14:textId="77777777" w:rsidR="0045403B" w:rsidRPr="00BD1F38" w:rsidRDefault="0045403B" w:rsidP="0045403B">
      <w:pPr>
        <w:autoSpaceDE w:val="0"/>
        <w:autoSpaceDN w:val="0"/>
        <w:adjustRightInd w:val="0"/>
        <w:spacing w:line="360" w:lineRule="auto"/>
      </w:pPr>
    </w:p>
    <w:p w14:paraId="1DABE4DE" w14:textId="77777777" w:rsidR="0045403B" w:rsidRPr="00BD1F38" w:rsidRDefault="0045403B" w:rsidP="0045403B">
      <w:pPr>
        <w:autoSpaceDE w:val="0"/>
        <w:autoSpaceDN w:val="0"/>
        <w:adjustRightInd w:val="0"/>
        <w:spacing w:line="360" w:lineRule="auto"/>
      </w:pPr>
      <w:r w:rsidRPr="00BD1F38">
        <w:t>Despite</w:t>
      </w:r>
      <w:r w:rsidRPr="00BD1F38">
        <w:rPr>
          <w:lang w:val="en-US"/>
        </w:rPr>
        <w:t xml:space="preserve"> </w:t>
      </w:r>
      <w:r w:rsidRPr="00BD1F38">
        <w:t>the changes within Judaism, Mt. Sinai is to this day considered a tremendously sacred site, with ‘well-established networks of myths, beliefs, and religious practices such as pilgrimage, meditation, and sacrifice’</w:t>
      </w:r>
      <w:r w:rsidRPr="00BD1F38">
        <w:rPr>
          <w:rStyle w:val="FootnoteReference"/>
        </w:rPr>
        <w:footnoteReference w:id="139"/>
      </w:r>
      <w:r w:rsidRPr="00BD1F38">
        <w:t xml:space="preserve"> – exemplifying the possible ecologically generational impact of water as a uniquely sacred force, ‘in spite of other epiphanies’, </w:t>
      </w:r>
      <w:proofErr w:type="spellStart"/>
      <w:r w:rsidRPr="00BD1F38">
        <w:t>hierophanically</w:t>
      </w:r>
      <w:proofErr w:type="spellEnd"/>
      <w:r w:rsidRPr="00BD1F38">
        <w:t xml:space="preserve"> maintaining and maintained by consequent ritual and law as in the case of Moses’ revealed commandments,</w:t>
      </w:r>
      <w:r w:rsidRPr="00BD1F38">
        <w:rPr>
          <w:rStyle w:val="FootnoteReference"/>
        </w:rPr>
        <w:footnoteReference w:id="140"/>
      </w:r>
      <w:r w:rsidRPr="00BD1F38">
        <w:t xml:space="preserve"> and so indicating in part how and why water may have initiated, affected and sustained certain divine archetypes of select Judaic and Vedic thought. </w:t>
      </w:r>
    </w:p>
    <w:p w14:paraId="6677D557" w14:textId="77777777" w:rsidR="0045403B" w:rsidRPr="00BD1F38" w:rsidRDefault="0045403B" w:rsidP="0045403B">
      <w:pPr>
        <w:autoSpaceDE w:val="0"/>
        <w:autoSpaceDN w:val="0"/>
        <w:adjustRightInd w:val="0"/>
      </w:pPr>
    </w:p>
    <w:p w14:paraId="1E404964" w14:textId="77777777" w:rsidR="0045403B" w:rsidRPr="00BD1F38" w:rsidRDefault="0045403B" w:rsidP="0045403B">
      <w:pPr>
        <w:autoSpaceDE w:val="0"/>
        <w:autoSpaceDN w:val="0"/>
        <w:adjustRightInd w:val="0"/>
      </w:pPr>
    </w:p>
    <w:p w14:paraId="776C5B5B" w14:textId="77777777" w:rsidR="00300A79" w:rsidRPr="00BD1F38" w:rsidRDefault="00300A79" w:rsidP="0045403B">
      <w:pPr>
        <w:autoSpaceDE w:val="0"/>
        <w:autoSpaceDN w:val="0"/>
        <w:adjustRightInd w:val="0"/>
        <w:rPr>
          <w:sz w:val="72"/>
          <w:szCs w:val="72"/>
        </w:rPr>
      </w:pPr>
    </w:p>
    <w:p w14:paraId="2FAAE33C" w14:textId="77777777" w:rsidR="003D7778" w:rsidRDefault="003D7778" w:rsidP="0045403B">
      <w:pPr>
        <w:autoSpaceDE w:val="0"/>
        <w:autoSpaceDN w:val="0"/>
        <w:adjustRightInd w:val="0"/>
        <w:jc w:val="center"/>
        <w:rPr>
          <w:sz w:val="72"/>
          <w:szCs w:val="72"/>
        </w:rPr>
      </w:pPr>
    </w:p>
    <w:p w14:paraId="51F6CFE9" w14:textId="77777777" w:rsidR="00782EB4" w:rsidRDefault="00782EB4" w:rsidP="0045403B">
      <w:pPr>
        <w:autoSpaceDE w:val="0"/>
        <w:autoSpaceDN w:val="0"/>
        <w:adjustRightInd w:val="0"/>
        <w:jc w:val="center"/>
        <w:rPr>
          <w:sz w:val="72"/>
          <w:szCs w:val="72"/>
        </w:rPr>
      </w:pPr>
    </w:p>
    <w:p w14:paraId="14F0C470" w14:textId="77777777" w:rsidR="00782EB4" w:rsidRPr="00BD1F38" w:rsidRDefault="00782EB4" w:rsidP="0045403B">
      <w:pPr>
        <w:autoSpaceDE w:val="0"/>
        <w:autoSpaceDN w:val="0"/>
        <w:adjustRightInd w:val="0"/>
        <w:jc w:val="center"/>
        <w:rPr>
          <w:sz w:val="72"/>
          <w:szCs w:val="72"/>
        </w:rPr>
      </w:pPr>
    </w:p>
    <w:p w14:paraId="5B0D941F" w14:textId="33FA9820" w:rsidR="0045403B" w:rsidRPr="00BD1F38" w:rsidRDefault="0045403B" w:rsidP="0045403B">
      <w:pPr>
        <w:autoSpaceDE w:val="0"/>
        <w:autoSpaceDN w:val="0"/>
        <w:adjustRightInd w:val="0"/>
        <w:jc w:val="center"/>
        <w:rPr>
          <w:sz w:val="72"/>
          <w:szCs w:val="72"/>
        </w:rPr>
      </w:pPr>
      <w:r w:rsidRPr="00BD1F38">
        <w:rPr>
          <w:sz w:val="72"/>
          <w:szCs w:val="72"/>
        </w:rPr>
        <w:lastRenderedPageBreak/>
        <w:t>WATER TAKETH AWAY</w:t>
      </w:r>
    </w:p>
    <w:p w14:paraId="32F84A5F" w14:textId="77777777" w:rsidR="0045403B" w:rsidRPr="00BD1F38" w:rsidRDefault="0045403B" w:rsidP="0045403B">
      <w:pPr>
        <w:autoSpaceDE w:val="0"/>
        <w:autoSpaceDN w:val="0"/>
        <w:adjustRightInd w:val="0"/>
        <w:rPr>
          <w:sz w:val="26"/>
          <w:szCs w:val="26"/>
        </w:rPr>
      </w:pPr>
    </w:p>
    <w:p w14:paraId="7A49E192" w14:textId="77777777" w:rsidR="0045403B" w:rsidRPr="00BD1F38" w:rsidRDefault="0045403B" w:rsidP="0045403B">
      <w:pPr>
        <w:autoSpaceDE w:val="0"/>
        <w:autoSpaceDN w:val="0"/>
        <w:adjustRightInd w:val="0"/>
        <w:spacing w:line="360" w:lineRule="auto"/>
      </w:pPr>
    </w:p>
    <w:p w14:paraId="5F854925" w14:textId="1753F3B9" w:rsidR="00782EB4" w:rsidRPr="00BD1F38" w:rsidRDefault="0045403B" w:rsidP="0045403B">
      <w:pPr>
        <w:autoSpaceDE w:val="0"/>
        <w:autoSpaceDN w:val="0"/>
        <w:adjustRightInd w:val="0"/>
        <w:spacing w:line="360" w:lineRule="auto"/>
      </w:pPr>
      <w:r w:rsidRPr="00BD1F38">
        <w:t xml:space="preserve">Some of the divine archetypes of Vedic and Judaic thought represented in Rig Veda and Torah and in the Soma and </w:t>
      </w:r>
      <w:proofErr w:type="spellStart"/>
      <w:r w:rsidRPr="00BD1F38">
        <w:t>Tevilah</w:t>
      </w:r>
      <w:proofErr w:type="spellEnd"/>
      <w:r w:rsidRPr="00BD1F38">
        <w:t xml:space="preserve"> eco-spiritual rituals seem to present what are conceivably manifestations of water-centric desires and anxieties grounded in an Earthly volatility of crops’ yield, the somewhat unpredictability of access to consistently safe drinking water, and its phases of devastation. This is exemplified in the description of the </w:t>
      </w:r>
      <w:proofErr w:type="spellStart"/>
      <w:r w:rsidRPr="00BD1F38">
        <w:t>hierophanic</w:t>
      </w:r>
      <w:proofErr w:type="spellEnd"/>
      <w:r w:rsidRPr="00BD1F38">
        <w:t xml:space="preserve"> psychedelic euphoria of Soma rasa intoxication as being a ‘transcendental experience that transported the soul to a land devoid of hunger, sorrow and strife’,</w:t>
      </w:r>
      <w:r w:rsidRPr="00BD1F38">
        <w:rPr>
          <w:rStyle w:val="FootnoteReference"/>
        </w:rPr>
        <w:footnoteReference w:id="141"/>
      </w:r>
      <w:r w:rsidRPr="00BD1F38">
        <w:t xml:space="preserve"> likewise in polarity with the human dependence on water potentiating ‘hunger, sorrow and strife’ in certain ecological circumstances. As David Hume states in </w:t>
      </w:r>
      <w:r w:rsidRPr="00BD1F38">
        <w:rPr>
          <w:i/>
          <w:iCs/>
        </w:rPr>
        <w:t>The Natural History of Religion</w:t>
      </w:r>
      <w:r w:rsidRPr="00BD1F38">
        <w:t xml:space="preserve">: </w:t>
      </w:r>
    </w:p>
    <w:p w14:paraId="0960DF66" w14:textId="3D5DA7F3" w:rsidR="00782EB4" w:rsidRDefault="0045403B" w:rsidP="00782EB4">
      <w:pPr>
        <w:pStyle w:val="NormalWeb"/>
        <w:ind w:left="1440"/>
      </w:pPr>
      <w:r w:rsidRPr="00BD1F38">
        <w:t xml:space="preserve">The mind rises gradually from inferior to superior. By abstracting from what is imperfect, it forms an idea of perfection; and, slowly distinguishing the nobler parts of its own frame from the grosser parts, it learns to transfer only the former—much elevated and refined—to its divinity. </w:t>
      </w:r>
      <w:r w:rsidRPr="00BD1F38">
        <w:rPr>
          <w:rStyle w:val="FootnoteReference"/>
        </w:rPr>
        <w:footnoteReference w:id="142"/>
      </w:r>
      <w:r w:rsidRPr="00BD1F38">
        <w:t xml:space="preserve">       </w:t>
      </w:r>
    </w:p>
    <w:p w14:paraId="0339E78A" w14:textId="40409A01" w:rsidR="0045403B" w:rsidRPr="00BD1F38" w:rsidRDefault="0045403B" w:rsidP="0045403B">
      <w:pPr>
        <w:autoSpaceDE w:val="0"/>
        <w:autoSpaceDN w:val="0"/>
        <w:adjustRightInd w:val="0"/>
        <w:spacing w:line="360" w:lineRule="auto"/>
        <w:rPr>
          <w:rFonts w:eastAsiaTheme="minorEastAsia"/>
        </w:rPr>
      </w:pPr>
      <w:r w:rsidRPr="00BD1F38">
        <w:t>‘</w:t>
      </w:r>
      <w:r w:rsidRPr="00BD1F38">
        <w:rPr>
          <w:rFonts w:eastAsiaTheme="minorEastAsia"/>
        </w:rPr>
        <w:t xml:space="preserve">Desire suggests ideas’ states Edward C. Hayes in </w:t>
      </w:r>
      <w:r w:rsidRPr="00BD1F38">
        <w:rPr>
          <w:rFonts w:eastAsiaTheme="minorEastAsia"/>
          <w:i/>
          <w:iCs/>
        </w:rPr>
        <w:t>The Evolution of Religion</w:t>
      </w:r>
      <w:r w:rsidRPr="00BD1F38">
        <w:rPr>
          <w:rFonts w:eastAsiaTheme="minorEastAsia"/>
        </w:rPr>
        <w:t>,</w:t>
      </w:r>
      <w:r w:rsidRPr="00BD1F38">
        <w:rPr>
          <w:rStyle w:val="FootnoteReference"/>
          <w:rFonts w:eastAsiaTheme="minorEastAsia"/>
        </w:rPr>
        <w:footnoteReference w:id="143"/>
      </w:r>
      <w:r w:rsidRPr="00BD1F38">
        <w:rPr>
          <w:rFonts w:eastAsiaTheme="minorEastAsia"/>
        </w:rPr>
        <w:t xml:space="preserve"> and this is reflected here. He also remarks that these desires were functional and acted upon,</w:t>
      </w:r>
      <w:r w:rsidRPr="00BD1F38">
        <w:rPr>
          <w:rStyle w:val="FootnoteReference"/>
          <w:rFonts w:eastAsiaTheme="minorEastAsia"/>
        </w:rPr>
        <w:footnoteReference w:id="144"/>
      </w:r>
      <w:r w:rsidRPr="00BD1F38">
        <w:rPr>
          <w:rFonts w:eastAsiaTheme="minorEastAsia"/>
        </w:rPr>
        <w:t xml:space="preserve"> spurring related eco-spiritual practises, often in the form of religious rituals, like Soma or </w:t>
      </w:r>
      <w:proofErr w:type="spellStart"/>
      <w:r w:rsidRPr="00BD1F38">
        <w:rPr>
          <w:rFonts w:eastAsiaTheme="minorEastAsia"/>
        </w:rPr>
        <w:t>Tevilah</w:t>
      </w:r>
      <w:proofErr w:type="spellEnd"/>
      <w:r w:rsidRPr="00BD1F38">
        <w:rPr>
          <w:rFonts w:eastAsiaTheme="minorEastAsia"/>
        </w:rPr>
        <w:t>; the acting upon of these ideas, facilitating the strengthening of them and their symbolism, and suggesting these same ideas to others, resulting in cultural archetype construction and perpetuation.</w:t>
      </w:r>
      <w:r w:rsidRPr="00BD1F38">
        <w:rPr>
          <w:rStyle w:val="FootnoteReference"/>
          <w:rFonts w:eastAsiaTheme="minorEastAsia"/>
        </w:rPr>
        <w:footnoteReference w:id="145"/>
      </w:r>
      <w:r w:rsidRPr="00BD1F38">
        <w:rPr>
          <w:rFonts w:eastAsiaTheme="minorEastAsia"/>
        </w:rPr>
        <w:t xml:space="preserve"> This even calls to mind the aforementioned plausibly divine archetype-sculpting </w:t>
      </w:r>
      <w:proofErr w:type="spellStart"/>
      <w:r w:rsidRPr="00BD1F38">
        <w:rPr>
          <w:rFonts w:eastAsiaTheme="minorEastAsia"/>
        </w:rPr>
        <w:t>hierophany</w:t>
      </w:r>
      <w:proofErr w:type="spellEnd"/>
      <w:r w:rsidRPr="00BD1F38">
        <w:rPr>
          <w:rFonts w:eastAsiaTheme="minorEastAsia"/>
        </w:rPr>
        <w:t xml:space="preserve"> of </w:t>
      </w:r>
      <w:proofErr w:type="spellStart"/>
      <w:r w:rsidRPr="00BD1F38">
        <w:rPr>
          <w:rFonts w:eastAsiaTheme="minorEastAsia"/>
        </w:rPr>
        <w:t>adbhuta</w:t>
      </w:r>
      <w:proofErr w:type="spellEnd"/>
      <w:r w:rsidRPr="00BD1F38">
        <w:rPr>
          <w:rFonts w:eastAsiaTheme="minorEastAsia"/>
        </w:rPr>
        <w:t xml:space="preserve"> rasa possibly occurring as a result of the </w:t>
      </w:r>
      <w:r w:rsidRPr="00BD1F38">
        <w:rPr>
          <w:rFonts w:eastAsiaTheme="minorEastAsia"/>
          <w:i/>
          <w:iCs/>
        </w:rPr>
        <w:t>realisation of desires</w:t>
      </w:r>
      <w:r w:rsidRPr="00BD1F38">
        <w:rPr>
          <w:rFonts w:eastAsiaTheme="minorEastAsia"/>
        </w:rPr>
        <w:t>,</w:t>
      </w:r>
      <w:r w:rsidRPr="00BD1F38">
        <w:rPr>
          <w:rStyle w:val="FootnoteReference"/>
          <w:rFonts w:eastAsiaTheme="minorEastAsia"/>
        </w:rPr>
        <w:footnoteReference w:id="146"/>
      </w:r>
      <w:r w:rsidRPr="00BD1F38">
        <w:rPr>
          <w:rFonts w:eastAsiaTheme="minorEastAsia"/>
        </w:rPr>
        <w:t xml:space="preserve"> as was demonstrated when the waters were made sweet at Marah under the functional actions of felling </w:t>
      </w:r>
      <w:r w:rsidRPr="00BD1F38">
        <w:rPr>
          <w:rFonts w:eastAsiaTheme="minorEastAsia"/>
        </w:rPr>
        <w:lastRenderedPageBreak/>
        <w:t>and infusing a specific tree with the water, a miracle attributed to the revelatory directions of divinity.</w:t>
      </w:r>
      <w:r w:rsidRPr="00BD1F38">
        <w:rPr>
          <w:rStyle w:val="FootnoteReference"/>
          <w:rFonts w:eastAsiaTheme="minorEastAsia"/>
        </w:rPr>
        <w:footnoteReference w:id="147"/>
      </w:r>
      <w:r w:rsidRPr="00BD1F38">
        <w:rPr>
          <w:rFonts w:eastAsiaTheme="minorEastAsia"/>
        </w:rPr>
        <w:t xml:space="preserve"> It similarly hearkens back to the </w:t>
      </w:r>
      <w:proofErr w:type="spellStart"/>
      <w:r w:rsidRPr="00BD1F38">
        <w:rPr>
          <w:rFonts w:eastAsiaTheme="minorEastAsia"/>
          <w:i/>
          <w:iCs/>
        </w:rPr>
        <w:t>desireless</w:t>
      </w:r>
      <w:r w:rsidR="00EB76F3" w:rsidRPr="00BD1F38">
        <w:rPr>
          <w:rFonts w:eastAsiaTheme="minorEastAsia"/>
          <w:i/>
          <w:iCs/>
        </w:rPr>
        <w:t>ness</w:t>
      </w:r>
      <w:proofErr w:type="spellEnd"/>
      <w:r w:rsidRPr="00BD1F38">
        <w:rPr>
          <w:rFonts w:eastAsiaTheme="minorEastAsia"/>
        </w:rPr>
        <w:t xml:space="preserve"> found under effects of Soma.</w:t>
      </w:r>
      <w:r w:rsidRPr="00BD1F38">
        <w:rPr>
          <w:rStyle w:val="FootnoteReference"/>
          <w:rFonts w:eastAsiaTheme="minorEastAsia"/>
        </w:rPr>
        <w:footnoteReference w:id="148"/>
      </w:r>
      <w:r w:rsidR="00CC6448" w:rsidRPr="00BD1F38">
        <w:rPr>
          <w:rFonts w:eastAsiaTheme="minorEastAsia"/>
        </w:rPr>
        <w:t xml:space="preserve"> </w:t>
      </w:r>
      <w:r w:rsidR="00CC6448" w:rsidRPr="00BD1F38">
        <w:rPr>
          <w:rStyle w:val="FootnoteReference"/>
          <w:rFonts w:eastAsiaTheme="minorEastAsia"/>
        </w:rPr>
        <w:footnoteReference w:id="149"/>
      </w:r>
    </w:p>
    <w:p w14:paraId="5F7439A6" w14:textId="77777777" w:rsidR="0045403B" w:rsidRPr="00BD1F38" w:rsidRDefault="0045403B" w:rsidP="0045403B">
      <w:pPr>
        <w:autoSpaceDE w:val="0"/>
        <w:autoSpaceDN w:val="0"/>
        <w:adjustRightInd w:val="0"/>
        <w:spacing w:line="360" w:lineRule="auto"/>
        <w:rPr>
          <w:rFonts w:eastAsiaTheme="minorEastAsia"/>
        </w:rPr>
      </w:pPr>
    </w:p>
    <w:p w14:paraId="08D48F12" w14:textId="77777777" w:rsidR="0045403B" w:rsidRPr="00BD1F38" w:rsidRDefault="0045403B" w:rsidP="0045403B">
      <w:pPr>
        <w:autoSpaceDE w:val="0"/>
        <w:autoSpaceDN w:val="0"/>
        <w:adjustRightInd w:val="0"/>
        <w:spacing w:line="360" w:lineRule="auto"/>
        <w:rPr>
          <w:rFonts w:eastAsiaTheme="minorEastAsia"/>
        </w:rPr>
      </w:pPr>
      <w:r w:rsidRPr="00BD1F38">
        <w:rPr>
          <w:rFonts w:eastAsiaTheme="minorEastAsia"/>
        </w:rPr>
        <w:t xml:space="preserve">According to Hume, these yearnings for water-predictability manifest themselves also by way of attributing some sort of </w:t>
      </w:r>
      <w:r w:rsidRPr="00BD1F38">
        <w:rPr>
          <w:rFonts w:eastAsiaTheme="minorEastAsia"/>
          <w:i/>
          <w:iCs/>
        </w:rPr>
        <w:t xml:space="preserve">Source </w:t>
      </w:r>
      <w:r w:rsidRPr="00BD1F38">
        <w:rPr>
          <w:rFonts w:eastAsiaTheme="minorEastAsia"/>
        </w:rPr>
        <w:t xml:space="preserve">in the search for reason, and to the </w:t>
      </w:r>
      <w:r w:rsidRPr="00BD1F38">
        <w:rPr>
          <w:rFonts w:eastAsiaTheme="minorEastAsia"/>
          <w:i/>
          <w:iCs/>
        </w:rPr>
        <w:t>Source</w:t>
      </w:r>
      <w:r w:rsidRPr="00BD1F38">
        <w:rPr>
          <w:rFonts w:eastAsiaTheme="minorEastAsia"/>
        </w:rPr>
        <w:t xml:space="preserve"> certain anthropomorphised emotions, motivations, and resulting behaviours (further clarified under the </w:t>
      </w:r>
      <w:r w:rsidRPr="00BD1F38">
        <w:rPr>
          <w:rFonts w:eastAsiaTheme="minorEastAsia"/>
          <w:i/>
          <w:iCs/>
        </w:rPr>
        <w:t>Reflections</w:t>
      </w:r>
      <w:r w:rsidRPr="00BD1F38">
        <w:rPr>
          <w:rFonts w:eastAsiaTheme="minorEastAsia"/>
        </w:rPr>
        <w:t xml:space="preserve"> subheading).</w:t>
      </w:r>
      <w:r w:rsidRPr="00BD1F38">
        <w:rPr>
          <w:rStyle w:val="FootnoteReference"/>
          <w:rFonts w:eastAsiaTheme="minorEastAsia"/>
        </w:rPr>
        <w:footnoteReference w:id="150"/>
      </w:r>
      <w:r w:rsidRPr="00BD1F38">
        <w:rPr>
          <w:rFonts w:eastAsiaTheme="minorEastAsia"/>
        </w:rPr>
        <w:t xml:space="preserve">  This is reflected in scripture. </w:t>
      </w:r>
      <w:r w:rsidRPr="00BD1F38">
        <w:t xml:space="preserve">The Torah and Rig Veda both have central stories of divine </w:t>
      </w:r>
      <w:r w:rsidRPr="00BD1F38">
        <w:rPr>
          <w:i/>
          <w:iCs/>
        </w:rPr>
        <w:t>violence</w:t>
      </w:r>
      <w:r w:rsidRPr="00BD1F38">
        <w:t xml:space="preserve"> in the form of a cataclysmic flood that wiped over the world. In Genesis: </w:t>
      </w:r>
    </w:p>
    <w:p w14:paraId="5D815006" w14:textId="4E12E040" w:rsidR="0045403B" w:rsidRPr="00BD1F38" w:rsidRDefault="0045403B" w:rsidP="0045403B">
      <w:pPr>
        <w:pStyle w:val="NormalWeb"/>
        <w:ind w:left="1440"/>
      </w:pPr>
      <w:r w:rsidRPr="00BD1F38">
        <w:t xml:space="preserve">God said unto Noah, </w:t>
      </w:r>
      <w:proofErr w:type="gramStart"/>
      <w:r w:rsidRPr="00BD1F38">
        <w:t>The</w:t>
      </w:r>
      <w:proofErr w:type="gramEnd"/>
      <w:r w:rsidRPr="00BD1F38">
        <w:t xml:space="preserve"> end of all flesh is come before me; for the earth is filled with violence through them; and, behold, I will destroy them with the earth.</w:t>
      </w:r>
    </w:p>
    <w:p w14:paraId="44E7CFA5" w14:textId="77777777" w:rsidR="0045403B" w:rsidRPr="00BD1F38" w:rsidRDefault="0045403B" w:rsidP="0045403B">
      <w:pPr>
        <w:pStyle w:val="NormalWeb"/>
        <w:ind w:left="1440"/>
      </w:pPr>
      <w:r w:rsidRPr="00BD1F38">
        <w:t xml:space="preserve">[…] </w:t>
      </w:r>
    </w:p>
    <w:p w14:paraId="0C15C223" w14:textId="60F91120" w:rsidR="0045403B" w:rsidRPr="00BD1F38" w:rsidRDefault="0045403B" w:rsidP="0045403B">
      <w:pPr>
        <w:pStyle w:val="NormalWeb"/>
        <w:ind w:left="1440"/>
      </w:pPr>
      <w:proofErr w:type="gramStart"/>
      <w:r w:rsidRPr="00BD1F38">
        <w:t>And,</w:t>
      </w:r>
      <w:proofErr w:type="gramEnd"/>
      <w:r w:rsidRPr="00BD1F38">
        <w:t xml:space="preserve"> behold, I, even I, do bring a flood of waters upon the earth, to destroy all flesh, wherein [is] the breath of life, from under heaven; [and] </w:t>
      </w:r>
      <w:proofErr w:type="spellStart"/>
      <w:r w:rsidRPr="00BD1F38">
        <w:t>every thing</w:t>
      </w:r>
      <w:proofErr w:type="spellEnd"/>
      <w:r w:rsidRPr="00BD1F38">
        <w:t xml:space="preserve"> that [is] in the earth shall die.</w:t>
      </w:r>
      <w:r w:rsidRPr="00BD1F38">
        <w:rPr>
          <w:rStyle w:val="FootnoteReference"/>
        </w:rPr>
        <w:footnoteReference w:id="151"/>
      </w:r>
    </w:p>
    <w:p w14:paraId="491185A3" w14:textId="77777777" w:rsidR="00782EB4" w:rsidRDefault="00782EB4" w:rsidP="0045403B">
      <w:pPr>
        <w:autoSpaceDE w:val="0"/>
        <w:autoSpaceDN w:val="0"/>
        <w:adjustRightInd w:val="0"/>
        <w:spacing w:line="360" w:lineRule="auto"/>
        <w:rPr>
          <w:rFonts w:eastAsiaTheme="minorEastAsia"/>
        </w:rPr>
      </w:pPr>
    </w:p>
    <w:p w14:paraId="39C58059" w14:textId="40319442" w:rsidR="0045403B" w:rsidRPr="00BD1F38" w:rsidRDefault="0045403B" w:rsidP="0045403B">
      <w:pPr>
        <w:autoSpaceDE w:val="0"/>
        <w:autoSpaceDN w:val="0"/>
        <w:adjustRightInd w:val="0"/>
        <w:spacing w:line="360" w:lineRule="auto"/>
        <w:rPr>
          <w:rFonts w:eastAsiaTheme="minorEastAsia"/>
        </w:rPr>
      </w:pPr>
      <w:r w:rsidRPr="00BD1F38">
        <w:rPr>
          <w:rFonts w:eastAsiaTheme="minorEastAsia"/>
        </w:rPr>
        <w:t xml:space="preserve">In the Rig Veda, </w:t>
      </w:r>
      <w:proofErr w:type="spellStart"/>
      <w:r w:rsidRPr="00BD1F38">
        <w:rPr>
          <w:rFonts w:eastAsiaTheme="minorEastAsia"/>
        </w:rPr>
        <w:t>Vṛtra</w:t>
      </w:r>
      <w:proofErr w:type="spellEnd"/>
      <w:r w:rsidRPr="00BD1F38">
        <w:rPr>
          <w:rFonts w:eastAsiaTheme="minorEastAsia"/>
        </w:rPr>
        <w:t>, who had held back the waters, overcome by Indra, ‘lay there like a broken reed [as] the swelling waters flowed for man […] In the midst of the channels of the waters which never stood still or rested, the body was hidden […]; he who found Indra an enemy […] sank long into darkness’.</w:t>
      </w:r>
      <w:r w:rsidRPr="00BD1F38">
        <w:rPr>
          <w:rStyle w:val="FootnoteReference"/>
          <w:rFonts w:eastAsiaTheme="minorEastAsia"/>
        </w:rPr>
        <w:footnoteReference w:id="152"/>
      </w:r>
      <w:r w:rsidRPr="00BD1F38">
        <w:rPr>
          <w:rFonts w:eastAsiaTheme="minorEastAsia"/>
        </w:rPr>
        <w:t xml:space="preserve">  </w:t>
      </w:r>
    </w:p>
    <w:p w14:paraId="68D9A2AF" w14:textId="77777777" w:rsidR="0045403B" w:rsidRPr="00BD1F38" w:rsidRDefault="0045403B" w:rsidP="0045403B">
      <w:pPr>
        <w:autoSpaceDE w:val="0"/>
        <w:autoSpaceDN w:val="0"/>
        <w:adjustRightInd w:val="0"/>
        <w:spacing w:line="360" w:lineRule="auto"/>
        <w:rPr>
          <w:rFonts w:eastAsiaTheme="minorEastAsia"/>
        </w:rPr>
      </w:pPr>
    </w:p>
    <w:p w14:paraId="0042F0F0" w14:textId="77777777" w:rsidR="0045403B" w:rsidRPr="00BD1F38" w:rsidRDefault="0045403B" w:rsidP="0045403B">
      <w:pPr>
        <w:autoSpaceDE w:val="0"/>
        <w:autoSpaceDN w:val="0"/>
        <w:adjustRightInd w:val="0"/>
        <w:spacing w:line="360" w:lineRule="auto"/>
        <w:rPr>
          <w:rFonts w:eastAsiaTheme="minorEastAsia"/>
        </w:rPr>
      </w:pPr>
      <w:r w:rsidRPr="00BD1F38">
        <w:t>These alarming divine interventions give human consciousness recourse to seek pacification for ‘those secret thinking powers that our fortune is supposed to depend on’.</w:t>
      </w:r>
      <w:r w:rsidRPr="00BD1F38">
        <w:rPr>
          <w:rStyle w:val="FootnoteReference"/>
        </w:rPr>
        <w:footnoteReference w:id="153"/>
      </w:r>
      <w:r w:rsidRPr="00BD1F38">
        <w:t xml:space="preserve"> The scriptures and rituals that spring up from the terrors of real, textually evidenced hydrological events past, and the anxieties of possible future, serve as warnings and in part as offering a solution to those who </w:t>
      </w:r>
      <w:r w:rsidRPr="00BD1F38">
        <w:rPr>
          <w:i/>
          <w:iCs/>
        </w:rPr>
        <w:lastRenderedPageBreak/>
        <w:t>want to be saved</w:t>
      </w:r>
      <w:r w:rsidRPr="00BD1F38">
        <w:t xml:space="preserve"> by living accordingly through faith and ritual,</w:t>
      </w:r>
      <w:r w:rsidRPr="00BD1F38">
        <w:rPr>
          <w:rStyle w:val="FootnoteReference"/>
        </w:rPr>
        <w:footnoteReference w:id="154"/>
      </w:r>
      <w:r w:rsidRPr="00BD1F38">
        <w:t xml:space="preserve"> so as not to </w:t>
      </w:r>
      <w:r w:rsidRPr="00BD1F38">
        <w:rPr>
          <w:rFonts w:eastAsiaTheme="minorEastAsia"/>
        </w:rPr>
        <w:t xml:space="preserve">find in Indra an enemy and befall the same fate as </w:t>
      </w:r>
      <w:proofErr w:type="spellStart"/>
      <w:r w:rsidRPr="00BD1F38">
        <w:rPr>
          <w:rFonts w:eastAsiaTheme="minorEastAsia"/>
        </w:rPr>
        <w:t>Vṛtra</w:t>
      </w:r>
      <w:proofErr w:type="spellEnd"/>
      <w:r w:rsidRPr="00BD1F38">
        <w:rPr>
          <w:rFonts w:eastAsiaTheme="minorEastAsia"/>
        </w:rPr>
        <w:t>.</w:t>
      </w:r>
      <w:r w:rsidRPr="00BD1F38">
        <w:rPr>
          <w:rStyle w:val="FootnoteReference"/>
          <w:rFonts w:eastAsiaTheme="minorEastAsia"/>
        </w:rPr>
        <w:footnoteReference w:id="155"/>
      </w:r>
      <w:r w:rsidRPr="00BD1F38">
        <w:rPr>
          <w:rFonts w:eastAsiaTheme="minorEastAsia"/>
        </w:rPr>
        <w:t xml:space="preserve"> </w:t>
      </w:r>
      <w:r w:rsidRPr="00BD1F38">
        <w:t xml:space="preserve">This is exemplified in the previously cited Torahic passage in which Moses communicates to the Israelites the divine covenant that was disclosed to him: </w:t>
      </w:r>
    </w:p>
    <w:p w14:paraId="2321E71A" w14:textId="2D733E01" w:rsidR="0045403B" w:rsidRPr="00BD1F38" w:rsidRDefault="0045403B" w:rsidP="0045403B">
      <w:pPr>
        <w:pStyle w:val="NormalWeb"/>
        <w:ind w:left="1440"/>
        <w:rPr>
          <w:rFonts w:eastAsiaTheme="minorEastAsia"/>
        </w:rPr>
      </w:pPr>
      <w:r w:rsidRPr="00BD1F38">
        <w:rPr>
          <w:rFonts w:eastAsiaTheme="minorEastAsia"/>
        </w:rPr>
        <w:t>If thou wilt diligently hearken to the voice of the LORD thy God, and wilt do that which is right in his sight, and wilt give ear to his commandments, and keep all his statutes, I will put none of these diseases upon thee, which I have brought upon the Egyptians</w:t>
      </w:r>
      <w:r w:rsidRPr="00BD1F38">
        <w:rPr>
          <w:rStyle w:val="FootnoteReference"/>
          <w:rFonts w:eastAsiaTheme="minorEastAsia"/>
        </w:rPr>
        <w:footnoteReference w:id="156"/>
      </w:r>
    </w:p>
    <w:p w14:paraId="44565CC4" w14:textId="77777777" w:rsidR="00782EB4" w:rsidRDefault="00782EB4" w:rsidP="0045403B">
      <w:pPr>
        <w:autoSpaceDE w:val="0"/>
        <w:autoSpaceDN w:val="0"/>
        <w:adjustRightInd w:val="0"/>
        <w:spacing w:line="360" w:lineRule="auto"/>
        <w:rPr>
          <w:rFonts w:eastAsiaTheme="minorEastAsia"/>
        </w:rPr>
      </w:pPr>
    </w:p>
    <w:p w14:paraId="66ABA7F6" w14:textId="73ACB987" w:rsidR="0045403B" w:rsidRPr="00BD1F38" w:rsidRDefault="0045403B" w:rsidP="0045403B">
      <w:pPr>
        <w:autoSpaceDE w:val="0"/>
        <w:autoSpaceDN w:val="0"/>
        <w:adjustRightInd w:val="0"/>
        <w:spacing w:line="360" w:lineRule="auto"/>
        <w:rPr>
          <w:rFonts w:eastAsiaTheme="minorEastAsia"/>
        </w:rPr>
      </w:pPr>
      <w:r w:rsidRPr="00BD1F38">
        <w:rPr>
          <w:rFonts w:eastAsiaTheme="minorEastAsia"/>
        </w:rPr>
        <w:t>The flood and other environmental catastrophes, in the words of professor emeritus in Geography and Environmental Studies, Kenneth Hewitt, function as a ‘rupture in the fabric of productive and orderly human relations with the habitat or ‘natural resources’ ’ and therefore to have necessitated isolation of the causal problem in order to realign relations and avoid future disturbances.</w:t>
      </w:r>
      <w:r w:rsidRPr="00BD1F38">
        <w:rPr>
          <w:rStyle w:val="FootnoteReference"/>
          <w:rFonts w:eastAsiaTheme="minorEastAsia"/>
        </w:rPr>
        <w:footnoteReference w:id="157"/>
      </w:r>
      <w:r w:rsidRPr="00BD1F38">
        <w:rPr>
          <w:rFonts w:eastAsiaTheme="minorEastAsia"/>
        </w:rPr>
        <w:t xml:space="preserve"> Importantly, Hewitt, in his text </w:t>
      </w:r>
      <w:r w:rsidRPr="00BD1F38">
        <w:rPr>
          <w:rFonts w:eastAsiaTheme="minorEastAsia"/>
          <w:i/>
          <w:iCs/>
        </w:rPr>
        <w:t>Interpretation of Calamity: From the Viewpoint of Human Ecology,</w:t>
      </w:r>
      <w:r w:rsidRPr="00BD1F38">
        <w:rPr>
          <w:rFonts w:eastAsiaTheme="minorEastAsia"/>
        </w:rPr>
        <w:t xml:space="preserve"> stated that past societies invariably assigned the responsibility for </w:t>
      </w:r>
      <w:proofErr w:type="spellStart"/>
      <w:r w:rsidRPr="00BD1F38">
        <w:rPr>
          <w:rFonts w:eastAsiaTheme="minorEastAsia"/>
        </w:rPr>
        <w:t>hierophanically</w:t>
      </w:r>
      <w:proofErr w:type="spellEnd"/>
      <w:r w:rsidRPr="00BD1F38">
        <w:rPr>
          <w:rFonts w:eastAsiaTheme="minorEastAsia"/>
        </w:rPr>
        <w:t xml:space="preserve"> presented or posthumously reasoned divine wrath manifesting through nature, to humanity’s own engagements with and within the tangible local environment, especially in relation to eco-spiritual rituals that were clear indicators of apparent dissimilarity between competitive ‘</w:t>
      </w:r>
      <w:proofErr w:type="spellStart"/>
      <w:r w:rsidRPr="00BD1F38">
        <w:rPr>
          <w:rFonts w:eastAsiaTheme="minorEastAsia"/>
        </w:rPr>
        <w:t>religio</w:t>
      </w:r>
      <w:proofErr w:type="spellEnd"/>
      <w:r w:rsidRPr="00BD1F38">
        <w:rPr>
          <w:rFonts w:eastAsiaTheme="minorEastAsia"/>
        </w:rPr>
        <w:t>-magical communities’.</w:t>
      </w:r>
      <w:r w:rsidRPr="00BD1F38">
        <w:rPr>
          <w:rStyle w:val="FootnoteReference"/>
          <w:rFonts w:eastAsiaTheme="minorEastAsia"/>
        </w:rPr>
        <w:footnoteReference w:id="158"/>
      </w:r>
      <w:r w:rsidRPr="00BD1F38">
        <w:rPr>
          <w:rFonts w:eastAsiaTheme="minorEastAsia"/>
        </w:rPr>
        <w:t xml:space="preserve"> Symptomatically, one of the perceived causal problems for these ruptures in Judaic and Vedic thought represented in Torah and Rig Veda and reflected in </w:t>
      </w:r>
      <w:proofErr w:type="spellStart"/>
      <w:r w:rsidRPr="00BD1F38">
        <w:rPr>
          <w:rFonts w:eastAsiaTheme="minorEastAsia"/>
        </w:rPr>
        <w:t>Tevilah</w:t>
      </w:r>
      <w:proofErr w:type="spellEnd"/>
      <w:r w:rsidRPr="00BD1F38">
        <w:rPr>
          <w:rFonts w:eastAsiaTheme="minorEastAsia"/>
        </w:rPr>
        <w:t xml:space="preserve"> and Soma eco-spiritual ritual, was sin or the </w:t>
      </w:r>
      <w:r w:rsidRPr="00BD1F38">
        <w:rPr>
          <w:rFonts w:eastAsiaTheme="minorEastAsia"/>
          <w:i/>
          <w:iCs/>
        </w:rPr>
        <w:t>incorrect</w:t>
      </w:r>
      <w:r w:rsidRPr="00BD1F38">
        <w:rPr>
          <w:rFonts w:eastAsiaTheme="minorEastAsia"/>
        </w:rPr>
        <w:t xml:space="preserve"> practise of faith. This notion reflects Heschel’s claims, as cited by Hewitt, that in the textually demonstrated divine archetypes of Old Testament (including the Torahic) prophets, ‘the </w:t>
      </w:r>
      <w:r w:rsidRPr="00BD1F38">
        <w:rPr>
          <w:rFonts w:eastAsiaTheme="minorEastAsia"/>
          <w:i/>
          <w:iCs/>
        </w:rPr>
        <w:t>message</w:t>
      </w:r>
      <w:r w:rsidRPr="00BD1F38">
        <w:rPr>
          <w:rFonts w:eastAsiaTheme="minorEastAsia"/>
        </w:rPr>
        <w:t xml:space="preserve"> behind calamity or its threat is a people become immoral, idolatrous or vain’.</w:t>
      </w:r>
      <w:r w:rsidRPr="00BD1F38">
        <w:rPr>
          <w:rStyle w:val="FootnoteReference"/>
          <w:rFonts w:eastAsiaTheme="minorEastAsia"/>
        </w:rPr>
        <w:footnoteReference w:id="159"/>
      </w:r>
      <w:r w:rsidRPr="00BD1F38">
        <w:rPr>
          <w:rFonts w:eastAsiaTheme="minorEastAsia"/>
        </w:rPr>
        <w:t xml:space="preserve"> By extension then, the same ecological catastrophe/s, to the survivors, plausibly vindicated any existing beliefs and eco-spiritual ritual practises in the sense that they may have been interpreted as having protected </w:t>
      </w:r>
      <w:r w:rsidRPr="00BD1F38">
        <w:rPr>
          <w:rFonts w:eastAsiaTheme="minorEastAsia"/>
        </w:rPr>
        <w:lastRenderedPageBreak/>
        <w:t>them.</w:t>
      </w:r>
      <w:r w:rsidRPr="00BD1F38">
        <w:rPr>
          <w:rStyle w:val="FootnoteReference"/>
          <w:rFonts w:eastAsiaTheme="minorEastAsia"/>
        </w:rPr>
        <w:footnoteReference w:id="160"/>
      </w:r>
      <w:r w:rsidRPr="00BD1F38">
        <w:rPr>
          <w:rFonts w:eastAsiaTheme="minorEastAsia"/>
        </w:rPr>
        <w:t xml:space="preserve"> This valuable divine archetypal information therefore may have been socio-ecologically utilised in future ‘evidence-informed [ecological disaster] interventions’ and preventions, in the form of belief and ritual practise.</w:t>
      </w:r>
      <w:r w:rsidRPr="00BD1F38">
        <w:rPr>
          <w:rStyle w:val="FootnoteReference"/>
          <w:rFonts w:eastAsiaTheme="minorEastAsia"/>
        </w:rPr>
        <w:footnoteReference w:id="161"/>
      </w:r>
      <w:r w:rsidRPr="00BD1F38">
        <w:rPr>
          <w:rFonts w:eastAsiaTheme="minorEastAsia"/>
        </w:rPr>
        <w:t xml:space="preserve"> </w:t>
      </w:r>
    </w:p>
    <w:p w14:paraId="62577696" w14:textId="77777777" w:rsidR="0045403B" w:rsidRPr="00BD1F38" w:rsidRDefault="0045403B" w:rsidP="0045403B">
      <w:pPr>
        <w:autoSpaceDE w:val="0"/>
        <w:autoSpaceDN w:val="0"/>
        <w:adjustRightInd w:val="0"/>
        <w:spacing w:line="360" w:lineRule="auto"/>
        <w:rPr>
          <w:rFonts w:eastAsiaTheme="minorEastAsia"/>
        </w:rPr>
      </w:pPr>
    </w:p>
    <w:p w14:paraId="506D39C0" w14:textId="77777777" w:rsidR="0045403B" w:rsidRPr="00BD1F38" w:rsidRDefault="0045403B" w:rsidP="0045403B">
      <w:pPr>
        <w:autoSpaceDE w:val="0"/>
        <w:autoSpaceDN w:val="0"/>
        <w:adjustRightInd w:val="0"/>
        <w:spacing w:line="360" w:lineRule="auto"/>
        <w:rPr>
          <w:rFonts w:eastAsiaTheme="minorEastAsia"/>
        </w:rPr>
      </w:pPr>
      <w:r w:rsidRPr="00BD1F38">
        <w:rPr>
          <w:rFonts w:eastAsiaTheme="minorEastAsia"/>
        </w:rPr>
        <w:t xml:space="preserve">One of these ‘evidence-informed’ divine archetype-infused ritual interventions and preventions in select Judaic thought seems, if one is to interpret the symbological evidence presented by Eliade, to be the eco-spiritual </w:t>
      </w:r>
      <w:proofErr w:type="spellStart"/>
      <w:r w:rsidRPr="00BD1F38">
        <w:rPr>
          <w:rFonts w:eastAsiaTheme="minorEastAsia"/>
        </w:rPr>
        <w:t>Tevilah</w:t>
      </w:r>
      <w:proofErr w:type="spellEnd"/>
      <w:r w:rsidRPr="00BD1F38">
        <w:rPr>
          <w:rFonts w:eastAsiaTheme="minorEastAsia"/>
        </w:rPr>
        <w:t xml:space="preserve"> ritual. Eliade observed that water immersion rituals such as </w:t>
      </w:r>
      <w:proofErr w:type="spellStart"/>
      <w:r w:rsidRPr="00BD1F38">
        <w:rPr>
          <w:rFonts w:eastAsiaTheme="minorEastAsia"/>
        </w:rPr>
        <w:t>Tevilah</w:t>
      </w:r>
      <w:proofErr w:type="spellEnd"/>
      <w:r w:rsidRPr="00BD1F38">
        <w:rPr>
          <w:rFonts w:eastAsiaTheme="minorEastAsia"/>
        </w:rPr>
        <w:t xml:space="preserve"> or Christian baptism, are archetypally symbolic of a victory over the Flood – with Torahic Flood mythology featuring both ‘descent into the watery depths and baptism’ or </w:t>
      </w:r>
      <w:proofErr w:type="spellStart"/>
      <w:r w:rsidRPr="00BD1F38">
        <w:rPr>
          <w:rFonts w:eastAsiaTheme="minorEastAsia"/>
        </w:rPr>
        <w:t>Tevilah</w:t>
      </w:r>
      <w:proofErr w:type="spellEnd"/>
      <w:r w:rsidRPr="00BD1F38">
        <w:rPr>
          <w:rFonts w:eastAsiaTheme="minorEastAsia"/>
        </w:rPr>
        <w:t>.</w:t>
      </w:r>
      <w:r w:rsidRPr="00BD1F38">
        <w:rPr>
          <w:rStyle w:val="FootnoteReference"/>
          <w:rFonts w:eastAsiaTheme="minorEastAsia"/>
        </w:rPr>
        <w:footnoteReference w:id="162"/>
      </w:r>
      <w:r w:rsidRPr="00BD1F38">
        <w:rPr>
          <w:rFonts w:eastAsiaTheme="minorEastAsia"/>
        </w:rPr>
        <w:t xml:space="preserve"> </w:t>
      </w:r>
      <w:proofErr w:type="spellStart"/>
      <w:r w:rsidRPr="00BD1F38">
        <w:rPr>
          <w:rFonts w:eastAsiaTheme="minorEastAsia"/>
        </w:rPr>
        <w:t>Tevilah</w:t>
      </w:r>
      <w:proofErr w:type="spellEnd"/>
      <w:r w:rsidRPr="00BD1F38">
        <w:rPr>
          <w:rFonts w:eastAsiaTheme="minorEastAsia"/>
        </w:rPr>
        <w:t>, to Eliade, sought to fulfil the Flood; with Genesis’ symbolism of the Flood as a benevolent act wrapped within wrath – with the divine purpose of cleansing the world of sin.</w:t>
      </w:r>
      <w:r w:rsidRPr="00BD1F38">
        <w:rPr>
          <w:rStyle w:val="FootnoteReference"/>
          <w:rFonts w:eastAsiaTheme="minorEastAsia"/>
        </w:rPr>
        <w:footnoteReference w:id="163"/>
      </w:r>
      <w:r w:rsidRPr="00BD1F38">
        <w:rPr>
          <w:rFonts w:eastAsiaTheme="minorEastAsia"/>
        </w:rPr>
        <w:t xml:space="preserve"> Noah and his family ultimately survive the cataclysm, having ‘confronted the Sea of Death’ as sea-faring people would have needed to, and thus divine archetypes may be interpreted as originating as both reassurance and as eco-spiritual vindication for these apparently violent, dangerous incidences associated with bodies of water as part of the greater sacred cosmological worldview.</w:t>
      </w:r>
      <w:r w:rsidRPr="00BD1F38">
        <w:rPr>
          <w:rStyle w:val="FootnoteReference"/>
          <w:rFonts w:eastAsiaTheme="minorEastAsia"/>
        </w:rPr>
        <w:footnoteReference w:id="164"/>
      </w:r>
      <w:r w:rsidRPr="00BD1F38">
        <w:rPr>
          <w:rFonts w:eastAsiaTheme="minorEastAsia"/>
        </w:rPr>
        <w:t xml:space="preserve"> Similarly adjacent to the post-Flood world of the Torah being stripped of its previously infiltrated sin and reduced to its virginal, holy state, is the nudeness of the </w:t>
      </w:r>
      <w:proofErr w:type="spellStart"/>
      <w:r w:rsidRPr="00BD1F38">
        <w:rPr>
          <w:rFonts w:eastAsiaTheme="minorEastAsia"/>
        </w:rPr>
        <w:t>Tevilah</w:t>
      </w:r>
      <w:proofErr w:type="spellEnd"/>
      <w:r w:rsidRPr="00BD1F38">
        <w:rPr>
          <w:rFonts w:eastAsiaTheme="minorEastAsia"/>
        </w:rPr>
        <w:t xml:space="preserve"> ritual.</w:t>
      </w:r>
      <w:r w:rsidRPr="00BD1F38">
        <w:rPr>
          <w:rStyle w:val="FootnoteReference"/>
          <w:rFonts w:eastAsiaTheme="minorEastAsia"/>
        </w:rPr>
        <w:footnoteReference w:id="165"/>
      </w:r>
      <w:r w:rsidRPr="00BD1F38">
        <w:rPr>
          <w:rFonts w:eastAsiaTheme="minorEastAsia"/>
        </w:rPr>
        <w:t xml:space="preserve"> This nakedness is corporeal </w:t>
      </w:r>
      <w:r w:rsidRPr="00BD1F38">
        <w:rPr>
          <w:rFonts w:eastAsiaTheme="minorEastAsia"/>
          <w:i/>
          <w:iCs/>
        </w:rPr>
        <w:t>and</w:t>
      </w:r>
      <w:r w:rsidRPr="00BD1F38">
        <w:rPr>
          <w:rFonts w:eastAsiaTheme="minorEastAsia"/>
        </w:rPr>
        <w:t xml:space="preserve"> metaphysical; a manifested archetypal ‘abandoning [of] “the old garment of corruption and sin […] with which Adam was clothed after his sin’.</w:t>
      </w:r>
      <w:r w:rsidRPr="00BD1F38">
        <w:rPr>
          <w:rStyle w:val="FootnoteReference"/>
          <w:rFonts w:eastAsiaTheme="minorEastAsia"/>
        </w:rPr>
        <w:footnoteReference w:id="166"/>
      </w:r>
      <w:r w:rsidRPr="00BD1F38">
        <w:rPr>
          <w:rFonts w:eastAsiaTheme="minorEastAsia"/>
        </w:rPr>
        <w:t xml:space="preserve"> This symbolism is adjacent to that of the Rig Veda which informs that Soma too is a stripping of this corrupted human life and a baring before divinity.</w:t>
      </w:r>
      <w:r w:rsidRPr="00BD1F38">
        <w:rPr>
          <w:rStyle w:val="FootnoteReference"/>
          <w:rFonts w:eastAsiaTheme="minorEastAsia"/>
        </w:rPr>
        <w:footnoteReference w:id="167"/>
      </w:r>
      <w:r w:rsidRPr="00BD1F38">
        <w:rPr>
          <w:rFonts w:eastAsiaTheme="minorEastAsia"/>
        </w:rPr>
        <w:t xml:space="preserve"> As such, the conceptualisation of the Flood within archetypal Jewish and Vedic thought, represented in The Torah and Rig Veda, seem to be reflected in both </w:t>
      </w:r>
      <w:proofErr w:type="spellStart"/>
      <w:r w:rsidRPr="00BD1F38">
        <w:rPr>
          <w:rFonts w:eastAsiaTheme="minorEastAsia"/>
        </w:rPr>
        <w:t>Tevilah</w:t>
      </w:r>
      <w:proofErr w:type="spellEnd"/>
      <w:r w:rsidRPr="00BD1F38">
        <w:rPr>
          <w:rFonts w:eastAsiaTheme="minorEastAsia"/>
        </w:rPr>
        <w:t xml:space="preserve"> and Soma rituals seemingly partially in response to ecological pressures and anxieties, and ideas of sin and uncleanliness. </w:t>
      </w:r>
    </w:p>
    <w:p w14:paraId="094D4BC0" w14:textId="77777777" w:rsidR="0045403B" w:rsidRPr="00BD1F38" w:rsidRDefault="0045403B" w:rsidP="0045403B">
      <w:pPr>
        <w:autoSpaceDE w:val="0"/>
        <w:autoSpaceDN w:val="0"/>
        <w:adjustRightInd w:val="0"/>
        <w:spacing w:line="360" w:lineRule="auto"/>
        <w:rPr>
          <w:rFonts w:eastAsiaTheme="minorEastAsia"/>
        </w:rPr>
      </w:pPr>
    </w:p>
    <w:p w14:paraId="755FC5C9" w14:textId="6FFFE60C" w:rsidR="0045403B" w:rsidRPr="00BD1F38" w:rsidRDefault="0045403B" w:rsidP="0045403B">
      <w:pPr>
        <w:autoSpaceDE w:val="0"/>
        <w:autoSpaceDN w:val="0"/>
        <w:adjustRightInd w:val="0"/>
        <w:spacing w:line="360" w:lineRule="auto"/>
        <w:rPr>
          <w:rFonts w:eastAsiaTheme="minorEastAsia"/>
        </w:rPr>
      </w:pPr>
      <w:r w:rsidRPr="00BD1F38">
        <w:rPr>
          <w:rFonts w:eastAsiaTheme="minorEastAsia"/>
        </w:rPr>
        <w:lastRenderedPageBreak/>
        <w:t xml:space="preserve">The reasoning behind this seeming reflection in </w:t>
      </w:r>
      <w:proofErr w:type="spellStart"/>
      <w:r w:rsidRPr="00BD1F38">
        <w:rPr>
          <w:rFonts w:eastAsiaTheme="minorEastAsia"/>
        </w:rPr>
        <w:t>Tevilah</w:t>
      </w:r>
      <w:proofErr w:type="spellEnd"/>
      <w:r w:rsidRPr="00BD1F38">
        <w:rPr>
          <w:rFonts w:eastAsiaTheme="minorEastAsia"/>
        </w:rPr>
        <w:t xml:space="preserve"> and Soma may be due to, as stated by </w:t>
      </w:r>
      <w:proofErr w:type="spellStart"/>
      <w:r w:rsidRPr="00BD1F38">
        <w:rPr>
          <w:rFonts w:eastAsiaTheme="minorEastAsia"/>
        </w:rPr>
        <w:t>Morganstein</w:t>
      </w:r>
      <w:proofErr w:type="spellEnd"/>
      <w:r w:rsidRPr="00BD1F38">
        <w:rPr>
          <w:rFonts w:eastAsiaTheme="minorEastAsia"/>
        </w:rPr>
        <w:t xml:space="preserve"> and </w:t>
      </w:r>
      <w:proofErr w:type="spellStart"/>
      <w:r w:rsidRPr="00BD1F38">
        <w:rPr>
          <w:rFonts w:eastAsiaTheme="minorEastAsia"/>
        </w:rPr>
        <w:t>Ursano</w:t>
      </w:r>
      <w:proofErr w:type="spellEnd"/>
      <w:r w:rsidRPr="00BD1F38">
        <w:rPr>
          <w:rFonts w:eastAsiaTheme="minorEastAsia"/>
        </w:rPr>
        <w:t xml:space="preserve"> in </w:t>
      </w:r>
      <w:r w:rsidRPr="00BD1F38">
        <w:rPr>
          <w:i/>
          <w:iCs/>
        </w:rPr>
        <w:t>Ecological Disasters and Mental Health: Causes, Consequences, and Interventions</w:t>
      </w:r>
      <w:r w:rsidRPr="00BD1F38">
        <w:t xml:space="preserve">, the ability of </w:t>
      </w:r>
      <w:r w:rsidRPr="00BD1F38">
        <w:rPr>
          <w:rFonts w:eastAsiaTheme="minorEastAsia"/>
        </w:rPr>
        <w:t>these evidence-informed interventions and preventions to ‘reduce distress, enhance well-being, and improve functioning for affected individuals and communities’; providing psychological, sociological, and eco-spiritual value to the practitioners. Furthermore, it help</w:t>
      </w:r>
      <w:r w:rsidR="00C116CE" w:rsidRPr="00BD1F38">
        <w:rPr>
          <w:rFonts w:eastAsiaTheme="minorEastAsia"/>
        </w:rPr>
        <w:t xml:space="preserve">s </w:t>
      </w:r>
      <w:r w:rsidRPr="00BD1F38">
        <w:rPr>
          <w:rFonts w:eastAsiaTheme="minorEastAsia"/>
        </w:rPr>
        <w:t>to progressively contextualise the event/s within any existing archetypal religious framework, and thus also, with this knowledge, better prepare for future ecological disasters.</w:t>
      </w:r>
      <w:r w:rsidRPr="00BD1F38">
        <w:rPr>
          <w:rStyle w:val="FootnoteReference"/>
          <w:rFonts w:eastAsiaTheme="minorEastAsia"/>
        </w:rPr>
        <w:footnoteReference w:id="168"/>
      </w:r>
      <w:r w:rsidRPr="00BD1F38">
        <w:rPr>
          <w:rFonts w:eastAsiaTheme="minorEastAsia"/>
        </w:rPr>
        <w:t xml:space="preserve"> </w:t>
      </w:r>
    </w:p>
    <w:p w14:paraId="7633A355" w14:textId="77777777" w:rsidR="0045403B" w:rsidRPr="00BD1F38" w:rsidRDefault="0045403B" w:rsidP="0045403B">
      <w:pPr>
        <w:autoSpaceDE w:val="0"/>
        <w:autoSpaceDN w:val="0"/>
        <w:adjustRightInd w:val="0"/>
        <w:spacing w:line="360" w:lineRule="auto"/>
        <w:rPr>
          <w:rFonts w:eastAsiaTheme="minorEastAsia"/>
        </w:rPr>
      </w:pPr>
    </w:p>
    <w:p w14:paraId="360DE2B3" w14:textId="77777777" w:rsidR="0045403B" w:rsidRPr="00BD1F38" w:rsidRDefault="0045403B" w:rsidP="0045403B">
      <w:pPr>
        <w:autoSpaceDE w:val="0"/>
        <w:autoSpaceDN w:val="0"/>
        <w:adjustRightInd w:val="0"/>
        <w:spacing w:line="360" w:lineRule="auto"/>
        <w:rPr>
          <w:rFonts w:eastAsiaTheme="minorEastAsia"/>
          <w:lang w:val="en-US"/>
        </w:rPr>
      </w:pPr>
      <w:r w:rsidRPr="00BD1F38">
        <w:rPr>
          <w:rFonts w:eastAsiaTheme="minorEastAsia"/>
        </w:rPr>
        <w:t xml:space="preserve">Not only would it plausibly have helped them to contextualise the ecological disaster, as historian Lynn White, cited by Tucker and Grim, noted, it would similarly have re-contextualised </w:t>
      </w:r>
      <w:r w:rsidRPr="00BD1F38">
        <w:rPr>
          <w:rFonts w:eastAsiaTheme="minorEastAsia"/>
          <w:i/>
          <w:iCs/>
        </w:rPr>
        <w:t>themselves</w:t>
      </w:r>
      <w:r w:rsidRPr="00BD1F38">
        <w:rPr>
          <w:rFonts w:eastAsiaTheme="minorEastAsia"/>
        </w:rPr>
        <w:t xml:space="preserve"> within their environment, especially in how they interact with it. ‘What people do about their ecology’, he states, ‘depends on </w:t>
      </w:r>
      <w:r w:rsidRPr="00BD1F38">
        <w:rPr>
          <w:rFonts w:eastAsiaTheme="minorEastAsia"/>
          <w:lang w:val="en-US"/>
        </w:rPr>
        <w:t>what they think about themselves in relation to things around them,’, concluding that ecology ‘is deeply conditioned by beliefs’ and ‘by religion’.</w:t>
      </w:r>
      <w:r w:rsidRPr="00BD1F38">
        <w:rPr>
          <w:rStyle w:val="FootnoteReference"/>
          <w:rFonts w:eastAsiaTheme="minorEastAsia"/>
          <w:lang w:val="en-US"/>
        </w:rPr>
        <w:footnoteReference w:id="169"/>
      </w:r>
      <w:r w:rsidRPr="00BD1F38">
        <w:rPr>
          <w:rFonts w:eastAsiaTheme="minorEastAsia"/>
          <w:lang w:val="en-US"/>
        </w:rPr>
        <w:t xml:space="preserve"> As such, in the evidence presented here is the proposition that religion is similarly deeply conditioned by ecology in its psychological and sociological effects and potential resulting of, variance of, or re-affirmation of </w:t>
      </w:r>
      <w:r w:rsidRPr="00BD1F38">
        <w:rPr>
          <w:rFonts w:eastAsiaTheme="minorEastAsia"/>
        </w:rPr>
        <w:t>archetypes manifested in ritual engagement, specifically with water, in the environment</w:t>
      </w:r>
      <w:r w:rsidRPr="00BD1F38">
        <w:rPr>
          <w:rFonts w:eastAsiaTheme="minorEastAsia"/>
          <w:lang w:val="en-US"/>
        </w:rPr>
        <w:t xml:space="preserve">, such as was evidenced to plausibly be the case in ecological disasters. Given the Judaic and Vedic textual and eco-spiritual ritual evidence, it seems reasonable to </w:t>
      </w:r>
      <w:r w:rsidRPr="00BD1F38">
        <w:rPr>
          <w:rFonts w:eastAsiaTheme="minorEastAsia"/>
        </w:rPr>
        <w:t xml:space="preserve">suppose the plausibility of the water-based ecological disasters as inspiring more </w:t>
      </w:r>
      <w:r w:rsidRPr="00BD1F38">
        <w:rPr>
          <w:rFonts w:eastAsiaTheme="minorEastAsia"/>
          <w:i/>
          <w:iCs/>
        </w:rPr>
        <w:t>thoughtful</w:t>
      </w:r>
      <w:r w:rsidRPr="00BD1F38">
        <w:rPr>
          <w:rFonts w:eastAsiaTheme="minorEastAsia"/>
        </w:rPr>
        <w:t>, sensitive and sympathetic yet tentative engagement with the environment and natural resources, with the environmental ethical and societal behaviours of the culture brought under scrutiny in such circumstances; leading to a possible reconsideration of ‘productive and orderly human relations with the habitat’.</w:t>
      </w:r>
      <w:r w:rsidRPr="00BD1F38">
        <w:rPr>
          <w:rStyle w:val="FootnoteReference"/>
          <w:rFonts w:eastAsiaTheme="minorEastAsia"/>
        </w:rPr>
        <w:footnoteReference w:id="170"/>
      </w:r>
    </w:p>
    <w:p w14:paraId="4DBEB961" w14:textId="77777777" w:rsidR="0045403B" w:rsidRPr="00BD1F38" w:rsidRDefault="0045403B" w:rsidP="0045403B">
      <w:pPr>
        <w:autoSpaceDE w:val="0"/>
        <w:autoSpaceDN w:val="0"/>
        <w:adjustRightInd w:val="0"/>
        <w:spacing w:line="360" w:lineRule="auto"/>
        <w:rPr>
          <w:rFonts w:eastAsiaTheme="minorEastAsia"/>
          <w:lang w:val="en-US"/>
        </w:rPr>
      </w:pPr>
    </w:p>
    <w:p w14:paraId="28DA9B9A" w14:textId="77777777" w:rsidR="0045403B" w:rsidRPr="00BD1F38" w:rsidRDefault="0045403B" w:rsidP="0045403B">
      <w:pPr>
        <w:autoSpaceDE w:val="0"/>
        <w:autoSpaceDN w:val="0"/>
        <w:adjustRightInd w:val="0"/>
        <w:spacing w:line="360" w:lineRule="auto"/>
        <w:rPr>
          <w:rFonts w:eastAsiaTheme="minorEastAsia"/>
          <w:lang w:val="en-US"/>
        </w:rPr>
      </w:pPr>
      <w:r w:rsidRPr="00BD1F38">
        <w:rPr>
          <w:rFonts w:eastAsiaTheme="minorEastAsia"/>
          <w:lang w:val="en-US"/>
        </w:rPr>
        <w:t xml:space="preserve">The possible effects of water-based ecological disasters on divine archetypes of Judaic and Vedic thought represented in Torah and Rig Veda and ritually reflected in eco-spiritual </w:t>
      </w:r>
      <w:proofErr w:type="spellStart"/>
      <w:r w:rsidRPr="00BD1F38">
        <w:rPr>
          <w:rFonts w:eastAsiaTheme="minorEastAsia"/>
          <w:lang w:val="en-US"/>
        </w:rPr>
        <w:t>Tevilah</w:t>
      </w:r>
      <w:proofErr w:type="spellEnd"/>
      <w:r w:rsidRPr="00BD1F38">
        <w:rPr>
          <w:rFonts w:eastAsiaTheme="minorEastAsia"/>
          <w:lang w:val="en-US"/>
        </w:rPr>
        <w:t xml:space="preserve"> and Soma may therefore have similarly influenced eco-spiritual engagement with the landscape. This </w:t>
      </w:r>
      <w:r w:rsidRPr="00BD1F38">
        <w:rPr>
          <w:rFonts w:eastAsiaTheme="minorEastAsia"/>
          <w:lang w:val="en-US"/>
        </w:rPr>
        <w:lastRenderedPageBreak/>
        <w:t xml:space="preserve">is a point backed up by Mary Evelyn Tucker and John A. Grim in </w:t>
      </w:r>
      <w:r w:rsidRPr="00BD1F38">
        <w:rPr>
          <w:rFonts w:eastAsiaTheme="minorEastAsia"/>
          <w:i/>
          <w:iCs/>
          <w:lang w:val="en-US"/>
        </w:rPr>
        <w:t>Introduction: The Emerging Alliance of World Religions and Ecology</w:t>
      </w:r>
      <w:r w:rsidRPr="00BD1F38">
        <w:rPr>
          <w:rFonts w:eastAsiaTheme="minorEastAsia"/>
          <w:lang w:val="en-US"/>
        </w:rPr>
        <w:t>, who also discern that ‘while religions have often preserved traditional ways, they have also provoked social change’, and in response to environmental crises: ‘their moral authority and their institutional power may help effect a change in attitudes, practices, and public policies.’</w:t>
      </w:r>
      <w:r w:rsidRPr="00BD1F38">
        <w:rPr>
          <w:rStyle w:val="FootnoteReference"/>
          <w:rFonts w:eastAsiaTheme="minorEastAsia"/>
          <w:lang w:val="en-US"/>
        </w:rPr>
        <w:footnoteReference w:id="171"/>
      </w:r>
      <w:r w:rsidRPr="00BD1F38">
        <w:rPr>
          <w:rFonts w:eastAsiaTheme="minorEastAsia"/>
          <w:lang w:val="en-US"/>
        </w:rPr>
        <w:t xml:space="preserve"> This is exemplified in Joshua 24:14 referencing the events of the flood in Genesis, where it is advised: ‘Now therefore fear the LORD, and serve him in sincerity and in truth: and put away the gods which your fathers served on the other side of the flood, and in Egypt; and serve ye the LORD.’</w:t>
      </w:r>
      <w:r w:rsidRPr="00BD1F38">
        <w:rPr>
          <w:rStyle w:val="FootnoteReference"/>
          <w:rFonts w:eastAsiaTheme="minorEastAsia"/>
          <w:lang w:val="en-US"/>
        </w:rPr>
        <w:footnoteReference w:id="172"/>
      </w:r>
    </w:p>
    <w:p w14:paraId="659022DB" w14:textId="77777777" w:rsidR="0045403B" w:rsidRPr="00BD1F38" w:rsidRDefault="0045403B" w:rsidP="0045403B">
      <w:pPr>
        <w:autoSpaceDE w:val="0"/>
        <w:autoSpaceDN w:val="0"/>
        <w:adjustRightInd w:val="0"/>
        <w:spacing w:line="360" w:lineRule="auto"/>
        <w:rPr>
          <w:rFonts w:eastAsiaTheme="minorEastAsia"/>
          <w:lang w:val="en-US"/>
        </w:rPr>
      </w:pPr>
    </w:p>
    <w:p w14:paraId="65962970" w14:textId="77777777" w:rsidR="0045403B" w:rsidRPr="00BD1F38" w:rsidRDefault="0045403B" w:rsidP="0045403B">
      <w:pPr>
        <w:autoSpaceDE w:val="0"/>
        <w:autoSpaceDN w:val="0"/>
        <w:adjustRightInd w:val="0"/>
        <w:spacing w:line="360" w:lineRule="auto"/>
        <w:rPr>
          <w:rFonts w:eastAsiaTheme="minorEastAsia"/>
          <w:lang w:val="en-US"/>
        </w:rPr>
      </w:pPr>
      <w:r w:rsidRPr="00BD1F38">
        <w:rPr>
          <w:rFonts w:eastAsiaTheme="minorEastAsia"/>
          <w:lang w:val="en-US"/>
        </w:rPr>
        <w:t xml:space="preserve">As such, there was another kind of value to be found in the aftermath of these hydrological environmental catastrophes other than the psychological benefits arising from attendant rituals. Value in the form of </w:t>
      </w:r>
      <w:r w:rsidRPr="00BD1F38">
        <w:rPr>
          <w:rFonts w:eastAsiaTheme="minorEastAsia"/>
          <w:i/>
          <w:iCs/>
          <w:lang w:val="en-US"/>
        </w:rPr>
        <w:t>control</w:t>
      </w:r>
      <w:r w:rsidRPr="00BD1F38">
        <w:rPr>
          <w:rFonts w:eastAsiaTheme="minorEastAsia"/>
          <w:lang w:val="en-US"/>
        </w:rPr>
        <w:t xml:space="preserve"> was also plausibly </w:t>
      </w:r>
      <w:r w:rsidRPr="00BD1F38">
        <w:rPr>
          <w:rFonts w:eastAsiaTheme="minorEastAsia"/>
        </w:rPr>
        <w:t>found in the immediately chaotic vacuum of fear and change created by these catastrophic events by those who were seeking to dictate the cultural narrative and therefore also the corresponding laws, beliefs, and ritual practise through the powerful psychological and sociological tool of fear.</w:t>
      </w:r>
      <w:r w:rsidRPr="00BD1F38">
        <w:rPr>
          <w:rStyle w:val="FootnoteReference"/>
          <w:rFonts w:eastAsiaTheme="minorEastAsia"/>
        </w:rPr>
        <w:footnoteReference w:id="173"/>
      </w:r>
      <w:r w:rsidRPr="00BD1F38">
        <w:rPr>
          <w:rFonts w:eastAsiaTheme="minorEastAsia"/>
        </w:rPr>
        <w:t xml:space="preserve"> </w:t>
      </w:r>
      <w:r w:rsidRPr="00BD1F38">
        <w:rPr>
          <w:rStyle w:val="FootnoteReference"/>
          <w:rFonts w:eastAsiaTheme="minorEastAsia"/>
        </w:rPr>
        <w:footnoteReference w:id="174"/>
      </w:r>
      <w:r w:rsidRPr="00BD1F38">
        <w:rPr>
          <w:rFonts w:eastAsiaTheme="minorEastAsia"/>
        </w:rPr>
        <w:t xml:space="preserve"> This is a possibility backed by the quotes from </w:t>
      </w:r>
      <w:proofErr w:type="spellStart"/>
      <w:r w:rsidRPr="00BD1F38">
        <w:rPr>
          <w:rFonts w:eastAsiaTheme="minorEastAsia"/>
        </w:rPr>
        <w:t>Sahlins</w:t>
      </w:r>
      <w:proofErr w:type="spellEnd"/>
      <w:r w:rsidRPr="00BD1F38">
        <w:rPr>
          <w:rFonts w:eastAsiaTheme="minorEastAsia"/>
        </w:rPr>
        <w:t xml:space="preserve"> that any percept – such as the hydrological environmental disasters - ‘becomes a fact of human consciousness’ as an archetype embedded in a concept motivated in any existing and exerting established cultural order.</w:t>
      </w:r>
      <w:r w:rsidRPr="00BD1F38">
        <w:rPr>
          <w:rStyle w:val="FootnoteReference"/>
          <w:rFonts w:eastAsiaTheme="minorEastAsia"/>
        </w:rPr>
        <w:footnoteReference w:id="175"/>
      </w:r>
      <w:r w:rsidRPr="00BD1F38">
        <w:rPr>
          <w:rFonts w:eastAsiaTheme="minorEastAsia"/>
        </w:rPr>
        <w:t xml:space="preserve"> Ritual too, in being understood in its specific social and cultural environmental context, reflects cultural and symbolic order, and therefore is unconsciously or consciously coloured by those with the most </w:t>
      </w:r>
      <w:r w:rsidRPr="00BD1F38">
        <w:rPr>
          <w:rFonts w:eastAsiaTheme="minorEastAsia"/>
          <w:lang w:val="en-US"/>
        </w:rPr>
        <w:t>‘projecting persuasive visions’</w:t>
      </w:r>
      <w:r w:rsidRPr="00BD1F38">
        <w:rPr>
          <w:rStyle w:val="FootnoteReference"/>
          <w:rFonts w:eastAsiaTheme="minorEastAsia"/>
          <w:lang w:val="en-US"/>
        </w:rPr>
        <w:footnoteReference w:id="176"/>
      </w:r>
      <w:r w:rsidRPr="00BD1F38">
        <w:rPr>
          <w:rFonts w:eastAsiaTheme="minorEastAsia"/>
          <w:lang w:val="en-US"/>
        </w:rPr>
        <w:t xml:space="preserve"> acting as ‘motivators in moral transformation’.</w:t>
      </w:r>
      <w:r w:rsidRPr="00BD1F38">
        <w:rPr>
          <w:rStyle w:val="FootnoteReference"/>
          <w:rFonts w:eastAsiaTheme="minorEastAsia"/>
          <w:lang w:val="en-US"/>
        </w:rPr>
        <w:footnoteReference w:id="177"/>
      </w:r>
      <w:r w:rsidRPr="00BD1F38">
        <w:rPr>
          <w:rFonts w:eastAsiaTheme="minorEastAsia"/>
          <w:lang w:val="en-US"/>
        </w:rPr>
        <w:t xml:space="preserve"> </w:t>
      </w:r>
      <w:r w:rsidRPr="00BD1F38">
        <w:rPr>
          <w:rFonts w:eastAsiaTheme="minorEastAsia"/>
        </w:rPr>
        <w:t xml:space="preserve">For our specific context: the </w:t>
      </w:r>
      <w:r w:rsidRPr="00BD1F38">
        <w:rPr>
          <w:rFonts w:eastAsiaTheme="minorEastAsia"/>
          <w:i/>
          <w:iCs/>
        </w:rPr>
        <w:t xml:space="preserve">orators of faith </w:t>
      </w:r>
      <w:r w:rsidRPr="00BD1F38">
        <w:rPr>
          <w:rFonts w:eastAsiaTheme="minorEastAsia"/>
        </w:rPr>
        <w:t xml:space="preserve">previously discussed – the poets, prophets, and priests, who purportedly had </w:t>
      </w:r>
      <w:proofErr w:type="spellStart"/>
      <w:r w:rsidRPr="00BD1F38">
        <w:rPr>
          <w:rFonts w:eastAsiaTheme="minorEastAsia"/>
        </w:rPr>
        <w:t>hierophanically</w:t>
      </w:r>
      <w:proofErr w:type="spellEnd"/>
      <w:r w:rsidRPr="00BD1F38">
        <w:rPr>
          <w:rFonts w:eastAsiaTheme="minorEastAsia"/>
        </w:rPr>
        <w:t>-</w:t>
      </w:r>
      <w:r w:rsidRPr="00BD1F38">
        <w:rPr>
          <w:rFonts w:eastAsiaTheme="minorEastAsia"/>
          <w:i/>
          <w:iCs/>
        </w:rPr>
        <w:t>inspirational</w:t>
      </w:r>
      <w:r w:rsidRPr="00BD1F38">
        <w:rPr>
          <w:rFonts w:eastAsiaTheme="minorEastAsia"/>
        </w:rPr>
        <w:t xml:space="preserve"> divine communication,</w:t>
      </w:r>
      <w:r w:rsidRPr="00BD1F38">
        <w:rPr>
          <w:rStyle w:val="FootnoteReference"/>
          <w:rFonts w:eastAsiaTheme="minorEastAsia"/>
        </w:rPr>
        <w:footnoteReference w:id="178"/>
      </w:r>
      <w:r w:rsidRPr="00BD1F38">
        <w:rPr>
          <w:rFonts w:eastAsiaTheme="minorEastAsia"/>
        </w:rPr>
        <w:t xml:space="preserve"> can successfully articulate what they in good or bad faith believe to be divine will and ruling; and are thus socio-culturally able to affect ruling, perception, and therefore future socio-ecological engagement. </w:t>
      </w:r>
      <w:r w:rsidRPr="00BD1F38">
        <w:rPr>
          <w:rFonts w:eastAsiaTheme="minorEastAsia"/>
          <w:i/>
          <w:iCs/>
        </w:rPr>
        <w:t>Othering</w:t>
      </w:r>
      <w:r w:rsidRPr="00BD1F38">
        <w:rPr>
          <w:rFonts w:eastAsiaTheme="minorEastAsia"/>
        </w:rPr>
        <w:t xml:space="preserve"> practitioners of </w:t>
      </w:r>
      <w:r w:rsidRPr="00BD1F38">
        <w:rPr>
          <w:rFonts w:eastAsiaTheme="minorEastAsia"/>
        </w:rPr>
        <w:lastRenderedPageBreak/>
        <w:t xml:space="preserve">the </w:t>
      </w:r>
      <w:r w:rsidRPr="00BD1F38">
        <w:rPr>
          <w:rFonts w:eastAsiaTheme="minorEastAsia"/>
          <w:i/>
          <w:iCs/>
        </w:rPr>
        <w:t>wrong</w:t>
      </w:r>
      <w:r w:rsidRPr="00BD1F38">
        <w:rPr>
          <w:rFonts w:eastAsiaTheme="minorEastAsia"/>
        </w:rPr>
        <w:t xml:space="preserve"> or </w:t>
      </w:r>
      <w:r w:rsidRPr="00BD1F38">
        <w:rPr>
          <w:rFonts w:eastAsiaTheme="minorEastAsia"/>
          <w:i/>
          <w:iCs/>
        </w:rPr>
        <w:t>sinful</w:t>
      </w:r>
      <w:r w:rsidRPr="00BD1F38">
        <w:rPr>
          <w:rFonts w:eastAsiaTheme="minorEastAsia"/>
        </w:rPr>
        <w:t xml:space="preserve"> eco-spiritual rituals, re-establishing the community of insiders and its outsiders, since ‘</w:t>
      </w:r>
      <w:r w:rsidRPr="00BD1F38">
        <w:rPr>
          <w:rFonts w:eastAsiaTheme="minorEastAsia"/>
          <w:lang w:val="en-US"/>
        </w:rPr>
        <w:t>Community bonding occurs through a shared catastrophic experience’.</w:t>
      </w:r>
      <w:r w:rsidRPr="00BD1F38">
        <w:rPr>
          <w:rStyle w:val="FootnoteReference"/>
          <w:rFonts w:eastAsiaTheme="minorEastAsia"/>
          <w:lang w:val="en-US"/>
        </w:rPr>
        <w:footnoteReference w:id="179"/>
      </w:r>
      <w:r w:rsidRPr="00BD1F38">
        <w:rPr>
          <w:rFonts w:eastAsiaTheme="minorEastAsia"/>
          <w:lang w:val="en-US"/>
        </w:rPr>
        <w:t xml:space="preserve"> </w:t>
      </w:r>
    </w:p>
    <w:p w14:paraId="4CC08D85" w14:textId="77777777" w:rsidR="0045403B" w:rsidRPr="00BD1F38" w:rsidRDefault="0045403B" w:rsidP="0045403B">
      <w:pPr>
        <w:autoSpaceDE w:val="0"/>
        <w:autoSpaceDN w:val="0"/>
        <w:adjustRightInd w:val="0"/>
        <w:spacing w:line="360" w:lineRule="auto"/>
        <w:rPr>
          <w:rFonts w:eastAsiaTheme="minorEastAsia"/>
          <w:lang w:val="en-US"/>
        </w:rPr>
      </w:pPr>
    </w:p>
    <w:p w14:paraId="12020D5F" w14:textId="77777777" w:rsidR="0045403B" w:rsidRPr="00BD1F38" w:rsidRDefault="0045403B" w:rsidP="0045403B">
      <w:pPr>
        <w:autoSpaceDE w:val="0"/>
        <w:autoSpaceDN w:val="0"/>
        <w:adjustRightInd w:val="0"/>
        <w:spacing w:line="360" w:lineRule="auto"/>
        <w:rPr>
          <w:rFonts w:eastAsiaTheme="minorEastAsia"/>
          <w:lang w:val="en-US"/>
        </w:rPr>
      </w:pPr>
    </w:p>
    <w:p w14:paraId="73C7B81F" w14:textId="77777777" w:rsidR="0045403B" w:rsidRPr="00BD1F38" w:rsidRDefault="0045403B" w:rsidP="0045403B">
      <w:pPr>
        <w:autoSpaceDE w:val="0"/>
        <w:autoSpaceDN w:val="0"/>
        <w:adjustRightInd w:val="0"/>
        <w:spacing w:line="360" w:lineRule="auto"/>
        <w:rPr>
          <w:rFonts w:eastAsiaTheme="minorEastAsia"/>
          <w:lang w:val="en-US"/>
        </w:rPr>
      </w:pPr>
    </w:p>
    <w:p w14:paraId="4FEF6975" w14:textId="77777777" w:rsidR="0045403B" w:rsidRPr="00BD1F38" w:rsidRDefault="0045403B" w:rsidP="0045403B">
      <w:pPr>
        <w:autoSpaceDE w:val="0"/>
        <w:autoSpaceDN w:val="0"/>
        <w:adjustRightInd w:val="0"/>
        <w:rPr>
          <w:rFonts w:eastAsiaTheme="minorEastAsia"/>
          <w:lang w:val="en-US"/>
        </w:rPr>
      </w:pPr>
    </w:p>
    <w:p w14:paraId="2EAD926F" w14:textId="77777777" w:rsidR="0045403B" w:rsidRPr="00BD1F38" w:rsidRDefault="0045403B" w:rsidP="0045403B">
      <w:pPr>
        <w:autoSpaceDE w:val="0"/>
        <w:autoSpaceDN w:val="0"/>
        <w:adjustRightInd w:val="0"/>
        <w:rPr>
          <w:rFonts w:eastAsiaTheme="minorEastAsia"/>
        </w:rPr>
      </w:pPr>
    </w:p>
    <w:p w14:paraId="53D77980" w14:textId="77777777" w:rsidR="0045403B" w:rsidRPr="00BD1F38" w:rsidRDefault="0045403B" w:rsidP="0045403B">
      <w:pPr>
        <w:autoSpaceDE w:val="0"/>
        <w:autoSpaceDN w:val="0"/>
        <w:adjustRightInd w:val="0"/>
        <w:rPr>
          <w:rFonts w:eastAsiaTheme="minorEastAsia"/>
          <w:b/>
          <w:bCs/>
          <w:sz w:val="16"/>
          <w:szCs w:val="16"/>
          <w:u w:val="single"/>
        </w:rPr>
      </w:pPr>
    </w:p>
    <w:p w14:paraId="0C5D00CA" w14:textId="77777777" w:rsidR="0045403B" w:rsidRPr="00BD1F38" w:rsidRDefault="0045403B" w:rsidP="0045403B">
      <w:pPr>
        <w:autoSpaceDE w:val="0"/>
        <w:autoSpaceDN w:val="0"/>
        <w:adjustRightInd w:val="0"/>
        <w:rPr>
          <w:rFonts w:eastAsiaTheme="minorEastAsia"/>
          <w:sz w:val="72"/>
          <w:szCs w:val="72"/>
        </w:rPr>
      </w:pPr>
    </w:p>
    <w:p w14:paraId="66F3FE54" w14:textId="77777777" w:rsidR="0045403B" w:rsidRPr="00BD1F38" w:rsidRDefault="0045403B" w:rsidP="0045403B">
      <w:pPr>
        <w:autoSpaceDE w:val="0"/>
        <w:autoSpaceDN w:val="0"/>
        <w:adjustRightInd w:val="0"/>
        <w:rPr>
          <w:rFonts w:eastAsiaTheme="minorEastAsia"/>
          <w:sz w:val="72"/>
          <w:szCs w:val="72"/>
        </w:rPr>
      </w:pPr>
    </w:p>
    <w:p w14:paraId="3970B827" w14:textId="77777777" w:rsidR="0045403B" w:rsidRPr="00BD1F38" w:rsidRDefault="0045403B" w:rsidP="0045403B">
      <w:pPr>
        <w:autoSpaceDE w:val="0"/>
        <w:autoSpaceDN w:val="0"/>
        <w:adjustRightInd w:val="0"/>
        <w:rPr>
          <w:rFonts w:eastAsiaTheme="minorEastAsia"/>
          <w:sz w:val="72"/>
          <w:szCs w:val="72"/>
        </w:rPr>
      </w:pPr>
    </w:p>
    <w:p w14:paraId="34558FA1" w14:textId="77777777" w:rsidR="0045403B" w:rsidRPr="00BD1F38" w:rsidRDefault="0045403B" w:rsidP="0045403B">
      <w:pPr>
        <w:autoSpaceDE w:val="0"/>
        <w:autoSpaceDN w:val="0"/>
        <w:adjustRightInd w:val="0"/>
        <w:rPr>
          <w:rFonts w:eastAsiaTheme="minorEastAsia"/>
          <w:sz w:val="72"/>
          <w:szCs w:val="72"/>
        </w:rPr>
      </w:pPr>
    </w:p>
    <w:p w14:paraId="5173D6B3" w14:textId="77777777" w:rsidR="0045403B" w:rsidRPr="00BD1F38" w:rsidRDefault="0045403B" w:rsidP="0045403B">
      <w:pPr>
        <w:autoSpaceDE w:val="0"/>
        <w:autoSpaceDN w:val="0"/>
        <w:adjustRightInd w:val="0"/>
        <w:rPr>
          <w:rFonts w:eastAsiaTheme="minorEastAsia"/>
          <w:sz w:val="72"/>
          <w:szCs w:val="72"/>
        </w:rPr>
      </w:pPr>
    </w:p>
    <w:p w14:paraId="6400683E" w14:textId="77777777" w:rsidR="0045403B" w:rsidRPr="00BD1F38" w:rsidRDefault="0045403B" w:rsidP="0045403B">
      <w:pPr>
        <w:autoSpaceDE w:val="0"/>
        <w:autoSpaceDN w:val="0"/>
        <w:adjustRightInd w:val="0"/>
        <w:rPr>
          <w:rFonts w:eastAsiaTheme="minorEastAsia"/>
          <w:sz w:val="72"/>
          <w:szCs w:val="72"/>
        </w:rPr>
      </w:pPr>
    </w:p>
    <w:p w14:paraId="7EABFCD8" w14:textId="77777777" w:rsidR="0045403B" w:rsidRPr="00BD1F38" w:rsidRDefault="0045403B" w:rsidP="0045403B">
      <w:pPr>
        <w:autoSpaceDE w:val="0"/>
        <w:autoSpaceDN w:val="0"/>
        <w:adjustRightInd w:val="0"/>
        <w:rPr>
          <w:rFonts w:eastAsiaTheme="minorEastAsia"/>
          <w:sz w:val="72"/>
          <w:szCs w:val="72"/>
        </w:rPr>
      </w:pPr>
    </w:p>
    <w:p w14:paraId="270FE102" w14:textId="77777777" w:rsidR="0045403B" w:rsidRPr="00BD1F38" w:rsidRDefault="0045403B" w:rsidP="0045403B">
      <w:pPr>
        <w:autoSpaceDE w:val="0"/>
        <w:autoSpaceDN w:val="0"/>
        <w:adjustRightInd w:val="0"/>
        <w:rPr>
          <w:rFonts w:eastAsiaTheme="minorEastAsia"/>
          <w:sz w:val="72"/>
          <w:szCs w:val="72"/>
        </w:rPr>
      </w:pPr>
    </w:p>
    <w:p w14:paraId="2737CAFE" w14:textId="77777777" w:rsidR="0045403B" w:rsidRPr="00BD1F38" w:rsidRDefault="0045403B" w:rsidP="0045403B">
      <w:pPr>
        <w:autoSpaceDE w:val="0"/>
        <w:autoSpaceDN w:val="0"/>
        <w:adjustRightInd w:val="0"/>
        <w:rPr>
          <w:rFonts w:eastAsiaTheme="minorEastAsia"/>
          <w:sz w:val="72"/>
          <w:szCs w:val="72"/>
        </w:rPr>
      </w:pPr>
    </w:p>
    <w:p w14:paraId="22732DC5" w14:textId="77777777" w:rsidR="0045403B" w:rsidRPr="00BD1F38" w:rsidRDefault="0045403B" w:rsidP="0045403B">
      <w:pPr>
        <w:autoSpaceDE w:val="0"/>
        <w:autoSpaceDN w:val="0"/>
        <w:adjustRightInd w:val="0"/>
        <w:rPr>
          <w:rFonts w:eastAsiaTheme="minorEastAsia"/>
          <w:sz w:val="72"/>
          <w:szCs w:val="72"/>
        </w:rPr>
      </w:pPr>
    </w:p>
    <w:p w14:paraId="37AF9A96" w14:textId="77777777" w:rsidR="0045403B" w:rsidRPr="00BD1F38" w:rsidRDefault="0045403B" w:rsidP="0045403B">
      <w:pPr>
        <w:autoSpaceDE w:val="0"/>
        <w:autoSpaceDN w:val="0"/>
        <w:adjustRightInd w:val="0"/>
        <w:rPr>
          <w:rFonts w:eastAsiaTheme="minorEastAsia"/>
          <w:sz w:val="72"/>
          <w:szCs w:val="72"/>
        </w:rPr>
      </w:pPr>
    </w:p>
    <w:p w14:paraId="66CA32EC" w14:textId="77777777" w:rsidR="0045403B" w:rsidRPr="00BD1F38" w:rsidRDefault="0045403B" w:rsidP="0045403B">
      <w:pPr>
        <w:autoSpaceDE w:val="0"/>
        <w:autoSpaceDN w:val="0"/>
        <w:adjustRightInd w:val="0"/>
        <w:jc w:val="center"/>
        <w:rPr>
          <w:rFonts w:eastAsiaTheme="minorEastAsia"/>
          <w:sz w:val="72"/>
          <w:szCs w:val="72"/>
        </w:rPr>
      </w:pPr>
      <w:r w:rsidRPr="00BD1F38">
        <w:rPr>
          <w:rFonts w:eastAsiaTheme="minorEastAsia"/>
          <w:sz w:val="72"/>
          <w:szCs w:val="72"/>
        </w:rPr>
        <w:lastRenderedPageBreak/>
        <w:t>REFLECTIONS</w:t>
      </w:r>
    </w:p>
    <w:p w14:paraId="76107E0B" w14:textId="77777777" w:rsidR="0045403B" w:rsidRPr="00BD1F38" w:rsidRDefault="0045403B" w:rsidP="0045403B">
      <w:pPr>
        <w:autoSpaceDE w:val="0"/>
        <w:autoSpaceDN w:val="0"/>
        <w:adjustRightInd w:val="0"/>
        <w:rPr>
          <w:rFonts w:eastAsiaTheme="minorEastAsia"/>
          <w:sz w:val="26"/>
          <w:szCs w:val="26"/>
        </w:rPr>
      </w:pPr>
    </w:p>
    <w:p w14:paraId="71C064ED" w14:textId="77777777" w:rsidR="0045403B" w:rsidRPr="00BD1F38" w:rsidRDefault="0045403B" w:rsidP="0045403B">
      <w:pPr>
        <w:autoSpaceDE w:val="0"/>
        <w:autoSpaceDN w:val="0"/>
        <w:adjustRightInd w:val="0"/>
        <w:spacing w:line="360" w:lineRule="auto"/>
        <w:rPr>
          <w:rFonts w:eastAsiaTheme="minorEastAsia"/>
          <w:color w:val="000000" w:themeColor="text1"/>
        </w:rPr>
      </w:pPr>
    </w:p>
    <w:p w14:paraId="7CECDEE4" w14:textId="77777777" w:rsidR="0045403B" w:rsidRPr="00BD1F38" w:rsidRDefault="0045403B" w:rsidP="0045403B">
      <w:pPr>
        <w:autoSpaceDE w:val="0"/>
        <w:autoSpaceDN w:val="0"/>
        <w:adjustRightInd w:val="0"/>
        <w:spacing w:line="360" w:lineRule="auto"/>
        <w:rPr>
          <w:rFonts w:eastAsiaTheme="minorEastAsia"/>
          <w:b/>
          <w:bCs/>
          <w:color w:val="000000" w:themeColor="text1"/>
        </w:rPr>
      </w:pPr>
      <w:r w:rsidRPr="00BD1F38">
        <w:rPr>
          <w:rFonts w:eastAsiaTheme="minorEastAsia"/>
          <w:color w:val="000000" w:themeColor="text1"/>
        </w:rPr>
        <w:t>There are drawable comparisons between the essences of water and humanity. Both are permeated with motion, change, and voice.</w:t>
      </w:r>
      <w:r w:rsidRPr="00BD1F38">
        <w:rPr>
          <w:rStyle w:val="FootnoteReference"/>
          <w:rFonts w:eastAsiaTheme="minorEastAsia"/>
          <w:color w:val="000000" w:themeColor="text1"/>
        </w:rPr>
        <w:footnoteReference w:id="180"/>
      </w:r>
      <w:r w:rsidRPr="00BD1F38">
        <w:rPr>
          <w:rFonts w:eastAsiaTheme="minorEastAsia"/>
          <w:color w:val="000000" w:themeColor="text1"/>
        </w:rPr>
        <w:t xml:space="preserve"> </w:t>
      </w:r>
      <w:r w:rsidRPr="00BD1F38">
        <w:rPr>
          <w:color w:val="000000" w:themeColor="text1"/>
        </w:rPr>
        <w:t>On this perceived similarity, Mur et al.</w:t>
      </w:r>
      <w:r w:rsidRPr="00BD1F38">
        <w:rPr>
          <w:i/>
          <w:iCs/>
          <w:color w:val="000000" w:themeColor="text1"/>
        </w:rPr>
        <w:t xml:space="preserve"> </w:t>
      </w:r>
      <w:r w:rsidRPr="00BD1F38">
        <w:rPr>
          <w:color w:val="000000" w:themeColor="text1"/>
          <w:shd w:val="clear" w:color="auto" w:fill="F7F7F7"/>
        </w:rPr>
        <w:t>observed how humans categorise animate objects (like water) together at the internal interface between vision and semantics.</w:t>
      </w:r>
      <w:r w:rsidRPr="00BD1F38">
        <w:rPr>
          <w:rStyle w:val="FootnoteReference"/>
          <w:color w:val="000000" w:themeColor="text1"/>
          <w:shd w:val="clear" w:color="auto" w:fill="F7F7F7"/>
        </w:rPr>
        <w:t xml:space="preserve"> </w:t>
      </w:r>
      <w:r w:rsidRPr="00BD1F38">
        <w:rPr>
          <w:rStyle w:val="FootnoteReference"/>
          <w:color w:val="000000" w:themeColor="text1"/>
          <w:shd w:val="clear" w:color="auto" w:fill="F7F7F7"/>
        </w:rPr>
        <w:footnoteReference w:id="181"/>
      </w:r>
      <w:r w:rsidRPr="00BD1F38">
        <w:rPr>
          <w:color w:val="000000" w:themeColor="text1"/>
          <w:shd w:val="clear" w:color="auto" w:fill="F7F7F7"/>
        </w:rPr>
        <w:t xml:space="preserve"> If we are to follow this thread that humans have an intrinsic perceived affiliation with water based not only on its essentialness but also its analogous </w:t>
      </w:r>
      <w:r w:rsidRPr="00BD1F38">
        <w:rPr>
          <w:i/>
          <w:iCs/>
          <w:color w:val="000000" w:themeColor="text1"/>
          <w:shd w:val="clear" w:color="auto" w:fill="F7F7F7"/>
        </w:rPr>
        <w:t>essence</w:t>
      </w:r>
      <w:r w:rsidRPr="00BD1F38">
        <w:rPr>
          <w:color w:val="000000" w:themeColor="text1"/>
          <w:shd w:val="clear" w:color="auto" w:fill="F7F7F7"/>
        </w:rPr>
        <w:t xml:space="preserve">, then the </w:t>
      </w:r>
      <w:r w:rsidRPr="00BD1F38">
        <w:rPr>
          <w:color w:val="000000" w:themeColor="text1"/>
          <w:shd w:val="clear" w:color="auto" w:fill="FFFFFF"/>
        </w:rPr>
        <w:t xml:space="preserve">Similar-to-Me Effect becomes relevant to more holistically understanding the nature of water’s influence on divine and metaphysical archetypes, along with perceptions of environmental interrelationship and the corresponding eco-spiritual engagements of its people (here: specifically Vedic and Judaic peoples and especially in the form of their Soma and </w:t>
      </w:r>
      <w:proofErr w:type="spellStart"/>
      <w:r w:rsidRPr="00BD1F38">
        <w:rPr>
          <w:color w:val="000000" w:themeColor="text1"/>
          <w:shd w:val="clear" w:color="auto" w:fill="FFFFFF"/>
        </w:rPr>
        <w:t>Tevilah</w:t>
      </w:r>
      <w:proofErr w:type="spellEnd"/>
      <w:r w:rsidRPr="00BD1F38">
        <w:rPr>
          <w:color w:val="000000" w:themeColor="text1"/>
          <w:shd w:val="clear" w:color="auto" w:fill="FFFFFF"/>
        </w:rPr>
        <w:t xml:space="preserve"> rituals respectively).</w:t>
      </w:r>
      <w:r w:rsidRPr="00BD1F38">
        <w:rPr>
          <w:rStyle w:val="FootnoteReference"/>
          <w:color w:val="000000" w:themeColor="text1"/>
          <w:shd w:val="clear" w:color="auto" w:fill="FFFFFF"/>
        </w:rPr>
        <w:footnoteReference w:id="182"/>
      </w:r>
    </w:p>
    <w:p w14:paraId="262FC857" w14:textId="77777777" w:rsidR="0045403B" w:rsidRPr="00BD1F38" w:rsidRDefault="0045403B" w:rsidP="0045403B">
      <w:pPr>
        <w:autoSpaceDE w:val="0"/>
        <w:autoSpaceDN w:val="0"/>
        <w:adjustRightInd w:val="0"/>
        <w:spacing w:line="360" w:lineRule="auto"/>
        <w:rPr>
          <w:color w:val="000000" w:themeColor="text1"/>
          <w:shd w:val="clear" w:color="auto" w:fill="FFFFFF"/>
        </w:rPr>
      </w:pPr>
    </w:p>
    <w:p w14:paraId="122580A8" w14:textId="77777777" w:rsidR="0045403B" w:rsidRPr="00BD1F38" w:rsidRDefault="0045403B" w:rsidP="0045403B">
      <w:pPr>
        <w:autoSpaceDE w:val="0"/>
        <w:autoSpaceDN w:val="0"/>
        <w:adjustRightInd w:val="0"/>
        <w:spacing w:line="360" w:lineRule="auto"/>
        <w:rPr>
          <w:color w:val="000000" w:themeColor="text1"/>
        </w:rPr>
      </w:pPr>
      <w:r w:rsidRPr="00BD1F38">
        <w:rPr>
          <w:color w:val="000000" w:themeColor="text1"/>
          <w:shd w:val="clear" w:color="auto" w:fill="FFFFFF"/>
        </w:rPr>
        <w:t xml:space="preserve">The Similar-to-Me Effect is a psychological phenomenon, where, according to scientific trials, humans tend to gravitate to that which </w:t>
      </w:r>
      <w:r w:rsidRPr="00BD1F38">
        <w:rPr>
          <w:i/>
          <w:iCs/>
          <w:color w:val="000000" w:themeColor="text1"/>
          <w:shd w:val="clear" w:color="auto" w:fill="FFFFFF"/>
        </w:rPr>
        <w:t>mirrors</w:t>
      </w:r>
      <w:r w:rsidRPr="00BD1F38">
        <w:rPr>
          <w:color w:val="000000" w:themeColor="text1"/>
          <w:shd w:val="clear" w:color="auto" w:fill="FFFFFF"/>
        </w:rPr>
        <w:t xml:space="preserve"> them.</w:t>
      </w:r>
      <w:r w:rsidRPr="00BD1F38">
        <w:rPr>
          <w:rStyle w:val="FootnoteReference"/>
          <w:color w:val="000000" w:themeColor="text1"/>
          <w:shd w:val="clear" w:color="auto" w:fill="FFFFFF"/>
        </w:rPr>
        <w:footnoteReference w:id="183"/>
      </w:r>
      <w:r w:rsidRPr="00BD1F38">
        <w:rPr>
          <w:color w:val="000000" w:themeColor="text1"/>
          <w:shd w:val="clear" w:color="auto" w:fill="FFFFFF"/>
        </w:rPr>
        <w:t xml:space="preserve"> According to Alessandra DeVito in her article </w:t>
      </w:r>
      <w:r w:rsidRPr="00BD1F38">
        <w:rPr>
          <w:i/>
          <w:iCs/>
          <w:color w:val="000000" w:themeColor="text1"/>
        </w:rPr>
        <w:t>Why We’re Drawn to People Who Are Similar to Us</w:t>
      </w:r>
      <w:r w:rsidRPr="00BD1F38">
        <w:rPr>
          <w:color w:val="000000" w:themeColor="text1"/>
        </w:rPr>
        <w:t>, ‘This could be in terms of thoughts, beliefs, or characteristics’</w:t>
      </w:r>
      <w:r w:rsidRPr="00BD1F38">
        <w:rPr>
          <w:rStyle w:val="FootnoteReference"/>
          <w:color w:val="000000" w:themeColor="text1"/>
        </w:rPr>
        <w:footnoteReference w:id="184"/>
      </w:r>
      <w:r w:rsidRPr="00BD1F38">
        <w:rPr>
          <w:color w:val="000000" w:themeColor="text1"/>
        </w:rPr>
        <w:t xml:space="preserve">. If bodies of water are perceived as having similar characteristics to us, such as, as aforementioned, animation, then our relationship with them, as this psychological effect theorises, may have reinforced integrated personal and social identities – echoing the evidence proposed earlier in this paper that ‘reciprocity of practices (of autonomy and dependence’ between perceived </w:t>
      </w:r>
      <w:r w:rsidRPr="00BD1F38">
        <w:rPr>
          <w:i/>
          <w:iCs/>
          <w:color w:val="000000" w:themeColor="text1"/>
        </w:rPr>
        <w:t>agents</w:t>
      </w:r>
      <w:r w:rsidRPr="00BD1F38">
        <w:rPr>
          <w:color w:val="000000" w:themeColor="text1"/>
        </w:rPr>
        <w:t xml:space="preserve"> and ‘</w:t>
      </w:r>
      <w:proofErr w:type="spellStart"/>
      <w:r w:rsidRPr="00BD1F38">
        <w:rPr>
          <w:color w:val="000000" w:themeColor="text1"/>
        </w:rPr>
        <w:t>systemness</w:t>
      </w:r>
      <w:proofErr w:type="spellEnd"/>
      <w:r w:rsidRPr="00BD1F38">
        <w:rPr>
          <w:color w:val="000000" w:themeColor="text1"/>
        </w:rPr>
        <w:t xml:space="preserve"> on the level of face-to-face interaction’ is what sculpt these.</w:t>
      </w:r>
      <w:r w:rsidRPr="00BD1F38">
        <w:rPr>
          <w:rStyle w:val="FootnoteReference"/>
          <w:color w:val="000000" w:themeColor="text1"/>
        </w:rPr>
        <w:footnoteReference w:id="185"/>
      </w:r>
      <w:r w:rsidRPr="00BD1F38">
        <w:rPr>
          <w:color w:val="000000" w:themeColor="text1"/>
        </w:rPr>
        <w:t xml:space="preserve"> Similarly, this effect may have allowed humanity, </w:t>
      </w:r>
      <w:proofErr w:type="spellStart"/>
      <w:r w:rsidRPr="00BD1F38">
        <w:rPr>
          <w:color w:val="000000" w:themeColor="text1"/>
        </w:rPr>
        <w:t>ie</w:t>
      </w:r>
      <w:proofErr w:type="spellEnd"/>
      <w:r w:rsidRPr="00BD1F38">
        <w:rPr>
          <w:color w:val="000000" w:themeColor="text1"/>
        </w:rPr>
        <w:t xml:space="preserve">. Vedic and Judaic peoples, to impregnate these bodies with even more </w:t>
      </w:r>
      <w:r w:rsidRPr="00BD1F38">
        <w:rPr>
          <w:i/>
          <w:iCs/>
          <w:color w:val="000000" w:themeColor="text1"/>
        </w:rPr>
        <w:t>essential</w:t>
      </w:r>
      <w:r w:rsidRPr="00BD1F38">
        <w:rPr>
          <w:color w:val="000000" w:themeColor="text1"/>
        </w:rPr>
        <w:t xml:space="preserve"> human characteristics until our river; or ocean; or lake; or the very idea of water itself, becomes a ‘complete being, with body, </w:t>
      </w:r>
      <w:r w:rsidRPr="00BD1F38">
        <w:rPr>
          <w:color w:val="000000" w:themeColor="text1"/>
        </w:rPr>
        <w:lastRenderedPageBreak/>
        <w:t>soul, and voice’.</w:t>
      </w:r>
      <w:r w:rsidRPr="00BD1F38">
        <w:rPr>
          <w:rStyle w:val="FootnoteReference"/>
          <w:color w:val="000000" w:themeColor="text1"/>
        </w:rPr>
        <w:footnoteReference w:id="186"/>
      </w:r>
      <w:r w:rsidRPr="00BD1F38">
        <w:rPr>
          <w:color w:val="000000" w:themeColor="text1"/>
        </w:rPr>
        <w:t xml:space="preserve"> This archetypal symbolism is consistently exhibited within the Rig Veda, where in one example, the waters themselves are described as being ‘pregnant with the embryo that is everything’</w:t>
      </w:r>
      <w:r w:rsidRPr="00BD1F38">
        <w:rPr>
          <w:rStyle w:val="FootnoteReference"/>
          <w:color w:val="000000" w:themeColor="text1"/>
        </w:rPr>
        <w:footnoteReference w:id="187"/>
      </w:r>
      <w:r w:rsidRPr="00BD1F38">
        <w:rPr>
          <w:color w:val="000000" w:themeColor="text1"/>
        </w:rPr>
        <w:t xml:space="preserve"> and ‘pregnant </w:t>
      </w:r>
      <w:r w:rsidRPr="00BD1F38">
        <w:rPr>
          <w:rFonts w:eastAsiaTheme="minorEastAsia"/>
          <w:color w:val="000000" w:themeColor="text1"/>
        </w:rPr>
        <w:t xml:space="preserve">with </w:t>
      </w:r>
      <w:proofErr w:type="spellStart"/>
      <w:r w:rsidRPr="00BD1F38">
        <w:rPr>
          <w:rFonts w:eastAsiaTheme="minorEastAsia"/>
          <w:color w:val="000000" w:themeColor="text1"/>
        </w:rPr>
        <w:t>Dakṣa</w:t>
      </w:r>
      <w:proofErr w:type="spellEnd"/>
      <w:r w:rsidRPr="00BD1F38">
        <w:rPr>
          <w:rFonts w:eastAsiaTheme="minorEastAsia"/>
          <w:color w:val="000000" w:themeColor="text1"/>
        </w:rPr>
        <w:t>, bringing forth the sacrifice’.</w:t>
      </w:r>
      <w:r w:rsidRPr="00BD1F38">
        <w:rPr>
          <w:rStyle w:val="FootnoteReference"/>
          <w:rFonts w:eastAsiaTheme="minorEastAsia"/>
          <w:color w:val="000000" w:themeColor="text1"/>
        </w:rPr>
        <w:footnoteReference w:id="188"/>
      </w:r>
      <w:r w:rsidRPr="00BD1F38">
        <w:rPr>
          <w:rFonts w:eastAsiaTheme="minorEastAsia"/>
          <w:color w:val="000000" w:themeColor="text1"/>
        </w:rPr>
        <w:t xml:space="preserve"> The waters textually represented as ‘bringing forth the sacrifice’ insinuates that it is from this interrelationship with water that the rituals come; such as similarly presented in </w:t>
      </w:r>
      <w:r w:rsidRPr="00BD1F38">
        <w:rPr>
          <w:color w:val="000000" w:themeColor="text1"/>
          <w:lang w:val="en-US"/>
        </w:rPr>
        <w:t xml:space="preserve">the ‘face-to-face interaction’ of the </w:t>
      </w:r>
      <w:proofErr w:type="spellStart"/>
      <w:r w:rsidRPr="00BD1F38">
        <w:rPr>
          <w:color w:val="000000" w:themeColor="text1"/>
          <w:lang w:val="en-US"/>
        </w:rPr>
        <w:t>Tevilah</w:t>
      </w:r>
      <w:proofErr w:type="spellEnd"/>
      <w:r w:rsidRPr="00BD1F38">
        <w:rPr>
          <w:color w:val="000000" w:themeColor="text1"/>
          <w:lang w:val="en-US"/>
        </w:rPr>
        <w:t xml:space="preserve"> ritual where quite literally water and practitioner are face-to-face and seen as reciprocating the one eco-spiritual ritual process; the contact between the two bodies archetypally creating one purified corporeal bodily reposit for the Sabbath-cosmos.</w:t>
      </w:r>
      <w:r w:rsidRPr="00BD1F38">
        <w:rPr>
          <w:rStyle w:val="FootnoteReference"/>
          <w:color w:val="000000" w:themeColor="text1"/>
          <w:lang w:val="en-US"/>
        </w:rPr>
        <w:footnoteReference w:id="189"/>
      </w:r>
      <w:r w:rsidRPr="00BD1F38">
        <w:rPr>
          <w:color w:val="000000" w:themeColor="text1"/>
          <w:lang w:val="en-US"/>
        </w:rPr>
        <w:t xml:space="preserve"> </w:t>
      </w:r>
      <w:r w:rsidRPr="00BD1F38">
        <w:rPr>
          <w:rStyle w:val="FootnoteReference"/>
          <w:color w:val="000000" w:themeColor="text1"/>
          <w:lang w:val="en-US"/>
        </w:rPr>
        <w:footnoteReference w:id="190"/>
      </w:r>
    </w:p>
    <w:p w14:paraId="43C578B5" w14:textId="77777777" w:rsidR="0045403B" w:rsidRPr="00BD1F38" w:rsidRDefault="0045403B" w:rsidP="0045403B">
      <w:pPr>
        <w:autoSpaceDE w:val="0"/>
        <w:autoSpaceDN w:val="0"/>
        <w:adjustRightInd w:val="0"/>
        <w:spacing w:line="360" w:lineRule="auto"/>
        <w:rPr>
          <w:color w:val="000000" w:themeColor="text1"/>
        </w:rPr>
      </w:pPr>
    </w:p>
    <w:p w14:paraId="09B4A321" w14:textId="77777777" w:rsidR="0045403B" w:rsidRPr="00BD1F38" w:rsidRDefault="0045403B" w:rsidP="0045403B">
      <w:pPr>
        <w:autoSpaceDE w:val="0"/>
        <w:autoSpaceDN w:val="0"/>
        <w:adjustRightInd w:val="0"/>
        <w:spacing w:line="360" w:lineRule="auto"/>
        <w:rPr>
          <w:rFonts w:eastAsiaTheme="minorEastAsia"/>
          <w:color w:val="000000" w:themeColor="text1"/>
        </w:rPr>
      </w:pPr>
      <w:r w:rsidRPr="00BD1F38">
        <w:rPr>
          <w:color w:val="000000" w:themeColor="text1"/>
        </w:rPr>
        <w:t>Conceptualisations of the divine, are similarly highly anthropomorphised. This is epitomised in Genesis 1:27 where it is proclaimed that ‘God created man in his [own] image’.</w:t>
      </w:r>
      <w:r w:rsidRPr="00BD1F38">
        <w:rPr>
          <w:rStyle w:val="FootnoteReference"/>
          <w:color w:val="000000" w:themeColor="text1"/>
        </w:rPr>
        <w:footnoteReference w:id="191"/>
      </w:r>
      <w:r w:rsidRPr="00BD1F38">
        <w:rPr>
          <w:color w:val="000000" w:themeColor="text1"/>
        </w:rPr>
        <w:t xml:space="preserve"> The pantheon of gods of the Rig Veda: Indra, Agni, Soma, </w:t>
      </w:r>
      <w:proofErr w:type="spellStart"/>
      <w:r w:rsidRPr="00BD1F38">
        <w:rPr>
          <w:color w:val="000000" w:themeColor="text1"/>
        </w:rPr>
        <w:t>Saraswati</w:t>
      </w:r>
      <w:proofErr w:type="spellEnd"/>
      <w:r w:rsidRPr="00BD1F38">
        <w:rPr>
          <w:color w:val="000000" w:themeColor="text1"/>
        </w:rPr>
        <w:t xml:space="preserve">, etc, are also characterised by human qualities and by interactions with the Vedic peoples, and are especially connected with human fertility and sexuality - so much so that </w:t>
      </w:r>
      <w:r w:rsidRPr="00BD1F38">
        <w:rPr>
          <w:rFonts w:eastAsiaTheme="minorEastAsia"/>
          <w:color w:val="000000" w:themeColor="text1"/>
        </w:rPr>
        <w:t>‘The immortal comes from the same womb as the mortal.’</w:t>
      </w:r>
      <w:r w:rsidRPr="00BD1F38">
        <w:rPr>
          <w:rStyle w:val="FootnoteReference"/>
          <w:rFonts w:eastAsiaTheme="minorEastAsia"/>
          <w:color w:val="000000" w:themeColor="text1"/>
        </w:rPr>
        <w:footnoteReference w:id="192"/>
      </w:r>
      <w:r w:rsidRPr="00BD1F38">
        <w:rPr>
          <w:color w:val="000000" w:themeColor="text1"/>
        </w:rPr>
        <w:t xml:space="preserve"> Furthermore, the perception of water and humanity as characterised by </w:t>
      </w:r>
      <w:r w:rsidRPr="00BD1F38">
        <w:rPr>
          <w:rFonts w:eastAsiaTheme="minorEastAsia"/>
          <w:i/>
          <w:iCs/>
          <w:color w:val="000000" w:themeColor="text1"/>
        </w:rPr>
        <w:t>motion, change</w:t>
      </w:r>
      <w:r w:rsidRPr="00BD1F38">
        <w:rPr>
          <w:rFonts w:eastAsiaTheme="minorEastAsia"/>
          <w:color w:val="000000" w:themeColor="text1"/>
        </w:rPr>
        <w:t xml:space="preserve">, and </w:t>
      </w:r>
      <w:r w:rsidRPr="00BD1F38">
        <w:rPr>
          <w:rFonts w:eastAsiaTheme="minorEastAsia"/>
          <w:i/>
          <w:iCs/>
          <w:color w:val="000000" w:themeColor="text1"/>
        </w:rPr>
        <w:t>voice</w:t>
      </w:r>
      <w:r w:rsidRPr="00BD1F38">
        <w:rPr>
          <w:rStyle w:val="FootnoteReference"/>
          <w:rFonts w:eastAsiaTheme="minorEastAsia"/>
          <w:color w:val="000000" w:themeColor="text1"/>
        </w:rPr>
        <w:footnoteReference w:id="193"/>
      </w:r>
      <w:r w:rsidRPr="00BD1F38">
        <w:rPr>
          <w:rFonts w:eastAsiaTheme="minorEastAsia"/>
          <w:color w:val="000000" w:themeColor="text1"/>
        </w:rPr>
        <w:t xml:space="preserve"> is akin to the language used to describe divinity in select Jewish creation mythology represented in the Torah: ‘the spirit of God </w:t>
      </w:r>
      <w:r w:rsidRPr="00BD1F38">
        <w:rPr>
          <w:rFonts w:eastAsiaTheme="minorEastAsia"/>
          <w:i/>
          <w:iCs/>
          <w:color w:val="000000" w:themeColor="text1"/>
        </w:rPr>
        <w:t>moved</w:t>
      </w:r>
      <w:r w:rsidRPr="00BD1F38">
        <w:rPr>
          <w:rFonts w:eastAsiaTheme="minorEastAsia"/>
          <w:color w:val="000000" w:themeColor="text1"/>
        </w:rPr>
        <w:t xml:space="preserve"> across the face of the water’; ‘and God </w:t>
      </w:r>
      <w:r w:rsidRPr="00BD1F38">
        <w:rPr>
          <w:rFonts w:eastAsiaTheme="minorEastAsia"/>
          <w:i/>
          <w:iCs/>
          <w:color w:val="000000" w:themeColor="text1"/>
        </w:rPr>
        <w:t>said</w:t>
      </w:r>
      <w:r w:rsidRPr="00BD1F38">
        <w:rPr>
          <w:rFonts w:eastAsiaTheme="minorEastAsia"/>
          <w:color w:val="000000" w:themeColor="text1"/>
        </w:rPr>
        <w:t xml:space="preserve">, Let there be light: and there was light’; and ‘God </w:t>
      </w:r>
      <w:r w:rsidRPr="00BD1F38">
        <w:rPr>
          <w:rFonts w:eastAsiaTheme="minorEastAsia"/>
          <w:i/>
          <w:iCs/>
          <w:color w:val="000000" w:themeColor="text1"/>
        </w:rPr>
        <w:t>divided</w:t>
      </w:r>
      <w:r w:rsidRPr="00BD1F38">
        <w:rPr>
          <w:rFonts w:eastAsiaTheme="minorEastAsia"/>
          <w:color w:val="000000" w:themeColor="text1"/>
        </w:rPr>
        <w:t xml:space="preserve"> the light from the darkness.’</w:t>
      </w:r>
      <w:r w:rsidRPr="00BD1F38">
        <w:rPr>
          <w:rStyle w:val="FootnoteReference"/>
          <w:rFonts w:eastAsiaTheme="minorEastAsia"/>
          <w:color w:val="000000" w:themeColor="text1"/>
        </w:rPr>
        <w:footnoteReference w:id="194"/>
      </w:r>
    </w:p>
    <w:p w14:paraId="71E2E7A0" w14:textId="77777777" w:rsidR="0045403B" w:rsidRPr="00BD1F38" w:rsidRDefault="0045403B" w:rsidP="0045403B">
      <w:pPr>
        <w:autoSpaceDE w:val="0"/>
        <w:autoSpaceDN w:val="0"/>
        <w:adjustRightInd w:val="0"/>
        <w:spacing w:line="360" w:lineRule="auto"/>
        <w:rPr>
          <w:color w:val="000000" w:themeColor="text1"/>
        </w:rPr>
      </w:pPr>
    </w:p>
    <w:p w14:paraId="28DCDFA2" w14:textId="77777777" w:rsidR="0045403B" w:rsidRPr="00BD1F38" w:rsidRDefault="0045403B" w:rsidP="0045403B">
      <w:pPr>
        <w:autoSpaceDE w:val="0"/>
        <w:autoSpaceDN w:val="0"/>
        <w:adjustRightInd w:val="0"/>
        <w:spacing w:line="360" w:lineRule="auto"/>
        <w:rPr>
          <w:color w:val="000000" w:themeColor="text1"/>
        </w:rPr>
      </w:pPr>
      <w:r w:rsidRPr="00BD1F38">
        <w:rPr>
          <w:color w:val="000000" w:themeColor="text1"/>
        </w:rPr>
        <w:t>If there was indeed a blur of the boundaries between human and water body, visualisation of divinity and cosmology would resultingly also have seen an archetypal liquid-symbol tinge in any anthropomorphising inadvertently or lucidly presented. An interesting wrinkle too is that humanity’s image, and therefore to at least some extent that too of Judaic divinity represented in Torah as being the inspirational image of humankind,</w:t>
      </w:r>
      <w:r w:rsidRPr="00BD1F38">
        <w:rPr>
          <w:rStyle w:val="FootnoteReference"/>
          <w:color w:val="000000" w:themeColor="text1"/>
        </w:rPr>
        <w:footnoteReference w:id="195"/>
      </w:r>
      <w:r w:rsidRPr="00BD1F38">
        <w:rPr>
          <w:color w:val="000000" w:themeColor="text1"/>
        </w:rPr>
        <w:t xml:space="preserve"> would have predominantly been </w:t>
      </w:r>
      <w:r w:rsidRPr="00BD1F38">
        <w:rPr>
          <w:color w:val="000000" w:themeColor="text1"/>
        </w:rPr>
        <w:lastRenderedPageBreak/>
        <w:t xml:space="preserve">accessible in the reflection water provides. This reflection: physical and providing the basis for internal, is as such, inherently linked to water. Humanity’s anthropomorphised archetypes of divinity then too, are arguably an extrinsic, relational set of characteristics similarly infused with those relational to water. </w:t>
      </w:r>
    </w:p>
    <w:p w14:paraId="3C7C2317" w14:textId="77777777" w:rsidR="0045403B" w:rsidRPr="00BD1F38" w:rsidRDefault="0045403B" w:rsidP="0045403B">
      <w:pPr>
        <w:autoSpaceDE w:val="0"/>
        <w:autoSpaceDN w:val="0"/>
        <w:adjustRightInd w:val="0"/>
        <w:spacing w:line="360" w:lineRule="auto"/>
        <w:rPr>
          <w:color w:val="000000" w:themeColor="text1"/>
        </w:rPr>
      </w:pPr>
    </w:p>
    <w:p w14:paraId="015B1003" w14:textId="77777777" w:rsidR="0045403B" w:rsidRPr="00BD1F38" w:rsidRDefault="0045403B" w:rsidP="0045403B">
      <w:pPr>
        <w:autoSpaceDE w:val="0"/>
        <w:autoSpaceDN w:val="0"/>
        <w:adjustRightInd w:val="0"/>
        <w:spacing w:line="360" w:lineRule="auto"/>
        <w:rPr>
          <w:color w:val="000000" w:themeColor="text1"/>
        </w:rPr>
      </w:pPr>
      <w:r w:rsidRPr="00BD1F38">
        <w:rPr>
          <w:color w:val="000000" w:themeColor="text1"/>
        </w:rPr>
        <w:t xml:space="preserve">On this, there is also debate amongst </w:t>
      </w:r>
      <w:r w:rsidRPr="00BD1F38">
        <w:rPr>
          <w:color w:val="000000" w:themeColor="text1"/>
          <w:shd w:val="clear" w:color="auto" w:fill="FFFFFF"/>
        </w:rPr>
        <w:t>Hebrew scholars as to whether the Divine has blood, and if so, the nature of its relationship to the blood of humanity.</w:t>
      </w:r>
      <w:r w:rsidRPr="00BD1F38">
        <w:rPr>
          <w:rStyle w:val="FootnoteReference"/>
          <w:color w:val="000000" w:themeColor="text1"/>
          <w:shd w:val="clear" w:color="auto" w:fill="FFFFFF"/>
        </w:rPr>
        <w:footnoteReference w:id="196"/>
      </w:r>
      <w:r w:rsidRPr="00BD1F38">
        <w:rPr>
          <w:color w:val="000000" w:themeColor="text1"/>
          <w:shd w:val="clear" w:color="auto" w:fill="FFFFFF"/>
        </w:rPr>
        <w:t xml:space="preserve"> In the Torahic chapter of Exodus, the divine smote the Egyptians, showing the faithful a miraculous act of power and loyalty to them, saying that:</w:t>
      </w:r>
    </w:p>
    <w:p w14:paraId="1D81F0B9" w14:textId="77777777" w:rsidR="0045403B" w:rsidRPr="00BD1F38" w:rsidRDefault="0045403B" w:rsidP="0045403B">
      <w:pPr>
        <w:autoSpaceDE w:val="0"/>
        <w:autoSpaceDN w:val="0"/>
        <w:adjustRightInd w:val="0"/>
        <w:spacing w:line="360" w:lineRule="auto"/>
        <w:rPr>
          <w:color w:val="000000" w:themeColor="text1"/>
          <w:shd w:val="clear" w:color="auto" w:fill="FFFFFF"/>
        </w:rPr>
      </w:pPr>
    </w:p>
    <w:p w14:paraId="785420C3" w14:textId="696439BC" w:rsidR="0045403B" w:rsidRPr="00BD1F38" w:rsidRDefault="0045403B" w:rsidP="00BB56F8">
      <w:pPr>
        <w:autoSpaceDE w:val="0"/>
        <w:autoSpaceDN w:val="0"/>
        <w:adjustRightInd w:val="0"/>
        <w:ind w:left="1440"/>
        <w:rPr>
          <w:color w:val="000000" w:themeColor="text1"/>
          <w:shd w:val="clear" w:color="auto" w:fill="FFFFFF"/>
        </w:rPr>
      </w:pPr>
      <w:r w:rsidRPr="00BD1F38">
        <w:rPr>
          <w:color w:val="000000" w:themeColor="text1"/>
          <w:shd w:val="clear" w:color="auto" w:fill="FFFFFF"/>
        </w:rPr>
        <w:t xml:space="preserve">In this thou shalt know that I am the LORD: behold, I will smite with the rod that [is] in mine hand upon the waters which [are] in the river, and they shall be turned to blood. {7:18} And the fish that [is] in the river shall die, and the river shall stink; and the Egyptians shall </w:t>
      </w:r>
      <w:proofErr w:type="spellStart"/>
      <w:r w:rsidRPr="00BD1F38">
        <w:rPr>
          <w:color w:val="000000" w:themeColor="text1"/>
          <w:shd w:val="clear" w:color="auto" w:fill="FFFFFF"/>
        </w:rPr>
        <w:t>lothe</w:t>
      </w:r>
      <w:proofErr w:type="spellEnd"/>
      <w:r w:rsidRPr="00BD1F38">
        <w:rPr>
          <w:color w:val="000000" w:themeColor="text1"/>
          <w:shd w:val="clear" w:color="auto" w:fill="FFFFFF"/>
        </w:rPr>
        <w:t xml:space="preserve"> to drink of the water in the river.</w:t>
      </w:r>
      <w:r w:rsidRPr="00BD1F38">
        <w:rPr>
          <w:rStyle w:val="FootnoteReference"/>
          <w:color w:val="000000" w:themeColor="text1"/>
          <w:shd w:val="clear" w:color="auto" w:fill="FFFFFF"/>
        </w:rPr>
        <w:footnoteReference w:id="197"/>
      </w:r>
      <w:r w:rsidRPr="00BD1F38">
        <w:rPr>
          <w:color w:val="000000" w:themeColor="text1"/>
          <w:shd w:val="clear" w:color="auto" w:fill="FFFFFF"/>
        </w:rPr>
        <w:t xml:space="preserve"> </w:t>
      </w:r>
    </w:p>
    <w:p w14:paraId="4E79D183" w14:textId="77777777" w:rsidR="0045403B" w:rsidRPr="00BD1F38" w:rsidRDefault="0045403B" w:rsidP="0045403B">
      <w:pPr>
        <w:autoSpaceDE w:val="0"/>
        <w:autoSpaceDN w:val="0"/>
        <w:adjustRightInd w:val="0"/>
        <w:spacing w:line="360" w:lineRule="auto"/>
        <w:rPr>
          <w:color w:val="000000" w:themeColor="text1"/>
        </w:rPr>
      </w:pPr>
    </w:p>
    <w:p w14:paraId="326769C7" w14:textId="57F47725" w:rsidR="0045403B" w:rsidRPr="00BD1F38" w:rsidRDefault="0045403B" w:rsidP="0045403B">
      <w:pPr>
        <w:autoSpaceDE w:val="0"/>
        <w:autoSpaceDN w:val="0"/>
        <w:adjustRightInd w:val="0"/>
        <w:spacing w:line="360" w:lineRule="auto"/>
        <w:rPr>
          <w:rFonts w:eastAsiaTheme="minorEastAsia"/>
          <w:color w:val="000000" w:themeColor="text1"/>
        </w:rPr>
      </w:pPr>
      <w:r w:rsidRPr="00BD1F38">
        <w:rPr>
          <w:color w:val="000000" w:themeColor="text1"/>
        </w:rPr>
        <w:t xml:space="preserve">This passage is particularly interesting with the water in the river actually turned to blood, polluting it with human corporeality and </w:t>
      </w:r>
      <w:r w:rsidRPr="00BD1F38">
        <w:rPr>
          <w:i/>
          <w:iCs/>
          <w:color w:val="000000" w:themeColor="text1"/>
        </w:rPr>
        <w:t>transgression</w:t>
      </w:r>
      <w:r w:rsidRPr="00BD1F38">
        <w:rPr>
          <w:color w:val="000000" w:themeColor="text1"/>
        </w:rPr>
        <w:t xml:space="preserve">, but similarly also interpretable as divinity </w:t>
      </w:r>
      <w:r w:rsidRPr="00BD1F38">
        <w:rPr>
          <w:i/>
          <w:iCs/>
          <w:color w:val="000000" w:themeColor="text1"/>
        </w:rPr>
        <w:t>living</w:t>
      </w:r>
      <w:r w:rsidRPr="00BD1F38">
        <w:rPr>
          <w:color w:val="000000" w:themeColor="text1"/>
        </w:rPr>
        <w:t xml:space="preserve"> in the water as in the blood, and thus able to transubstantiate it in an inverted ironic mirror of the sacred blood that flows through divine and Israelite alike in the </w:t>
      </w:r>
      <w:proofErr w:type="spellStart"/>
      <w:r w:rsidRPr="00BD1F38">
        <w:rPr>
          <w:color w:val="000000" w:themeColor="text1"/>
        </w:rPr>
        <w:t>aforecited</w:t>
      </w:r>
      <w:proofErr w:type="spellEnd"/>
      <w:r w:rsidRPr="00BD1F38">
        <w:rPr>
          <w:color w:val="000000" w:themeColor="text1"/>
        </w:rPr>
        <w:t xml:space="preserve"> examples provided in Ezekiel 16 and Exodus 24:6-9. This also plausibly reflects mythology and archetypes arising through human-environment interactions and/or real historical harmful ecological events like those introduced under the previous subheading. Examples of these interactions also plausibly include instances of blood in the water polluting its potability perhaps leading to archetypes of clean (kosher) and unclean meat preparation, religious rulings on the spilling of human blood, or perhaps even notions of blood as a possible pollutant in ritual acts like </w:t>
      </w:r>
      <w:proofErr w:type="spellStart"/>
      <w:r w:rsidRPr="00BD1F38">
        <w:rPr>
          <w:color w:val="000000" w:themeColor="text1"/>
        </w:rPr>
        <w:t>Tevilah</w:t>
      </w:r>
      <w:proofErr w:type="spellEnd"/>
      <w:r w:rsidRPr="00BD1F38">
        <w:rPr>
          <w:color w:val="000000" w:themeColor="text1"/>
        </w:rPr>
        <w:t xml:space="preserve">. In this example the blood and the water become one corporeal body as in the </w:t>
      </w:r>
      <w:proofErr w:type="spellStart"/>
      <w:r w:rsidRPr="00BD1F38">
        <w:rPr>
          <w:color w:val="000000" w:themeColor="text1"/>
        </w:rPr>
        <w:t>Tevilah</w:t>
      </w:r>
      <w:proofErr w:type="spellEnd"/>
      <w:r w:rsidRPr="00BD1F38">
        <w:rPr>
          <w:color w:val="000000" w:themeColor="text1"/>
        </w:rPr>
        <w:t xml:space="preserve"> but this time: corporeally and metaphysically polluted.</w:t>
      </w:r>
      <w:r w:rsidRPr="00BD1F38">
        <w:rPr>
          <w:rStyle w:val="FootnoteReference"/>
          <w:color w:val="000000" w:themeColor="text1"/>
        </w:rPr>
        <w:footnoteReference w:id="198"/>
      </w:r>
      <w:r w:rsidRPr="00BD1F38">
        <w:rPr>
          <w:color w:val="000000" w:themeColor="text1"/>
        </w:rPr>
        <w:t xml:space="preserve"> As such, it may have served a function of cautioning</w:t>
      </w:r>
      <w:r w:rsidRPr="00BD1F38">
        <w:rPr>
          <w:rFonts w:eastAsia="PingFang TC"/>
          <w:color w:val="000000" w:themeColor="text1"/>
          <w:lang w:val="en-US"/>
        </w:rPr>
        <w:t xml:space="preserve"> for the necessity of clean, thoughtful ecological interaction, which eco-spirituality encourages, as Cooper et al. in </w:t>
      </w:r>
      <w:r w:rsidRPr="00BD1F38">
        <w:rPr>
          <w:rFonts w:eastAsiaTheme="minorEastAsia"/>
          <w:i/>
          <w:iCs/>
          <w:color w:val="000000" w:themeColor="text1"/>
          <w:lang w:val="en-US"/>
        </w:rPr>
        <w:t xml:space="preserve">Aesthetic and spiritual values of ecosystems: </w:t>
      </w:r>
      <w:proofErr w:type="spellStart"/>
      <w:r w:rsidRPr="00BD1F38">
        <w:rPr>
          <w:rFonts w:eastAsiaTheme="minorEastAsia"/>
          <w:i/>
          <w:iCs/>
          <w:color w:val="000000" w:themeColor="text1"/>
          <w:lang w:val="en-US"/>
        </w:rPr>
        <w:lastRenderedPageBreak/>
        <w:t>Recognising</w:t>
      </w:r>
      <w:proofErr w:type="spellEnd"/>
      <w:r w:rsidRPr="00BD1F38">
        <w:rPr>
          <w:rFonts w:eastAsiaTheme="minorEastAsia"/>
          <w:i/>
          <w:iCs/>
          <w:color w:val="000000" w:themeColor="text1"/>
          <w:lang w:val="en-US"/>
        </w:rPr>
        <w:t xml:space="preserve"> the ontological and axiological plurality of cultural ecosystem ‘services’</w:t>
      </w:r>
      <w:r w:rsidRPr="00BD1F38">
        <w:rPr>
          <w:rFonts w:eastAsiaTheme="minorEastAsia"/>
          <w:color w:val="000000" w:themeColor="text1"/>
          <w:lang w:val="en-US"/>
        </w:rPr>
        <w:t xml:space="preserve"> observe to include duties as (but not exclusively) consequentialist acts of </w:t>
      </w:r>
      <w:r w:rsidRPr="00BD1F38">
        <w:rPr>
          <w:rFonts w:eastAsiaTheme="minorEastAsia"/>
          <w:i/>
          <w:iCs/>
          <w:color w:val="000000" w:themeColor="text1"/>
          <w:lang w:val="en-US"/>
        </w:rPr>
        <w:t>value</w:t>
      </w:r>
      <w:r w:rsidRPr="00BD1F38">
        <w:rPr>
          <w:rFonts w:eastAsiaTheme="minorEastAsia"/>
          <w:color w:val="000000" w:themeColor="text1"/>
          <w:lang w:val="en-US"/>
        </w:rPr>
        <w:t>,</w:t>
      </w:r>
      <w:r w:rsidRPr="00BD1F38">
        <w:rPr>
          <w:rStyle w:val="FootnoteReference"/>
          <w:rFonts w:eastAsia="PingFang TC"/>
          <w:color w:val="000000" w:themeColor="text1"/>
          <w:lang w:val="en-US"/>
        </w:rPr>
        <w:footnoteReference w:id="199"/>
      </w:r>
      <w:r w:rsidRPr="00BD1F38">
        <w:rPr>
          <w:rFonts w:eastAsiaTheme="minorEastAsia"/>
          <w:color w:val="000000" w:themeColor="text1"/>
          <w:lang w:val="en-US"/>
        </w:rPr>
        <w:t xml:space="preserve"> </w:t>
      </w:r>
      <w:r w:rsidRPr="00BD1F38">
        <w:rPr>
          <w:rFonts w:eastAsiaTheme="minorEastAsia"/>
          <w:color w:val="000000" w:themeColor="text1"/>
        </w:rPr>
        <w:t>with Al</w:t>
      </w:r>
      <w:r w:rsidR="002632FF" w:rsidRPr="00BD1F38">
        <w:rPr>
          <w:rFonts w:eastAsiaTheme="minorEastAsia"/>
          <w:color w:val="000000" w:themeColor="text1"/>
        </w:rPr>
        <w:t>d</w:t>
      </w:r>
      <w:r w:rsidRPr="00BD1F38">
        <w:rPr>
          <w:rFonts w:eastAsiaTheme="minorEastAsia"/>
          <w:color w:val="000000" w:themeColor="text1"/>
        </w:rPr>
        <w:t xml:space="preserve">o Leopold commenting that sensibility to the ecology culminates in judgement of what is </w:t>
      </w:r>
      <w:r w:rsidRPr="00BD1F38">
        <w:rPr>
          <w:rFonts w:eastAsiaTheme="minorEastAsia"/>
          <w:i/>
          <w:iCs/>
          <w:color w:val="000000" w:themeColor="text1"/>
        </w:rPr>
        <w:t xml:space="preserve">right </w:t>
      </w:r>
      <w:r w:rsidRPr="00BD1F38">
        <w:rPr>
          <w:rFonts w:eastAsiaTheme="minorEastAsia"/>
          <w:color w:val="000000" w:themeColor="text1"/>
        </w:rPr>
        <w:t>for it and the culture, and links ‘ethics-as-duty’,</w:t>
      </w:r>
      <w:r w:rsidRPr="00BD1F38">
        <w:rPr>
          <w:rStyle w:val="FootnoteReference"/>
          <w:rFonts w:eastAsiaTheme="minorEastAsia"/>
          <w:color w:val="000000" w:themeColor="text1"/>
        </w:rPr>
        <w:footnoteReference w:id="200"/>
      </w:r>
      <w:r w:rsidRPr="00BD1F38">
        <w:rPr>
          <w:rFonts w:eastAsiaTheme="minorEastAsia"/>
          <w:color w:val="000000" w:themeColor="text1"/>
        </w:rPr>
        <w:t xml:space="preserve"> </w:t>
      </w:r>
      <w:r w:rsidRPr="00BD1F38">
        <w:rPr>
          <w:rFonts w:eastAsiaTheme="minorEastAsia"/>
          <w:color w:val="000000" w:themeColor="text1"/>
          <w:lang w:val="en-US"/>
        </w:rPr>
        <w:t>and furthermore that ‘interpretation of cultural evidence reveals these shared values’.</w:t>
      </w:r>
      <w:r w:rsidRPr="00BD1F38">
        <w:rPr>
          <w:rStyle w:val="FootnoteReference"/>
          <w:rFonts w:eastAsia="PingFang TC"/>
          <w:color w:val="000000" w:themeColor="text1"/>
          <w:lang w:val="en-US"/>
        </w:rPr>
        <w:footnoteReference w:id="201"/>
      </w:r>
      <w:r w:rsidRPr="00BD1F38">
        <w:rPr>
          <w:rFonts w:eastAsiaTheme="minorEastAsia"/>
          <w:color w:val="000000" w:themeColor="text1"/>
          <w:lang w:val="en-US"/>
        </w:rPr>
        <w:t xml:space="preserve"> </w:t>
      </w:r>
      <w:r w:rsidRPr="00BD1F38">
        <w:rPr>
          <w:rFonts w:eastAsiaTheme="minorEastAsia"/>
          <w:color w:val="000000" w:themeColor="text1"/>
        </w:rPr>
        <w:t xml:space="preserve"> </w:t>
      </w:r>
    </w:p>
    <w:p w14:paraId="4451D34E" w14:textId="77777777" w:rsidR="0045403B" w:rsidRPr="00BD1F38" w:rsidRDefault="0045403B" w:rsidP="0045403B">
      <w:pPr>
        <w:autoSpaceDE w:val="0"/>
        <w:autoSpaceDN w:val="0"/>
        <w:adjustRightInd w:val="0"/>
        <w:spacing w:line="360" w:lineRule="auto"/>
        <w:rPr>
          <w:rFonts w:eastAsiaTheme="minorEastAsia"/>
          <w:color w:val="000000" w:themeColor="text1"/>
        </w:rPr>
      </w:pPr>
    </w:p>
    <w:p w14:paraId="12243347" w14:textId="77777777" w:rsidR="0045403B" w:rsidRPr="00BD1F38" w:rsidRDefault="0045403B" w:rsidP="0045403B">
      <w:pPr>
        <w:autoSpaceDE w:val="0"/>
        <w:autoSpaceDN w:val="0"/>
        <w:adjustRightInd w:val="0"/>
        <w:spacing w:line="360" w:lineRule="auto"/>
        <w:rPr>
          <w:color w:val="000000" w:themeColor="text1"/>
        </w:rPr>
      </w:pPr>
      <w:r w:rsidRPr="00BD1F38">
        <w:rPr>
          <w:rFonts w:eastAsiaTheme="minorEastAsia"/>
          <w:color w:val="000000" w:themeColor="text1"/>
        </w:rPr>
        <w:t xml:space="preserve">This notion of ecological sensibility and Eliade’s ‘organic sympathy’ leading to the manifestation, shaping, or upholding of </w:t>
      </w:r>
      <w:r w:rsidRPr="00BD1F38">
        <w:rPr>
          <w:color w:val="000000" w:themeColor="text1"/>
        </w:rPr>
        <w:t xml:space="preserve">religious archetypal rulings </w:t>
      </w:r>
      <w:r w:rsidRPr="00BD1F38">
        <w:rPr>
          <w:rFonts w:eastAsiaTheme="minorEastAsia"/>
          <w:color w:val="000000" w:themeColor="text1"/>
        </w:rPr>
        <w:t xml:space="preserve">(within Judaism and </w:t>
      </w:r>
      <w:proofErr w:type="spellStart"/>
      <w:r w:rsidRPr="00BD1F38">
        <w:rPr>
          <w:rFonts w:eastAsiaTheme="minorEastAsia"/>
          <w:color w:val="000000" w:themeColor="text1"/>
        </w:rPr>
        <w:t>Vedism</w:t>
      </w:r>
      <w:proofErr w:type="spellEnd"/>
      <w:r w:rsidRPr="00BD1F38">
        <w:rPr>
          <w:rFonts w:eastAsiaTheme="minorEastAsia"/>
          <w:color w:val="000000" w:themeColor="text1"/>
        </w:rPr>
        <w:t>)</w:t>
      </w:r>
      <w:r w:rsidRPr="00BD1F38">
        <w:rPr>
          <w:rStyle w:val="FootnoteReference"/>
          <w:rFonts w:eastAsiaTheme="minorEastAsia"/>
          <w:color w:val="000000" w:themeColor="text1"/>
        </w:rPr>
        <w:footnoteReference w:id="202"/>
      </w:r>
      <w:r w:rsidRPr="00BD1F38">
        <w:rPr>
          <w:rFonts w:eastAsiaTheme="minorEastAsia"/>
          <w:color w:val="000000" w:themeColor="text1"/>
        </w:rPr>
        <w:t xml:space="preserve"> is textually hinted at in the aforementioned passage from Exodus, where it is advised that </w:t>
      </w:r>
      <w:r w:rsidRPr="00BD1F38">
        <w:rPr>
          <w:rFonts w:eastAsiaTheme="minorEastAsia"/>
          <w:color w:val="000000" w:themeColor="text1"/>
          <w:lang w:val="en-US"/>
        </w:rPr>
        <w:t xml:space="preserve">‘If thou wilt diligently hearken to the voice of the LORD thy God, and wilt </w:t>
      </w:r>
      <w:r w:rsidRPr="00BD1F38">
        <w:rPr>
          <w:rFonts w:eastAsiaTheme="minorEastAsia"/>
          <w:i/>
          <w:iCs/>
          <w:color w:val="000000" w:themeColor="text1"/>
          <w:lang w:val="en-US"/>
        </w:rPr>
        <w:t>do that which is right in his sight’</w:t>
      </w:r>
      <w:r w:rsidRPr="00BD1F38">
        <w:rPr>
          <w:rStyle w:val="FootnoteReference"/>
          <w:rFonts w:eastAsiaTheme="minorEastAsia"/>
          <w:color w:val="000000" w:themeColor="text1"/>
          <w:lang w:val="en-US"/>
        </w:rPr>
        <w:footnoteReference w:id="203"/>
      </w:r>
      <w:r w:rsidRPr="00BD1F38">
        <w:rPr>
          <w:rFonts w:eastAsiaTheme="minorEastAsia"/>
          <w:color w:val="000000" w:themeColor="text1"/>
          <w:lang w:val="en-US"/>
        </w:rPr>
        <w:t xml:space="preserve"> then one will be both corporeally and metaphysically </w:t>
      </w:r>
      <w:r w:rsidRPr="00BD1F38">
        <w:rPr>
          <w:rFonts w:eastAsiaTheme="minorEastAsia"/>
          <w:i/>
          <w:iCs/>
          <w:color w:val="000000" w:themeColor="text1"/>
          <w:lang w:val="en-US"/>
        </w:rPr>
        <w:t>saved</w:t>
      </w:r>
      <w:r w:rsidRPr="00BD1F38">
        <w:rPr>
          <w:rFonts w:eastAsiaTheme="minorEastAsia"/>
          <w:color w:val="000000" w:themeColor="text1"/>
          <w:lang w:val="en-US"/>
        </w:rPr>
        <w:t xml:space="preserve">. This links to </w:t>
      </w:r>
      <w:proofErr w:type="spellStart"/>
      <w:r w:rsidRPr="00BD1F38">
        <w:rPr>
          <w:rFonts w:eastAsiaTheme="minorEastAsia"/>
          <w:color w:val="000000" w:themeColor="text1"/>
          <w:lang w:val="en-US"/>
        </w:rPr>
        <w:t>Roesler’s</w:t>
      </w:r>
      <w:proofErr w:type="spellEnd"/>
      <w:r w:rsidRPr="00BD1F38">
        <w:rPr>
          <w:rFonts w:eastAsiaTheme="minorEastAsia"/>
          <w:color w:val="000000" w:themeColor="text1"/>
          <w:lang w:val="en-US"/>
        </w:rPr>
        <w:t xml:space="preserve"> </w:t>
      </w:r>
      <w:proofErr w:type="spellStart"/>
      <w:r w:rsidRPr="00BD1F38">
        <w:rPr>
          <w:rFonts w:eastAsiaTheme="minorEastAsia"/>
          <w:color w:val="000000" w:themeColor="text1"/>
          <w:lang w:val="en-US"/>
        </w:rPr>
        <w:t>categorisation</w:t>
      </w:r>
      <w:proofErr w:type="spellEnd"/>
      <w:r w:rsidRPr="00BD1F38">
        <w:rPr>
          <w:rFonts w:eastAsiaTheme="minorEastAsia"/>
          <w:color w:val="000000" w:themeColor="text1"/>
          <w:lang w:val="en-US"/>
        </w:rPr>
        <w:t xml:space="preserve"> of archetypes </w:t>
      </w:r>
      <w:r w:rsidRPr="00BD1F38">
        <w:rPr>
          <w:color w:val="000000" w:themeColor="text1"/>
        </w:rPr>
        <w:t xml:space="preserve">as being ‘what is appropriate for human beings, in the sense that it helps lead to a good life, [and] that it is helpful in supporting growth, even healing’, and here perhaps additionally: </w:t>
      </w:r>
      <w:r w:rsidRPr="00BD1F38">
        <w:rPr>
          <w:i/>
          <w:iCs/>
          <w:color w:val="000000" w:themeColor="text1"/>
        </w:rPr>
        <w:t>saving</w:t>
      </w:r>
      <w:r w:rsidRPr="00BD1F38">
        <w:rPr>
          <w:color w:val="000000" w:themeColor="text1"/>
        </w:rPr>
        <w:t>.</w:t>
      </w:r>
      <w:r w:rsidRPr="00BD1F38">
        <w:rPr>
          <w:rStyle w:val="FootnoteReference"/>
          <w:color w:val="000000" w:themeColor="text1"/>
        </w:rPr>
        <w:footnoteReference w:id="204"/>
      </w:r>
      <w:r w:rsidRPr="00BD1F38">
        <w:rPr>
          <w:color w:val="000000" w:themeColor="text1"/>
        </w:rPr>
        <w:t xml:space="preserve"> Leopold’s emphasis that aesthetics of ecology and Sahṛdaya-like receptivity and environmental interpretive immersive interrelationship with it</w:t>
      </w:r>
      <w:r w:rsidRPr="00BD1F38">
        <w:rPr>
          <w:rStyle w:val="FootnoteReference"/>
          <w:color w:val="000000" w:themeColor="text1"/>
        </w:rPr>
        <w:footnoteReference w:id="205"/>
      </w:r>
      <w:r w:rsidRPr="00BD1F38">
        <w:rPr>
          <w:color w:val="000000" w:themeColor="text1"/>
        </w:rPr>
        <w:t xml:space="preserve"> are what can allow the development of the judgements of what is </w:t>
      </w:r>
      <w:r w:rsidRPr="00BD1F38">
        <w:rPr>
          <w:i/>
          <w:iCs/>
          <w:color w:val="000000" w:themeColor="text1"/>
        </w:rPr>
        <w:t>appropriate,</w:t>
      </w:r>
      <w:r w:rsidRPr="00BD1F38">
        <w:rPr>
          <w:color w:val="000000" w:themeColor="text1"/>
        </w:rPr>
        <w:t xml:space="preserve"> ethical, and sacred for both - importantly: not only in the </w:t>
      </w:r>
      <w:r w:rsidRPr="00BD1F38">
        <w:rPr>
          <w:i/>
          <w:iCs/>
          <w:color w:val="000000" w:themeColor="text1"/>
        </w:rPr>
        <w:t>essential</w:t>
      </w:r>
      <w:r w:rsidRPr="00BD1F38">
        <w:rPr>
          <w:color w:val="000000" w:themeColor="text1"/>
        </w:rPr>
        <w:t xml:space="preserve"> value within ‘aesthetics and ethics-as-duty’ , but in the plausibly inseparable non-instrumental too.</w:t>
      </w:r>
      <w:r w:rsidRPr="00BD1F38">
        <w:rPr>
          <w:rStyle w:val="FootnoteReference"/>
          <w:color w:val="000000" w:themeColor="text1"/>
        </w:rPr>
        <w:footnoteReference w:id="206"/>
      </w:r>
      <w:r w:rsidRPr="00BD1F38">
        <w:rPr>
          <w:color w:val="000000" w:themeColor="text1"/>
        </w:rPr>
        <w:t xml:space="preserve"> </w:t>
      </w:r>
    </w:p>
    <w:p w14:paraId="11CFD967" w14:textId="77777777" w:rsidR="0045403B" w:rsidRPr="00BD1F38" w:rsidRDefault="0045403B" w:rsidP="0045403B">
      <w:pPr>
        <w:autoSpaceDE w:val="0"/>
        <w:autoSpaceDN w:val="0"/>
        <w:adjustRightInd w:val="0"/>
        <w:spacing w:line="360" w:lineRule="auto"/>
        <w:rPr>
          <w:color w:val="000000" w:themeColor="text1"/>
        </w:rPr>
      </w:pPr>
    </w:p>
    <w:p w14:paraId="6DD3F724" w14:textId="77777777" w:rsidR="0045403B" w:rsidRPr="00BD1F38" w:rsidRDefault="0045403B" w:rsidP="0045403B">
      <w:pPr>
        <w:autoSpaceDE w:val="0"/>
        <w:autoSpaceDN w:val="0"/>
        <w:adjustRightInd w:val="0"/>
        <w:spacing w:line="360" w:lineRule="auto"/>
        <w:rPr>
          <w:color w:val="000000" w:themeColor="text1"/>
        </w:rPr>
      </w:pPr>
      <w:r w:rsidRPr="00BD1F38">
        <w:rPr>
          <w:color w:val="000000" w:themeColor="text1"/>
        </w:rPr>
        <w:t xml:space="preserve">On the formation of culturally formed archetypes here then, Cooper et al. delineate that: </w:t>
      </w:r>
    </w:p>
    <w:p w14:paraId="77BD1F27" w14:textId="77777777" w:rsidR="0045403B" w:rsidRPr="00BD1F38" w:rsidRDefault="0045403B" w:rsidP="0045403B">
      <w:pPr>
        <w:autoSpaceDE w:val="0"/>
        <w:autoSpaceDN w:val="0"/>
        <w:adjustRightInd w:val="0"/>
        <w:spacing w:line="360" w:lineRule="auto"/>
        <w:rPr>
          <w:color w:val="000000" w:themeColor="text1"/>
        </w:rPr>
      </w:pPr>
    </w:p>
    <w:p w14:paraId="2D611DC5" w14:textId="77777777" w:rsidR="0045403B" w:rsidRPr="00BD1F38" w:rsidRDefault="0045403B" w:rsidP="00330A93">
      <w:pPr>
        <w:autoSpaceDE w:val="0"/>
        <w:autoSpaceDN w:val="0"/>
        <w:adjustRightInd w:val="0"/>
        <w:ind w:left="1440"/>
        <w:rPr>
          <w:rFonts w:eastAsiaTheme="minorEastAsia"/>
          <w:color w:val="000000" w:themeColor="text1"/>
          <w:lang w:val="en-US"/>
        </w:rPr>
      </w:pPr>
      <w:r w:rsidRPr="00BD1F38">
        <w:rPr>
          <w:rFonts w:eastAsiaTheme="minorEastAsia"/>
          <w:color w:val="000000" w:themeColor="text1"/>
          <w:lang w:val="en-US"/>
        </w:rPr>
        <w:t xml:space="preserve">Intersubjectivity is initially evidenced by observed agreements between individual aesthetic judgments at the scale of societies or communities. Individual judgments may have their own </w:t>
      </w:r>
      <w:proofErr w:type="gramStart"/>
      <w:r w:rsidRPr="00BD1F38">
        <w:rPr>
          <w:rFonts w:eastAsiaTheme="minorEastAsia"/>
          <w:color w:val="000000" w:themeColor="text1"/>
          <w:lang w:val="en-US"/>
        </w:rPr>
        <w:t>particular inflections</w:t>
      </w:r>
      <w:proofErr w:type="gramEnd"/>
      <w:r w:rsidRPr="00BD1F38">
        <w:rPr>
          <w:rFonts w:eastAsiaTheme="minorEastAsia"/>
          <w:color w:val="000000" w:themeColor="text1"/>
          <w:lang w:val="en-US"/>
        </w:rPr>
        <w:t xml:space="preserve"> based on a person's specific background knowledge, experience, emotions, etc., yet nonetheless agreement and connections with other individual aesthetic judgments of the same aesthetic subject matter come to be established.</w:t>
      </w:r>
      <w:r w:rsidRPr="00BD1F38">
        <w:rPr>
          <w:rStyle w:val="FootnoteReference"/>
          <w:rFonts w:eastAsiaTheme="minorEastAsia"/>
          <w:color w:val="000000" w:themeColor="text1"/>
          <w:lang w:val="en-US"/>
        </w:rPr>
        <w:footnoteReference w:id="207"/>
      </w:r>
    </w:p>
    <w:p w14:paraId="01BFD920" w14:textId="77777777" w:rsidR="0045403B" w:rsidRPr="00BD1F38" w:rsidRDefault="0045403B" w:rsidP="0045403B">
      <w:pPr>
        <w:autoSpaceDE w:val="0"/>
        <w:autoSpaceDN w:val="0"/>
        <w:adjustRightInd w:val="0"/>
        <w:spacing w:line="360" w:lineRule="auto"/>
        <w:rPr>
          <w:rFonts w:eastAsiaTheme="minorEastAsia"/>
          <w:color w:val="000000" w:themeColor="text1"/>
          <w:lang w:val="en-US"/>
        </w:rPr>
      </w:pPr>
    </w:p>
    <w:p w14:paraId="37F949D6" w14:textId="77777777" w:rsidR="0045403B" w:rsidRPr="00BD1F38" w:rsidRDefault="0045403B" w:rsidP="0045403B">
      <w:pPr>
        <w:autoSpaceDE w:val="0"/>
        <w:autoSpaceDN w:val="0"/>
        <w:adjustRightInd w:val="0"/>
        <w:spacing w:line="360" w:lineRule="auto"/>
        <w:rPr>
          <w:rFonts w:eastAsiaTheme="minorEastAsia"/>
          <w:color w:val="000000" w:themeColor="text1"/>
          <w:lang w:val="en-US"/>
        </w:rPr>
      </w:pPr>
      <w:r w:rsidRPr="00BD1F38">
        <w:rPr>
          <w:rFonts w:eastAsiaTheme="minorEastAsia"/>
          <w:color w:val="000000" w:themeColor="text1"/>
          <w:lang w:val="en-US"/>
        </w:rPr>
        <w:t xml:space="preserve">And importantly regarding this thesis’ research question: occurring through </w:t>
      </w:r>
      <w:r w:rsidRPr="00BD1F38">
        <w:rPr>
          <w:rFonts w:eastAsiaTheme="minorEastAsia"/>
          <w:i/>
          <w:iCs/>
          <w:color w:val="000000" w:themeColor="text1"/>
          <w:lang w:val="en-US"/>
        </w:rPr>
        <w:t xml:space="preserve">majoritarian </w:t>
      </w:r>
      <w:r w:rsidRPr="00BD1F38">
        <w:rPr>
          <w:rFonts w:eastAsiaTheme="minorEastAsia"/>
          <w:color w:val="000000" w:themeColor="text1"/>
          <w:lang w:val="en-US"/>
        </w:rPr>
        <w:t>natural occurrences,</w:t>
      </w:r>
      <w:r w:rsidRPr="00BD1F38">
        <w:rPr>
          <w:rStyle w:val="FootnoteReference"/>
          <w:rFonts w:eastAsiaTheme="minorEastAsia"/>
          <w:color w:val="000000" w:themeColor="text1"/>
          <w:lang w:val="en-US"/>
        </w:rPr>
        <w:footnoteReference w:id="208"/>
      </w:r>
      <w:r w:rsidRPr="00BD1F38">
        <w:rPr>
          <w:rFonts w:eastAsiaTheme="minorEastAsia"/>
          <w:color w:val="000000" w:themeColor="text1"/>
          <w:lang w:val="en-US"/>
        </w:rPr>
        <w:t xml:space="preserve"> such as the aforementioned hydrological catastrophes, or smaller scale culturally-affecting environmental river pollutants that may have </w:t>
      </w:r>
      <w:proofErr w:type="spellStart"/>
      <w:r w:rsidRPr="00BD1F38">
        <w:rPr>
          <w:rFonts w:eastAsiaTheme="minorEastAsia"/>
          <w:color w:val="000000" w:themeColor="text1"/>
          <w:lang w:val="en-US"/>
        </w:rPr>
        <w:t>jeopardised</w:t>
      </w:r>
      <w:proofErr w:type="spellEnd"/>
      <w:r w:rsidRPr="00BD1F38">
        <w:rPr>
          <w:rFonts w:eastAsiaTheme="minorEastAsia"/>
          <w:color w:val="000000" w:themeColor="text1"/>
          <w:lang w:val="en-US"/>
        </w:rPr>
        <w:t xml:space="preserve"> the continuation of what Hewitt called the ‘</w:t>
      </w:r>
      <w:r w:rsidRPr="00BD1F38">
        <w:rPr>
          <w:rFonts w:eastAsiaTheme="minorEastAsia"/>
          <w:color w:val="000000" w:themeColor="text1"/>
        </w:rPr>
        <w:t>productive and orderly human relations with the habitat or ‘natural resources’.</w:t>
      </w:r>
      <w:r w:rsidRPr="00BD1F38">
        <w:rPr>
          <w:rStyle w:val="FootnoteReference"/>
          <w:rFonts w:eastAsiaTheme="minorEastAsia"/>
          <w:color w:val="000000" w:themeColor="text1"/>
        </w:rPr>
        <w:footnoteReference w:id="209"/>
      </w:r>
      <w:r w:rsidRPr="00BD1F38">
        <w:rPr>
          <w:rFonts w:eastAsiaTheme="minorEastAsia"/>
          <w:color w:val="000000" w:themeColor="text1"/>
          <w:lang w:val="en-US"/>
        </w:rPr>
        <w:t xml:space="preserve"> Leopold elaborates that ‘a specific local landscape, will be the product of the historical development of general aesthetic sensibilities in society, […] knowledge, local tradition and the actual features of the landscape, their health and disposition’ which will arguably be no more apparent than in the landscapes’ water sources due to their corporeal and metaphysical necessity and functioning, as noted, as the landscape’s </w:t>
      </w:r>
      <w:r w:rsidRPr="00BD1F38">
        <w:rPr>
          <w:rFonts w:eastAsiaTheme="minorEastAsia"/>
          <w:i/>
          <w:iCs/>
          <w:color w:val="000000" w:themeColor="text1"/>
          <w:lang w:val="en-US"/>
        </w:rPr>
        <w:t>irruptive</w:t>
      </w:r>
      <w:r w:rsidRPr="00BD1F38">
        <w:rPr>
          <w:rFonts w:eastAsiaTheme="minorEastAsia"/>
          <w:color w:val="000000" w:themeColor="text1"/>
          <w:lang w:val="en-US"/>
        </w:rPr>
        <w:t xml:space="preserve"> non-homogenous central locus or </w:t>
      </w:r>
      <w:r w:rsidRPr="00BD1F38">
        <w:rPr>
          <w:rFonts w:eastAsiaTheme="minorEastAsia"/>
          <w:i/>
          <w:iCs/>
          <w:color w:val="000000" w:themeColor="text1"/>
          <w:lang w:val="en-US"/>
        </w:rPr>
        <w:t>axis mundi</w:t>
      </w:r>
      <w:r w:rsidRPr="00BD1F38">
        <w:rPr>
          <w:rFonts w:eastAsiaTheme="minorEastAsia"/>
          <w:color w:val="000000" w:themeColor="text1"/>
          <w:lang w:val="en-US"/>
        </w:rPr>
        <w:t xml:space="preserve"> of the </w:t>
      </w:r>
      <w:r w:rsidRPr="00BD1F38">
        <w:rPr>
          <w:rFonts w:eastAsiaTheme="minorEastAsia"/>
          <w:i/>
          <w:iCs/>
          <w:color w:val="000000" w:themeColor="text1"/>
          <w:lang w:val="en-US"/>
        </w:rPr>
        <w:t>imago mundi</w:t>
      </w:r>
      <w:r w:rsidRPr="00BD1F38">
        <w:rPr>
          <w:rFonts w:eastAsiaTheme="minorEastAsia"/>
          <w:color w:val="000000" w:themeColor="text1"/>
          <w:lang w:val="en-US"/>
        </w:rPr>
        <w:t xml:space="preserve"> settlement.</w:t>
      </w:r>
      <w:r w:rsidRPr="00BD1F38">
        <w:rPr>
          <w:rStyle w:val="FootnoteReference"/>
          <w:rFonts w:eastAsiaTheme="minorEastAsia"/>
          <w:color w:val="000000" w:themeColor="text1"/>
          <w:lang w:val="en-US"/>
        </w:rPr>
        <w:footnoteReference w:id="210"/>
      </w:r>
      <w:r w:rsidRPr="00BD1F38">
        <w:rPr>
          <w:rFonts w:eastAsiaTheme="minorEastAsia"/>
          <w:color w:val="000000" w:themeColor="text1"/>
          <w:lang w:val="en-US"/>
        </w:rPr>
        <w:t xml:space="preserve"> </w:t>
      </w:r>
      <w:r w:rsidRPr="00BD1F38">
        <w:rPr>
          <w:rStyle w:val="FootnoteReference"/>
          <w:rFonts w:eastAsiaTheme="minorEastAsia"/>
          <w:color w:val="000000" w:themeColor="text1"/>
          <w:lang w:val="en-US"/>
        </w:rPr>
        <w:footnoteReference w:id="211"/>
      </w:r>
    </w:p>
    <w:p w14:paraId="71926CD6" w14:textId="77777777" w:rsidR="0045403B" w:rsidRPr="00BD1F38" w:rsidRDefault="0045403B" w:rsidP="0045403B">
      <w:pPr>
        <w:autoSpaceDE w:val="0"/>
        <w:autoSpaceDN w:val="0"/>
        <w:adjustRightInd w:val="0"/>
        <w:spacing w:line="360" w:lineRule="auto"/>
        <w:rPr>
          <w:rFonts w:eastAsiaTheme="minorEastAsia"/>
          <w:color w:val="000000" w:themeColor="text1"/>
          <w:lang w:val="en-US"/>
        </w:rPr>
      </w:pPr>
    </w:p>
    <w:p w14:paraId="19663346" w14:textId="77777777" w:rsidR="0045403B" w:rsidRPr="00BD1F38" w:rsidRDefault="0045403B" w:rsidP="0045403B">
      <w:pPr>
        <w:autoSpaceDE w:val="0"/>
        <w:autoSpaceDN w:val="0"/>
        <w:adjustRightInd w:val="0"/>
        <w:spacing w:line="360" w:lineRule="auto"/>
        <w:rPr>
          <w:rFonts w:eastAsiaTheme="minorEastAsia"/>
          <w:color w:val="000000" w:themeColor="text1"/>
          <w:lang w:val="en-US"/>
        </w:rPr>
      </w:pPr>
      <w:r w:rsidRPr="00BD1F38">
        <w:rPr>
          <w:rFonts w:eastAsiaTheme="minorEastAsia"/>
          <w:color w:val="000000" w:themeColor="text1"/>
          <w:lang w:val="en-US"/>
        </w:rPr>
        <w:t>This health and disposition of the water possibly influencing religious rulings and therefore cultural divine archetypes,</w:t>
      </w:r>
      <w:r w:rsidRPr="00BD1F38">
        <w:rPr>
          <w:rStyle w:val="FootnoteReference"/>
          <w:rFonts w:eastAsiaTheme="minorEastAsia"/>
          <w:color w:val="000000" w:themeColor="text1"/>
          <w:lang w:val="en-US"/>
        </w:rPr>
        <w:footnoteReference w:id="212"/>
      </w:r>
      <w:r w:rsidRPr="00BD1F38">
        <w:rPr>
          <w:rFonts w:eastAsiaTheme="minorEastAsia"/>
          <w:color w:val="000000" w:themeColor="text1"/>
          <w:lang w:val="en-US"/>
        </w:rPr>
        <w:t xml:space="preserve"> was said by Sibley, cited by Cooper et al., to be evidenced and </w:t>
      </w:r>
      <w:r w:rsidRPr="00BD1F38">
        <w:rPr>
          <w:rFonts w:eastAsiaTheme="minorEastAsia"/>
          <w:i/>
          <w:iCs/>
          <w:color w:val="000000" w:themeColor="text1"/>
          <w:lang w:val="en-US"/>
        </w:rPr>
        <w:t>socially</w:t>
      </w:r>
      <w:r w:rsidRPr="00BD1F38">
        <w:rPr>
          <w:rFonts w:eastAsiaTheme="minorEastAsia"/>
          <w:color w:val="000000" w:themeColor="text1"/>
          <w:lang w:val="en-US"/>
        </w:rPr>
        <w:t xml:space="preserve"> </w:t>
      </w:r>
      <w:r w:rsidRPr="00BD1F38">
        <w:rPr>
          <w:rFonts w:eastAsiaTheme="minorEastAsia"/>
          <w:i/>
          <w:iCs/>
          <w:color w:val="000000" w:themeColor="text1"/>
          <w:lang w:val="en-US"/>
        </w:rPr>
        <w:t>supported</w:t>
      </w:r>
      <w:r w:rsidRPr="00BD1F38">
        <w:rPr>
          <w:rFonts w:eastAsiaTheme="minorEastAsia"/>
          <w:color w:val="000000" w:themeColor="text1"/>
          <w:lang w:val="en-US"/>
        </w:rPr>
        <w:t xml:space="preserve"> ‘among other things, by forms of testimony and proof anchored in the perception of aesthetic qualities’ – such as in the sacred testimonial proof provided in Torah with the divine punishment of wrongful eco-spiritual ritual interaction being manifested in the aesthetic, influential revelation of water having turned to blood.</w:t>
      </w:r>
      <w:r w:rsidRPr="00BD1F38">
        <w:rPr>
          <w:rStyle w:val="FootnoteReference"/>
          <w:rFonts w:eastAsiaTheme="minorEastAsia"/>
          <w:color w:val="000000" w:themeColor="text1"/>
          <w:lang w:val="en-US"/>
        </w:rPr>
        <w:footnoteReference w:id="213"/>
      </w:r>
      <w:r w:rsidRPr="00BD1F38">
        <w:rPr>
          <w:rFonts w:eastAsiaTheme="minorEastAsia"/>
          <w:color w:val="000000" w:themeColor="text1"/>
          <w:lang w:val="en-US"/>
        </w:rPr>
        <w:t xml:space="preserve"> This is an opinion corroborated by Giddens, who asserted that ‘Rules cannot be conceptualized apart from resources [such as rivers], which refer to the modes whereby transformative relations are actually incorporated into the production and reproduction of social practices. Structural properties thus express forms of </w:t>
      </w:r>
      <w:r w:rsidRPr="00BD1F38">
        <w:rPr>
          <w:rFonts w:eastAsiaTheme="minorEastAsia"/>
          <w:i/>
          <w:iCs/>
          <w:color w:val="000000" w:themeColor="text1"/>
          <w:lang w:val="en-US"/>
        </w:rPr>
        <w:t xml:space="preserve">domination </w:t>
      </w:r>
      <w:r w:rsidRPr="00BD1F38">
        <w:rPr>
          <w:rFonts w:eastAsiaTheme="minorEastAsia"/>
          <w:color w:val="000000" w:themeColor="text1"/>
          <w:lang w:val="en-US"/>
        </w:rPr>
        <w:t xml:space="preserve">and </w:t>
      </w:r>
      <w:r w:rsidRPr="00BD1F38">
        <w:rPr>
          <w:rFonts w:eastAsiaTheme="minorEastAsia"/>
          <w:i/>
          <w:iCs/>
          <w:color w:val="000000" w:themeColor="text1"/>
          <w:lang w:val="en-US"/>
        </w:rPr>
        <w:t>power.’</w:t>
      </w:r>
      <w:r w:rsidRPr="00BD1F38">
        <w:rPr>
          <w:rStyle w:val="FootnoteReference"/>
          <w:rFonts w:eastAsiaTheme="minorEastAsia"/>
          <w:i/>
          <w:iCs/>
          <w:color w:val="000000" w:themeColor="text1"/>
          <w:lang w:val="en-US"/>
        </w:rPr>
        <w:footnoteReference w:id="214"/>
      </w:r>
      <w:r w:rsidRPr="00BD1F38">
        <w:rPr>
          <w:rFonts w:eastAsiaTheme="minorEastAsia"/>
          <w:i/>
          <w:iCs/>
          <w:color w:val="000000" w:themeColor="text1"/>
          <w:lang w:val="en-US"/>
        </w:rPr>
        <w:t xml:space="preserve"> </w:t>
      </w:r>
    </w:p>
    <w:p w14:paraId="00C9BCB4" w14:textId="77777777" w:rsidR="0045403B" w:rsidRPr="00BD1F38" w:rsidRDefault="0045403B" w:rsidP="0045403B">
      <w:pPr>
        <w:pStyle w:val="NormalWeb"/>
        <w:spacing w:line="360" w:lineRule="auto"/>
        <w:rPr>
          <w:color w:val="000000" w:themeColor="text1"/>
        </w:rPr>
      </w:pPr>
      <w:r w:rsidRPr="00BD1F38">
        <w:rPr>
          <w:color w:val="000000" w:themeColor="text1"/>
        </w:rPr>
        <w:t xml:space="preserve">‘Fluids exuded by the body’, writes Bradley, Leonard, and </w:t>
      </w:r>
      <w:proofErr w:type="spellStart"/>
      <w:r w:rsidRPr="00BD1F38">
        <w:rPr>
          <w:color w:val="000000" w:themeColor="text1"/>
        </w:rPr>
        <w:t>Totelin</w:t>
      </w:r>
      <w:proofErr w:type="spellEnd"/>
      <w:r w:rsidRPr="00BD1F38">
        <w:rPr>
          <w:color w:val="000000" w:themeColor="text1"/>
        </w:rPr>
        <w:t>, ‘usually signal change within the body and point to its fundamental instability and permeability’.</w:t>
      </w:r>
      <w:r w:rsidRPr="00BD1F38">
        <w:rPr>
          <w:rStyle w:val="FootnoteReference"/>
          <w:color w:val="000000" w:themeColor="text1"/>
        </w:rPr>
        <w:footnoteReference w:id="215"/>
      </w:r>
      <w:r w:rsidRPr="00BD1F38">
        <w:rPr>
          <w:color w:val="000000" w:themeColor="text1"/>
        </w:rPr>
        <w:t xml:space="preserve"> They also hypothesises </w:t>
      </w:r>
      <w:r w:rsidRPr="00BD1F38">
        <w:rPr>
          <w:color w:val="000000" w:themeColor="text1"/>
        </w:rPr>
        <w:lastRenderedPageBreak/>
        <w:t xml:space="preserve">that because ‘it is through fluids that the relationship between the inner body and the outside world is mediated’, the ‘collapse of corporeal boundaries signified by bodily fluids alters the perception of the body </w:t>
      </w:r>
      <w:r w:rsidRPr="00BD1F38">
        <w:rPr>
          <w:i/>
          <w:iCs/>
          <w:color w:val="000000" w:themeColor="text1"/>
        </w:rPr>
        <w:t>as</w:t>
      </w:r>
      <w:r w:rsidRPr="00BD1F38">
        <w:rPr>
          <w:color w:val="000000" w:themeColor="text1"/>
        </w:rPr>
        <w:t xml:space="preserve"> fluid’, with the environmental anxieties transposed into archetypal representations of the sanctified body and its corporeally and metaphysically understood liquid,</w:t>
      </w:r>
      <w:r w:rsidRPr="00BD1F38">
        <w:rPr>
          <w:rStyle w:val="FootnoteReference"/>
          <w:color w:val="000000" w:themeColor="text1"/>
        </w:rPr>
        <w:footnoteReference w:id="216"/>
      </w:r>
      <w:r w:rsidRPr="00BD1F38">
        <w:rPr>
          <w:color w:val="000000" w:themeColor="text1"/>
        </w:rPr>
        <w:t xml:space="preserve"> the biological orifices viewed as ‘vulnerable, marginal zones that symbolize the boundaries between internal purity and external danger’ and ‘(dis)empowerment’.</w:t>
      </w:r>
      <w:r w:rsidRPr="00BD1F38">
        <w:rPr>
          <w:rStyle w:val="FootnoteReference"/>
          <w:color w:val="000000" w:themeColor="text1"/>
        </w:rPr>
        <w:footnoteReference w:id="217"/>
      </w:r>
      <w:r w:rsidRPr="00BD1F38">
        <w:rPr>
          <w:color w:val="000000" w:themeColor="text1"/>
        </w:rPr>
        <w:t xml:space="preserve"> This, she relays, saddles the liquids that pass through these boundaries with additional meaning in abundance.</w:t>
      </w:r>
      <w:r w:rsidRPr="00BD1F38">
        <w:rPr>
          <w:rStyle w:val="FootnoteReference"/>
          <w:color w:val="000000" w:themeColor="text1"/>
        </w:rPr>
        <w:footnoteReference w:id="218"/>
      </w:r>
      <w:r w:rsidRPr="00BD1F38">
        <w:rPr>
          <w:color w:val="000000" w:themeColor="text1"/>
        </w:rPr>
        <w:t xml:space="preserve"> Given the anthropomorphising of divinity in select Vedic and Judaic thought as represented in Rig Veda and Torah, this confronting ‘instability and permeability’ challenges the archetypes of universal order and robust divine omnipotence.</w:t>
      </w:r>
      <w:r w:rsidRPr="00BD1F38">
        <w:rPr>
          <w:rStyle w:val="FootnoteReference"/>
          <w:color w:val="000000" w:themeColor="text1"/>
        </w:rPr>
        <w:footnoteReference w:id="219"/>
      </w:r>
      <w:r w:rsidRPr="00BD1F38">
        <w:rPr>
          <w:color w:val="000000" w:themeColor="text1"/>
        </w:rPr>
        <w:t xml:space="preserve"> The body’s fluids as mediator between inner and outside environment hearkens back to the discourse on environmental factors and our relationship to our environment as a dependant, with environmental stressors influencing symbology around the body’s liquids as aforementioned. This apparent internalisation of external pressures is seen to be continually renewed and reconciled through ritual, mediating ‘the exchange between the inner and outer physical worlds’,</w:t>
      </w:r>
      <w:r w:rsidRPr="00BD1F38">
        <w:rPr>
          <w:rStyle w:val="FootnoteReference"/>
          <w:color w:val="000000" w:themeColor="text1"/>
        </w:rPr>
        <w:footnoteReference w:id="220"/>
      </w:r>
      <w:r w:rsidRPr="00BD1F38">
        <w:rPr>
          <w:color w:val="000000" w:themeColor="text1"/>
        </w:rPr>
        <w:t xml:space="preserve"> and as stressed throughout this section, all in constant communication with the divine and in ever-evolving archetypal manifestation and interpretation – embodied in thought/belief and action.</w:t>
      </w:r>
      <w:r w:rsidRPr="00BD1F38">
        <w:rPr>
          <w:rStyle w:val="FootnoteReference"/>
          <w:color w:val="000000" w:themeColor="text1"/>
        </w:rPr>
        <w:footnoteReference w:id="221"/>
      </w:r>
    </w:p>
    <w:p w14:paraId="565908AD" w14:textId="77777777" w:rsidR="0045403B" w:rsidRPr="00BD1F38" w:rsidRDefault="0045403B" w:rsidP="0045403B">
      <w:pPr>
        <w:pStyle w:val="NormalWeb"/>
        <w:spacing w:line="360" w:lineRule="auto"/>
        <w:rPr>
          <w:color w:val="000000" w:themeColor="text1"/>
        </w:rPr>
      </w:pPr>
      <w:r w:rsidRPr="00BD1F38">
        <w:rPr>
          <w:color w:val="000000" w:themeColor="text1"/>
        </w:rPr>
        <w:t xml:space="preserve">This evident permeability however is plausibly this same conceived permeability of the body that empowers the eco-spiritual rituals of </w:t>
      </w:r>
      <w:proofErr w:type="spellStart"/>
      <w:r w:rsidRPr="00BD1F38">
        <w:rPr>
          <w:color w:val="000000" w:themeColor="text1"/>
        </w:rPr>
        <w:t>Tevilah</w:t>
      </w:r>
      <w:proofErr w:type="spellEnd"/>
      <w:r w:rsidRPr="00BD1F38">
        <w:rPr>
          <w:color w:val="000000" w:themeColor="text1"/>
        </w:rPr>
        <w:t xml:space="preserve"> and Soma; both being acts of some holy liquid dually entering and being entered by the practitioner, literally in the case of </w:t>
      </w:r>
      <w:proofErr w:type="spellStart"/>
      <w:r w:rsidRPr="00BD1F38">
        <w:rPr>
          <w:color w:val="000000" w:themeColor="text1"/>
        </w:rPr>
        <w:t>Tevilah</w:t>
      </w:r>
      <w:proofErr w:type="spellEnd"/>
      <w:r w:rsidRPr="00BD1F38">
        <w:rPr>
          <w:color w:val="000000" w:themeColor="text1"/>
        </w:rPr>
        <w:t>, and symbolically in Soma rituals through the sexual representation of conception in the Soma preparation</w:t>
      </w:r>
      <w:r w:rsidRPr="00BD1F38">
        <w:rPr>
          <w:rStyle w:val="FootnoteReference"/>
          <w:color w:val="000000" w:themeColor="text1"/>
        </w:rPr>
        <w:footnoteReference w:id="222"/>
      </w:r>
      <w:r w:rsidRPr="00BD1F38">
        <w:rPr>
          <w:color w:val="000000" w:themeColor="text1"/>
        </w:rPr>
        <w:t xml:space="preserve"> which will be discussed in further detail later. This positive aspect to the permeability of the body physically and spiritually, is textually corroborated in the Rig Veda which, in </w:t>
      </w:r>
      <w:proofErr w:type="spellStart"/>
      <w:r w:rsidRPr="00BD1F38">
        <w:rPr>
          <w:color w:val="000000" w:themeColor="text1"/>
        </w:rPr>
        <w:t>eulogisation</w:t>
      </w:r>
      <w:proofErr w:type="spellEnd"/>
      <w:r w:rsidRPr="00BD1F38">
        <w:rPr>
          <w:color w:val="000000" w:themeColor="text1"/>
        </w:rPr>
        <w:t xml:space="preserve"> of ritual Soma consumption, describes that when it ‘penetrates[s] inside, you will know no limits’, and that it enters the heart, characterised as the immortal inside </w:t>
      </w:r>
      <w:r w:rsidRPr="00BD1F38">
        <w:rPr>
          <w:color w:val="000000" w:themeColor="text1"/>
        </w:rPr>
        <w:lastRenderedPageBreak/>
        <w:t>mortals,</w:t>
      </w:r>
      <w:r w:rsidRPr="00BD1F38">
        <w:rPr>
          <w:rStyle w:val="FootnoteReference"/>
          <w:color w:val="000000" w:themeColor="text1"/>
        </w:rPr>
        <w:footnoteReference w:id="223"/>
      </w:r>
      <w:r w:rsidRPr="00BD1F38">
        <w:rPr>
          <w:color w:val="000000" w:themeColor="text1"/>
        </w:rPr>
        <w:t xml:space="preserve"> with archetypal links to blood made clearer in passages like ‘you, Soma, are the guardian of our body; watching over men, you have settled down in every limb’</w:t>
      </w:r>
      <w:r w:rsidRPr="00BD1F38">
        <w:rPr>
          <w:rStyle w:val="FootnoteReference"/>
          <w:color w:val="000000" w:themeColor="text1"/>
        </w:rPr>
        <w:footnoteReference w:id="224"/>
      </w:r>
      <w:r w:rsidRPr="00BD1F38">
        <w:rPr>
          <w:color w:val="000000" w:themeColor="text1"/>
        </w:rPr>
        <w:t xml:space="preserve"> and ‘You have bound me together in my limbs’.</w:t>
      </w:r>
      <w:r w:rsidRPr="00BD1F38">
        <w:rPr>
          <w:rStyle w:val="FootnoteReference"/>
          <w:color w:val="000000" w:themeColor="text1"/>
        </w:rPr>
        <w:footnoteReference w:id="225"/>
      </w:r>
    </w:p>
    <w:p w14:paraId="30AEB309" w14:textId="77777777" w:rsidR="0045403B" w:rsidRPr="00BD1F38" w:rsidRDefault="0045403B" w:rsidP="0045403B">
      <w:pPr>
        <w:pStyle w:val="NormalWeb"/>
        <w:spacing w:line="360" w:lineRule="auto"/>
        <w:rPr>
          <w:color w:val="000000" w:themeColor="text1"/>
        </w:rPr>
      </w:pPr>
      <w:r w:rsidRPr="00BD1F38">
        <w:rPr>
          <w:color w:val="000000" w:themeColor="text1"/>
        </w:rPr>
        <w:t>Meyer’s broad testimony on the relationship between bodily fluids, the understanding of the interconnectedness of internal and external domains, and religious and spiritual belief and ritual seems to somewhat indicate that the reflective and reflected microcosm of the sacredly interpreted universe – the body</w:t>
      </w:r>
      <w:r w:rsidRPr="00BD1F38">
        <w:rPr>
          <w:rStyle w:val="FootnoteReference"/>
          <w:color w:val="000000" w:themeColor="text1"/>
        </w:rPr>
        <w:footnoteReference w:id="226"/>
      </w:r>
      <w:r w:rsidRPr="00BD1F38">
        <w:rPr>
          <w:color w:val="000000" w:themeColor="text1"/>
        </w:rPr>
        <w:t xml:space="preserve"> – upon losing some of the vital fluid, especially as it pertained to the procreative and sustaining aspect, was deemed to have had some of the pure, essential divine essence escape,</w:t>
      </w:r>
      <w:r w:rsidRPr="00BD1F38">
        <w:rPr>
          <w:rStyle w:val="FootnoteReference"/>
          <w:color w:val="000000" w:themeColor="text1"/>
        </w:rPr>
        <w:footnoteReference w:id="227"/>
      </w:r>
      <w:r w:rsidRPr="00BD1F38">
        <w:rPr>
          <w:color w:val="000000" w:themeColor="text1"/>
        </w:rPr>
        <w:t xml:space="preserve"> rendering one open to those external environmental stressors as aforementioned ,</w:t>
      </w:r>
      <w:r w:rsidRPr="00BD1F38">
        <w:rPr>
          <w:rStyle w:val="FootnoteReference"/>
          <w:color w:val="000000" w:themeColor="text1"/>
        </w:rPr>
        <w:footnoteReference w:id="228"/>
      </w:r>
      <w:r w:rsidRPr="00BD1F38">
        <w:rPr>
          <w:color w:val="000000" w:themeColor="text1"/>
        </w:rPr>
        <w:t xml:space="preserve"> unable, as the Rig Veda imagines, to ‘avert the wrath of the gods’.</w:t>
      </w:r>
      <w:r w:rsidRPr="00BD1F38">
        <w:rPr>
          <w:rStyle w:val="FootnoteReference"/>
          <w:color w:val="000000" w:themeColor="text1"/>
        </w:rPr>
        <w:footnoteReference w:id="229"/>
      </w:r>
      <w:r w:rsidRPr="00BD1F38">
        <w:rPr>
          <w:color w:val="000000" w:themeColor="text1"/>
        </w:rPr>
        <w:t xml:space="preserve"> This archetype is further explicated in views of the Sabbath/Shabbat in the classical Kabbalah where ‘In order to receive the holiness [of Shabbat] that flows into our world, we must prepare and perfect the body, for the body is the throne for the spiritual. Like the house, the body must be restored.’</w:t>
      </w:r>
      <w:r w:rsidRPr="00BD1F38">
        <w:rPr>
          <w:rStyle w:val="FootnoteReference"/>
          <w:color w:val="000000" w:themeColor="text1"/>
        </w:rPr>
        <w:footnoteReference w:id="230"/>
      </w:r>
      <w:r w:rsidRPr="00BD1F38">
        <w:rPr>
          <w:color w:val="000000" w:themeColor="text1"/>
        </w:rPr>
        <w:t xml:space="preserve"> Ginsburg deduces that the internalisation of ‘the Sabbath-cosmos’ that is environmentally archetypally comprehended, is </w:t>
      </w:r>
      <w:proofErr w:type="spellStart"/>
      <w:r w:rsidRPr="00BD1F38">
        <w:rPr>
          <w:color w:val="000000" w:themeColor="text1"/>
        </w:rPr>
        <w:t>dramatised</w:t>
      </w:r>
      <w:proofErr w:type="spellEnd"/>
      <w:r w:rsidRPr="00BD1F38">
        <w:rPr>
          <w:color w:val="000000" w:themeColor="text1"/>
        </w:rPr>
        <w:t xml:space="preserve"> in rituals such as </w:t>
      </w:r>
      <w:proofErr w:type="spellStart"/>
      <w:r w:rsidRPr="00BD1F38">
        <w:rPr>
          <w:color w:val="000000" w:themeColor="text1"/>
        </w:rPr>
        <w:t>Tevilah</w:t>
      </w:r>
      <w:proofErr w:type="spellEnd"/>
      <w:r w:rsidRPr="00BD1F38">
        <w:rPr>
          <w:color w:val="000000" w:themeColor="text1"/>
        </w:rPr>
        <w:t xml:space="preserve"> – the devotee becoming the ‘locus of symbolic activity’ in much the same way as their sacredly-conceived environment.</w:t>
      </w:r>
      <w:r w:rsidRPr="00BD1F38">
        <w:rPr>
          <w:rStyle w:val="FootnoteReference"/>
          <w:color w:val="000000" w:themeColor="text1"/>
        </w:rPr>
        <w:footnoteReference w:id="231"/>
      </w:r>
      <w:r w:rsidRPr="00BD1F38">
        <w:rPr>
          <w:color w:val="000000" w:themeColor="text1"/>
        </w:rPr>
        <w:t xml:space="preserve"> The conceptualisation of this body as ‘Sabbath-cosmos’ is deemed so significant, that any bodily change represents change in ‘both the devotee’s status and that of divinity’,</w:t>
      </w:r>
      <w:r w:rsidRPr="00BD1F38">
        <w:rPr>
          <w:rStyle w:val="FootnoteReference"/>
          <w:color w:val="000000" w:themeColor="text1"/>
        </w:rPr>
        <w:footnoteReference w:id="232"/>
      </w:r>
      <w:r w:rsidRPr="00BD1F38">
        <w:rPr>
          <w:color w:val="000000" w:themeColor="text1"/>
        </w:rPr>
        <w:t xml:space="preserve"> with the ritual act of </w:t>
      </w:r>
      <w:proofErr w:type="spellStart"/>
      <w:r w:rsidRPr="00BD1F38">
        <w:rPr>
          <w:color w:val="000000" w:themeColor="text1"/>
        </w:rPr>
        <w:t>Tevilah</w:t>
      </w:r>
      <w:proofErr w:type="spellEnd"/>
      <w:r w:rsidRPr="00BD1F38">
        <w:rPr>
          <w:color w:val="000000" w:themeColor="text1"/>
        </w:rPr>
        <w:t xml:space="preserve"> seen as a necessary recurrence of creation that must not be tainted with disorder present in the body else the sacred ‘Sabbath-cosmos’ is undermined.</w:t>
      </w:r>
      <w:r w:rsidRPr="00BD1F38">
        <w:rPr>
          <w:rStyle w:val="FootnoteReference"/>
          <w:color w:val="000000" w:themeColor="text1"/>
        </w:rPr>
        <w:footnoteReference w:id="233"/>
      </w:r>
      <w:r w:rsidRPr="00BD1F38">
        <w:rPr>
          <w:color w:val="000000" w:themeColor="text1"/>
        </w:rPr>
        <w:t xml:space="preserve"> As such, the </w:t>
      </w:r>
      <w:proofErr w:type="spellStart"/>
      <w:r w:rsidRPr="00BD1F38">
        <w:rPr>
          <w:color w:val="000000" w:themeColor="text1"/>
        </w:rPr>
        <w:t>Tevilah</w:t>
      </w:r>
      <w:proofErr w:type="spellEnd"/>
      <w:r w:rsidRPr="00BD1F38">
        <w:rPr>
          <w:color w:val="000000" w:themeColor="text1"/>
        </w:rPr>
        <w:t xml:space="preserve"> ritual is a cosmologically creative archetypally symbolic act that may in part have arisen in order to reinstate order and perfection in the sacredly-understood cosmology in reaction to the confrontation provided by the bodies’ fluids indicating an impermanence and susceptibility to change of the anthropomorphised divinity via external environmental and </w:t>
      </w:r>
      <w:r w:rsidRPr="00BD1F38">
        <w:rPr>
          <w:color w:val="000000" w:themeColor="text1"/>
        </w:rPr>
        <w:lastRenderedPageBreak/>
        <w:t>internal fluctuations and stressors. Ginsburg additionally concludes that it is in this that we can observe ‘the clearest example of how one’s immediate social world may [also] serve as a microcosm, a reflection of the supernal realm’,</w:t>
      </w:r>
      <w:r w:rsidRPr="00BD1F38">
        <w:rPr>
          <w:rStyle w:val="FootnoteReference"/>
          <w:color w:val="000000" w:themeColor="text1"/>
        </w:rPr>
        <w:footnoteReference w:id="234"/>
      </w:r>
      <w:r w:rsidRPr="00BD1F38">
        <w:rPr>
          <w:color w:val="000000" w:themeColor="text1"/>
        </w:rPr>
        <w:t xml:space="preserve"> since eco-spiritual ritual and archetypes are, as previously evidenced, established and maintained through group structure, categories, conceptualisations, and practises of belief, arising through environmental interrelationship.</w:t>
      </w:r>
      <w:r w:rsidRPr="00BD1F38">
        <w:rPr>
          <w:rStyle w:val="FootnoteReference"/>
          <w:color w:val="000000" w:themeColor="text1"/>
        </w:rPr>
        <w:footnoteReference w:id="235"/>
      </w:r>
      <w:r w:rsidRPr="00BD1F38">
        <w:rPr>
          <w:color w:val="000000" w:themeColor="text1"/>
        </w:rPr>
        <w:t xml:space="preserve"> </w:t>
      </w:r>
    </w:p>
    <w:p w14:paraId="39172B93" w14:textId="42B896B4" w:rsidR="0045403B" w:rsidRPr="00BD1F38" w:rsidRDefault="0045403B" w:rsidP="0045403B">
      <w:pPr>
        <w:pStyle w:val="NormalWeb"/>
        <w:spacing w:line="360" w:lineRule="auto"/>
        <w:rPr>
          <w:color w:val="000000" w:themeColor="text1"/>
        </w:rPr>
      </w:pPr>
      <w:r w:rsidRPr="00BD1F38">
        <w:rPr>
          <w:color w:val="000000" w:themeColor="text1"/>
        </w:rPr>
        <w:t xml:space="preserve">The percept of bodily fluids, based on the above information, only becomes, as water itself does, </w:t>
      </w:r>
      <w:r w:rsidRPr="00BD1F38">
        <w:rPr>
          <w:i/>
          <w:iCs/>
          <w:color w:val="000000" w:themeColor="text1"/>
        </w:rPr>
        <w:t>culturally</w:t>
      </w:r>
      <w:r w:rsidRPr="00BD1F38">
        <w:rPr>
          <w:color w:val="000000" w:themeColor="text1"/>
        </w:rPr>
        <w:t xml:space="preserve"> and </w:t>
      </w:r>
      <w:r w:rsidRPr="00BD1F38">
        <w:rPr>
          <w:i/>
          <w:iCs/>
          <w:color w:val="000000" w:themeColor="text1"/>
        </w:rPr>
        <w:t>archetypally</w:t>
      </w:r>
      <w:r w:rsidRPr="00BD1F38">
        <w:rPr>
          <w:color w:val="000000" w:themeColor="text1"/>
        </w:rPr>
        <w:t xml:space="preserve"> symbolic within the existing governing models and their possible agendas and biases.</w:t>
      </w:r>
      <w:r w:rsidRPr="00BD1F38">
        <w:rPr>
          <w:rStyle w:val="FootnoteReference"/>
          <w:color w:val="000000" w:themeColor="text1"/>
        </w:rPr>
        <w:footnoteReference w:id="236"/>
      </w:r>
      <w:r w:rsidRPr="00BD1F38">
        <w:rPr>
          <w:color w:val="000000" w:themeColor="text1"/>
        </w:rPr>
        <w:t xml:space="preserve"> This may be a potential influence of the body’s fluids on divine archetypes of purity and pollution illustrated in ritual. A specific example may be interpreted as menstruating women being classified in select Judaic thought as </w:t>
      </w:r>
      <w:r w:rsidRPr="00BD1F38">
        <w:rPr>
          <w:i/>
          <w:iCs/>
          <w:color w:val="000000" w:themeColor="text1"/>
        </w:rPr>
        <w:t>niddah</w:t>
      </w:r>
      <w:r w:rsidRPr="00BD1F38">
        <w:rPr>
          <w:color w:val="000000" w:themeColor="text1"/>
        </w:rPr>
        <w:t xml:space="preserve"> – meaning </w:t>
      </w:r>
      <w:r w:rsidRPr="00BD1F38">
        <w:rPr>
          <w:i/>
          <w:iCs/>
          <w:color w:val="000000" w:themeColor="text1"/>
        </w:rPr>
        <w:t>separate</w:t>
      </w:r>
      <w:r w:rsidRPr="00BD1F38">
        <w:rPr>
          <w:color w:val="000000" w:themeColor="text1"/>
        </w:rPr>
        <w:t xml:space="preserve"> – which constitutes her necessary worldly action and indicates possible symbolic repercussions that in losing her blood she becomes </w:t>
      </w:r>
      <w:proofErr w:type="spellStart"/>
      <w:r w:rsidRPr="00BD1F38">
        <w:rPr>
          <w:color w:val="000000" w:themeColor="text1"/>
        </w:rPr>
        <w:t>desacralised</w:t>
      </w:r>
      <w:proofErr w:type="spellEnd"/>
      <w:r w:rsidRPr="00BD1F38">
        <w:rPr>
          <w:color w:val="000000" w:themeColor="text1"/>
        </w:rPr>
        <w:t xml:space="preserve"> – losing some of her divine essence and due to the archetypal shared spiritualised blood; disowning the divine of some of its divine essence too – leaving the metaphysical cosmos and thus immediate local environment open to corporeal pollutants. With menstruation symbolically linked to pollution since it is said that human sin can incite menstruation from the female aspect of the divine – the </w:t>
      </w:r>
      <w:proofErr w:type="spellStart"/>
      <w:r w:rsidRPr="00BD1F38">
        <w:rPr>
          <w:color w:val="000000" w:themeColor="text1"/>
        </w:rPr>
        <w:t>shekhinah</w:t>
      </w:r>
      <w:proofErr w:type="spellEnd"/>
      <w:r w:rsidRPr="00BD1F38">
        <w:rPr>
          <w:color w:val="000000" w:themeColor="text1"/>
        </w:rPr>
        <w:t>.</w:t>
      </w:r>
      <w:r w:rsidRPr="00BD1F38">
        <w:rPr>
          <w:rStyle w:val="FootnoteReference"/>
          <w:color w:val="000000" w:themeColor="text1"/>
          <w:shd w:val="clear" w:color="auto" w:fill="FFFFFF"/>
        </w:rPr>
        <w:footnoteReference w:id="237"/>
      </w:r>
      <w:r w:rsidRPr="00BD1F38">
        <w:rPr>
          <w:color w:val="000000" w:themeColor="text1"/>
        </w:rPr>
        <w:t xml:space="preserve"> The quotation: ‘if a man lies with a woman in her infirmity and uncovers her nakedness, he has laid bare her flow […]; both of them shall be cut off from among their people’</w:t>
      </w:r>
      <w:r w:rsidRPr="00BD1F38">
        <w:rPr>
          <w:rStyle w:val="FootnoteReference"/>
          <w:color w:val="000000" w:themeColor="text1"/>
        </w:rPr>
        <w:footnoteReference w:id="238"/>
      </w:r>
      <w:r w:rsidRPr="00BD1F38">
        <w:rPr>
          <w:color w:val="000000" w:themeColor="text1"/>
        </w:rPr>
        <w:t xml:space="preserve"> is also interpretable as her corporeal </w:t>
      </w:r>
      <w:r w:rsidRPr="00BD1F38">
        <w:rPr>
          <w:i/>
          <w:iCs/>
          <w:color w:val="000000" w:themeColor="text1"/>
        </w:rPr>
        <w:t>infirmity</w:t>
      </w:r>
      <w:r w:rsidRPr="00BD1F38">
        <w:rPr>
          <w:color w:val="000000" w:themeColor="text1"/>
        </w:rPr>
        <w:t xml:space="preserve"> tied to </w:t>
      </w:r>
      <w:r w:rsidRPr="00BD1F38">
        <w:rPr>
          <w:i/>
          <w:iCs/>
          <w:color w:val="000000" w:themeColor="text1"/>
        </w:rPr>
        <w:t>spiritual</w:t>
      </w:r>
      <w:r w:rsidRPr="00BD1F38">
        <w:rPr>
          <w:color w:val="000000" w:themeColor="text1"/>
        </w:rPr>
        <w:t xml:space="preserve"> infirmity; and therefore the pollution of the entire spiritualised blood of the covenant between divinity and the Jewish people.</w:t>
      </w:r>
      <w:r w:rsidRPr="00BD1F38">
        <w:rPr>
          <w:rStyle w:val="FootnoteReference"/>
          <w:color w:val="000000" w:themeColor="text1"/>
        </w:rPr>
        <w:footnoteReference w:id="239"/>
      </w:r>
      <w:r w:rsidRPr="00BD1F38">
        <w:rPr>
          <w:color w:val="000000" w:themeColor="text1"/>
        </w:rPr>
        <w:t xml:space="preserve"> These religious archetypes may have been </w:t>
      </w:r>
      <w:r w:rsidRPr="00BD1F38">
        <w:rPr>
          <w:i/>
          <w:iCs/>
          <w:color w:val="000000" w:themeColor="text1"/>
        </w:rPr>
        <w:t>motivated</w:t>
      </w:r>
      <w:r w:rsidRPr="00BD1F38">
        <w:rPr>
          <w:color w:val="000000" w:themeColor="text1"/>
        </w:rPr>
        <w:t xml:space="preserve"> in design to blame, censor, culturally </w:t>
      </w:r>
      <w:proofErr w:type="spellStart"/>
      <w:r w:rsidRPr="00BD1F38">
        <w:rPr>
          <w:color w:val="000000" w:themeColor="text1"/>
        </w:rPr>
        <w:t>desacralise</w:t>
      </w:r>
      <w:proofErr w:type="spellEnd"/>
      <w:r w:rsidRPr="00BD1F38">
        <w:rPr>
          <w:color w:val="000000" w:themeColor="text1"/>
        </w:rPr>
        <w:t>, disempower and shame women and uphold certain existing patriarchal values, since ‘people are socially constructed […] through social conditioning’,</w:t>
      </w:r>
      <w:r w:rsidRPr="00BD1F38">
        <w:rPr>
          <w:rStyle w:val="FootnoteReference"/>
          <w:color w:val="000000" w:themeColor="text1"/>
        </w:rPr>
        <w:footnoteReference w:id="240"/>
      </w:r>
      <w:r w:rsidRPr="00BD1F38">
        <w:rPr>
          <w:color w:val="000000" w:themeColor="text1"/>
        </w:rPr>
        <w:t xml:space="preserve"> with narratives and practises set up for ‘classifying bodies’ as, in the words of Epstein in </w:t>
      </w:r>
      <w:r w:rsidRPr="00BD1F38">
        <w:rPr>
          <w:i/>
          <w:iCs/>
          <w:color w:val="000000" w:themeColor="text1"/>
        </w:rPr>
        <w:t>Social Ontology</w:t>
      </w:r>
      <w:r w:rsidRPr="00BD1F38">
        <w:rPr>
          <w:color w:val="000000" w:themeColor="text1"/>
        </w:rPr>
        <w:t>: ‘products of social discourse and the exercise of social power’.</w:t>
      </w:r>
      <w:r w:rsidRPr="00BD1F38">
        <w:rPr>
          <w:rStyle w:val="FootnoteReference"/>
          <w:color w:val="000000" w:themeColor="text1"/>
        </w:rPr>
        <w:footnoteReference w:id="241"/>
      </w:r>
      <w:r w:rsidRPr="00BD1F38">
        <w:rPr>
          <w:color w:val="000000" w:themeColor="text1"/>
        </w:rPr>
        <w:t xml:space="preserve"> This possible patriarchal incentive is indicated in </w:t>
      </w:r>
      <w:r w:rsidRPr="00BD1F38">
        <w:rPr>
          <w:color w:val="000000" w:themeColor="text1"/>
        </w:rPr>
        <w:lastRenderedPageBreak/>
        <w:t xml:space="preserve">metaphysical </w:t>
      </w:r>
      <w:r w:rsidRPr="00BD1F38">
        <w:rPr>
          <w:i/>
          <w:iCs/>
          <w:color w:val="000000" w:themeColor="text1"/>
        </w:rPr>
        <w:t>and</w:t>
      </w:r>
      <w:r w:rsidRPr="00BD1F38">
        <w:rPr>
          <w:color w:val="000000" w:themeColor="text1"/>
        </w:rPr>
        <w:t xml:space="preserve"> ecological symbolism in Genesis when it is Eve whom brings about the expulsion from the paradisical environment in which her and Adam lived.</w:t>
      </w:r>
      <w:r w:rsidRPr="00BD1F38">
        <w:rPr>
          <w:rStyle w:val="FootnoteReference"/>
          <w:color w:val="000000" w:themeColor="text1"/>
        </w:rPr>
        <w:footnoteReference w:id="242"/>
      </w:r>
      <w:r w:rsidRPr="00BD1F38">
        <w:rPr>
          <w:color w:val="000000" w:themeColor="text1"/>
        </w:rPr>
        <w:t xml:space="preserve"> Therefore, it could possibly have been a textual representation of cultural eco-spiritual condemnation of pollution, fitting the cultural narrative patriarchally laid at the feet of womankind. The applicable sudden awareness of their </w:t>
      </w:r>
      <w:r w:rsidRPr="00BD1F38">
        <w:rPr>
          <w:i/>
          <w:iCs/>
          <w:color w:val="000000" w:themeColor="text1"/>
        </w:rPr>
        <w:t xml:space="preserve">nakedness </w:t>
      </w:r>
      <w:r w:rsidRPr="00BD1F38">
        <w:rPr>
          <w:color w:val="000000" w:themeColor="text1"/>
        </w:rPr>
        <w:t>in that passage similarly seems</w:t>
      </w:r>
      <w:r w:rsidRPr="00BD1F38">
        <w:rPr>
          <w:i/>
          <w:iCs/>
          <w:color w:val="000000" w:themeColor="text1"/>
        </w:rPr>
        <w:t xml:space="preserve"> </w:t>
      </w:r>
      <w:r w:rsidRPr="00BD1F38">
        <w:rPr>
          <w:color w:val="000000" w:themeColor="text1"/>
        </w:rPr>
        <w:t>analogous to that of the revelatory infirmity that leaking bodily fluids brings both physically and psychologically.</w:t>
      </w:r>
      <w:r w:rsidRPr="00BD1F38">
        <w:rPr>
          <w:rStyle w:val="FootnoteReference"/>
          <w:color w:val="000000" w:themeColor="text1"/>
        </w:rPr>
        <w:footnoteReference w:id="243"/>
      </w:r>
      <w:r w:rsidRPr="00BD1F38">
        <w:rPr>
          <w:color w:val="000000" w:themeColor="text1"/>
        </w:rPr>
        <w:t xml:space="preserve"> </w:t>
      </w:r>
    </w:p>
    <w:p w14:paraId="48EF6EEF" w14:textId="77777777" w:rsidR="0045403B" w:rsidRPr="00BD1F38" w:rsidRDefault="0045403B" w:rsidP="0045403B">
      <w:pPr>
        <w:tabs>
          <w:tab w:val="left" w:pos="6260"/>
        </w:tabs>
        <w:autoSpaceDE w:val="0"/>
        <w:autoSpaceDN w:val="0"/>
        <w:adjustRightInd w:val="0"/>
        <w:spacing w:line="360" w:lineRule="auto"/>
        <w:rPr>
          <w:color w:val="000000" w:themeColor="text1"/>
        </w:rPr>
      </w:pPr>
      <w:r w:rsidRPr="00BD1F38">
        <w:rPr>
          <w:color w:val="000000" w:themeColor="text1"/>
        </w:rPr>
        <w:t xml:space="preserve">The link between water-centred environment and Judaic women in their eco-spiritual ritual context, </w:t>
      </w:r>
      <w:proofErr w:type="spellStart"/>
      <w:r w:rsidRPr="00BD1F38">
        <w:rPr>
          <w:color w:val="000000" w:themeColor="text1"/>
        </w:rPr>
        <w:t>ie</w:t>
      </w:r>
      <w:proofErr w:type="spellEnd"/>
      <w:r w:rsidRPr="00BD1F38">
        <w:rPr>
          <w:color w:val="000000" w:themeColor="text1"/>
        </w:rPr>
        <w:t xml:space="preserve">. </w:t>
      </w:r>
      <w:proofErr w:type="spellStart"/>
      <w:r w:rsidRPr="00BD1F38">
        <w:rPr>
          <w:color w:val="000000" w:themeColor="text1"/>
        </w:rPr>
        <w:t>Tevilah</w:t>
      </w:r>
      <w:proofErr w:type="spellEnd"/>
      <w:r w:rsidRPr="00BD1F38">
        <w:rPr>
          <w:color w:val="000000" w:themeColor="text1"/>
        </w:rPr>
        <w:t xml:space="preserve">, seems therefore to indicate that her interactions with </w:t>
      </w:r>
      <w:proofErr w:type="spellStart"/>
      <w:r w:rsidRPr="00BD1F38">
        <w:rPr>
          <w:color w:val="000000" w:themeColor="text1"/>
        </w:rPr>
        <w:t>Tevilah</w:t>
      </w:r>
      <w:proofErr w:type="spellEnd"/>
      <w:r w:rsidRPr="00BD1F38">
        <w:rPr>
          <w:color w:val="000000" w:themeColor="text1"/>
        </w:rPr>
        <w:t xml:space="preserve"> and its fluids as it relates to her body and </w:t>
      </w:r>
      <w:r w:rsidRPr="00BD1F38">
        <w:rPr>
          <w:i/>
          <w:iCs/>
          <w:color w:val="000000" w:themeColor="text1"/>
        </w:rPr>
        <w:t>its</w:t>
      </w:r>
      <w:r w:rsidRPr="00BD1F38">
        <w:rPr>
          <w:color w:val="000000" w:themeColor="text1"/>
        </w:rPr>
        <w:t xml:space="preserve"> fluids, is part of the dynamic generation and conditioning of social structures comprised of her and others’ ‘situated activities’ that both sculpt </w:t>
      </w:r>
      <w:r w:rsidRPr="00BD1F38">
        <w:rPr>
          <w:i/>
          <w:iCs/>
          <w:color w:val="000000" w:themeColor="text1"/>
        </w:rPr>
        <w:t>her</w:t>
      </w:r>
      <w:r w:rsidRPr="00BD1F38">
        <w:rPr>
          <w:color w:val="000000" w:themeColor="text1"/>
        </w:rPr>
        <w:t xml:space="preserve"> place within the cultural order’s ecology, and the cultural order’s ecology in </w:t>
      </w:r>
      <w:r w:rsidRPr="00BD1F38">
        <w:rPr>
          <w:i/>
          <w:iCs/>
          <w:color w:val="000000" w:themeColor="text1"/>
        </w:rPr>
        <w:t>her</w:t>
      </w:r>
      <w:r w:rsidRPr="00BD1F38">
        <w:rPr>
          <w:color w:val="000000" w:themeColor="text1"/>
        </w:rPr>
        <w:t xml:space="preserve"> individual ‘situated [ritual and symbolic] activities’ that themselves in this intersection sculpt cultural categories associated with the cultural order insofar as they relates to the local ecology and its eco-spiritual implications as a corporeal and metaphysical valuable resource.</w:t>
      </w:r>
      <w:r w:rsidRPr="00BD1F38">
        <w:rPr>
          <w:rStyle w:val="FootnoteReference"/>
          <w:color w:val="000000" w:themeColor="text1"/>
        </w:rPr>
        <w:footnoteReference w:id="244"/>
      </w:r>
      <w:r w:rsidRPr="00BD1F38">
        <w:rPr>
          <w:color w:val="000000" w:themeColor="text1"/>
        </w:rPr>
        <w:t xml:space="preserve"> However, though the patriarchal access to menstruation as a fluid tool for corporeal and metaphysical control is certainly still plausible, it could be ultimately deemed somewhat refutable, at least in this context, since similar ritual rulings were made for men who </w:t>
      </w:r>
      <w:r w:rsidRPr="00BD1F38">
        <w:rPr>
          <w:i/>
          <w:iCs/>
          <w:color w:val="000000" w:themeColor="text1"/>
        </w:rPr>
        <w:t>leak</w:t>
      </w:r>
      <w:r w:rsidRPr="00BD1F38">
        <w:rPr>
          <w:color w:val="000000" w:themeColor="text1"/>
        </w:rPr>
        <w:t xml:space="preserve"> their seed.</w:t>
      </w:r>
      <w:r w:rsidRPr="00BD1F38">
        <w:rPr>
          <w:rStyle w:val="FootnoteReference"/>
          <w:color w:val="000000" w:themeColor="text1"/>
        </w:rPr>
        <w:footnoteReference w:id="245"/>
      </w:r>
      <w:r w:rsidRPr="00BD1F38">
        <w:rPr>
          <w:color w:val="000000" w:themeColor="text1"/>
        </w:rPr>
        <w:t xml:space="preserve">  </w:t>
      </w:r>
    </w:p>
    <w:p w14:paraId="247F9A12" w14:textId="77777777" w:rsidR="0045403B" w:rsidRPr="00BD1F38" w:rsidRDefault="0045403B" w:rsidP="0045403B">
      <w:pPr>
        <w:tabs>
          <w:tab w:val="left" w:pos="6260"/>
        </w:tabs>
        <w:autoSpaceDE w:val="0"/>
        <w:autoSpaceDN w:val="0"/>
        <w:adjustRightInd w:val="0"/>
        <w:spacing w:line="360" w:lineRule="auto"/>
        <w:rPr>
          <w:color w:val="000000" w:themeColor="text1"/>
        </w:rPr>
      </w:pPr>
    </w:p>
    <w:p w14:paraId="4E4676CF" w14:textId="34113E22" w:rsidR="0045403B" w:rsidRPr="00BD1F38" w:rsidRDefault="0045403B" w:rsidP="0045403B">
      <w:pPr>
        <w:tabs>
          <w:tab w:val="left" w:pos="6260"/>
        </w:tabs>
        <w:autoSpaceDE w:val="0"/>
        <w:autoSpaceDN w:val="0"/>
        <w:adjustRightInd w:val="0"/>
        <w:spacing w:line="360" w:lineRule="auto"/>
        <w:rPr>
          <w:color w:val="000000" w:themeColor="text1"/>
          <w:shd w:val="clear" w:color="auto" w:fill="FFFFFF"/>
        </w:rPr>
      </w:pPr>
      <w:r w:rsidRPr="00BD1F38">
        <w:rPr>
          <w:color w:val="000000" w:themeColor="text1"/>
        </w:rPr>
        <w:t xml:space="preserve">For emersion from this </w:t>
      </w:r>
      <w:proofErr w:type="spellStart"/>
      <w:r w:rsidRPr="00BD1F38">
        <w:rPr>
          <w:color w:val="000000" w:themeColor="text1"/>
        </w:rPr>
        <w:t>desacralised</w:t>
      </w:r>
      <w:proofErr w:type="spellEnd"/>
      <w:r w:rsidRPr="00BD1F38">
        <w:rPr>
          <w:color w:val="000000" w:themeColor="text1"/>
        </w:rPr>
        <w:t xml:space="preserve"> social status, </w:t>
      </w:r>
      <w:r w:rsidRPr="00BD1F38">
        <w:rPr>
          <w:color w:val="000000" w:themeColor="text1"/>
          <w:shd w:val="clear" w:color="auto" w:fill="FFFFFF"/>
        </w:rPr>
        <w:t>upon the end of Leviticus’ ‘seven days of cleansing’,</w:t>
      </w:r>
      <w:r w:rsidRPr="00BD1F38">
        <w:rPr>
          <w:rStyle w:val="FootnoteReference"/>
          <w:color w:val="000000" w:themeColor="text1"/>
          <w:shd w:val="clear" w:color="auto" w:fill="FFFFFF"/>
        </w:rPr>
        <w:footnoteReference w:id="246"/>
      </w:r>
      <w:r w:rsidRPr="00BD1F38">
        <w:rPr>
          <w:color w:val="000000" w:themeColor="text1"/>
          <w:shd w:val="clear" w:color="auto" w:fill="FFFFFF"/>
        </w:rPr>
        <w:t xml:space="preserve"> they must engage in </w:t>
      </w:r>
      <w:proofErr w:type="spellStart"/>
      <w:r w:rsidRPr="00BD1F38">
        <w:rPr>
          <w:color w:val="000000" w:themeColor="text1"/>
          <w:shd w:val="clear" w:color="auto" w:fill="FFFFFF"/>
        </w:rPr>
        <w:t>Tevilah</w:t>
      </w:r>
      <w:proofErr w:type="spellEnd"/>
      <w:r w:rsidRPr="00BD1F38">
        <w:rPr>
          <w:color w:val="000000" w:themeColor="text1"/>
          <w:shd w:val="clear" w:color="auto" w:fill="FFFFFF"/>
        </w:rPr>
        <w:t>. These seven days numerologically mirror the seven days of creation, the seventh day of which was divinely blessed and sanctified ‘</w:t>
      </w:r>
      <w:r w:rsidRPr="00BD1F38">
        <w:rPr>
          <w:color w:val="000000" w:themeColor="text1"/>
        </w:rPr>
        <w:t>because that in it he had rested from all his work which God created and made.’</w:t>
      </w:r>
      <w:r w:rsidRPr="00BD1F38">
        <w:rPr>
          <w:rStyle w:val="FootnoteReference"/>
          <w:color w:val="000000" w:themeColor="text1"/>
        </w:rPr>
        <w:footnoteReference w:id="247"/>
      </w:r>
      <w:r w:rsidRPr="00BD1F38">
        <w:rPr>
          <w:color w:val="000000" w:themeColor="text1"/>
        </w:rPr>
        <w:t xml:space="preserve"> The Torahic decree of seven days until being deemed clean again seems symbolically equivalent to the need for self-recreation and re-sanctification, having, through the loss of indispensable divine liquid essence and ebb of the supposed unbroken flow of haematological-transmission of generational belief </w:t>
      </w:r>
      <w:r w:rsidRPr="00BD1F38">
        <w:rPr>
          <w:color w:val="000000" w:themeColor="text1"/>
        </w:rPr>
        <w:lastRenderedPageBreak/>
        <w:t>and ritual,</w:t>
      </w:r>
      <w:r w:rsidRPr="00BD1F38">
        <w:rPr>
          <w:rStyle w:val="FootnoteReference"/>
          <w:color w:val="000000" w:themeColor="text1"/>
        </w:rPr>
        <w:footnoteReference w:id="248"/>
      </w:r>
      <w:r w:rsidRPr="00BD1F38">
        <w:rPr>
          <w:color w:val="000000" w:themeColor="text1"/>
        </w:rPr>
        <w:t xml:space="preserve"> been archetypally reabsorbed into the chaos of the pre-creation cosmos,</w:t>
      </w:r>
      <w:r w:rsidRPr="00BD1F38">
        <w:rPr>
          <w:rStyle w:val="FootnoteReference"/>
          <w:color w:val="000000" w:themeColor="text1"/>
        </w:rPr>
        <w:footnoteReference w:id="249"/>
      </w:r>
      <w:r w:rsidRPr="00BD1F38">
        <w:rPr>
          <w:color w:val="000000" w:themeColor="text1"/>
        </w:rPr>
        <w:t xml:space="preserve"> since the divine-human bond, in the prophet Ezekiel’s riverside </w:t>
      </w:r>
      <w:proofErr w:type="spellStart"/>
      <w:r w:rsidRPr="00BD1F38">
        <w:rPr>
          <w:color w:val="000000" w:themeColor="text1"/>
        </w:rPr>
        <w:t>hierophany</w:t>
      </w:r>
      <w:proofErr w:type="spellEnd"/>
      <w:r w:rsidRPr="00BD1F38">
        <w:rPr>
          <w:color w:val="000000" w:themeColor="text1"/>
        </w:rPr>
        <w:t xml:space="preserve">: ‘must </w:t>
      </w:r>
      <w:r w:rsidRPr="00BD1F38">
        <w:rPr>
          <w:i/>
          <w:iCs/>
          <w:color w:val="000000" w:themeColor="text1"/>
        </w:rPr>
        <w:t>live in their blood’</w:t>
      </w:r>
      <w:r w:rsidRPr="00BD1F38">
        <w:rPr>
          <w:color w:val="000000" w:themeColor="text1"/>
        </w:rPr>
        <w:t>.</w:t>
      </w:r>
      <w:r w:rsidRPr="00BD1F38">
        <w:rPr>
          <w:rStyle w:val="FootnoteReference"/>
          <w:color w:val="000000" w:themeColor="text1"/>
        </w:rPr>
        <w:footnoteReference w:id="250"/>
      </w:r>
      <w:r w:rsidRPr="00BD1F38">
        <w:rPr>
          <w:color w:val="000000" w:themeColor="text1"/>
        </w:rPr>
        <w:t xml:space="preserve"> The </w:t>
      </w:r>
      <w:proofErr w:type="spellStart"/>
      <w:r w:rsidRPr="00BD1F38">
        <w:rPr>
          <w:color w:val="000000" w:themeColor="text1"/>
        </w:rPr>
        <w:t>desacralised</w:t>
      </w:r>
      <w:proofErr w:type="spellEnd"/>
      <w:r w:rsidRPr="00BD1F38">
        <w:rPr>
          <w:color w:val="000000" w:themeColor="text1"/>
        </w:rPr>
        <w:t xml:space="preserve"> body in its seven days of symbolic disorder and impurity cannot engage in </w:t>
      </w:r>
      <w:proofErr w:type="spellStart"/>
      <w:r w:rsidRPr="00BD1F38">
        <w:rPr>
          <w:color w:val="000000" w:themeColor="text1"/>
        </w:rPr>
        <w:t>Tevilah</w:t>
      </w:r>
      <w:proofErr w:type="spellEnd"/>
      <w:r w:rsidRPr="00BD1F38">
        <w:rPr>
          <w:color w:val="000000" w:themeColor="text1"/>
        </w:rPr>
        <w:t xml:space="preserve"> since </w:t>
      </w:r>
      <w:proofErr w:type="spellStart"/>
      <w:r w:rsidRPr="00BD1F38">
        <w:rPr>
          <w:color w:val="000000" w:themeColor="text1"/>
        </w:rPr>
        <w:t>Tevilah</w:t>
      </w:r>
      <w:proofErr w:type="spellEnd"/>
      <w:r w:rsidRPr="00BD1F38">
        <w:rPr>
          <w:color w:val="000000" w:themeColor="text1"/>
        </w:rPr>
        <w:t xml:space="preserve"> represents the wholly formed, absolute order of divine creation in its unpolluted state. </w:t>
      </w:r>
    </w:p>
    <w:p w14:paraId="0048CDFA" w14:textId="77777777" w:rsidR="0045403B" w:rsidRPr="00BD1F38" w:rsidRDefault="0045403B" w:rsidP="0045403B">
      <w:pPr>
        <w:tabs>
          <w:tab w:val="left" w:pos="6260"/>
        </w:tabs>
        <w:autoSpaceDE w:val="0"/>
        <w:autoSpaceDN w:val="0"/>
        <w:adjustRightInd w:val="0"/>
        <w:spacing w:line="360" w:lineRule="auto"/>
        <w:rPr>
          <w:color w:val="000000" w:themeColor="text1"/>
        </w:rPr>
      </w:pPr>
    </w:p>
    <w:p w14:paraId="04129D15" w14:textId="70208ACA" w:rsidR="0045403B" w:rsidRPr="00BD1F38" w:rsidRDefault="0045403B" w:rsidP="0045403B">
      <w:pPr>
        <w:tabs>
          <w:tab w:val="left" w:pos="6260"/>
        </w:tabs>
        <w:autoSpaceDE w:val="0"/>
        <w:autoSpaceDN w:val="0"/>
        <w:adjustRightInd w:val="0"/>
        <w:spacing w:line="360" w:lineRule="auto"/>
        <w:rPr>
          <w:rFonts w:eastAsiaTheme="minorEastAsia"/>
          <w:color w:val="000000" w:themeColor="text1"/>
        </w:rPr>
      </w:pPr>
      <w:r w:rsidRPr="00BD1F38">
        <w:rPr>
          <w:rFonts w:eastAsiaTheme="minorEastAsia"/>
          <w:color w:val="000000" w:themeColor="text1"/>
        </w:rPr>
        <w:t>A corresponding example of the plausible anthropomorphic archetypal connection from bodily waters to divinity is the Torahic concept of Nephesh, such as in the original Hebrew of ‘</w:t>
      </w:r>
      <w:r w:rsidRPr="00BD1F38">
        <w:rPr>
          <w:color w:val="000000" w:themeColor="text1"/>
        </w:rPr>
        <w:t>for the life of flesh [nephesh] is in the blood’.</w:t>
      </w:r>
      <w:r w:rsidRPr="00BD1F38">
        <w:rPr>
          <w:rStyle w:val="FootnoteReference"/>
          <w:color w:val="000000" w:themeColor="text1"/>
        </w:rPr>
        <w:footnoteReference w:id="251"/>
      </w:r>
      <w:r w:rsidRPr="00BD1F38">
        <w:rPr>
          <w:color w:val="000000" w:themeColor="text1"/>
        </w:rPr>
        <w:t xml:space="preserve"> </w:t>
      </w:r>
      <w:r w:rsidRPr="00BD1F38">
        <w:rPr>
          <w:rFonts w:eastAsiaTheme="minorEastAsia"/>
          <w:i/>
          <w:iCs/>
          <w:color w:val="000000" w:themeColor="text1"/>
        </w:rPr>
        <w:t>Nephesh</w:t>
      </w:r>
      <w:r w:rsidRPr="00BD1F38">
        <w:rPr>
          <w:rFonts w:eastAsiaTheme="minorEastAsia"/>
          <w:color w:val="000000" w:themeColor="text1"/>
        </w:rPr>
        <w:t xml:space="preserve"> is used to encompass the worldly, </w:t>
      </w:r>
      <w:r w:rsidRPr="00BD1F38">
        <w:rPr>
          <w:color w:val="000000" w:themeColor="text1"/>
          <w:shd w:val="clear" w:color="auto" w:fill="FFFFFF"/>
        </w:rPr>
        <w:t xml:space="preserve">tangible properties of life and its interactions – like environmental interrelationship, </w:t>
      </w:r>
      <w:r w:rsidRPr="00BD1F38">
        <w:rPr>
          <w:rFonts w:eastAsiaTheme="minorEastAsia"/>
          <w:color w:val="000000" w:themeColor="text1"/>
        </w:rPr>
        <w:t xml:space="preserve">but is also used in combination with </w:t>
      </w:r>
      <w:proofErr w:type="spellStart"/>
      <w:r w:rsidRPr="00BD1F38">
        <w:rPr>
          <w:rFonts w:eastAsiaTheme="minorEastAsia"/>
          <w:i/>
          <w:iCs/>
          <w:color w:val="000000" w:themeColor="text1"/>
        </w:rPr>
        <w:t>ruach</w:t>
      </w:r>
      <w:proofErr w:type="spellEnd"/>
      <w:r w:rsidRPr="00BD1F38">
        <w:rPr>
          <w:rFonts w:eastAsiaTheme="minorEastAsia"/>
          <w:i/>
          <w:iCs/>
          <w:color w:val="000000" w:themeColor="text1"/>
        </w:rPr>
        <w:t xml:space="preserve"> </w:t>
      </w:r>
      <w:r w:rsidRPr="00BD1F38">
        <w:rPr>
          <w:rFonts w:eastAsiaTheme="minorEastAsia"/>
          <w:color w:val="000000" w:themeColor="text1"/>
        </w:rPr>
        <w:t xml:space="preserve">to describe metaphysical concepts applicable to the greater sacred cosmological environment perceived: such as soul, mind, consciousness, conscience, will, intellect, personality, emotions, etc. </w:t>
      </w:r>
      <w:r w:rsidRPr="00BD1F38">
        <w:rPr>
          <w:color w:val="000000" w:themeColor="text1"/>
          <w:shd w:val="clear" w:color="auto" w:fill="FFFFFF"/>
        </w:rPr>
        <w:t xml:space="preserve">As such, the fluid of our body becomes every aspect of our </w:t>
      </w:r>
      <w:r w:rsidRPr="00BD1F38">
        <w:rPr>
          <w:i/>
          <w:iCs/>
          <w:color w:val="000000" w:themeColor="text1"/>
          <w:shd w:val="clear" w:color="auto" w:fill="FFFFFF"/>
        </w:rPr>
        <w:t>being</w:t>
      </w:r>
      <w:r w:rsidRPr="00BD1F38">
        <w:rPr>
          <w:color w:val="000000" w:themeColor="text1"/>
          <w:shd w:val="clear" w:color="auto" w:fill="FFFFFF"/>
        </w:rPr>
        <w:t>.</w:t>
      </w:r>
      <w:r w:rsidRPr="00BD1F38">
        <w:rPr>
          <w:rFonts w:eastAsiaTheme="minorEastAsia"/>
          <w:color w:val="000000" w:themeColor="text1"/>
        </w:rPr>
        <w:t xml:space="preserve"> Divinity represented in Torah as ‘I AM’</w:t>
      </w:r>
      <w:r w:rsidRPr="00BD1F38">
        <w:rPr>
          <w:rStyle w:val="FootnoteReference"/>
          <w:rFonts w:eastAsiaTheme="minorEastAsia"/>
          <w:color w:val="000000" w:themeColor="text1"/>
        </w:rPr>
        <w:footnoteReference w:id="252"/>
      </w:r>
      <w:r w:rsidRPr="00BD1F38">
        <w:rPr>
          <w:rFonts w:eastAsiaTheme="minorEastAsia"/>
          <w:color w:val="000000" w:themeColor="text1"/>
        </w:rPr>
        <w:t xml:space="preserve"> – </w:t>
      </w:r>
      <w:r w:rsidRPr="00BD1F38">
        <w:rPr>
          <w:rFonts w:eastAsiaTheme="minorEastAsia"/>
          <w:i/>
          <w:iCs/>
          <w:color w:val="000000" w:themeColor="text1"/>
        </w:rPr>
        <w:t>Being</w:t>
      </w:r>
      <w:r w:rsidRPr="00BD1F38">
        <w:rPr>
          <w:rFonts w:eastAsiaTheme="minorEastAsia"/>
          <w:color w:val="000000" w:themeColor="text1"/>
        </w:rPr>
        <w:t xml:space="preserve"> in its purest, most evocative concentration, in sharing this </w:t>
      </w:r>
      <w:r w:rsidRPr="00BD1F38">
        <w:rPr>
          <w:rFonts w:eastAsiaTheme="minorEastAsia"/>
          <w:i/>
          <w:iCs/>
          <w:color w:val="000000" w:themeColor="text1"/>
        </w:rPr>
        <w:t>spiritualised</w:t>
      </w:r>
      <w:r w:rsidRPr="00BD1F38">
        <w:rPr>
          <w:rFonts w:eastAsiaTheme="minorEastAsia"/>
          <w:color w:val="000000" w:themeColor="text1"/>
        </w:rPr>
        <w:t xml:space="preserve"> blood of the covenant – indicates that without this blood – this </w:t>
      </w:r>
      <w:r w:rsidRPr="00BD1F38">
        <w:rPr>
          <w:rFonts w:eastAsiaTheme="minorEastAsia"/>
          <w:i/>
          <w:iCs/>
          <w:color w:val="000000" w:themeColor="text1"/>
        </w:rPr>
        <w:t>living</w:t>
      </w:r>
      <w:r w:rsidRPr="00BD1F38">
        <w:rPr>
          <w:rFonts w:eastAsiaTheme="minorEastAsia"/>
          <w:color w:val="000000" w:themeColor="text1"/>
        </w:rPr>
        <w:t xml:space="preserve"> water: </w:t>
      </w:r>
      <w:r w:rsidRPr="00BD1F38">
        <w:rPr>
          <w:rFonts w:eastAsiaTheme="minorEastAsia"/>
          <w:i/>
          <w:iCs/>
          <w:color w:val="000000" w:themeColor="text1"/>
        </w:rPr>
        <w:t>life</w:t>
      </w:r>
      <w:r w:rsidRPr="00BD1F38">
        <w:rPr>
          <w:rFonts w:eastAsiaTheme="minorEastAsia"/>
          <w:color w:val="000000" w:themeColor="text1"/>
        </w:rPr>
        <w:t xml:space="preserve"> of the </w:t>
      </w:r>
      <w:r w:rsidRPr="00BD1F38">
        <w:rPr>
          <w:rFonts w:eastAsiaTheme="minorEastAsia"/>
          <w:i/>
          <w:iCs/>
          <w:color w:val="000000" w:themeColor="text1"/>
        </w:rPr>
        <w:t>nephesh</w:t>
      </w:r>
      <w:r w:rsidRPr="00BD1F38">
        <w:rPr>
          <w:rFonts w:eastAsiaTheme="minorEastAsia"/>
          <w:color w:val="000000" w:themeColor="text1"/>
        </w:rPr>
        <w:t xml:space="preserve"> – the divine </w:t>
      </w:r>
      <w:r w:rsidRPr="00BD1F38">
        <w:rPr>
          <w:rFonts w:eastAsiaTheme="minorEastAsia"/>
          <w:i/>
          <w:iCs/>
          <w:color w:val="000000" w:themeColor="text1"/>
        </w:rPr>
        <w:t>IS NO</w:t>
      </w:r>
      <w:r w:rsidRPr="00BD1F38">
        <w:rPr>
          <w:rFonts w:eastAsiaTheme="minorEastAsia"/>
          <w:color w:val="000000" w:themeColor="text1"/>
        </w:rPr>
        <w:t xml:space="preserve">T. The </w:t>
      </w:r>
      <w:proofErr w:type="gramStart"/>
      <w:r w:rsidRPr="00BD1F38">
        <w:rPr>
          <w:rFonts w:eastAsiaTheme="minorEastAsia"/>
          <w:color w:val="000000" w:themeColor="text1"/>
        </w:rPr>
        <w:t>aforementioned passage</w:t>
      </w:r>
      <w:proofErr w:type="gramEnd"/>
      <w:r w:rsidRPr="00BD1F38">
        <w:rPr>
          <w:rFonts w:eastAsiaTheme="minorEastAsia"/>
          <w:color w:val="000000" w:themeColor="text1"/>
        </w:rPr>
        <w:t xml:space="preserve"> of Torah is followed by: ‘I AM hath sent me to you’– possibly expressing </w:t>
      </w:r>
      <w:r w:rsidRPr="00BD1F38">
        <w:rPr>
          <w:rFonts w:eastAsiaTheme="minorEastAsia"/>
          <w:b/>
          <w:bCs/>
          <w:color w:val="000000" w:themeColor="text1"/>
        </w:rPr>
        <w:t xml:space="preserve">the </w:t>
      </w:r>
      <w:proofErr w:type="spellStart"/>
      <w:r w:rsidRPr="00BD1F38">
        <w:rPr>
          <w:rFonts w:eastAsiaTheme="minorEastAsia"/>
          <w:color w:val="000000" w:themeColor="text1"/>
        </w:rPr>
        <w:t>hierophanic</w:t>
      </w:r>
      <w:proofErr w:type="spellEnd"/>
      <w:r w:rsidRPr="00BD1F38">
        <w:rPr>
          <w:rFonts w:eastAsiaTheme="minorEastAsia"/>
          <w:color w:val="000000" w:themeColor="text1"/>
        </w:rPr>
        <w:t xml:space="preserve"> </w:t>
      </w:r>
      <w:r w:rsidRPr="00BD1F38">
        <w:rPr>
          <w:rFonts w:eastAsiaTheme="minorEastAsia"/>
          <w:i/>
          <w:iCs/>
          <w:color w:val="000000" w:themeColor="text1"/>
        </w:rPr>
        <w:t>implications</w:t>
      </w:r>
      <w:r w:rsidRPr="00BD1F38">
        <w:rPr>
          <w:rFonts w:eastAsiaTheme="minorEastAsia"/>
          <w:color w:val="000000" w:themeColor="text1"/>
        </w:rPr>
        <w:t xml:space="preserve"> of our bodily fluids and the understanding of it as symbol</w:t>
      </w:r>
      <w:r w:rsidRPr="00BD1F38">
        <w:rPr>
          <w:rStyle w:val="FootnoteReference"/>
          <w:rFonts w:eastAsiaTheme="minorEastAsia"/>
          <w:color w:val="000000" w:themeColor="text1"/>
        </w:rPr>
        <w:footnoteReference w:id="253"/>
      </w:r>
      <w:r w:rsidRPr="00BD1F38">
        <w:rPr>
          <w:rFonts w:eastAsiaTheme="minorEastAsia"/>
          <w:b/>
          <w:bCs/>
          <w:color w:val="000000" w:themeColor="text1"/>
        </w:rPr>
        <w:t xml:space="preserve"> </w:t>
      </w:r>
      <w:r w:rsidRPr="00BD1F38">
        <w:rPr>
          <w:rFonts w:eastAsiaTheme="minorEastAsia"/>
          <w:color w:val="000000" w:themeColor="text1"/>
        </w:rPr>
        <w:t xml:space="preserve">of self-realisation and the revelation of Being; of the difference between AM and AM NOT; and that it is </w:t>
      </w:r>
      <w:r w:rsidRPr="00BD1F38">
        <w:rPr>
          <w:rFonts w:eastAsiaTheme="minorEastAsia"/>
          <w:i/>
          <w:iCs/>
          <w:color w:val="000000" w:themeColor="text1"/>
        </w:rPr>
        <w:t>this</w:t>
      </w:r>
      <w:r w:rsidRPr="00BD1F38">
        <w:rPr>
          <w:rFonts w:eastAsiaTheme="minorEastAsia"/>
          <w:color w:val="000000" w:themeColor="text1"/>
        </w:rPr>
        <w:t xml:space="preserve"> that creates archetypal transmission of sacred law through belief and ritual. Likewise,  that without this revelation arising through bodily fluids,</w:t>
      </w:r>
      <w:r w:rsidRPr="00BD1F38">
        <w:rPr>
          <w:rFonts w:eastAsiaTheme="minorEastAsia"/>
          <w:b/>
          <w:bCs/>
          <w:color w:val="000000" w:themeColor="text1"/>
        </w:rPr>
        <w:t xml:space="preserve"> </w:t>
      </w:r>
      <w:r w:rsidRPr="00BD1F38">
        <w:rPr>
          <w:rFonts w:eastAsiaTheme="minorEastAsia"/>
          <w:color w:val="000000" w:themeColor="text1"/>
        </w:rPr>
        <w:t xml:space="preserve">Moses would not have received his </w:t>
      </w:r>
      <w:proofErr w:type="spellStart"/>
      <w:r w:rsidRPr="00BD1F38">
        <w:rPr>
          <w:rFonts w:eastAsiaTheme="minorEastAsia"/>
          <w:color w:val="000000" w:themeColor="text1"/>
        </w:rPr>
        <w:t>hierophanic</w:t>
      </w:r>
      <w:proofErr w:type="spellEnd"/>
      <w:r w:rsidRPr="00BD1F38">
        <w:rPr>
          <w:rFonts w:eastAsiaTheme="minorEastAsia"/>
          <w:color w:val="000000" w:themeColor="text1"/>
        </w:rPr>
        <w:t xml:space="preserve"> communication and therefore not have gone to the children of the revelatory promised land to give Judaic sacred law, divine archetypes, and eco-spiritual ritual to their people in order to deliver them to earthly and spiritual paradise: as Eliade said: </w:t>
      </w:r>
      <w:r w:rsidRPr="00BD1F38">
        <w:rPr>
          <w:color w:val="000000" w:themeColor="text1"/>
        </w:rPr>
        <w:t xml:space="preserve">living in their ‘religious vision of the world, and the concomitant ideology’ at times originating, represented, reiterated, and </w:t>
      </w:r>
      <w:r w:rsidRPr="00BD1F38">
        <w:rPr>
          <w:i/>
          <w:iCs/>
          <w:color w:val="000000" w:themeColor="text1"/>
        </w:rPr>
        <w:t>made sense of</w:t>
      </w:r>
      <w:r w:rsidRPr="00BD1F38">
        <w:rPr>
          <w:color w:val="000000" w:themeColor="text1"/>
        </w:rPr>
        <w:t xml:space="preserve"> in ritual practises.</w:t>
      </w:r>
      <w:r w:rsidRPr="00BD1F38">
        <w:rPr>
          <w:rStyle w:val="FootnoteReference"/>
          <w:color w:val="000000" w:themeColor="text1"/>
        </w:rPr>
        <w:footnoteReference w:id="254"/>
      </w:r>
      <w:r w:rsidRPr="00BD1F38">
        <w:rPr>
          <w:color w:val="000000" w:themeColor="text1"/>
        </w:rPr>
        <w:t xml:space="preserve"> </w:t>
      </w:r>
      <w:r w:rsidR="002E04BA" w:rsidRPr="00BD1F38">
        <w:rPr>
          <w:rStyle w:val="FootnoteReference"/>
          <w:color w:val="000000" w:themeColor="text1"/>
        </w:rPr>
        <w:footnoteReference w:id="255"/>
      </w:r>
    </w:p>
    <w:p w14:paraId="5920D704" w14:textId="77777777" w:rsidR="0045403B" w:rsidRPr="00BD1F38" w:rsidRDefault="0045403B" w:rsidP="0045403B">
      <w:pPr>
        <w:tabs>
          <w:tab w:val="left" w:pos="6260"/>
        </w:tabs>
        <w:autoSpaceDE w:val="0"/>
        <w:autoSpaceDN w:val="0"/>
        <w:adjustRightInd w:val="0"/>
        <w:spacing w:line="360" w:lineRule="auto"/>
        <w:rPr>
          <w:rFonts w:eastAsiaTheme="minorEastAsia"/>
          <w:color w:val="000000" w:themeColor="text1"/>
        </w:rPr>
      </w:pPr>
    </w:p>
    <w:p w14:paraId="5BE598FE" w14:textId="77777777" w:rsidR="0045403B" w:rsidRPr="00BD1F38" w:rsidRDefault="0045403B" w:rsidP="0045403B">
      <w:pPr>
        <w:autoSpaceDE w:val="0"/>
        <w:autoSpaceDN w:val="0"/>
        <w:adjustRightInd w:val="0"/>
        <w:spacing w:line="360" w:lineRule="auto"/>
        <w:rPr>
          <w:color w:val="000000" w:themeColor="text1"/>
          <w:shd w:val="clear" w:color="auto" w:fill="FFFFFF"/>
        </w:rPr>
      </w:pPr>
      <w:r w:rsidRPr="00BD1F38">
        <w:rPr>
          <w:color w:val="000000" w:themeColor="text1"/>
          <w:shd w:val="clear" w:color="auto" w:fill="FFFFFF"/>
        </w:rPr>
        <w:t>This seeming textually and ritually evident divine archetype within select Judaic and Vedic thought of both bodies of water and water of bodies as ‘locus of symbolic activity’</w:t>
      </w:r>
      <w:r w:rsidRPr="00BD1F38">
        <w:rPr>
          <w:rStyle w:val="FootnoteReference"/>
          <w:color w:val="000000" w:themeColor="text1"/>
          <w:shd w:val="clear" w:color="auto" w:fill="FFFFFF"/>
        </w:rPr>
        <w:footnoteReference w:id="256"/>
      </w:r>
      <w:r w:rsidRPr="00BD1F38">
        <w:rPr>
          <w:color w:val="000000" w:themeColor="text1"/>
          <w:shd w:val="clear" w:color="auto" w:fill="FFFFFF"/>
        </w:rPr>
        <w:t xml:space="preserve"> and sacred axis mundi is further explicated in the symbolic understanding of the role of seminal fluid – or </w:t>
      </w:r>
      <w:r w:rsidRPr="00BD1F38">
        <w:rPr>
          <w:i/>
          <w:iCs/>
          <w:color w:val="000000" w:themeColor="text1"/>
          <w:shd w:val="clear" w:color="auto" w:fill="FFFFFF"/>
        </w:rPr>
        <w:t>seed</w:t>
      </w:r>
      <w:r w:rsidRPr="00BD1F38">
        <w:rPr>
          <w:color w:val="000000" w:themeColor="text1"/>
          <w:shd w:val="clear" w:color="auto" w:fill="FFFFFF"/>
        </w:rPr>
        <w:t xml:space="preserve"> - in sexual union and resulting pregnancy – being an observable and interpretable explanatory inspiration for conceptualisations of divine creation through generative fluid and heated interaction.</w:t>
      </w:r>
      <w:r w:rsidRPr="00BD1F38">
        <w:rPr>
          <w:rStyle w:val="FootnoteReference"/>
          <w:color w:val="000000" w:themeColor="text1"/>
          <w:shd w:val="clear" w:color="auto" w:fill="FFFFFF"/>
        </w:rPr>
        <w:footnoteReference w:id="257"/>
      </w:r>
      <w:r w:rsidRPr="00BD1F38">
        <w:rPr>
          <w:color w:val="000000" w:themeColor="text1"/>
          <w:shd w:val="clear" w:color="auto" w:fill="FFFFFF"/>
        </w:rPr>
        <w:t xml:space="preserve"> A ritual example of this bodily fluid seeming to influence sacred cosmological archetypes is present in the preparation of the Soma rasa where the ‘stalk of the Soma plant’</w:t>
      </w:r>
      <w:r w:rsidRPr="00BD1F38">
        <w:rPr>
          <w:rStyle w:val="FootnoteReference"/>
          <w:color w:val="000000" w:themeColor="text1"/>
          <w:shd w:val="clear" w:color="auto" w:fill="FFFFFF"/>
        </w:rPr>
        <w:footnoteReference w:id="258"/>
      </w:r>
      <w:r w:rsidRPr="00BD1F38">
        <w:rPr>
          <w:color w:val="000000" w:themeColor="text1"/>
          <w:shd w:val="clear" w:color="auto" w:fill="FFFFFF"/>
        </w:rPr>
        <w:t xml:space="preserve"> is archetypally interpreted as both divine phallus, axis mundi (‘pillar of the sky’), and ‘navel of Order’.</w:t>
      </w:r>
      <w:r w:rsidRPr="00BD1F38">
        <w:rPr>
          <w:rStyle w:val="FootnoteReference"/>
          <w:color w:val="000000" w:themeColor="text1"/>
          <w:shd w:val="clear" w:color="auto" w:fill="FFFFFF"/>
        </w:rPr>
        <w:footnoteReference w:id="259"/>
      </w:r>
      <w:r w:rsidRPr="00BD1F38">
        <w:rPr>
          <w:color w:val="000000" w:themeColor="text1"/>
          <w:shd w:val="clear" w:color="auto" w:fill="FFFFFF"/>
        </w:rPr>
        <w:t xml:space="preserve"> The ritual vessel is similarly both archetypally conceived of as cosmic womb, ‘and the pasture or lap of Aditi – the highest heaven’.</w:t>
      </w:r>
      <w:r w:rsidRPr="00BD1F38">
        <w:rPr>
          <w:rStyle w:val="FootnoteReference"/>
          <w:color w:val="000000" w:themeColor="text1"/>
          <w:shd w:val="clear" w:color="auto" w:fill="FFFFFF"/>
        </w:rPr>
        <w:t xml:space="preserve"> </w:t>
      </w:r>
      <w:r w:rsidRPr="00BD1F38">
        <w:rPr>
          <w:rStyle w:val="FootnoteReference"/>
          <w:color w:val="000000" w:themeColor="text1"/>
          <w:shd w:val="clear" w:color="auto" w:fill="FFFFFF"/>
        </w:rPr>
        <w:footnoteReference w:id="260"/>
      </w:r>
      <w:r w:rsidRPr="00BD1F38">
        <w:rPr>
          <w:color w:val="000000" w:themeColor="text1"/>
          <w:shd w:val="clear" w:color="auto" w:fill="FFFFFF"/>
        </w:rPr>
        <w:t xml:space="preserve"> The symbolism abounds, with the milky white fluid extracted from the grinding of the stalk at times referred to as ‘the seed of the sky’, and the fluid in the vessel: ‘a wave of the cosmic ocean’.</w:t>
      </w:r>
      <w:r w:rsidRPr="00BD1F38">
        <w:rPr>
          <w:rStyle w:val="FootnoteReference"/>
          <w:color w:val="000000" w:themeColor="text1"/>
          <w:shd w:val="clear" w:color="auto" w:fill="FFFFFF"/>
        </w:rPr>
        <w:footnoteReference w:id="261"/>
      </w:r>
      <w:r w:rsidRPr="00BD1F38">
        <w:rPr>
          <w:color w:val="000000" w:themeColor="text1"/>
          <w:shd w:val="clear" w:color="auto" w:fill="FFFFFF"/>
        </w:rPr>
        <w:t xml:space="preserve"> The ritual process of making the Soma rasa is archetypally mirrored in or itself mirrors the paralleling of gods Agni and Soma, who together form ‘the Vedic concept of liquid fire or the fiery liquid’.</w:t>
      </w:r>
      <w:r w:rsidRPr="00BD1F38">
        <w:rPr>
          <w:rStyle w:val="FootnoteReference"/>
          <w:color w:val="000000" w:themeColor="text1"/>
          <w:shd w:val="clear" w:color="auto" w:fill="FFFFFF"/>
        </w:rPr>
        <w:footnoteReference w:id="262"/>
      </w:r>
      <w:r w:rsidRPr="00BD1F38">
        <w:rPr>
          <w:color w:val="000000" w:themeColor="text1"/>
          <w:shd w:val="clear" w:color="auto" w:fill="FFFFFF"/>
        </w:rPr>
        <w:t xml:space="preserve"> This fiery liquid is archetypally fastened to the idea of the </w:t>
      </w:r>
      <w:r w:rsidRPr="00BD1F38">
        <w:rPr>
          <w:i/>
          <w:iCs/>
          <w:color w:val="000000" w:themeColor="text1"/>
          <w:shd w:val="clear" w:color="auto" w:fill="FFFFFF"/>
        </w:rPr>
        <w:t>birth</w:t>
      </w:r>
      <w:r w:rsidRPr="00BD1F38">
        <w:rPr>
          <w:color w:val="000000" w:themeColor="text1"/>
          <w:shd w:val="clear" w:color="auto" w:fill="FFFFFF"/>
        </w:rPr>
        <w:t xml:space="preserve"> of the cosmos. In the previously cited passage where the gods ‘caused the world to swell’ with pregnancy, pulling the sun out of the ocean, ‘a thick cloud of mist’ arose from them.</w:t>
      </w:r>
      <w:r w:rsidRPr="00BD1F38">
        <w:rPr>
          <w:rStyle w:val="FootnoteReference"/>
          <w:color w:val="000000" w:themeColor="text1"/>
          <w:shd w:val="clear" w:color="auto" w:fill="FFFFFF"/>
        </w:rPr>
        <w:footnoteReference w:id="263"/>
      </w:r>
      <w:r w:rsidRPr="00BD1F38">
        <w:rPr>
          <w:color w:val="000000" w:themeColor="text1"/>
          <w:shd w:val="clear" w:color="auto" w:fill="FFFFFF"/>
        </w:rPr>
        <w:t xml:space="preserve"> This generative, fertile </w:t>
      </w:r>
      <w:r w:rsidRPr="00BD1F38">
        <w:rPr>
          <w:i/>
          <w:iCs/>
          <w:color w:val="000000" w:themeColor="text1"/>
          <w:shd w:val="clear" w:color="auto" w:fill="FFFFFF"/>
        </w:rPr>
        <w:t>mist</w:t>
      </w:r>
      <w:r w:rsidRPr="00BD1F38">
        <w:rPr>
          <w:color w:val="000000" w:themeColor="text1"/>
          <w:shd w:val="clear" w:color="auto" w:fill="FFFFFF"/>
        </w:rPr>
        <w:t xml:space="preserve"> refers to the mediation between ‘matter and spirit’ – physical sensation and metaphysical ideation, and thus plausibly indicates that the Vedic people themselves also viewed the physical interactions with environment and its resources such as the </w:t>
      </w:r>
      <w:r w:rsidRPr="00BD1F38">
        <w:rPr>
          <w:i/>
          <w:iCs/>
          <w:color w:val="000000" w:themeColor="text1"/>
          <w:shd w:val="clear" w:color="auto" w:fill="FFFFFF"/>
        </w:rPr>
        <w:t>Soma</w:t>
      </w:r>
      <w:r w:rsidRPr="00BD1F38">
        <w:rPr>
          <w:color w:val="000000" w:themeColor="text1"/>
          <w:shd w:val="clear" w:color="auto" w:fill="FFFFFF"/>
        </w:rPr>
        <w:t xml:space="preserve"> plant, as the ‘first seed of mind’.</w:t>
      </w:r>
      <w:r w:rsidRPr="00BD1F38">
        <w:rPr>
          <w:rStyle w:val="FootnoteReference"/>
          <w:color w:val="000000" w:themeColor="text1"/>
          <w:shd w:val="clear" w:color="auto" w:fill="FFFFFF"/>
        </w:rPr>
        <w:footnoteReference w:id="264"/>
      </w:r>
      <w:r w:rsidRPr="00BD1F38">
        <w:rPr>
          <w:color w:val="000000" w:themeColor="text1"/>
          <w:shd w:val="clear" w:color="auto" w:fill="FFFFFF"/>
        </w:rPr>
        <w:t xml:space="preserve"> The importance of this fiery liquid cannot be understated. </w:t>
      </w:r>
      <w:proofErr w:type="spellStart"/>
      <w:r w:rsidRPr="00BD1F38">
        <w:rPr>
          <w:color w:val="000000" w:themeColor="text1"/>
          <w:shd w:val="clear" w:color="auto" w:fill="FFFFFF"/>
        </w:rPr>
        <w:t>Doniger</w:t>
      </w:r>
      <w:proofErr w:type="spellEnd"/>
      <w:r w:rsidRPr="00BD1F38">
        <w:rPr>
          <w:color w:val="000000" w:themeColor="text1"/>
          <w:shd w:val="clear" w:color="auto" w:fill="FFFFFF"/>
        </w:rPr>
        <w:t xml:space="preserve"> in her notes on the Rig Veda clarifies that Agni and Soma are </w:t>
      </w:r>
      <w:r w:rsidRPr="00BD1F38">
        <w:rPr>
          <w:rFonts w:eastAsiaTheme="minorEastAsia"/>
          <w:color w:val="000000" w:themeColor="text1"/>
        </w:rPr>
        <w:t xml:space="preserve">‘invoked more often than any other gods of the Rig Veda, as the embodiments of the sacrificial fire and the sacrificial drink’ </w:t>
      </w:r>
      <w:r w:rsidRPr="00BD1F38">
        <w:rPr>
          <w:color w:val="000000" w:themeColor="text1"/>
          <w:shd w:val="clear" w:color="auto" w:fill="FFFFFF"/>
        </w:rPr>
        <w:t xml:space="preserve">and ‘As metaphorical symbols, they </w:t>
      </w:r>
      <w:r w:rsidRPr="00BD1F38">
        <w:rPr>
          <w:color w:val="000000" w:themeColor="text1"/>
          <w:shd w:val="clear" w:color="auto" w:fill="FFFFFF"/>
        </w:rPr>
        <w:lastRenderedPageBreak/>
        <w:t>are the centre of a complex set of speculations about the nature of the cosmos’;</w:t>
      </w:r>
      <w:r w:rsidRPr="00BD1F38">
        <w:rPr>
          <w:rStyle w:val="FootnoteReference"/>
          <w:color w:val="000000" w:themeColor="text1"/>
          <w:shd w:val="clear" w:color="auto" w:fill="FFFFFF"/>
        </w:rPr>
        <w:footnoteReference w:id="265"/>
      </w:r>
      <w:r w:rsidRPr="00BD1F38">
        <w:rPr>
          <w:color w:val="000000" w:themeColor="text1"/>
          <w:shd w:val="clear" w:color="auto" w:fill="FFFFFF"/>
        </w:rPr>
        <w:t xml:space="preserve"> spurring divine cosmological understanding and thus their archetypes. </w:t>
      </w:r>
    </w:p>
    <w:p w14:paraId="122B287C" w14:textId="77777777" w:rsidR="0045403B" w:rsidRPr="00BD1F38" w:rsidRDefault="0045403B" w:rsidP="0045403B">
      <w:pPr>
        <w:autoSpaceDE w:val="0"/>
        <w:autoSpaceDN w:val="0"/>
        <w:adjustRightInd w:val="0"/>
        <w:spacing w:line="360" w:lineRule="auto"/>
        <w:rPr>
          <w:color w:val="000000" w:themeColor="text1"/>
          <w:shd w:val="clear" w:color="auto" w:fill="FFFFFF"/>
        </w:rPr>
      </w:pPr>
    </w:p>
    <w:p w14:paraId="1CBCD937" w14:textId="77777777" w:rsidR="0045403B" w:rsidRPr="00BD1F38" w:rsidRDefault="0045403B" w:rsidP="0045403B">
      <w:pPr>
        <w:autoSpaceDE w:val="0"/>
        <w:autoSpaceDN w:val="0"/>
        <w:adjustRightInd w:val="0"/>
        <w:spacing w:line="360" w:lineRule="auto"/>
        <w:rPr>
          <w:color w:val="000000" w:themeColor="text1"/>
          <w:shd w:val="clear" w:color="auto" w:fill="FFFFFF"/>
        </w:rPr>
      </w:pPr>
      <w:r w:rsidRPr="00BD1F38">
        <w:rPr>
          <w:color w:val="000000" w:themeColor="text1"/>
          <w:shd w:val="clear" w:color="auto" w:fill="FFFFFF"/>
        </w:rPr>
        <w:t>The Rig Veda further represents how this plausibly Soma ritual-inspired notion of liquid fire may have influenced the conceptualisation of divine archetypes in the passage where, on it being the ‘first seed of mind’: Poets, such as the writer/s of the Rig Veda, with the help of this fertile seed of mind, sprouted the wisdom that ‘found the bond of existence in non-existence’.</w:t>
      </w:r>
      <w:r w:rsidRPr="00BD1F38">
        <w:rPr>
          <w:rStyle w:val="FootnoteReference"/>
          <w:color w:val="000000" w:themeColor="text1"/>
          <w:shd w:val="clear" w:color="auto" w:fill="FFFFFF"/>
        </w:rPr>
        <w:footnoteReference w:id="266"/>
      </w:r>
      <w:r w:rsidRPr="00BD1F38">
        <w:rPr>
          <w:color w:val="000000" w:themeColor="text1"/>
          <w:shd w:val="clear" w:color="auto" w:fill="FFFFFF"/>
        </w:rPr>
        <w:t xml:space="preserve"> The </w:t>
      </w:r>
      <w:r w:rsidRPr="00BD1F38">
        <w:rPr>
          <w:i/>
          <w:iCs/>
          <w:color w:val="000000" w:themeColor="text1"/>
          <w:shd w:val="clear" w:color="auto" w:fill="FFFFFF"/>
        </w:rPr>
        <w:t>axis mundi</w:t>
      </w:r>
      <w:r w:rsidRPr="00BD1F38">
        <w:rPr>
          <w:color w:val="000000" w:themeColor="text1"/>
          <w:shd w:val="clear" w:color="auto" w:fill="FFFFFF"/>
        </w:rPr>
        <w:t xml:space="preserve"> is thusly formed – stretched across as a stalk, giving the impression of ‘seed-placers’ with generative </w:t>
      </w:r>
      <w:r w:rsidRPr="00BD1F38">
        <w:rPr>
          <w:i/>
          <w:iCs/>
          <w:color w:val="000000" w:themeColor="text1"/>
          <w:shd w:val="clear" w:color="auto" w:fill="FFFFFF"/>
        </w:rPr>
        <w:t>desire</w:t>
      </w:r>
      <w:r w:rsidRPr="00BD1F38">
        <w:rPr>
          <w:color w:val="000000" w:themeColor="text1"/>
          <w:shd w:val="clear" w:color="auto" w:fill="FFFFFF"/>
        </w:rPr>
        <w:t xml:space="preserve"> or ‘impulse beneath […] giving-forth above’.</w:t>
      </w:r>
      <w:r w:rsidRPr="00BD1F38">
        <w:rPr>
          <w:rStyle w:val="FootnoteReference"/>
          <w:color w:val="000000" w:themeColor="text1"/>
          <w:shd w:val="clear" w:color="auto" w:fill="FFFFFF"/>
        </w:rPr>
        <w:footnoteReference w:id="267"/>
      </w:r>
      <w:r w:rsidRPr="00BD1F38">
        <w:rPr>
          <w:color w:val="000000" w:themeColor="text1"/>
          <w:shd w:val="clear" w:color="auto" w:fill="FFFFFF"/>
        </w:rPr>
        <w:t xml:space="preserve"> As such, the fiery liquid seed representatively produced from the anthropomorphised symbolically-sexual act of working the phallic Soma stalks in the symbolic womb until the milky-white liquid releases, seemingly is conceptualised as giving birth to the Soma rasa and through doing so – perhaps, as aforementioned, due to Soma’s purported psychotropic effects – also giving birth to the facilitation of wisdom for those with the fertile mental soil such as poets like the writer/s of the Rig Veda, to grow conceptualisations of the metaphysical.</w:t>
      </w:r>
      <w:r w:rsidRPr="00BD1F38">
        <w:rPr>
          <w:rStyle w:val="FootnoteReference"/>
          <w:color w:val="000000" w:themeColor="text1"/>
          <w:shd w:val="clear" w:color="auto" w:fill="FFFFFF"/>
        </w:rPr>
        <w:footnoteReference w:id="268"/>
      </w:r>
      <w:r w:rsidRPr="00BD1F38">
        <w:rPr>
          <w:color w:val="000000" w:themeColor="text1"/>
          <w:shd w:val="clear" w:color="auto" w:fill="FFFFFF"/>
        </w:rPr>
        <w:t xml:space="preserve"> This seems a highly plausible interpretation since the writer/s of the Rig Veda portrays Soma as knowing the ‘whole world’</w:t>
      </w:r>
      <w:r w:rsidRPr="00BD1F38">
        <w:rPr>
          <w:rStyle w:val="FootnoteReference"/>
          <w:color w:val="000000" w:themeColor="text1"/>
          <w:shd w:val="clear" w:color="auto" w:fill="FFFFFF"/>
        </w:rPr>
        <w:footnoteReference w:id="269"/>
      </w:r>
      <w:r w:rsidRPr="00BD1F38">
        <w:rPr>
          <w:color w:val="000000" w:themeColor="text1"/>
          <w:shd w:val="clear" w:color="auto" w:fill="FFFFFF"/>
        </w:rPr>
        <w:t xml:space="preserve"> and clinging ‘to inspired thought and ritual action’, and since the poet is said to hold together the conjoined ‘two great world-halves’ - meaning the physical and metaphysical plains. </w:t>
      </w:r>
    </w:p>
    <w:p w14:paraId="13E5E75A" w14:textId="77777777" w:rsidR="0045403B" w:rsidRPr="00BD1F38" w:rsidRDefault="0045403B" w:rsidP="0045403B">
      <w:pPr>
        <w:autoSpaceDE w:val="0"/>
        <w:autoSpaceDN w:val="0"/>
        <w:adjustRightInd w:val="0"/>
        <w:spacing w:line="360" w:lineRule="auto"/>
        <w:rPr>
          <w:color w:val="000000" w:themeColor="text1"/>
          <w:shd w:val="clear" w:color="auto" w:fill="FFFFFF"/>
        </w:rPr>
      </w:pPr>
    </w:p>
    <w:p w14:paraId="75E92F66" w14:textId="77777777" w:rsidR="0045403B" w:rsidRPr="00BD1F38" w:rsidRDefault="0045403B" w:rsidP="0045403B">
      <w:pPr>
        <w:autoSpaceDE w:val="0"/>
        <w:autoSpaceDN w:val="0"/>
        <w:adjustRightInd w:val="0"/>
        <w:spacing w:line="360" w:lineRule="auto"/>
        <w:rPr>
          <w:color w:val="000000" w:themeColor="text1"/>
          <w:shd w:val="clear" w:color="auto" w:fill="FFFFFF"/>
        </w:rPr>
      </w:pPr>
      <w:r w:rsidRPr="00BD1F38">
        <w:rPr>
          <w:color w:val="000000" w:themeColor="text1"/>
          <w:shd w:val="clear" w:color="auto" w:fill="FFFFFF"/>
        </w:rPr>
        <w:t xml:space="preserve">Not only is the Soma ritual suffused with the discussed anthropomorphism of humanity </w:t>
      </w:r>
      <w:r w:rsidRPr="00BD1F38">
        <w:rPr>
          <w:i/>
          <w:iCs/>
          <w:color w:val="000000" w:themeColor="text1"/>
          <w:shd w:val="clear" w:color="auto" w:fill="FFFFFF"/>
        </w:rPr>
        <w:t>and</w:t>
      </w:r>
      <w:r w:rsidRPr="00BD1F38">
        <w:rPr>
          <w:color w:val="000000" w:themeColor="text1"/>
          <w:shd w:val="clear" w:color="auto" w:fill="FFFFFF"/>
        </w:rPr>
        <w:t xml:space="preserve"> divinity, it appears also as an axis between humanity, divinity, and ecology, and as a bedrock for some of the anthropomorphism of the local ecosystem. The inspirational influence of Soma is characterised as that which ‘rules over the rain here’, with the Soma ritual milking the ‘living cloud’ of ambrosia (the oblatory food of the gods), the Soma juices are also depicted as relentlessly flowing down and filtered with earthly streams so that it mingles with the landscape to the point where the environment is alive with Soma, and Soma is alive and </w:t>
      </w:r>
      <w:r w:rsidRPr="00BD1F38">
        <w:rPr>
          <w:i/>
          <w:iCs/>
          <w:color w:val="000000" w:themeColor="text1"/>
          <w:shd w:val="clear" w:color="auto" w:fill="FFFFFF"/>
        </w:rPr>
        <w:t>purified</w:t>
      </w:r>
      <w:r w:rsidRPr="00BD1F38">
        <w:rPr>
          <w:color w:val="000000" w:themeColor="text1"/>
          <w:shd w:val="clear" w:color="auto" w:fill="FFFFFF"/>
        </w:rPr>
        <w:t xml:space="preserve"> to be drinkable within the environment – further noting the perceived power of the landscape, </w:t>
      </w:r>
      <w:r w:rsidRPr="00BD1F38">
        <w:rPr>
          <w:color w:val="000000" w:themeColor="text1"/>
          <w:shd w:val="clear" w:color="auto" w:fill="FFFFFF"/>
        </w:rPr>
        <w:lastRenderedPageBreak/>
        <w:t>especially its waters.</w:t>
      </w:r>
      <w:r w:rsidRPr="00BD1F38">
        <w:rPr>
          <w:rStyle w:val="FootnoteReference"/>
          <w:color w:val="000000" w:themeColor="text1"/>
          <w:shd w:val="clear" w:color="auto" w:fill="FFFFFF"/>
        </w:rPr>
        <w:footnoteReference w:id="270"/>
      </w:r>
      <w:r w:rsidRPr="00BD1F38">
        <w:rPr>
          <w:color w:val="000000" w:themeColor="text1"/>
          <w:shd w:val="clear" w:color="auto" w:fill="FFFFFF"/>
        </w:rPr>
        <w:t xml:space="preserve"> The mingling of those heavenly and earthly waters in the Soma clarifying process are said to ‘let them have offspring in the third realm of the world’, with ‘four hidden springs pouring forth butter carry[</w:t>
      </w:r>
      <w:proofErr w:type="spellStart"/>
      <w:r w:rsidRPr="00BD1F38">
        <w:rPr>
          <w:color w:val="000000" w:themeColor="text1"/>
          <w:shd w:val="clear" w:color="auto" w:fill="FFFFFF"/>
        </w:rPr>
        <w:t>ing</w:t>
      </w:r>
      <w:proofErr w:type="spellEnd"/>
      <w:r w:rsidRPr="00BD1F38">
        <w:rPr>
          <w:color w:val="000000" w:themeColor="text1"/>
          <w:shd w:val="clear" w:color="auto" w:fill="FFFFFF"/>
        </w:rPr>
        <w:t>] down from the sky the ambrosia that is the oblation’.</w:t>
      </w:r>
      <w:r w:rsidRPr="00BD1F38">
        <w:rPr>
          <w:rStyle w:val="FootnoteReference"/>
          <w:color w:val="000000" w:themeColor="text1"/>
          <w:shd w:val="clear" w:color="auto" w:fill="FFFFFF"/>
        </w:rPr>
        <w:footnoteReference w:id="271"/>
      </w:r>
      <w:r w:rsidRPr="00BD1F38">
        <w:rPr>
          <w:color w:val="000000" w:themeColor="text1"/>
          <w:shd w:val="clear" w:color="auto" w:fill="FFFFFF"/>
        </w:rPr>
        <w:t xml:space="preserve"> The offspring is ostensibly the sprout of the </w:t>
      </w:r>
      <w:r w:rsidRPr="00BD1F38">
        <w:rPr>
          <w:i/>
          <w:iCs/>
          <w:color w:val="000000" w:themeColor="text1"/>
          <w:shd w:val="clear" w:color="auto" w:fill="FFFFFF"/>
        </w:rPr>
        <w:t>absolute reality</w:t>
      </w:r>
      <w:r w:rsidRPr="00BD1F38">
        <w:rPr>
          <w:color w:val="000000" w:themeColor="text1"/>
          <w:shd w:val="clear" w:color="auto" w:fill="FFFFFF"/>
        </w:rPr>
        <w:t xml:space="preserve"> that has been revealed to the poets and priests participating in Soma rituals. To conclude, Soma is visualised as and associated with much of the Earth’s waters – such as but not limited </w:t>
      </w:r>
      <w:proofErr w:type="gramStart"/>
      <w:r w:rsidRPr="00BD1F38">
        <w:rPr>
          <w:color w:val="000000" w:themeColor="text1"/>
          <w:shd w:val="clear" w:color="auto" w:fill="FFFFFF"/>
        </w:rPr>
        <w:t>to:</w:t>
      </w:r>
      <w:proofErr w:type="gramEnd"/>
      <w:r w:rsidRPr="00BD1F38">
        <w:rPr>
          <w:color w:val="000000" w:themeColor="text1"/>
          <w:shd w:val="clear" w:color="auto" w:fill="FFFFFF"/>
        </w:rPr>
        <w:t xml:space="preserve"> rain, streams, and as the offspring of an amniotic primordial wave and seminal fluid dynamically heated into a generative </w:t>
      </w:r>
      <w:r w:rsidRPr="00BD1F38">
        <w:rPr>
          <w:i/>
          <w:iCs/>
          <w:color w:val="000000" w:themeColor="text1"/>
          <w:shd w:val="clear" w:color="auto" w:fill="FFFFFF"/>
        </w:rPr>
        <w:t xml:space="preserve">living </w:t>
      </w:r>
      <w:r w:rsidRPr="00BD1F38">
        <w:rPr>
          <w:color w:val="000000" w:themeColor="text1"/>
          <w:shd w:val="clear" w:color="auto" w:fill="FFFFFF"/>
        </w:rPr>
        <w:t>water – interestingly also what the waters of the Mikvah are envisaged as</w:t>
      </w:r>
      <w:r w:rsidRPr="00BD1F38">
        <w:rPr>
          <w:rStyle w:val="FootnoteReference"/>
          <w:color w:val="000000" w:themeColor="text1"/>
          <w:shd w:val="clear" w:color="auto" w:fill="FFFFFF"/>
        </w:rPr>
        <w:footnoteReference w:id="272"/>
      </w:r>
      <w:r w:rsidRPr="00BD1F38">
        <w:rPr>
          <w:color w:val="000000" w:themeColor="text1"/>
          <w:shd w:val="clear" w:color="auto" w:fill="FFFFFF"/>
        </w:rPr>
        <w:t xml:space="preserve"> - through the ritual engagement and its procreative archetypal imagery. As a result, the liquid Soma rasa is seen equally as </w:t>
      </w:r>
      <w:r w:rsidRPr="00BD1F38">
        <w:rPr>
          <w:i/>
          <w:iCs/>
          <w:color w:val="000000" w:themeColor="text1"/>
          <w:shd w:val="clear" w:color="auto" w:fill="FFFFFF"/>
        </w:rPr>
        <w:t>offspring</w:t>
      </w:r>
      <w:r w:rsidRPr="00BD1F38">
        <w:rPr>
          <w:color w:val="000000" w:themeColor="text1"/>
          <w:shd w:val="clear" w:color="auto" w:fill="FFFFFF"/>
        </w:rPr>
        <w:t xml:space="preserve"> of the environment and </w:t>
      </w:r>
      <w:r w:rsidRPr="00BD1F38">
        <w:rPr>
          <w:i/>
          <w:iCs/>
          <w:color w:val="000000" w:themeColor="text1"/>
          <w:shd w:val="clear" w:color="auto" w:fill="FFFFFF"/>
        </w:rPr>
        <w:t>mother</w:t>
      </w:r>
      <w:r w:rsidRPr="00BD1F38">
        <w:rPr>
          <w:color w:val="000000" w:themeColor="text1"/>
          <w:shd w:val="clear" w:color="auto" w:fill="FFFFFF"/>
        </w:rPr>
        <w:t xml:space="preserve"> of its revelation in its </w:t>
      </w:r>
      <w:r w:rsidRPr="00BD1F38">
        <w:rPr>
          <w:i/>
          <w:iCs/>
          <w:color w:val="000000" w:themeColor="text1"/>
          <w:shd w:val="clear" w:color="auto" w:fill="FFFFFF"/>
        </w:rPr>
        <w:t>absolute</w:t>
      </w:r>
      <w:r w:rsidRPr="00BD1F38">
        <w:rPr>
          <w:color w:val="000000" w:themeColor="text1"/>
          <w:shd w:val="clear" w:color="auto" w:fill="FFFFFF"/>
        </w:rPr>
        <w:t xml:space="preserve"> form in Eliade’s </w:t>
      </w:r>
      <w:r w:rsidRPr="00BD1F38">
        <w:rPr>
          <w:i/>
          <w:iCs/>
          <w:color w:val="000000" w:themeColor="text1"/>
          <w:shd w:val="clear" w:color="auto" w:fill="FFFFFF"/>
        </w:rPr>
        <w:t>absolute reality;</w:t>
      </w:r>
      <w:r w:rsidRPr="00BD1F38">
        <w:rPr>
          <w:color w:val="000000" w:themeColor="text1"/>
          <w:shd w:val="clear" w:color="auto" w:fill="FFFFFF"/>
        </w:rPr>
        <w:t xml:space="preserve"> indicating that further belief structure and engagement through ritual is centred around this </w:t>
      </w:r>
      <w:proofErr w:type="spellStart"/>
      <w:r w:rsidRPr="00BD1F38">
        <w:rPr>
          <w:color w:val="000000" w:themeColor="text1"/>
          <w:shd w:val="clear" w:color="auto" w:fill="FFFFFF"/>
        </w:rPr>
        <w:t>hierophany</w:t>
      </w:r>
      <w:proofErr w:type="spellEnd"/>
      <w:r w:rsidRPr="00BD1F38">
        <w:rPr>
          <w:color w:val="000000" w:themeColor="text1"/>
          <w:shd w:val="clear" w:color="auto" w:fill="FFFFFF"/>
        </w:rPr>
        <w:t xml:space="preserve"> of hidden environmental-streams - the orientation in which affords the practitioners the wherewithal to ‘not lack any [thing] in’ their earthly </w:t>
      </w:r>
      <w:r w:rsidRPr="00BD1F38">
        <w:rPr>
          <w:i/>
          <w:iCs/>
          <w:color w:val="000000" w:themeColor="text1"/>
          <w:shd w:val="clear" w:color="auto" w:fill="FFFFFF"/>
        </w:rPr>
        <w:t>or</w:t>
      </w:r>
      <w:r w:rsidRPr="00BD1F38">
        <w:rPr>
          <w:color w:val="000000" w:themeColor="text1"/>
          <w:shd w:val="clear" w:color="auto" w:fill="FFFFFF"/>
        </w:rPr>
        <w:t xml:space="preserve"> metaphysical spiritual environment as was similarly the case in the promised land of the Israelites in Deuteronomy 8:9 where their </w:t>
      </w:r>
      <w:r w:rsidRPr="00BD1F38">
        <w:rPr>
          <w:i/>
          <w:iCs/>
          <w:color w:val="000000" w:themeColor="text1"/>
          <w:shd w:val="clear" w:color="auto" w:fill="FFFFFF"/>
        </w:rPr>
        <w:t>nephesh</w:t>
      </w:r>
      <w:r w:rsidRPr="00BD1F38">
        <w:rPr>
          <w:color w:val="000000" w:themeColor="text1"/>
          <w:shd w:val="clear" w:color="auto" w:fill="FFFFFF"/>
        </w:rPr>
        <w:t xml:space="preserve"> – and all its associated symbolism as discussed - is satisfied.</w:t>
      </w:r>
      <w:r w:rsidRPr="00BD1F38">
        <w:rPr>
          <w:rStyle w:val="FootnoteReference"/>
          <w:color w:val="000000" w:themeColor="text1"/>
          <w:shd w:val="clear" w:color="auto" w:fill="FFFFFF"/>
        </w:rPr>
        <w:t xml:space="preserve"> </w:t>
      </w:r>
      <w:r w:rsidRPr="00BD1F38">
        <w:rPr>
          <w:rStyle w:val="FootnoteReference"/>
          <w:color w:val="000000" w:themeColor="text1"/>
          <w:shd w:val="clear" w:color="auto" w:fill="FFFFFF"/>
        </w:rPr>
        <w:footnoteReference w:id="273"/>
      </w:r>
    </w:p>
    <w:p w14:paraId="790F3E47" w14:textId="77777777" w:rsidR="00591367" w:rsidRPr="00BD1F38" w:rsidRDefault="00591367" w:rsidP="0045403B">
      <w:pPr>
        <w:autoSpaceDE w:val="0"/>
        <w:autoSpaceDN w:val="0"/>
        <w:adjustRightInd w:val="0"/>
        <w:spacing w:line="360" w:lineRule="auto"/>
        <w:rPr>
          <w:color w:val="000000" w:themeColor="text1"/>
          <w:shd w:val="clear" w:color="auto" w:fill="FFFFFF"/>
        </w:rPr>
      </w:pPr>
    </w:p>
    <w:p w14:paraId="0409955A" w14:textId="77777777" w:rsidR="00591367" w:rsidRPr="00BD1F38" w:rsidRDefault="00591367" w:rsidP="0045403B">
      <w:pPr>
        <w:autoSpaceDE w:val="0"/>
        <w:autoSpaceDN w:val="0"/>
        <w:adjustRightInd w:val="0"/>
        <w:spacing w:line="360" w:lineRule="auto"/>
        <w:rPr>
          <w:color w:val="000000" w:themeColor="text1"/>
          <w:shd w:val="clear" w:color="auto" w:fill="FFFFFF"/>
        </w:rPr>
      </w:pPr>
    </w:p>
    <w:p w14:paraId="09C5ECEB" w14:textId="77777777" w:rsidR="00986719" w:rsidRPr="00BD1F38" w:rsidRDefault="00986719" w:rsidP="0045403B">
      <w:pPr>
        <w:autoSpaceDE w:val="0"/>
        <w:autoSpaceDN w:val="0"/>
        <w:adjustRightInd w:val="0"/>
        <w:spacing w:line="360" w:lineRule="auto"/>
        <w:rPr>
          <w:color w:val="000000" w:themeColor="text1"/>
          <w:shd w:val="clear" w:color="auto" w:fill="FFFFFF"/>
        </w:rPr>
      </w:pPr>
    </w:p>
    <w:p w14:paraId="76EE1045" w14:textId="77777777" w:rsidR="00986719" w:rsidRPr="00BD1F38" w:rsidRDefault="00986719" w:rsidP="0045403B">
      <w:pPr>
        <w:autoSpaceDE w:val="0"/>
        <w:autoSpaceDN w:val="0"/>
        <w:adjustRightInd w:val="0"/>
        <w:spacing w:line="360" w:lineRule="auto"/>
        <w:rPr>
          <w:color w:val="000000" w:themeColor="text1"/>
          <w:shd w:val="clear" w:color="auto" w:fill="FFFFFF"/>
        </w:rPr>
      </w:pPr>
    </w:p>
    <w:p w14:paraId="7ADA8389" w14:textId="77777777" w:rsidR="00986719" w:rsidRPr="00BD1F38" w:rsidRDefault="00986719" w:rsidP="0045403B">
      <w:pPr>
        <w:autoSpaceDE w:val="0"/>
        <w:autoSpaceDN w:val="0"/>
        <w:adjustRightInd w:val="0"/>
        <w:spacing w:line="360" w:lineRule="auto"/>
        <w:rPr>
          <w:color w:val="000000" w:themeColor="text1"/>
          <w:shd w:val="clear" w:color="auto" w:fill="FFFFFF"/>
        </w:rPr>
      </w:pPr>
    </w:p>
    <w:p w14:paraId="71F4D357" w14:textId="77777777" w:rsidR="00986719" w:rsidRPr="00BD1F38" w:rsidRDefault="00986719" w:rsidP="0045403B">
      <w:pPr>
        <w:autoSpaceDE w:val="0"/>
        <w:autoSpaceDN w:val="0"/>
        <w:adjustRightInd w:val="0"/>
        <w:spacing w:line="360" w:lineRule="auto"/>
        <w:rPr>
          <w:color w:val="000000" w:themeColor="text1"/>
          <w:shd w:val="clear" w:color="auto" w:fill="FFFFFF"/>
        </w:rPr>
      </w:pPr>
    </w:p>
    <w:p w14:paraId="589BEC86" w14:textId="77777777" w:rsidR="00591367" w:rsidRPr="00BD1F38" w:rsidRDefault="00591367" w:rsidP="0045403B">
      <w:pPr>
        <w:autoSpaceDE w:val="0"/>
        <w:autoSpaceDN w:val="0"/>
        <w:adjustRightInd w:val="0"/>
        <w:spacing w:line="360" w:lineRule="auto"/>
        <w:rPr>
          <w:color w:val="000000" w:themeColor="text1"/>
          <w:shd w:val="clear" w:color="auto" w:fill="FFFFFF"/>
        </w:rPr>
      </w:pPr>
    </w:p>
    <w:p w14:paraId="0DCC55BE" w14:textId="3AB05CE6" w:rsidR="0045403B" w:rsidRPr="00BD1F38" w:rsidRDefault="00B324D5" w:rsidP="0045403B">
      <w:pPr>
        <w:tabs>
          <w:tab w:val="left" w:pos="6260"/>
        </w:tabs>
        <w:autoSpaceDE w:val="0"/>
        <w:autoSpaceDN w:val="0"/>
        <w:adjustRightInd w:val="0"/>
        <w:jc w:val="center"/>
        <w:rPr>
          <w:rFonts w:eastAsiaTheme="minorEastAsia"/>
          <w:sz w:val="130"/>
          <w:szCs w:val="130"/>
        </w:rPr>
      </w:pPr>
      <w:r w:rsidRPr="00BD1F38">
        <w:rPr>
          <w:sz w:val="130"/>
          <w:szCs w:val="130"/>
        </w:rPr>
        <w:lastRenderedPageBreak/>
        <w:t xml:space="preserve">SUMMARY &amp; </w:t>
      </w:r>
      <w:r w:rsidR="0045403B" w:rsidRPr="00BD1F38">
        <w:rPr>
          <w:sz w:val="130"/>
          <w:szCs w:val="130"/>
        </w:rPr>
        <w:t>CONCLUSION</w:t>
      </w:r>
    </w:p>
    <w:p w14:paraId="73020CE6" w14:textId="77777777" w:rsidR="0045403B" w:rsidRPr="00BD1F38" w:rsidRDefault="0045403B" w:rsidP="0045403B">
      <w:pPr>
        <w:tabs>
          <w:tab w:val="left" w:pos="6260"/>
        </w:tabs>
        <w:autoSpaceDE w:val="0"/>
        <w:autoSpaceDN w:val="0"/>
        <w:adjustRightInd w:val="0"/>
        <w:rPr>
          <w:rFonts w:eastAsiaTheme="minorEastAsia"/>
          <w:sz w:val="22"/>
          <w:szCs w:val="22"/>
        </w:rPr>
      </w:pPr>
    </w:p>
    <w:p w14:paraId="10B129EE" w14:textId="77777777" w:rsidR="002176A5" w:rsidRPr="00BD1F38" w:rsidRDefault="002176A5" w:rsidP="0045403B">
      <w:pPr>
        <w:tabs>
          <w:tab w:val="left" w:pos="6260"/>
        </w:tabs>
        <w:autoSpaceDE w:val="0"/>
        <w:autoSpaceDN w:val="0"/>
        <w:adjustRightInd w:val="0"/>
        <w:spacing w:line="360" w:lineRule="auto"/>
        <w:rPr>
          <w:rFonts w:eastAsiaTheme="minorEastAsia"/>
          <w:sz w:val="22"/>
          <w:szCs w:val="22"/>
        </w:rPr>
      </w:pPr>
    </w:p>
    <w:p w14:paraId="30B5BA35" w14:textId="7B69460C" w:rsidR="0045403B" w:rsidRPr="00AC5249" w:rsidRDefault="0045403B" w:rsidP="0045403B">
      <w:pPr>
        <w:tabs>
          <w:tab w:val="left" w:pos="6260"/>
        </w:tabs>
        <w:autoSpaceDE w:val="0"/>
        <w:autoSpaceDN w:val="0"/>
        <w:adjustRightInd w:val="0"/>
        <w:spacing w:line="360" w:lineRule="auto"/>
      </w:pPr>
      <w:r w:rsidRPr="00AC5249">
        <w:rPr>
          <w:rFonts w:eastAsiaTheme="minorEastAsia"/>
        </w:rPr>
        <w:t>In summarising</w:t>
      </w:r>
      <w:r w:rsidRPr="00AC5249">
        <w:t>, academically contextualising,</w:t>
      </w:r>
      <w:r w:rsidRPr="00AC5249">
        <w:rPr>
          <w:rFonts w:eastAsiaTheme="minorEastAsia"/>
        </w:rPr>
        <w:t xml:space="preserve"> and concluding upon the research findings within the three subheadings: </w:t>
      </w:r>
      <w:r w:rsidRPr="00AC5249">
        <w:rPr>
          <w:rFonts w:eastAsiaTheme="minorEastAsia"/>
          <w:lang w:val="en-US"/>
        </w:rPr>
        <w:t xml:space="preserve">Water Giveth; Water Taketh Away; and Reflections, the themes emerging as most forthcoming in relevance when attempting to </w:t>
      </w:r>
      <w:bookmarkStart w:id="4" w:name="OLE_LINK3"/>
      <w:bookmarkStart w:id="5" w:name="OLE_LINK4"/>
      <w:r w:rsidRPr="00AC5249">
        <w:rPr>
          <w:rFonts w:eastAsiaTheme="minorEastAsia"/>
        </w:rPr>
        <w:t xml:space="preserve">recognise how and why water may have influenced divine archetypes of select Judaic and Vedic thought, respectively represented in Torah and Rig Veda, and to what extent this shaped and/or is reflected in </w:t>
      </w:r>
      <w:proofErr w:type="spellStart"/>
      <w:r w:rsidRPr="00AC5249">
        <w:rPr>
          <w:rFonts w:eastAsiaTheme="minorEastAsia"/>
        </w:rPr>
        <w:t>Tevilah</w:t>
      </w:r>
      <w:proofErr w:type="spellEnd"/>
      <w:r w:rsidRPr="00AC5249">
        <w:rPr>
          <w:rFonts w:eastAsiaTheme="minorEastAsia"/>
        </w:rPr>
        <w:t xml:space="preserve"> and Soma eco-spiritual rituals, were </w:t>
      </w:r>
      <w:proofErr w:type="spellStart"/>
      <w:r w:rsidRPr="00AC5249">
        <w:rPr>
          <w:rFonts w:eastAsiaTheme="minorEastAsia"/>
        </w:rPr>
        <w:t>Hierophany</w:t>
      </w:r>
      <w:proofErr w:type="spellEnd"/>
      <w:r w:rsidRPr="00AC5249">
        <w:rPr>
          <w:rFonts w:eastAsiaTheme="minorEastAsia"/>
        </w:rPr>
        <w:t>, Value, and Anthropomorphism.</w:t>
      </w:r>
      <w:bookmarkEnd w:id="4"/>
      <w:bookmarkEnd w:id="5"/>
      <w:r w:rsidRPr="00AC5249">
        <w:rPr>
          <w:rFonts w:eastAsiaTheme="minorEastAsia"/>
        </w:rPr>
        <w:t xml:space="preserve"> </w:t>
      </w:r>
    </w:p>
    <w:p w14:paraId="46B55766" w14:textId="77777777" w:rsidR="0045403B" w:rsidRPr="00AC5249" w:rsidRDefault="0045403B" w:rsidP="0045403B">
      <w:pPr>
        <w:tabs>
          <w:tab w:val="left" w:pos="6260"/>
        </w:tabs>
        <w:autoSpaceDE w:val="0"/>
        <w:autoSpaceDN w:val="0"/>
        <w:adjustRightInd w:val="0"/>
        <w:spacing w:line="360" w:lineRule="auto"/>
      </w:pPr>
    </w:p>
    <w:p w14:paraId="35E6BD38" w14:textId="77777777" w:rsidR="0045403B" w:rsidRPr="00AC5249" w:rsidRDefault="0045403B" w:rsidP="0045403B">
      <w:pPr>
        <w:tabs>
          <w:tab w:val="left" w:pos="6260"/>
        </w:tabs>
        <w:autoSpaceDE w:val="0"/>
        <w:autoSpaceDN w:val="0"/>
        <w:adjustRightInd w:val="0"/>
        <w:spacing w:line="360" w:lineRule="auto"/>
      </w:pPr>
      <w:r w:rsidRPr="00AC5249">
        <w:t xml:space="preserve">Below, I provide a summary of the central </w:t>
      </w:r>
      <w:proofErr w:type="spellStart"/>
      <w:r w:rsidRPr="00AC5249">
        <w:t>points</w:t>
      </w:r>
      <w:proofErr w:type="spellEnd"/>
      <w:r w:rsidRPr="00AC5249">
        <w:t xml:space="preserve"> brought forth in the research findings of the body of this thesis, now framed within those three that appeared to emerge out of these initial three subheadings in correspondence, concluding as I do so upon how they, in relation to my research question, may be seen to contribute to academic knowledge and understanding specific to the relevant fields, and how it may similarly be of use in the wider sphere of academic research. Then, in the Final Thoughts section, I will assess what it all means when viewed together, and wrap up any loose ends – answering in short how and why engagement with water may have influenced divine archetypes of select Vedic and Judaic thought represented in Torah and Rig Veda, and to what extent has this shaped and/or is reflected in the </w:t>
      </w:r>
      <w:proofErr w:type="spellStart"/>
      <w:r w:rsidRPr="00AC5249">
        <w:t>Tevilah</w:t>
      </w:r>
      <w:proofErr w:type="spellEnd"/>
      <w:r w:rsidRPr="00AC5249">
        <w:t xml:space="preserve"> and Soma eco-spiritual rituals, and considering what scope it indicates for further research. </w:t>
      </w:r>
    </w:p>
    <w:p w14:paraId="6FF5ED06" w14:textId="77777777" w:rsidR="0045403B" w:rsidRDefault="0045403B" w:rsidP="0045403B">
      <w:pPr>
        <w:tabs>
          <w:tab w:val="left" w:pos="6260"/>
        </w:tabs>
        <w:autoSpaceDE w:val="0"/>
        <w:autoSpaceDN w:val="0"/>
        <w:adjustRightInd w:val="0"/>
        <w:spacing w:line="360" w:lineRule="auto"/>
        <w:rPr>
          <w:sz w:val="22"/>
          <w:szCs w:val="22"/>
        </w:rPr>
      </w:pPr>
    </w:p>
    <w:p w14:paraId="6119F51A" w14:textId="77777777" w:rsidR="00782EB4" w:rsidRDefault="00782EB4" w:rsidP="0045403B">
      <w:pPr>
        <w:tabs>
          <w:tab w:val="left" w:pos="6260"/>
        </w:tabs>
        <w:autoSpaceDE w:val="0"/>
        <w:autoSpaceDN w:val="0"/>
        <w:adjustRightInd w:val="0"/>
        <w:spacing w:line="360" w:lineRule="auto"/>
        <w:rPr>
          <w:sz w:val="22"/>
          <w:szCs w:val="22"/>
        </w:rPr>
      </w:pPr>
    </w:p>
    <w:p w14:paraId="208CCDE4" w14:textId="77777777" w:rsidR="00782EB4" w:rsidRDefault="00782EB4" w:rsidP="0045403B">
      <w:pPr>
        <w:tabs>
          <w:tab w:val="left" w:pos="6260"/>
        </w:tabs>
        <w:autoSpaceDE w:val="0"/>
        <w:autoSpaceDN w:val="0"/>
        <w:adjustRightInd w:val="0"/>
        <w:spacing w:line="360" w:lineRule="auto"/>
        <w:rPr>
          <w:sz w:val="22"/>
          <w:szCs w:val="22"/>
        </w:rPr>
      </w:pPr>
    </w:p>
    <w:p w14:paraId="65AE34DC" w14:textId="77777777" w:rsidR="00782EB4" w:rsidRPr="00BD1F38" w:rsidRDefault="00782EB4" w:rsidP="0045403B">
      <w:pPr>
        <w:tabs>
          <w:tab w:val="left" w:pos="6260"/>
        </w:tabs>
        <w:autoSpaceDE w:val="0"/>
        <w:autoSpaceDN w:val="0"/>
        <w:adjustRightInd w:val="0"/>
        <w:spacing w:line="360" w:lineRule="auto"/>
        <w:rPr>
          <w:sz w:val="22"/>
          <w:szCs w:val="22"/>
        </w:rPr>
      </w:pPr>
    </w:p>
    <w:p w14:paraId="4892FDA9" w14:textId="77777777" w:rsidR="0045403B" w:rsidRPr="00BD1F38" w:rsidRDefault="0045403B" w:rsidP="0045403B">
      <w:pPr>
        <w:tabs>
          <w:tab w:val="left" w:pos="6260"/>
        </w:tabs>
        <w:autoSpaceDE w:val="0"/>
        <w:autoSpaceDN w:val="0"/>
        <w:adjustRightInd w:val="0"/>
        <w:rPr>
          <w:sz w:val="22"/>
          <w:szCs w:val="22"/>
        </w:rPr>
      </w:pPr>
    </w:p>
    <w:p w14:paraId="4A1A073F" w14:textId="77777777" w:rsidR="0045403B" w:rsidRPr="00BD1F38" w:rsidRDefault="0045403B" w:rsidP="0045403B">
      <w:pPr>
        <w:jc w:val="center"/>
        <w:rPr>
          <w:sz w:val="72"/>
          <w:szCs w:val="72"/>
        </w:rPr>
      </w:pPr>
      <w:r w:rsidRPr="00BD1F38">
        <w:rPr>
          <w:sz w:val="72"/>
          <w:szCs w:val="72"/>
        </w:rPr>
        <w:lastRenderedPageBreak/>
        <w:t>HIEROPHANY</w:t>
      </w:r>
    </w:p>
    <w:p w14:paraId="6394E755" w14:textId="77777777" w:rsidR="0045403B" w:rsidRPr="00BD1F38" w:rsidRDefault="0045403B" w:rsidP="0045403B">
      <w:pPr>
        <w:rPr>
          <w:sz w:val="18"/>
          <w:szCs w:val="18"/>
        </w:rPr>
      </w:pPr>
    </w:p>
    <w:p w14:paraId="6176B51C" w14:textId="77777777" w:rsidR="00057390" w:rsidRPr="00BD1F38" w:rsidRDefault="00057390" w:rsidP="0045403B">
      <w:pPr>
        <w:rPr>
          <w:sz w:val="18"/>
          <w:szCs w:val="18"/>
        </w:rPr>
      </w:pPr>
    </w:p>
    <w:p w14:paraId="627B93D9" w14:textId="77777777" w:rsidR="0045403B" w:rsidRPr="00BD1F38" w:rsidRDefault="0045403B" w:rsidP="0045403B">
      <w:pPr>
        <w:rPr>
          <w:sz w:val="18"/>
          <w:szCs w:val="18"/>
        </w:rPr>
      </w:pPr>
    </w:p>
    <w:p w14:paraId="39E3E238" w14:textId="5CC9348B" w:rsidR="0045403B" w:rsidRPr="00BD1F38" w:rsidRDefault="0045403B" w:rsidP="00FB0A0D">
      <w:pPr>
        <w:autoSpaceDE w:val="0"/>
        <w:autoSpaceDN w:val="0"/>
        <w:adjustRightInd w:val="0"/>
        <w:spacing w:line="360" w:lineRule="auto"/>
        <w:rPr>
          <w:color w:val="1E1E1E"/>
        </w:rPr>
      </w:pPr>
      <w:r w:rsidRPr="00BD1F38">
        <w:t xml:space="preserve">Inherently linked to Eliade’s notions of sacred space, </w:t>
      </w:r>
      <w:proofErr w:type="spellStart"/>
      <w:r w:rsidRPr="00BD1F38">
        <w:t>hierophany</w:t>
      </w:r>
      <w:proofErr w:type="spellEnd"/>
      <w:r w:rsidRPr="00BD1F38">
        <w:t xml:space="preserve"> (worldly revelation of the sacred) was evidenced as seemingly more likely in engagement with water - deemed </w:t>
      </w:r>
      <w:r w:rsidRPr="00BD1F38">
        <w:rPr>
          <w:rStyle w:val="Emphasis"/>
          <w:color w:val="1E1E1E"/>
        </w:rPr>
        <w:t xml:space="preserve">psychologically magnetic - </w:t>
      </w:r>
      <w:r w:rsidRPr="00BD1F38">
        <w:rPr>
          <w:rStyle w:val="Emphasis"/>
          <w:i w:val="0"/>
          <w:iCs w:val="0"/>
          <w:color w:val="1E1E1E"/>
        </w:rPr>
        <w:t>in the environment</w:t>
      </w:r>
      <w:r w:rsidRPr="00BD1F38">
        <w:rPr>
          <w:rStyle w:val="Emphasis"/>
          <w:color w:val="1E1E1E"/>
        </w:rPr>
        <w:t>,</w:t>
      </w:r>
      <w:r w:rsidRPr="00BD1F38">
        <w:rPr>
          <w:rStyle w:val="FootnoteReference"/>
          <w:color w:val="1E1E1E"/>
        </w:rPr>
        <w:footnoteReference w:id="274"/>
      </w:r>
      <w:r w:rsidRPr="00BD1F38">
        <w:rPr>
          <w:rStyle w:val="Emphasis"/>
          <w:color w:val="1E1E1E"/>
        </w:rPr>
        <w:t xml:space="preserve"> </w:t>
      </w:r>
      <w:r w:rsidRPr="00BD1F38">
        <w:t xml:space="preserve">both in the initial irruption of a landscape’s non-homogeneity and then in further manifestations/revelations of the sacred. The evidence presented suggested this is due to the psychological and physiological impact of </w:t>
      </w:r>
      <w:r w:rsidRPr="00BD1F38">
        <w:rPr>
          <w:i/>
          <w:iCs/>
        </w:rPr>
        <w:t>value,</w:t>
      </w:r>
      <w:r w:rsidRPr="00BD1F38">
        <w:t xml:space="preserve"> </w:t>
      </w:r>
      <w:r w:rsidRPr="00BD1F38">
        <w:rPr>
          <w:i/>
          <w:iCs/>
        </w:rPr>
        <w:t>beauty</w:t>
      </w:r>
      <w:r w:rsidRPr="00BD1F38">
        <w:t xml:space="preserve">, anthropomorphism, and/or ecological events. Eliade’s assumption that the </w:t>
      </w:r>
      <w:proofErr w:type="spellStart"/>
      <w:r w:rsidRPr="00BD1F38">
        <w:t>hierophanic</w:t>
      </w:r>
      <w:proofErr w:type="spellEnd"/>
      <w:r w:rsidRPr="00BD1F38">
        <w:t xml:space="preserve"> revelation of a place’s non-homogeneousness as being ‘a primary religious experience that precedes all reflection on the world’,</w:t>
      </w:r>
      <w:r w:rsidRPr="00BD1F38">
        <w:rPr>
          <w:rStyle w:val="FootnoteReference"/>
        </w:rPr>
        <w:footnoteReference w:id="275"/>
      </w:r>
      <w:r w:rsidRPr="00BD1F38">
        <w:t xml:space="preserve"> hence also preceding metaphysical archetypes; being the ‘central axis of all future orientation’, revealing for the first time the ‘absolute reality’ associated with the holy,</w:t>
      </w:r>
      <w:r w:rsidRPr="00BD1F38">
        <w:rPr>
          <w:rStyle w:val="FootnoteReference"/>
        </w:rPr>
        <w:footnoteReference w:id="276"/>
      </w:r>
      <w:r w:rsidRPr="00BD1F38">
        <w:t xml:space="preserve"> was significant when interpreting how Torah and Rig Veda-represented water-based </w:t>
      </w:r>
      <w:proofErr w:type="spellStart"/>
      <w:r w:rsidRPr="00BD1F38">
        <w:t>hierophanies</w:t>
      </w:r>
      <w:proofErr w:type="spellEnd"/>
      <w:r w:rsidRPr="00BD1F38">
        <w:t xml:space="preserve"> may have influenced their sacred cosmological archetypes. They were also evidenced as plausibly inspiring cultural settlement for Vedic and Judaic people and/or recurring ritual engagement with the environment, with certain bodies of water deemed more </w:t>
      </w:r>
      <w:proofErr w:type="spellStart"/>
      <w:r w:rsidRPr="00BD1F38">
        <w:t>hierophanic</w:t>
      </w:r>
      <w:proofErr w:type="spellEnd"/>
      <w:r w:rsidRPr="00BD1F38">
        <w:t xml:space="preserve"> and sacred (such as the </w:t>
      </w:r>
      <w:proofErr w:type="spellStart"/>
      <w:r w:rsidRPr="00BD1F38">
        <w:t>Saraswati</w:t>
      </w:r>
      <w:proofErr w:type="spellEnd"/>
      <w:r w:rsidRPr="00BD1F38">
        <w:t xml:space="preserve">)– </w:t>
      </w:r>
      <w:r w:rsidRPr="00BD1F38">
        <w:rPr>
          <w:i/>
          <w:iCs/>
        </w:rPr>
        <w:t>presenting</w:t>
      </w:r>
      <w:r w:rsidRPr="00BD1F38">
        <w:t xml:space="preserve"> ‘sanctity and miracles’,</w:t>
      </w:r>
      <w:r w:rsidRPr="00BD1F38">
        <w:rPr>
          <w:rStyle w:val="FootnoteReference"/>
        </w:rPr>
        <w:footnoteReference w:id="277"/>
      </w:r>
      <w:r w:rsidRPr="00BD1F38">
        <w:t xml:space="preserve"> and so through textual analysis of some of their ‘specific social, cultural and environmental contexts’ as </w:t>
      </w:r>
      <w:proofErr w:type="spellStart"/>
      <w:r w:rsidRPr="00BD1F38">
        <w:t>Roesler</w:t>
      </w:r>
      <w:proofErr w:type="spellEnd"/>
      <w:r w:rsidRPr="00BD1F38">
        <w:t xml:space="preserve"> specified as necessary in further archetypal research,</w:t>
      </w:r>
      <w:r w:rsidRPr="00BD1F38">
        <w:rPr>
          <w:rStyle w:val="FootnoteReference"/>
        </w:rPr>
        <w:footnoteReference w:id="278"/>
      </w:r>
      <w:r w:rsidRPr="00BD1F38">
        <w:t xml:space="preserve"> specific socio-cultural eco-spiritual transitions of </w:t>
      </w:r>
      <w:proofErr w:type="spellStart"/>
      <w:r w:rsidRPr="00BD1F38">
        <w:t>hierophany</w:t>
      </w:r>
      <w:proofErr w:type="spellEnd"/>
      <w:r w:rsidRPr="00BD1F38">
        <w:t xml:space="preserve"> into divine archetypes was theoretically represented, with Eliade having specified that ‘every spatial </w:t>
      </w:r>
      <w:proofErr w:type="spellStart"/>
      <w:r w:rsidRPr="00BD1F38">
        <w:t>hierophany</w:t>
      </w:r>
      <w:proofErr w:type="spellEnd"/>
      <w:r w:rsidRPr="00BD1F38">
        <w:t xml:space="preserve"> […] is equivalent to a cosmogony’.</w:t>
      </w:r>
      <w:r w:rsidRPr="00BD1F38">
        <w:rPr>
          <w:rStyle w:val="FootnoteReference"/>
          <w:color w:val="1E1E1E"/>
        </w:rPr>
        <w:footnoteReference w:id="279"/>
      </w:r>
      <w:r w:rsidRPr="00BD1F38">
        <w:rPr>
          <w:color w:val="1E1E1E"/>
        </w:rPr>
        <w:t xml:space="preserve"> The </w:t>
      </w:r>
      <w:proofErr w:type="spellStart"/>
      <w:r w:rsidRPr="00BD1F38">
        <w:rPr>
          <w:color w:val="1E1E1E"/>
        </w:rPr>
        <w:t>penetratively</w:t>
      </w:r>
      <w:proofErr w:type="spellEnd"/>
      <w:r w:rsidRPr="00BD1F38">
        <w:rPr>
          <w:color w:val="1E1E1E"/>
        </w:rPr>
        <w:t xml:space="preserve"> meaningful and thusly deemed ontologically illuminating </w:t>
      </w:r>
      <w:r w:rsidRPr="00BD1F38">
        <w:rPr>
          <w:lang w:val="en-US"/>
        </w:rPr>
        <w:t>intersubjective individual experiences, despite particular contextual experiential, psychological, and physiological nuances, may regardless ultimately form the connections that constitute a cultural archetype and consequent eco-spiritual response/s,</w:t>
      </w:r>
      <w:r w:rsidRPr="00BD1F38">
        <w:rPr>
          <w:rStyle w:val="FootnoteReference"/>
          <w:lang w:val="en-US"/>
        </w:rPr>
        <w:footnoteReference w:id="280"/>
      </w:r>
      <w:r w:rsidRPr="00BD1F38">
        <w:rPr>
          <w:lang w:val="en-US"/>
        </w:rPr>
        <w:t xml:space="preserve"> especially in light of a ‘majoritarian’ aesthetic source like a settlement’s river.</w:t>
      </w:r>
      <w:r w:rsidRPr="00BD1F38">
        <w:rPr>
          <w:rStyle w:val="FootnoteReference"/>
          <w:lang w:val="en-US"/>
        </w:rPr>
        <w:footnoteReference w:id="281"/>
      </w:r>
      <w:r w:rsidRPr="00BD1F38">
        <w:rPr>
          <w:lang w:val="en-US"/>
        </w:rPr>
        <w:t xml:space="preserve"> This was backed by </w:t>
      </w:r>
      <w:r w:rsidRPr="00BD1F38">
        <w:t xml:space="preserve">Jung’s theory that a person is the symbolic locus of </w:t>
      </w:r>
      <w:r w:rsidRPr="00BD1F38">
        <w:lastRenderedPageBreak/>
        <w:t>‘cosmic “correspondence”’ reflecting the macrocosm of their greater sacred cosmological environment composed of their divine archetypal symbolism,</w:t>
      </w:r>
      <w:r w:rsidRPr="00BD1F38">
        <w:rPr>
          <w:rStyle w:val="FootnoteReference"/>
        </w:rPr>
        <w:footnoteReference w:id="282"/>
      </w:r>
      <w:r w:rsidRPr="00BD1F38">
        <w:t xml:space="preserve"> ‘imprinted upon [by] his psychic nature […] which bind[s] him to his [local] environment’.</w:t>
      </w:r>
      <w:r w:rsidRPr="00BD1F38">
        <w:rPr>
          <w:rStyle w:val="FootnoteReference"/>
        </w:rPr>
        <w:footnoteReference w:id="283"/>
      </w:r>
      <w:r w:rsidRPr="00BD1F38">
        <w:t xml:space="preserve"> </w:t>
      </w:r>
      <w:r w:rsidRPr="00BD1F38">
        <w:rPr>
          <w:rStyle w:val="FootnoteReference"/>
        </w:rPr>
        <w:t xml:space="preserve"> </w:t>
      </w:r>
      <w:r w:rsidRPr="00BD1F38">
        <w:t xml:space="preserve">This matched Eliade’s understanding of the characterisation of the architecture of the greater sacred cosmological environment as ‘absolute reality’ presented through the </w:t>
      </w:r>
      <w:proofErr w:type="spellStart"/>
      <w:r w:rsidRPr="00BD1F38">
        <w:t>hierophany</w:t>
      </w:r>
      <w:proofErr w:type="spellEnd"/>
      <w:r w:rsidRPr="00BD1F38">
        <w:t xml:space="preserve"> of what resultingly becomes a sacred space.</w:t>
      </w:r>
      <w:r w:rsidRPr="00BD1F38">
        <w:rPr>
          <w:rStyle w:val="FootnoteReference"/>
        </w:rPr>
        <w:footnoteReference w:id="284"/>
      </w:r>
      <w:r w:rsidRPr="00BD1F38">
        <w:t xml:space="preserve"> The </w:t>
      </w:r>
      <w:r w:rsidRPr="00BD1F38">
        <w:rPr>
          <w:rFonts w:eastAsiaTheme="minorEastAsia"/>
          <w:i/>
          <w:iCs/>
          <w:lang w:val="en-US"/>
        </w:rPr>
        <w:t>system of adaptation determined by the conditions of an earthly environment’</w:t>
      </w:r>
      <w:r w:rsidRPr="00BD1F38">
        <w:rPr>
          <w:i/>
          <w:iCs/>
          <w:lang w:val="en-US"/>
        </w:rPr>
        <w:t>,</w:t>
      </w:r>
      <w:r w:rsidRPr="00BD1F38">
        <w:rPr>
          <w:rStyle w:val="FootnoteReference"/>
          <w:rFonts w:eastAsiaTheme="minorEastAsia"/>
          <w:i/>
          <w:iCs/>
          <w:lang w:val="en-US"/>
        </w:rPr>
        <w:footnoteReference w:id="285"/>
      </w:r>
      <w:r w:rsidRPr="00BD1F38">
        <w:rPr>
          <w:i/>
          <w:iCs/>
          <w:lang w:val="en-US"/>
        </w:rPr>
        <w:t xml:space="preserve"> </w:t>
      </w:r>
      <w:r w:rsidRPr="00BD1F38">
        <w:rPr>
          <w:lang w:val="en-US"/>
        </w:rPr>
        <w:t>suggested by Jung, to be one comprehension of the constitution of mind, may be oriented by these ecological circumstances.</w:t>
      </w:r>
      <w:r w:rsidRPr="00BD1F38">
        <w:rPr>
          <w:rStyle w:val="FootnoteReference"/>
          <w:lang w:val="en-US"/>
        </w:rPr>
        <w:footnoteReference w:id="286"/>
      </w:r>
      <w:r w:rsidRPr="00BD1F38">
        <w:rPr>
          <w:lang w:val="en-US"/>
        </w:rPr>
        <w:t xml:space="preserve"> </w:t>
      </w:r>
    </w:p>
    <w:p w14:paraId="766A57E1" w14:textId="77777777" w:rsidR="0045403B" w:rsidRPr="00BD1F38" w:rsidRDefault="0045403B" w:rsidP="00FB0A0D">
      <w:pPr>
        <w:autoSpaceDE w:val="0"/>
        <w:autoSpaceDN w:val="0"/>
        <w:adjustRightInd w:val="0"/>
        <w:spacing w:line="360" w:lineRule="auto"/>
        <w:rPr>
          <w:lang w:val="en-US"/>
        </w:rPr>
      </w:pPr>
    </w:p>
    <w:p w14:paraId="68BA5543" w14:textId="3D414D8B" w:rsidR="0045403B" w:rsidRPr="00BD1F38" w:rsidRDefault="0045403B" w:rsidP="00FB0A0D">
      <w:pPr>
        <w:autoSpaceDE w:val="0"/>
        <w:autoSpaceDN w:val="0"/>
        <w:adjustRightInd w:val="0"/>
        <w:spacing w:line="360" w:lineRule="auto"/>
      </w:pPr>
      <w:r w:rsidRPr="00BD1F38">
        <w:rPr>
          <w:lang w:val="en-US"/>
        </w:rPr>
        <w:t xml:space="preserve">The information provided and interpreted in this dissertation also evidentially </w:t>
      </w:r>
      <w:proofErr w:type="spellStart"/>
      <w:r w:rsidRPr="00BD1F38">
        <w:rPr>
          <w:lang w:val="en-US"/>
        </w:rPr>
        <w:t>theorised</w:t>
      </w:r>
      <w:proofErr w:type="spellEnd"/>
      <w:r w:rsidRPr="00BD1F38">
        <w:rPr>
          <w:lang w:val="en-US"/>
        </w:rPr>
        <w:t xml:space="preserve"> and demonstrated how conceptual adaptations of select Vedic and Judaic greater sacred cosmological environmental orientation affected resulting local, tangible ecological interrelationship; especially eco-spiritually, such as in the case of hydrological disasters as inspiring more </w:t>
      </w:r>
      <w:r w:rsidRPr="00BD1F38">
        <w:rPr>
          <w:i/>
          <w:iCs/>
          <w:lang w:val="en-US"/>
        </w:rPr>
        <w:t>thoughtful</w:t>
      </w:r>
      <w:r w:rsidRPr="00BD1F38">
        <w:rPr>
          <w:lang w:val="en-US"/>
        </w:rPr>
        <w:t xml:space="preserve">, and organic-sympathetic yet cautious engagement with the environment and natural resources, with the environmental ethical and societal </w:t>
      </w:r>
      <w:proofErr w:type="spellStart"/>
      <w:r w:rsidRPr="00BD1F38">
        <w:rPr>
          <w:lang w:val="en-US"/>
        </w:rPr>
        <w:t>behaviours</w:t>
      </w:r>
      <w:proofErr w:type="spellEnd"/>
      <w:r w:rsidRPr="00BD1F38">
        <w:rPr>
          <w:lang w:val="en-US"/>
        </w:rPr>
        <w:t xml:space="preserve"> of the culture brought under scrutiny in such circumstances; leading to a possible reconsideration of ‘productive and orderly human relations with the habitat’.</w:t>
      </w:r>
      <w:r w:rsidRPr="00BD1F38">
        <w:rPr>
          <w:rStyle w:val="FootnoteReference"/>
          <w:lang w:val="en-US"/>
        </w:rPr>
        <w:footnoteReference w:id="287"/>
      </w:r>
      <w:r w:rsidRPr="00BD1F38">
        <w:rPr>
          <w:lang w:val="en-US"/>
        </w:rPr>
        <w:t xml:space="preserve"> </w:t>
      </w:r>
      <w:r w:rsidRPr="00BD1F38">
        <w:rPr>
          <w:rFonts w:eastAsiaTheme="minorEastAsia"/>
          <w:lang w:val="en-US"/>
        </w:rPr>
        <w:t xml:space="preserve">The possible effects of water-based ecological disasters on divine archetypes may therefore have similarly influenced eco-spiritual engagement with the landscape. </w:t>
      </w:r>
      <w:r w:rsidRPr="00BD1F38">
        <w:rPr>
          <w:lang w:val="en-US"/>
        </w:rPr>
        <w:t>The example I used specific to Judaic thought was</w:t>
      </w:r>
      <w:r w:rsidRPr="00BD1F38">
        <w:rPr>
          <w:rFonts w:eastAsiaTheme="minorEastAsia"/>
          <w:lang w:val="en-US"/>
        </w:rPr>
        <w:t xml:space="preserve"> in Joshua 24:14 referencing the events of the flood in Genesis: ‘Now therefore fear the LORD, and serve him in sincerity and in truth: and put away the gods which your fathers served on the other side of the flood, and in Egypt; and serve ye the LORD.’</w:t>
      </w:r>
      <w:r w:rsidRPr="00BD1F38">
        <w:rPr>
          <w:rStyle w:val="FootnoteReference"/>
          <w:rFonts w:eastAsiaTheme="minorEastAsia"/>
          <w:lang w:val="en-US"/>
        </w:rPr>
        <w:footnoteReference w:id="288"/>
      </w:r>
      <w:r w:rsidRPr="00BD1F38">
        <w:rPr>
          <w:lang w:val="en-US"/>
        </w:rPr>
        <w:t xml:space="preserve"> This insinuated that people were converted in hydrological environmental crises through the ‘</w:t>
      </w:r>
      <w:r w:rsidRPr="00BD1F38">
        <w:rPr>
          <w:rFonts w:eastAsiaTheme="minorEastAsia"/>
          <w:lang w:val="en-US"/>
        </w:rPr>
        <w:t xml:space="preserve">moral authority and </w:t>
      </w:r>
      <w:r w:rsidRPr="00BD1F38">
        <w:rPr>
          <w:lang w:val="en-US"/>
        </w:rPr>
        <w:t>[…]</w:t>
      </w:r>
      <w:r w:rsidRPr="00BD1F38">
        <w:rPr>
          <w:rFonts w:eastAsiaTheme="minorEastAsia"/>
          <w:lang w:val="en-US"/>
        </w:rPr>
        <w:t xml:space="preserve"> institutional power</w:t>
      </w:r>
      <w:r w:rsidRPr="00BD1F38">
        <w:rPr>
          <w:lang w:val="en-US"/>
        </w:rPr>
        <w:t xml:space="preserve">’, leading to the abandonment of old, </w:t>
      </w:r>
      <w:r w:rsidRPr="00BD1F38">
        <w:rPr>
          <w:i/>
          <w:iCs/>
          <w:lang w:val="en-US"/>
        </w:rPr>
        <w:t>misguided immoral</w:t>
      </w:r>
      <w:r w:rsidRPr="00BD1F38">
        <w:rPr>
          <w:lang w:val="en-US"/>
        </w:rPr>
        <w:t xml:space="preserve"> eco-spiritual practices; having effected ‘change in attitudes, practices, and public policies.’</w:t>
      </w:r>
      <w:r w:rsidR="00A0733B" w:rsidRPr="00BD1F38">
        <w:rPr>
          <w:rStyle w:val="FootnoteReference"/>
          <w:lang w:val="en-US"/>
        </w:rPr>
        <w:footnoteReference w:id="289"/>
      </w:r>
      <w:r w:rsidRPr="00BD1F38">
        <w:rPr>
          <w:lang w:val="en-US"/>
        </w:rPr>
        <w:t xml:space="preserve"> These </w:t>
      </w:r>
      <w:proofErr w:type="spellStart"/>
      <w:r w:rsidRPr="00BD1F38">
        <w:rPr>
          <w:lang w:val="en-US"/>
        </w:rPr>
        <w:t>hierophanic</w:t>
      </w:r>
      <w:proofErr w:type="spellEnd"/>
      <w:r w:rsidRPr="00BD1F38">
        <w:rPr>
          <w:lang w:val="en-US"/>
        </w:rPr>
        <w:t xml:space="preserve"> origins of cultural archetypal-</w:t>
      </w:r>
      <w:proofErr w:type="spellStart"/>
      <w:r w:rsidRPr="00BD1F38">
        <w:rPr>
          <w:lang w:val="en-US"/>
        </w:rPr>
        <w:t>conceptualisation</w:t>
      </w:r>
      <w:proofErr w:type="spellEnd"/>
      <w:r w:rsidRPr="00BD1F38">
        <w:rPr>
          <w:lang w:val="en-US"/>
        </w:rPr>
        <w:t xml:space="preserve"> and resulting eco-spiritual </w:t>
      </w:r>
      <w:proofErr w:type="spellStart"/>
      <w:r w:rsidRPr="00BD1F38">
        <w:rPr>
          <w:lang w:val="en-US"/>
        </w:rPr>
        <w:t>interrelational</w:t>
      </w:r>
      <w:proofErr w:type="spellEnd"/>
      <w:r w:rsidRPr="00BD1F38">
        <w:rPr>
          <w:lang w:val="en-US"/>
        </w:rPr>
        <w:t xml:space="preserve"> effects is said by Jung to resonate </w:t>
      </w:r>
      <w:r w:rsidRPr="00BD1F38">
        <w:rPr>
          <w:lang w:val="en-US"/>
        </w:rPr>
        <w:lastRenderedPageBreak/>
        <w:t xml:space="preserve">through a culture generationally </w:t>
      </w:r>
      <w:r w:rsidRPr="00BD1F38">
        <w:t>and thus rendering the locale of these experiences, as noted, ritual hubs and axis mundi or places of special reverence and valuable potency through their interrelationship with those who experience, engage with, and interpret (</w:t>
      </w:r>
      <w:proofErr w:type="spellStart"/>
      <w:r w:rsidRPr="00BD1F38">
        <w:t>ie</w:t>
      </w:r>
      <w:proofErr w:type="spellEnd"/>
      <w:r w:rsidRPr="00BD1F38">
        <w:t xml:space="preserve">. </w:t>
      </w:r>
      <w:r w:rsidRPr="00BD1F38">
        <w:rPr>
          <w:rFonts w:eastAsiaTheme="minorEastAsia"/>
          <w:i/>
          <w:iCs/>
        </w:rPr>
        <w:t>sahṛdaya</w:t>
      </w:r>
      <w:r w:rsidRPr="00BD1F38">
        <w:rPr>
          <w:i/>
          <w:iCs/>
        </w:rPr>
        <w:t>)</w:t>
      </w:r>
      <w:r w:rsidRPr="00BD1F38">
        <w:rPr>
          <w:rFonts w:eastAsiaTheme="minorEastAsia"/>
          <w:i/>
          <w:iCs/>
        </w:rPr>
        <w:t xml:space="preserve"> </w:t>
      </w:r>
      <w:r w:rsidRPr="00BD1F38">
        <w:rPr>
          <w:rFonts w:eastAsiaTheme="minorEastAsia"/>
        </w:rPr>
        <w:t xml:space="preserve">creating </w:t>
      </w:r>
      <w:r w:rsidRPr="00BD1F38">
        <w:t>Eliade’s</w:t>
      </w:r>
      <w:r w:rsidRPr="00BD1F38">
        <w:rPr>
          <w:rFonts w:eastAsiaTheme="minorEastAsia"/>
        </w:rPr>
        <w:t xml:space="preserve"> </w:t>
      </w:r>
      <w:r w:rsidRPr="00BD1F38">
        <w:t>‘</w:t>
      </w:r>
      <w:r w:rsidRPr="00BD1F38">
        <w:rPr>
          <w:rFonts w:eastAsiaTheme="minorEastAsia"/>
        </w:rPr>
        <w:t>organic sympathy between man and the cosmos’</w:t>
      </w:r>
      <w:r w:rsidRPr="00BD1F38">
        <w:t>,</w:t>
      </w:r>
      <w:r w:rsidR="00E6699D" w:rsidRPr="00BD1F38">
        <w:rPr>
          <w:rStyle w:val="FootnoteReference"/>
        </w:rPr>
        <w:footnoteReference w:id="290"/>
      </w:r>
      <w:r w:rsidRPr="00BD1F38">
        <w:t xml:space="preserve"> with water thusly ‘valued for the connections </w:t>
      </w:r>
      <w:proofErr w:type="gramStart"/>
      <w:r w:rsidRPr="00BD1F38">
        <w:t>it</w:t>
      </w:r>
      <w:proofErr w:type="gramEnd"/>
      <w:r w:rsidRPr="00BD1F38">
        <w:t xml:space="preserve"> represents’</w:t>
      </w:r>
      <w:r w:rsidRPr="00BD1F38">
        <w:rPr>
          <w:color w:val="211E1E"/>
        </w:rPr>
        <w:t>.</w:t>
      </w:r>
      <w:r w:rsidRPr="00BD1F38">
        <w:rPr>
          <w:rStyle w:val="FootnoteReference"/>
          <w:color w:val="211E1E"/>
        </w:rPr>
        <w:footnoteReference w:id="291"/>
      </w:r>
      <w:r w:rsidRPr="00BD1F38">
        <w:rPr>
          <w:color w:val="211E1E"/>
        </w:rPr>
        <w:t xml:space="preserve"> </w:t>
      </w:r>
      <w:r w:rsidRPr="00BD1F38">
        <w:t xml:space="preserve"> </w:t>
      </w:r>
    </w:p>
    <w:p w14:paraId="4F65D55D" w14:textId="77777777" w:rsidR="0045403B" w:rsidRPr="00BD1F38" w:rsidRDefault="0045403B" w:rsidP="0045403B">
      <w:pPr>
        <w:autoSpaceDE w:val="0"/>
        <w:autoSpaceDN w:val="0"/>
        <w:adjustRightInd w:val="0"/>
      </w:pPr>
    </w:p>
    <w:p w14:paraId="10B72B74" w14:textId="77777777" w:rsidR="0045403B" w:rsidRPr="00BD1F38" w:rsidRDefault="0045403B" w:rsidP="0045403B">
      <w:pPr>
        <w:autoSpaceDE w:val="0"/>
        <w:autoSpaceDN w:val="0"/>
        <w:adjustRightInd w:val="0"/>
        <w:rPr>
          <w:lang w:val="en-US"/>
        </w:rPr>
      </w:pPr>
    </w:p>
    <w:p w14:paraId="5E0AAC5F" w14:textId="77777777" w:rsidR="0045403B" w:rsidRPr="00BD1F38" w:rsidRDefault="0045403B" w:rsidP="0045403B">
      <w:pPr>
        <w:autoSpaceDE w:val="0"/>
        <w:autoSpaceDN w:val="0"/>
        <w:adjustRightInd w:val="0"/>
        <w:jc w:val="center"/>
        <w:rPr>
          <w:sz w:val="72"/>
          <w:szCs w:val="72"/>
          <w:lang w:val="en-US"/>
        </w:rPr>
      </w:pPr>
      <w:r w:rsidRPr="00BD1F38">
        <w:rPr>
          <w:sz w:val="72"/>
          <w:szCs w:val="72"/>
          <w:lang w:val="en-US"/>
        </w:rPr>
        <w:t>VALUE</w:t>
      </w:r>
    </w:p>
    <w:p w14:paraId="5A83B14B" w14:textId="77777777" w:rsidR="0045403B" w:rsidRPr="00BD1F38" w:rsidRDefault="0045403B" w:rsidP="0045403B">
      <w:pPr>
        <w:autoSpaceDE w:val="0"/>
        <w:autoSpaceDN w:val="0"/>
        <w:adjustRightInd w:val="0"/>
        <w:rPr>
          <w:sz w:val="14"/>
          <w:szCs w:val="14"/>
          <w:lang w:val="en-US"/>
        </w:rPr>
      </w:pPr>
    </w:p>
    <w:p w14:paraId="093582F6" w14:textId="77777777" w:rsidR="0045403B" w:rsidRPr="00BD1F38" w:rsidRDefault="0045403B" w:rsidP="0045403B">
      <w:pPr>
        <w:autoSpaceDE w:val="0"/>
        <w:autoSpaceDN w:val="0"/>
        <w:adjustRightInd w:val="0"/>
        <w:rPr>
          <w:sz w:val="14"/>
          <w:szCs w:val="14"/>
          <w:lang w:val="en-US"/>
        </w:rPr>
      </w:pPr>
    </w:p>
    <w:p w14:paraId="60EF8367" w14:textId="77777777" w:rsidR="003850E1" w:rsidRPr="00BD1F38" w:rsidRDefault="003850E1" w:rsidP="00FB0A0D">
      <w:pPr>
        <w:autoSpaceDE w:val="0"/>
        <w:autoSpaceDN w:val="0"/>
        <w:adjustRightInd w:val="0"/>
        <w:spacing w:line="360" w:lineRule="auto"/>
        <w:rPr>
          <w:lang w:val="en-US"/>
        </w:rPr>
      </w:pPr>
    </w:p>
    <w:p w14:paraId="64EDBC61" w14:textId="0A4A56C5" w:rsidR="0045403B" w:rsidRPr="00BD1F38" w:rsidRDefault="0045403B" w:rsidP="00FB0A0D">
      <w:pPr>
        <w:autoSpaceDE w:val="0"/>
        <w:autoSpaceDN w:val="0"/>
        <w:adjustRightInd w:val="0"/>
        <w:spacing w:line="360" w:lineRule="auto"/>
      </w:pPr>
      <w:r w:rsidRPr="00BD1F38">
        <w:rPr>
          <w:lang w:val="en-US"/>
        </w:rPr>
        <w:t xml:space="preserve">In the research findings, I concluded that </w:t>
      </w:r>
      <w:proofErr w:type="spellStart"/>
      <w:r w:rsidRPr="00BD1F38">
        <w:t>hierophany</w:t>
      </w:r>
      <w:proofErr w:type="spellEnd"/>
      <w:r w:rsidRPr="00BD1F38">
        <w:t xml:space="preserve"> is the </w:t>
      </w:r>
      <w:r w:rsidRPr="00BD1F38">
        <w:rPr>
          <w:i/>
          <w:iCs/>
        </w:rPr>
        <w:t>value</w:t>
      </w:r>
      <w:r w:rsidRPr="00BD1F38">
        <w:t xml:space="preserve"> of a place </w:t>
      </w:r>
      <w:r w:rsidRPr="00BD1F38">
        <w:rPr>
          <w:i/>
          <w:iCs/>
        </w:rPr>
        <w:t>irrupting</w:t>
      </w:r>
      <w:r w:rsidRPr="00BD1F38">
        <w:t xml:space="preserve">, and for </w:t>
      </w:r>
      <w:proofErr w:type="spellStart"/>
      <w:r w:rsidRPr="00BD1F38">
        <w:t>Sahlins</w:t>
      </w:r>
      <w:proofErr w:type="spellEnd"/>
      <w:r w:rsidRPr="00BD1F38">
        <w:t xml:space="preserve">, the specific ecological circumstance </w:t>
      </w:r>
      <w:r w:rsidRPr="00BD1F38">
        <w:rPr>
          <w:i/>
          <w:iCs/>
        </w:rPr>
        <w:t>only</w:t>
      </w:r>
      <w:r w:rsidRPr="00BD1F38">
        <w:t xml:space="preserve"> effects culture as it is interpreted. This showed in conjunction with my research, that part of the value of the irruption of a </w:t>
      </w:r>
      <w:proofErr w:type="spellStart"/>
      <w:r w:rsidRPr="00BD1F38">
        <w:t>hierophanic</w:t>
      </w:r>
      <w:proofErr w:type="spellEnd"/>
      <w:r w:rsidRPr="00BD1F38">
        <w:t xml:space="preserve"> percept – i.e., water, is that its circumstance </w:t>
      </w:r>
      <w:r w:rsidRPr="00BD1F38">
        <w:rPr>
          <w:i/>
          <w:iCs/>
        </w:rPr>
        <w:t>demands</w:t>
      </w:r>
      <w:r w:rsidRPr="00BD1F38">
        <w:t xml:space="preserve"> interpretation; and with, as discussed, the seemingly increased likelihood of water-based </w:t>
      </w:r>
      <w:proofErr w:type="spellStart"/>
      <w:r w:rsidRPr="00BD1F38">
        <w:t>hierophanies</w:t>
      </w:r>
      <w:proofErr w:type="spellEnd"/>
      <w:r w:rsidRPr="00BD1F38">
        <w:t>, this ultimately forms the ideation of water as metaphysical axis mundi. The group archetypes; belief structures; and ways of Being-in-the-world, ritually and thoughtfully and in ecological engagement</w:t>
      </w:r>
      <w:r w:rsidRPr="00BD1F38">
        <w:rPr>
          <w:rStyle w:val="FootnoteReference"/>
        </w:rPr>
        <w:footnoteReference w:id="292"/>
      </w:r>
      <w:r w:rsidRPr="00BD1F38">
        <w:t xml:space="preserve"> were thusly framed with this highly valued initial </w:t>
      </w:r>
      <w:proofErr w:type="spellStart"/>
      <w:r w:rsidRPr="00BD1F38">
        <w:t>hierophanic</w:t>
      </w:r>
      <w:proofErr w:type="spellEnd"/>
      <w:r w:rsidRPr="00BD1F38">
        <w:t xml:space="preserve"> potential. It was noted in the body of this work that it is through this lens that one can contextualise social intercommunication, consciousness, and action from which archetypes arise through the percept being interpreted and embedded in a concept shaped through ecological motivations like what water giveth, taketh away, and its reflections; exemplified in </w:t>
      </w:r>
      <w:proofErr w:type="spellStart"/>
      <w:r w:rsidRPr="00BD1F38">
        <w:t>hierophany</w:t>
      </w:r>
      <w:proofErr w:type="spellEnd"/>
      <w:r w:rsidRPr="00BD1F38">
        <w:t>, trauma, value, and anthropomorphism.</w:t>
      </w:r>
      <w:r w:rsidRPr="00BD1F38">
        <w:rPr>
          <w:rStyle w:val="FootnoteReference"/>
        </w:rPr>
        <w:footnoteReference w:id="293"/>
      </w:r>
      <w:r w:rsidRPr="00BD1F38">
        <w:t xml:space="preserve"> </w:t>
      </w:r>
    </w:p>
    <w:p w14:paraId="0F60CB1B" w14:textId="77777777" w:rsidR="0045403B" w:rsidRPr="00BD1F38" w:rsidRDefault="0045403B" w:rsidP="00FB0A0D">
      <w:pPr>
        <w:autoSpaceDE w:val="0"/>
        <w:autoSpaceDN w:val="0"/>
        <w:adjustRightInd w:val="0"/>
        <w:spacing w:line="360" w:lineRule="auto"/>
      </w:pPr>
    </w:p>
    <w:p w14:paraId="0F5C7393" w14:textId="77777777" w:rsidR="0045403B" w:rsidRPr="00BD1F38" w:rsidRDefault="0045403B" w:rsidP="00FB0A0D">
      <w:pPr>
        <w:autoSpaceDE w:val="0"/>
        <w:autoSpaceDN w:val="0"/>
        <w:adjustRightInd w:val="0"/>
        <w:spacing w:line="360" w:lineRule="auto"/>
      </w:pPr>
      <w:r w:rsidRPr="00BD1F38">
        <w:t xml:space="preserve">Specific ecological motivations that my findings suggested may have influenced the percept of water being interpreted and embedded in Vedic or Judaic cultural concepts and consequently forming certain divine archetypes of theirs, detailed in the body of this paper included those such as the physiological stimulus of water. It was discussed how certain qualities of water’s functionality, especially under desirous circumstances of need and insecurity of water as </w:t>
      </w:r>
      <w:r w:rsidRPr="00BD1F38">
        <w:lastRenderedPageBreak/>
        <w:t>environmental resource, could be ‘</w:t>
      </w:r>
      <w:proofErr w:type="spellStart"/>
      <w:r w:rsidRPr="00BD1F38">
        <w:t>valorized</w:t>
      </w:r>
      <w:proofErr w:type="spellEnd"/>
      <w:r w:rsidRPr="00BD1F38">
        <w:t xml:space="preserve"> on the religious and metaphysical plane’.</w:t>
      </w:r>
      <w:r w:rsidRPr="00BD1F38">
        <w:rPr>
          <w:rStyle w:val="FootnoteReference"/>
        </w:rPr>
        <w:footnoteReference w:id="294"/>
      </w:r>
      <w:r w:rsidRPr="00BD1F38">
        <w:t xml:space="preserve"> I cited textual examples of thirst and the metaphysical thirst-quenching of Torah,</w:t>
      </w:r>
      <w:r w:rsidRPr="00BD1F38">
        <w:rPr>
          <w:rStyle w:val="FootnoteReference"/>
        </w:rPr>
        <w:footnoteReference w:id="295"/>
      </w:r>
      <w:r w:rsidRPr="00BD1F38">
        <w:t xml:space="preserve"> as well as the eco-spiritual cleansing provided by </w:t>
      </w:r>
      <w:proofErr w:type="spellStart"/>
      <w:r w:rsidRPr="00BD1F38">
        <w:t>Tevilah</w:t>
      </w:r>
      <w:proofErr w:type="spellEnd"/>
      <w:r w:rsidRPr="00BD1F38">
        <w:t xml:space="preserve"> and Soma, and the notion of both these rituals stimulating </w:t>
      </w:r>
      <w:r w:rsidRPr="00BD1F38">
        <w:rPr>
          <w:i/>
          <w:iCs/>
        </w:rPr>
        <w:t>cosmological</w:t>
      </w:r>
      <w:r w:rsidRPr="00BD1F38">
        <w:t xml:space="preserve"> </w:t>
      </w:r>
      <w:r w:rsidRPr="00BD1F38">
        <w:rPr>
          <w:i/>
          <w:iCs/>
        </w:rPr>
        <w:t>perfect order</w:t>
      </w:r>
      <w:r w:rsidRPr="00BD1F38">
        <w:t xml:space="preserve"> and </w:t>
      </w:r>
      <w:proofErr w:type="spellStart"/>
      <w:r w:rsidRPr="00BD1F38">
        <w:rPr>
          <w:i/>
          <w:iCs/>
        </w:rPr>
        <w:t>desirelessness</w:t>
      </w:r>
      <w:proofErr w:type="spellEnd"/>
      <w:r w:rsidRPr="00BD1F38">
        <w:t>, as well as corporeal protection.</w:t>
      </w:r>
      <w:r w:rsidRPr="00BD1F38">
        <w:rPr>
          <w:rStyle w:val="FootnoteReference"/>
        </w:rPr>
        <w:footnoteReference w:id="296"/>
      </w:r>
      <w:r w:rsidRPr="00BD1F38">
        <w:t xml:space="preserve"> These physiological ecological motivations were transformed into perceived </w:t>
      </w:r>
      <w:r w:rsidRPr="00BD1F38">
        <w:rPr>
          <w:i/>
          <w:iCs/>
        </w:rPr>
        <w:t>value</w:t>
      </w:r>
      <w:r w:rsidRPr="00BD1F38">
        <w:t xml:space="preserve"> by their psychological impact, of which I proposed certain other ecological stimuli.  </w:t>
      </w:r>
    </w:p>
    <w:p w14:paraId="68CA7AAF" w14:textId="77777777" w:rsidR="0045403B" w:rsidRPr="00BD1F38" w:rsidRDefault="0045403B" w:rsidP="00FB0A0D">
      <w:pPr>
        <w:autoSpaceDE w:val="0"/>
        <w:autoSpaceDN w:val="0"/>
        <w:adjustRightInd w:val="0"/>
        <w:spacing w:line="360" w:lineRule="auto"/>
      </w:pPr>
    </w:p>
    <w:p w14:paraId="3AD172D3" w14:textId="77777777" w:rsidR="0045403B" w:rsidRPr="00BD1F38" w:rsidRDefault="0045403B" w:rsidP="00FB0A0D">
      <w:pPr>
        <w:autoSpaceDE w:val="0"/>
        <w:autoSpaceDN w:val="0"/>
        <w:adjustRightInd w:val="0"/>
        <w:spacing w:line="360" w:lineRule="auto"/>
        <w:rPr>
          <w:rFonts w:eastAsia="PingFang TC"/>
          <w:lang w:val="en-US"/>
        </w:rPr>
      </w:pPr>
      <w:r w:rsidRPr="00BD1F38">
        <w:t xml:space="preserve">From the </w:t>
      </w:r>
      <w:proofErr w:type="spellStart"/>
      <w:r w:rsidRPr="00BD1F38">
        <w:t>hierophanic</w:t>
      </w:r>
      <w:proofErr w:type="spellEnd"/>
      <w:r w:rsidRPr="00BD1F38">
        <w:t xml:space="preserve"> perspective, the educational: orientational, identificatory, and purpose-giving value interpretable from water-centric ecological stimuli were also seen to shape future ecological engagement such as learned cultural duties of</w:t>
      </w:r>
      <w:r w:rsidRPr="00BD1F38">
        <w:rPr>
          <w:rFonts w:eastAsia="PingFang TC"/>
          <w:lang w:val="en-US"/>
        </w:rPr>
        <w:t xml:space="preserve"> environmental consequentialist acts of value;</w:t>
      </w:r>
      <w:r w:rsidRPr="00BD1F38">
        <w:rPr>
          <w:rStyle w:val="FootnoteReference"/>
          <w:rFonts w:eastAsia="PingFang TC"/>
          <w:lang w:val="en-US"/>
        </w:rPr>
        <w:footnoteReference w:id="297"/>
      </w:r>
      <w:r w:rsidRPr="00BD1F38">
        <w:rPr>
          <w:rFonts w:eastAsia="PingFang TC"/>
          <w:lang w:val="en-US"/>
        </w:rPr>
        <w:t xml:space="preserve"> with increased sensibility of what is ritually and interactionally necessary as components of their greater sacred cosmological environment.</w:t>
      </w:r>
      <w:r w:rsidRPr="00BD1F38">
        <w:rPr>
          <w:rStyle w:val="FootnoteReference"/>
          <w:rFonts w:eastAsia="PingFang TC"/>
          <w:lang w:val="en-US"/>
        </w:rPr>
        <w:footnoteReference w:id="298"/>
      </w:r>
      <w:r w:rsidRPr="00BD1F38">
        <w:rPr>
          <w:rFonts w:eastAsia="PingFang TC"/>
          <w:lang w:val="en-US"/>
        </w:rPr>
        <w:t xml:space="preserve"> Furthermore, it was relayed that it is through this interpretation of communal ecological ‘cultural evidence’ that their shared cultural </w:t>
      </w:r>
      <w:r w:rsidRPr="00BD1F38">
        <w:rPr>
          <w:rFonts w:eastAsia="PingFang TC"/>
          <w:i/>
          <w:iCs/>
          <w:lang w:val="en-US"/>
        </w:rPr>
        <w:t>values</w:t>
      </w:r>
      <w:r w:rsidRPr="00BD1F38">
        <w:rPr>
          <w:rFonts w:eastAsia="PingFang TC"/>
          <w:lang w:val="en-US"/>
        </w:rPr>
        <w:t xml:space="preserve"> – i.e. sacred archetypes are revealed and the aforementioned greater sacred cosmological environment understood contextually in relation to their specific immediate local ecology and their eco-spiritual interaction within it.</w:t>
      </w:r>
      <w:r w:rsidRPr="00BD1F38">
        <w:rPr>
          <w:rStyle w:val="FootnoteReference"/>
          <w:rFonts w:eastAsia="PingFang TC"/>
          <w:lang w:val="en-US"/>
        </w:rPr>
        <w:footnoteReference w:id="299"/>
      </w:r>
      <w:r w:rsidRPr="00BD1F38">
        <w:rPr>
          <w:rFonts w:eastAsia="PingFang TC"/>
          <w:lang w:val="en-US"/>
        </w:rPr>
        <w:t xml:space="preserve"> </w:t>
      </w:r>
    </w:p>
    <w:p w14:paraId="102EEE09" w14:textId="77777777" w:rsidR="0045403B" w:rsidRPr="00BD1F38" w:rsidRDefault="0045403B" w:rsidP="00FB0A0D">
      <w:pPr>
        <w:autoSpaceDE w:val="0"/>
        <w:autoSpaceDN w:val="0"/>
        <w:adjustRightInd w:val="0"/>
        <w:spacing w:line="360" w:lineRule="auto"/>
        <w:rPr>
          <w:rFonts w:eastAsia="PingFang TC"/>
          <w:lang w:val="en-US"/>
        </w:rPr>
      </w:pPr>
    </w:p>
    <w:p w14:paraId="736E7987" w14:textId="77777777" w:rsidR="0045403B" w:rsidRPr="00BD1F38" w:rsidRDefault="0045403B" w:rsidP="00FB0A0D">
      <w:pPr>
        <w:autoSpaceDE w:val="0"/>
        <w:autoSpaceDN w:val="0"/>
        <w:adjustRightInd w:val="0"/>
        <w:spacing w:line="360" w:lineRule="auto"/>
      </w:pPr>
      <w:r w:rsidRPr="00BD1F38">
        <w:rPr>
          <w:rFonts w:eastAsia="PingFang TC"/>
          <w:lang w:val="en-US"/>
        </w:rPr>
        <w:t xml:space="preserve">The interpreters of these aquatic ecological stimuli of the Vedic and Judaic peoples represented in Rig Veda and Torah – whom I called the orators of faith – the </w:t>
      </w:r>
      <w:r w:rsidRPr="00BD1F38">
        <w:t>poets, prophets, and preachers ‘whose minds’ mirrors, cleansed by involved appreciation and dedicated practice […], are capable of wholly immersing themselves in the described’,</w:t>
      </w:r>
      <w:r w:rsidRPr="00BD1F38">
        <w:rPr>
          <w:rStyle w:val="FootnoteReference"/>
        </w:rPr>
        <w:footnoteReference w:id="300"/>
      </w:r>
      <w:r w:rsidRPr="00BD1F38">
        <w:t xml:space="preserve"> were shown both to report but also to be somewhat able to seize the value of control of the cultural narrative and its archetypes through their ‘projecting persuasive visions’ potentiating their acting as ‘motivators in moral transformation’,</w:t>
      </w:r>
      <w:r w:rsidRPr="00BD1F38">
        <w:rPr>
          <w:rStyle w:val="FootnoteReference"/>
        </w:rPr>
        <w:footnoteReference w:id="301"/>
      </w:r>
      <w:r w:rsidRPr="00BD1F38">
        <w:t xml:space="preserve"> with </w:t>
      </w:r>
      <w:proofErr w:type="spellStart"/>
      <w:r w:rsidRPr="00BD1F38">
        <w:t>Sahlins</w:t>
      </w:r>
      <w:proofErr w:type="spellEnd"/>
      <w:r w:rsidRPr="00BD1F38">
        <w:t xml:space="preserve">’ notion that </w:t>
      </w:r>
      <w:r w:rsidRPr="00BD1F38">
        <w:rPr>
          <w:rFonts w:eastAsiaTheme="minorEastAsia"/>
        </w:rPr>
        <w:t>any percept – such as the hydrological environmental disasters</w:t>
      </w:r>
      <w:r w:rsidRPr="00BD1F38">
        <w:t xml:space="preserve"> referenced in the summary/conclusion of the emergent theme of </w:t>
      </w:r>
      <w:proofErr w:type="spellStart"/>
      <w:r w:rsidRPr="00BD1F38">
        <w:t>Hierophany</w:t>
      </w:r>
      <w:proofErr w:type="spellEnd"/>
      <w:r w:rsidRPr="00BD1F38">
        <w:rPr>
          <w:rFonts w:eastAsiaTheme="minorEastAsia"/>
        </w:rPr>
        <w:t xml:space="preserve"> - ‘becomes a fact of human consciousness’ as an archetype embedded in a concept </w:t>
      </w:r>
      <w:r w:rsidRPr="00BD1F38">
        <w:rPr>
          <w:rFonts w:eastAsiaTheme="minorEastAsia"/>
        </w:rPr>
        <w:lastRenderedPageBreak/>
        <w:t>motivated in any existing and exerting established cultural order.</w:t>
      </w:r>
      <w:r w:rsidRPr="00BD1F38">
        <w:rPr>
          <w:rStyle w:val="FootnoteReference"/>
          <w:rFonts w:eastAsiaTheme="minorEastAsia"/>
        </w:rPr>
        <w:footnoteReference w:id="302"/>
      </w:r>
      <w:r w:rsidRPr="00BD1F38">
        <w:rPr>
          <w:rFonts w:eastAsiaTheme="minorEastAsia"/>
        </w:rPr>
        <w:t xml:space="preserve"> </w:t>
      </w:r>
      <w:r w:rsidRPr="00BD1F38">
        <w:t xml:space="preserve">This was also referenced in regards to bodily fluids and anthropomorphic divine archetypes as further elaborated upon in the following section of summary/conclusion of Anthropomorphism as emergent theme, with the textual and ritual standards showing how </w:t>
      </w:r>
      <w:proofErr w:type="spellStart"/>
      <w:r w:rsidRPr="00BD1F38">
        <w:t>Tevilah</w:t>
      </w:r>
      <w:proofErr w:type="spellEnd"/>
      <w:r w:rsidRPr="00BD1F38">
        <w:t xml:space="preserve"> and Soma as liquid-based eco-spiritual rituals can both reflect and reinforce the specifically contextualised socio-cultural eco-spiritual motivations of select Judaic and Vedic thought represented in Torah and Rig Veda. It furthermore, illustrates how the ‘cosmic “correspondence</w:t>
      </w:r>
      <w:proofErr w:type="gramStart"/>
      <w:r w:rsidRPr="00BD1F38">
        <w:t>” ’</w:t>
      </w:r>
      <w:proofErr w:type="gramEnd"/>
      <w:r w:rsidRPr="00BD1F38">
        <w:t xml:space="preserve"> within the practitioner-eco-spiritual-ritual locus may manifest through their water-centric socio-cultural ecological locale and its imprinting onto their greater sacred cosmological environment composed of divine archetypes in the mind - understood by Jung to be </w:t>
      </w:r>
      <w:r w:rsidRPr="00BD1F38">
        <w:rPr>
          <w:rFonts w:eastAsiaTheme="minorEastAsia"/>
          <w:lang w:val="en-US"/>
        </w:rPr>
        <w:t>a ‘</w:t>
      </w:r>
      <w:r w:rsidRPr="00BD1F38">
        <w:rPr>
          <w:rFonts w:eastAsiaTheme="minorEastAsia"/>
          <w:i/>
          <w:iCs/>
          <w:lang w:val="en-US"/>
        </w:rPr>
        <w:t>system of adaptation determined by the conditions of an earthly environment.’</w:t>
      </w:r>
      <w:r w:rsidRPr="00BD1F38">
        <w:rPr>
          <w:rStyle w:val="FootnoteReference"/>
          <w:rFonts w:eastAsiaTheme="minorEastAsia"/>
          <w:i/>
          <w:iCs/>
          <w:lang w:val="en-US"/>
        </w:rPr>
        <w:footnoteReference w:id="303"/>
      </w:r>
      <w:r w:rsidRPr="00BD1F38">
        <w:rPr>
          <w:rFonts w:eastAsiaTheme="minorEastAsia"/>
          <w:i/>
          <w:iCs/>
          <w:lang w:val="en-US"/>
        </w:rPr>
        <w:t xml:space="preserve"> </w:t>
      </w:r>
    </w:p>
    <w:p w14:paraId="70391AF7" w14:textId="77777777" w:rsidR="0045403B" w:rsidRPr="00BD1F38" w:rsidRDefault="0045403B" w:rsidP="00FB0A0D">
      <w:pPr>
        <w:spacing w:line="360" w:lineRule="auto"/>
      </w:pPr>
    </w:p>
    <w:p w14:paraId="59CC575C" w14:textId="77777777" w:rsidR="0045403B" w:rsidRPr="00BD1F38" w:rsidRDefault="0045403B" w:rsidP="00FB0A0D">
      <w:pPr>
        <w:spacing w:line="360" w:lineRule="auto"/>
        <w:rPr>
          <w:lang w:val="en-US"/>
        </w:rPr>
      </w:pPr>
      <w:r w:rsidRPr="00BD1F38">
        <w:t xml:space="preserve">A central way in which the Soma and </w:t>
      </w:r>
      <w:proofErr w:type="spellStart"/>
      <w:r w:rsidRPr="00BD1F38">
        <w:t>Tevilah</w:t>
      </w:r>
      <w:proofErr w:type="spellEnd"/>
      <w:r w:rsidRPr="00BD1F38">
        <w:t xml:space="preserve"> eco-spiritual rituals specifically reflect and illustrate that they may have been shaped by water’s influence on divine archetypes </w:t>
      </w:r>
      <w:r w:rsidRPr="00BD1F38">
        <w:rPr>
          <w:lang w:val="en-US"/>
        </w:rPr>
        <w:t xml:space="preserve">of select Jewish/Judaic and Vedic thought, respectively represented in Torah and Rig Veda lies in their perceived value. One of the foundational values placed upon both of these eco-spiritual liquid-based rituals is that they create the hydrological environmental circumstance in which the practitioner becomes the microcosmic symbolic locus reflecting their macrocosmic greater sacred cosmological environment composed of their divine archetypal symbolism and fulfilling their ‘cosmic “correspondence” ’ through this same adapted </w:t>
      </w:r>
      <w:proofErr w:type="spellStart"/>
      <w:r w:rsidRPr="00BD1F38">
        <w:rPr>
          <w:lang w:val="en-US"/>
        </w:rPr>
        <w:t>interrelational</w:t>
      </w:r>
      <w:proofErr w:type="spellEnd"/>
      <w:r w:rsidRPr="00BD1F38">
        <w:rPr>
          <w:lang w:val="en-US"/>
        </w:rPr>
        <w:t xml:space="preserve"> engagement with their specific water-centric environmental resources.</w:t>
      </w:r>
      <w:r w:rsidRPr="00BD1F38">
        <w:rPr>
          <w:rStyle w:val="FootnoteReference"/>
          <w:lang w:val="en-US"/>
        </w:rPr>
        <w:footnoteReference w:id="304"/>
      </w:r>
      <w:r w:rsidRPr="00BD1F38">
        <w:rPr>
          <w:lang w:val="en-US"/>
        </w:rPr>
        <w:t xml:space="preserve"> As such, the findings of the research conducted here indicated that in merging with water as axis mundi, through the eco-spiritual </w:t>
      </w:r>
      <w:proofErr w:type="spellStart"/>
      <w:r w:rsidRPr="00BD1F38">
        <w:rPr>
          <w:lang w:val="en-US"/>
        </w:rPr>
        <w:t>Tevilah</w:t>
      </w:r>
      <w:proofErr w:type="spellEnd"/>
      <w:r w:rsidRPr="00BD1F38">
        <w:rPr>
          <w:lang w:val="en-US"/>
        </w:rPr>
        <w:t xml:space="preserve"> and Soma environmental engagement, the practitioner became the connective, interpretational metaphysical axis mundi. </w:t>
      </w:r>
    </w:p>
    <w:p w14:paraId="0F405857" w14:textId="77777777" w:rsidR="0045403B" w:rsidRPr="00BD1F38" w:rsidRDefault="0045403B" w:rsidP="00FB0A0D">
      <w:pPr>
        <w:spacing w:line="360" w:lineRule="auto"/>
        <w:rPr>
          <w:lang w:val="en-US"/>
        </w:rPr>
      </w:pPr>
    </w:p>
    <w:p w14:paraId="3289B502" w14:textId="467079A1" w:rsidR="0045403B" w:rsidRPr="00BD1F38" w:rsidRDefault="0045403B" w:rsidP="00FB0A0D">
      <w:pPr>
        <w:autoSpaceDE w:val="0"/>
        <w:autoSpaceDN w:val="0"/>
        <w:adjustRightInd w:val="0"/>
        <w:spacing w:line="360" w:lineRule="auto"/>
        <w:rPr>
          <w:lang w:val="en-US"/>
        </w:rPr>
      </w:pPr>
      <w:r w:rsidRPr="00BD1F38">
        <w:rPr>
          <w:lang w:val="en-US"/>
        </w:rPr>
        <w:t xml:space="preserve">As such, the ‘specific characteristics of the religious experience’ of living eco-spiritually as Eliade’s </w:t>
      </w:r>
      <w:r w:rsidRPr="00BD1F38">
        <w:rPr>
          <w:i/>
          <w:iCs/>
          <w:lang w:val="en-US"/>
        </w:rPr>
        <w:t xml:space="preserve">homo </w:t>
      </w:r>
      <w:proofErr w:type="spellStart"/>
      <w:r w:rsidRPr="00BD1F38">
        <w:rPr>
          <w:i/>
          <w:iCs/>
          <w:lang w:val="en-US"/>
        </w:rPr>
        <w:t>religiosus</w:t>
      </w:r>
      <w:proofErr w:type="spellEnd"/>
      <w:r w:rsidRPr="00BD1F38">
        <w:rPr>
          <w:lang w:val="en-US"/>
        </w:rPr>
        <w:t>, specifically in relation to water,</w:t>
      </w:r>
      <w:r w:rsidRPr="00BD1F38">
        <w:rPr>
          <w:rStyle w:val="FootnoteReference"/>
          <w:lang w:val="en-US"/>
        </w:rPr>
        <w:footnoteReference w:id="305"/>
      </w:r>
      <w:r w:rsidRPr="00BD1F38">
        <w:rPr>
          <w:lang w:val="en-US"/>
        </w:rPr>
        <w:t xml:space="preserve"> as </w:t>
      </w:r>
      <w:proofErr w:type="spellStart"/>
      <w:r w:rsidRPr="00BD1F38">
        <w:rPr>
          <w:lang w:val="en-US"/>
        </w:rPr>
        <w:t>Sahlins</w:t>
      </w:r>
      <w:proofErr w:type="spellEnd"/>
      <w:r w:rsidRPr="00BD1F38">
        <w:rPr>
          <w:lang w:val="en-US"/>
        </w:rPr>
        <w:t>’ ‘productive resource’</w:t>
      </w:r>
      <w:r w:rsidRPr="00BD1F38">
        <w:rPr>
          <w:rStyle w:val="FootnoteReference"/>
          <w:lang w:val="en-US"/>
        </w:rPr>
        <w:footnoteReference w:id="306"/>
      </w:r>
      <w:r w:rsidRPr="00BD1F38">
        <w:rPr>
          <w:lang w:val="en-US"/>
        </w:rPr>
        <w:t xml:space="preserve"> is brought out in the act of establishing of a settlement as home necessitated its </w:t>
      </w:r>
      <w:proofErr w:type="spellStart"/>
      <w:r w:rsidRPr="00BD1F38">
        <w:rPr>
          <w:lang w:val="en-US"/>
        </w:rPr>
        <w:t>valorisation</w:t>
      </w:r>
      <w:proofErr w:type="spellEnd"/>
      <w:r w:rsidRPr="00BD1F38">
        <w:rPr>
          <w:lang w:val="en-US"/>
        </w:rPr>
        <w:t xml:space="preserve"> on </w:t>
      </w:r>
      <w:r w:rsidRPr="00BD1F38">
        <w:rPr>
          <w:lang w:val="en-US"/>
        </w:rPr>
        <w:lastRenderedPageBreak/>
        <w:t>the ritually affirmed divine archetypal metaphysical plane in an act of cosmological creation, maintenance and renewal;</w:t>
      </w:r>
      <w:r w:rsidRPr="00BD1F38">
        <w:rPr>
          <w:rStyle w:val="FootnoteReference"/>
          <w:lang w:val="en-US"/>
        </w:rPr>
        <w:footnoteReference w:id="307"/>
      </w:r>
      <w:r w:rsidRPr="00BD1F38">
        <w:rPr>
          <w:lang w:val="en-US"/>
        </w:rPr>
        <w:t xml:space="preserve"> </w:t>
      </w:r>
      <w:proofErr w:type="spellStart"/>
      <w:r w:rsidRPr="00BD1F38">
        <w:rPr>
          <w:lang w:val="en-US"/>
        </w:rPr>
        <w:t>Tevilah</w:t>
      </w:r>
      <w:proofErr w:type="spellEnd"/>
      <w:r w:rsidRPr="00BD1F38">
        <w:rPr>
          <w:lang w:val="en-US"/>
        </w:rPr>
        <w:t xml:space="preserve"> and Soma are therefore part of the ‘techniques of orientation’ within their greater sacred cosmological environment composed of their sacred/divine archetypal symbolism, through which they </w:t>
      </w:r>
      <w:r w:rsidRPr="00BD1F38">
        <w:rPr>
          <w:rFonts w:eastAsiaTheme="minorEastAsia"/>
        </w:rPr>
        <w:t xml:space="preserve"> ‘symbolically</w:t>
      </w:r>
      <w:r w:rsidRPr="00BD1F38">
        <w:t xml:space="preserve"> […] </w:t>
      </w:r>
      <w:r w:rsidRPr="00BD1F38">
        <w:rPr>
          <w:rFonts w:eastAsiaTheme="minorEastAsia"/>
        </w:rPr>
        <w:t>became contemporary with the cosmogony’</w:t>
      </w:r>
      <w:r w:rsidRPr="00BD1F38">
        <w:t xml:space="preserve"> and</w:t>
      </w:r>
      <w:r w:rsidRPr="00BD1F38">
        <w:rPr>
          <w:rFonts w:eastAsiaTheme="minorEastAsia"/>
        </w:rPr>
        <w:t xml:space="preserve"> that ‘creation of the world’</w:t>
      </w:r>
      <w:r w:rsidRPr="00BD1F38">
        <w:rPr>
          <w:rStyle w:val="FootnoteReference"/>
          <w:rFonts w:eastAsiaTheme="minorEastAsia"/>
        </w:rPr>
        <w:footnoteReference w:id="308"/>
      </w:r>
      <w:r w:rsidRPr="00BD1F38">
        <w:rPr>
          <w:rFonts w:eastAsiaTheme="minorEastAsia"/>
        </w:rPr>
        <w:t xml:space="preserve"> infused with its sacred symbological archetypes.</w:t>
      </w:r>
      <w:r w:rsidRPr="00BD1F38">
        <w:rPr>
          <w:rStyle w:val="FootnoteReference"/>
        </w:rPr>
        <w:footnoteReference w:id="309"/>
      </w:r>
      <w:r w:rsidRPr="00BD1F38">
        <w:t xml:space="preserve"> These were demonstrated to be </w:t>
      </w:r>
      <w:r w:rsidRPr="00BD1F38">
        <w:rPr>
          <w:lang w:val="en-US"/>
        </w:rPr>
        <w:t xml:space="preserve">grounded in a reflection of cultures’ dynamic needs and interests; the resulting natural patterns of thought and </w:t>
      </w:r>
      <w:proofErr w:type="spellStart"/>
      <w:r w:rsidRPr="00BD1F38">
        <w:rPr>
          <w:lang w:val="en-US"/>
        </w:rPr>
        <w:t>behaviour</w:t>
      </w:r>
      <w:proofErr w:type="spellEnd"/>
      <w:r w:rsidRPr="00BD1F38">
        <w:rPr>
          <w:lang w:val="en-US"/>
        </w:rPr>
        <w:t xml:space="preserve"> specifically </w:t>
      </w:r>
      <w:proofErr w:type="spellStart"/>
      <w:r w:rsidRPr="00BD1F38">
        <w:rPr>
          <w:lang w:val="en-US"/>
        </w:rPr>
        <w:t>characterising</w:t>
      </w:r>
      <w:proofErr w:type="spellEnd"/>
      <w:r w:rsidRPr="00BD1F38">
        <w:rPr>
          <w:lang w:val="en-US"/>
        </w:rPr>
        <w:t xml:space="preserve"> the Vedic and Judaic versions of the religious experience of living eco-spiritually as Eliade’s </w:t>
      </w:r>
      <w:r w:rsidRPr="00BD1F38">
        <w:rPr>
          <w:i/>
          <w:iCs/>
          <w:lang w:val="en-US"/>
        </w:rPr>
        <w:t>homo religious</w:t>
      </w:r>
      <w:r w:rsidRPr="00BD1F38">
        <w:rPr>
          <w:lang w:val="en-US"/>
        </w:rPr>
        <w:t>:</w:t>
      </w:r>
      <w:r w:rsidRPr="00BD1F38">
        <w:rPr>
          <w:rStyle w:val="FootnoteReference"/>
          <w:lang w:val="en-US"/>
        </w:rPr>
        <w:footnoteReference w:id="310"/>
      </w:r>
      <w:r w:rsidRPr="00BD1F38">
        <w:rPr>
          <w:lang w:val="en-US"/>
        </w:rPr>
        <w:t xml:space="preserve"> specifically in their interrelationship with water – as Jung defines archetypes – consummated within the experiential local cultural environment and its resources like the naturally collecting pools of </w:t>
      </w:r>
      <w:proofErr w:type="spellStart"/>
      <w:r w:rsidRPr="00BD1F38">
        <w:rPr>
          <w:lang w:val="en-US"/>
        </w:rPr>
        <w:t>Tevilah</w:t>
      </w:r>
      <w:proofErr w:type="spellEnd"/>
      <w:r w:rsidRPr="00BD1F38">
        <w:rPr>
          <w:lang w:val="en-US"/>
        </w:rPr>
        <w:t xml:space="preserve"> or the botanical components of Soma and their eco-spiritually ritually accessed psychotropic liquid.</w:t>
      </w:r>
    </w:p>
    <w:p w14:paraId="67F1D86E" w14:textId="77777777" w:rsidR="0045403B" w:rsidRPr="00BD1F38" w:rsidRDefault="0045403B" w:rsidP="0045403B">
      <w:pPr>
        <w:autoSpaceDE w:val="0"/>
        <w:autoSpaceDN w:val="0"/>
        <w:adjustRightInd w:val="0"/>
      </w:pPr>
    </w:p>
    <w:p w14:paraId="58536378" w14:textId="77777777" w:rsidR="003850E1" w:rsidRPr="00BD1F38" w:rsidRDefault="003850E1" w:rsidP="0045403B">
      <w:pPr>
        <w:autoSpaceDE w:val="0"/>
        <w:autoSpaceDN w:val="0"/>
        <w:adjustRightInd w:val="0"/>
      </w:pPr>
    </w:p>
    <w:p w14:paraId="4408D179" w14:textId="77777777" w:rsidR="0045403B" w:rsidRPr="00BD1F38" w:rsidRDefault="0045403B" w:rsidP="0045403B">
      <w:pPr>
        <w:autoSpaceDE w:val="0"/>
        <w:autoSpaceDN w:val="0"/>
        <w:adjustRightInd w:val="0"/>
        <w:rPr>
          <w:sz w:val="18"/>
          <w:szCs w:val="18"/>
        </w:rPr>
      </w:pPr>
    </w:p>
    <w:p w14:paraId="2158DCCF" w14:textId="77777777" w:rsidR="0045403B" w:rsidRPr="00BD1F38" w:rsidRDefault="0045403B" w:rsidP="0045403B">
      <w:pPr>
        <w:autoSpaceDE w:val="0"/>
        <w:autoSpaceDN w:val="0"/>
        <w:adjustRightInd w:val="0"/>
        <w:jc w:val="center"/>
        <w:rPr>
          <w:rFonts w:eastAsiaTheme="minorEastAsia"/>
          <w:sz w:val="72"/>
          <w:szCs w:val="72"/>
        </w:rPr>
      </w:pPr>
      <w:r w:rsidRPr="00BD1F38">
        <w:rPr>
          <w:rFonts w:eastAsiaTheme="minorEastAsia"/>
          <w:sz w:val="72"/>
          <w:szCs w:val="72"/>
        </w:rPr>
        <w:t xml:space="preserve">ANTHROPOMORPHISM </w:t>
      </w:r>
    </w:p>
    <w:p w14:paraId="691BC079" w14:textId="77777777" w:rsidR="0045403B" w:rsidRPr="00BD1F38" w:rsidRDefault="0045403B" w:rsidP="0045403B">
      <w:pPr>
        <w:rPr>
          <w:sz w:val="20"/>
          <w:szCs w:val="20"/>
          <w:u w:val="single"/>
        </w:rPr>
      </w:pPr>
    </w:p>
    <w:p w14:paraId="5144BB90" w14:textId="77777777" w:rsidR="003850E1" w:rsidRPr="00BD1F38" w:rsidRDefault="003850E1" w:rsidP="0045403B">
      <w:pPr>
        <w:rPr>
          <w:sz w:val="20"/>
          <w:szCs w:val="20"/>
          <w:u w:val="single"/>
        </w:rPr>
      </w:pPr>
    </w:p>
    <w:p w14:paraId="68B3C28A" w14:textId="77777777" w:rsidR="0045403B" w:rsidRPr="00BD1F38" w:rsidRDefault="0045403B" w:rsidP="0045403B">
      <w:pPr>
        <w:rPr>
          <w:u w:val="single"/>
        </w:rPr>
      </w:pPr>
    </w:p>
    <w:p w14:paraId="533B0724" w14:textId="77777777" w:rsidR="0045403B" w:rsidRPr="00BD1F38" w:rsidRDefault="0045403B" w:rsidP="00711677">
      <w:pPr>
        <w:autoSpaceDE w:val="0"/>
        <w:autoSpaceDN w:val="0"/>
        <w:adjustRightInd w:val="0"/>
        <w:spacing w:line="360" w:lineRule="auto"/>
      </w:pPr>
      <w:r w:rsidRPr="00BD1F38">
        <w:t xml:space="preserve">The first element of my research findings pertaining to anthropomorphism as one of the three emergent themes seemingly most representative of how and why water may have influenced divine archetypes of select Judaic and Vedic thought represented in Torah and Rig Veda and the nature of its shaping of or reflection in </w:t>
      </w:r>
      <w:proofErr w:type="spellStart"/>
      <w:r w:rsidRPr="00BD1F38">
        <w:t>Tevilah</w:t>
      </w:r>
      <w:proofErr w:type="spellEnd"/>
      <w:r w:rsidRPr="00BD1F38">
        <w:t xml:space="preserve"> and Soma eco-spiritual rituals and water-based environmental interaction was the anthropomorphising of water, with evidence suggesting that it is internally categorised along with humanity due to its animated essence and therefore to some degree grouped together characteristically.</w:t>
      </w:r>
      <w:r w:rsidRPr="00BD1F38">
        <w:rPr>
          <w:rStyle w:val="FootnoteReference"/>
        </w:rPr>
        <w:footnoteReference w:id="311"/>
      </w:r>
      <w:r w:rsidRPr="00BD1F38">
        <w:t xml:space="preserve">  I then linked this to the research of Alessandra DeVito whose scientific trials indicated that humans gravitate to that which </w:t>
      </w:r>
      <w:r w:rsidRPr="00BD1F38">
        <w:rPr>
          <w:i/>
          <w:iCs/>
        </w:rPr>
        <w:t>mirror</w:t>
      </w:r>
      <w:r w:rsidRPr="00BD1F38">
        <w:t xml:space="preserve"> them.</w:t>
      </w:r>
      <w:r w:rsidRPr="00BD1F38">
        <w:rPr>
          <w:rStyle w:val="FootnoteReference"/>
        </w:rPr>
        <w:footnoteReference w:id="312"/>
      </w:r>
      <w:r w:rsidRPr="00BD1F38">
        <w:t xml:space="preserve"> Since water is classified as literally and figuratively capable of this,</w:t>
      </w:r>
      <w:r w:rsidRPr="00BD1F38">
        <w:rPr>
          <w:rStyle w:val="FootnoteReference"/>
        </w:rPr>
        <w:footnoteReference w:id="313"/>
      </w:r>
      <w:r w:rsidRPr="00BD1F38">
        <w:t xml:space="preserve"> it was insinuated that it </w:t>
      </w:r>
      <w:r w:rsidRPr="00BD1F38">
        <w:lastRenderedPageBreak/>
        <w:t>may also reflect the socially grouping, belief-forming, and identificatory effects demonstrated in DeVito’s trials.</w:t>
      </w:r>
      <w:r w:rsidRPr="00BD1F38">
        <w:rPr>
          <w:rStyle w:val="FootnoteReference"/>
        </w:rPr>
        <w:footnoteReference w:id="314"/>
      </w:r>
      <w:r w:rsidRPr="00BD1F38">
        <w:t xml:space="preserve"> This resulting ‘organic sympathy’ between humanity and water</w:t>
      </w:r>
      <w:r w:rsidRPr="00BD1F38">
        <w:rPr>
          <w:rStyle w:val="FootnoteReference"/>
        </w:rPr>
        <w:footnoteReference w:id="315"/>
      </w:r>
      <w:r w:rsidRPr="00BD1F38">
        <w:t xml:space="preserve"> was showed with my use of Judaic and Vedic textual and ritual examples, to plausibly have been a factor in how and why these (and plausibly other) cultures engaged with it as a ritual tool, sacralised it, and ultimately seemingly forged, consciously or unconsciously, archetypes of the divine based off certain qualities it possessed. This led into suggesting the possible synergistic inseparability of humanity and water in cultural symbolism and therefore also in the symbolism </w:t>
      </w:r>
      <w:r w:rsidRPr="00BD1F38">
        <w:rPr>
          <w:i/>
          <w:iCs/>
        </w:rPr>
        <w:t>imprinted</w:t>
      </w:r>
      <w:r w:rsidRPr="00BD1F38">
        <w:t xml:space="preserve"> into divine archetypes as a cultural phenomenon,</w:t>
      </w:r>
      <w:r w:rsidRPr="00BD1F38">
        <w:rPr>
          <w:rStyle w:val="FootnoteReference"/>
        </w:rPr>
        <w:footnoteReference w:id="316"/>
      </w:r>
      <w:r w:rsidRPr="00BD1F38">
        <w:t xml:space="preserve"> and sacred ritual engagement. </w:t>
      </w:r>
    </w:p>
    <w:p w14:paraId="1A8DD635" w14:textId="77777777" w:rsidR="0045403B" w:rsidRPr="00BD1F38" w:rsidRDefault="0045403B" w:rsidP="00711677">
      <w:pPr>
        <w:autoSpaceDE w:val="0"/>
        <w:autoSpaceDN w:val="0"/>
        <w:adjustRightInd w:val="0"/>
        <w:spacing w:line="360" w:lineRule="auto"/>
      </w:pPr>
    </w:p>
    <w:p w14:paraId="4E5F78D5" w14:textId="77777777" w:rsidR="0045403B" w:rsidRPr="00BD1F38" w:rsidRDefault="0045403B" w:rsidP="00711677">
      <w:pPr>
        <w:autoSpaceDE w:val="0"/>
        <w:autoSpaceDN w:val="0"/>
        <w:adjustRightInd w:val="0"/>
        <w:spacing w:line="360" w:lineRule="auto"/>
      </w:pPr>
      <w:r w:rsidRPr="00BD1F38">
        <w:t xml:space="preserve">Similarly demonstrated to be interconnected was the concept of divinity’s anthropomorphism. Torah, Rig Veda, </w:t>
      </w:r>
      <w:proofErr w:type="spellStart"/>
      <w:r w:rsidRPr="00BD1F38">
        <w:t>Tevilah</w:t>
      </w:r>
      <w:proofErr w:type="spellEnd"/>
      <w:r w:rsidRPr="00BD1F38">
        <w:t xml:space="preserve">, and Soma, all provided an overabundance of examples of this as being a significant feature of divine archetypes. Some of the most reoccurring seemed that related to fertility, </w:t>
      </w:r>
      <w:r w:rsidRPr="00BD1F38">
        <w:rPr>
          <w:rFonts w:eastAsiaTheme="minorEastAsia"/>
        </w:rPr>
        <w:t xml:space="preserve">which also appeared frequently in symbolism associated with </w:t>
      </w:r>
      <w:proofErr w:type="gramStart"/>
      <w:r w:rsidRPr="00BD1F38">
        <w:rPr>
          <w:rFonts w:eastAsiaTheme="minorEastAsia"/>
        </w:rPr>
        <w:t>water</w:t>
      </w:r>
      <w:r w:rsidRPr="00BD1F38">
        <w:t>;</w:t>
      </w:r>
      <w:proofErr w:type="gramEnd"/>
      <w:r w:rsidRPr="00BD1F38">
        <w:t xml:space="preserve"> which brought us onto the topic of the waters of the body and their possible influence on these archetypes.  </w:t>
      </w:r>
    </w:p>
    <w:p w14:paraId="3FAB6B74" w14:textId="77777777" w:rsidR="0045403B" w:rsidRPr="00BD1F38" w:rsidRDefault="0045403B" w:rsidP="00711677">
      <w:pPr>
        <w:autoSpaceDE w:val="0"/>
        <w:autoSpaceDN w:val="0"/>
        <w:adjustRightInd w:val="0"/>
        <w:spacing w:line="360" w:lineRule="auto"/>
      </w:pPr>
    </w:p>
    <w:p w14:paraId="2E462672" w14:textId="77777777" w:rsidR="0045403B" w:rsidRPr="00BD1F38" w:rsidRDefault="0045403B" w:rsidP="00711677">
      <w:pPr>
        <w:autoSpaceDE w:val="0"/>
        <w:autoSpaceDN w:val="0"/>
        <w:adjustRightInd w:val="0"/>
        <w:spacing w:line="360" w:lineRule="auto"/>
      </w:pPr>
      <w:r w:rsidRPr="00BD1F38">
        <w:t xml:space="preserve">The research findings suggested that several divine archetypes of select Vedic and Judaic thought may have originated from ‘understanding the symbol’ of the body, its fluids, and the </w:t>
      </w:r>
      <w:r w:rsidRPr="00BD1F38">
        <w:rPr>
          <w:i/>
          <w:iCs/>
        </w:rPr>
        <w:t>effects</w:t>
      </w:r>
      <w:r w:rsidRPr="00BD1F38">
        <w:t xml:space="preserve"> and </w:t>
      </w:r>
      <w:r w:rsidRPr="00BD1F38">
        <w:rPr>
          <w:i/>
          <w:iCs/>
        </w:rPr>
        <w:t>implications</w:t>
      </w:r>
      <w:r w:rsidRPr="00BD1F38">
        <w:t xml:space="preserve"> of these fluids representing birth, life, sustenance, change, and death. Given the innately confronting ontological nature of these, it was unsurprising </w:t>
      </w:r>
      <w:r w:rsidRPr="00BD1F38">
        <w:rPr>
          <w:rFonts w:eastAsiaTheme="minorEastAsia"/>
        </w:rPr>
        <w:t xml:space="preserve">to encounter what </w:t>
      </w:r>
      <w:r w:rsidRPr="00BD1F38">
        <w:t>seemed</w:t>
      </w:r>
      <w:r w:rsidRPr="00BD1F38">
        <w:rPr>
          <w:rFonts w:eastAsiaTheme="minorEastAsia"/>
        </w:rPr>
        <w:t xml:space="preserve"> to be a metaphysical </w:t>
      </w:r>
      <w:r w:rsidRPr="00BD1F38">
        <w:t xml:space="preserve">sacralised </w:t>
      </w:r>
      <w:proofErr w:type="spellStart"/>
      <w:r w:rsidRPr="00BD1F38">
        <w:rPr>
          <w:rFonts w:eastAsiaTheme="minorEastAsia"/>
        </w:rPr>
        <w:t>archetypalising</w:t>
      </w:r>
      <w:proofErr w:type="spellEnd"/>
      <w:r w:rsidRPr="00BD1F38">
        <w:rPr>
          <w:rFonts w:eastAsiaTheme="minorEastAsia"/>
        </w:rPr>
        <w:t xml:space="preserve"> of the body’s fluids and the symbology bound to their value and consequences. Textual passages of Torah and Rig Veda and the symbolism of </w:t>
      </w:r>
      <w:proofErr w:type="spellStart"/>
      <w:r w:rsidRPr="00BD1F38">
        <w:rPr>
          <w:rFonts w:eastAsiaTheme="minorEastAsia"/>
        </w:rPr>
        <w:t>Tevilah</w:t>
      </w:r>
      <w:proofErr w:type="spellEnd"/>
      <w:r w:rsidRPr="00BD1F38">
        <w:rPr>
          <w:rFonts w:eastAsiaTheme="minorEastAsia"/>
        </w:rPr>
        <w:t xml:space="preserve"> and Soma </w:t>
      </w:r>
      <w:r w:rsidRPr="00BD1F38">
        <w:t>were shown to indicate</w:t>
      </w:r>
      <w:r w:rsidRPr="00BD1F38">
        <w:rPr>
          <w:rFonts w:eastAsiaTheme="minorEastAsia"/>
        </w:rPr>
        <w:t xml:space="preserve"> the cosmological worldview as </w:t>
      </w:r>
      <w:r w:rsidRPr="00BD1F38">
        <w:rPr>
          <w:rFonts w:eastAsiaTheme="minorEastAsia"/>
          <w:i/>
          <w:iCs/>
        </w:rPr>
        <w:t>macrocosm</w:t>
      </w:r>
      <w:r w:rsidRPr="00BD1F38">
        <w:rPr>
          <w:rFonts w:eastAsiaTheme="minorEastAsia"/>
        </w:rPr>
        <w:t xml:space="preserve"> of the body and its fluids; the body </w:t>
      </w:r>
      <w:r w:rsidRPr="00BD1F38">
        <w:rPr>
          <w:rFonts w:eastAsiaTheme="minorEastAsia"/>
          <w:i/>
          <w:iCs/>
        </w:rPr>
        <w:t>then</w:t>
      </w:r>
      <w:r w:rsidRPr="00BD1F38">
        <w:rPr>
          <w:rFonts w:eastAsiaTheme="minorEastAsia"/>
        </w:rPr>
        <w:t xml:space="preserve"> becomes viewed as a </w:t>
      </w:r>
      <w:r w:rsidRPr="00BD1F38">
        <w:rPr>
          <w:rFonts w:eastAsiaTheme="minorEastAsia"/>
          <w:i/>
          <w:iCs/>
        </w:rPr>
        <w:t>microcosm</w:t>
      </w:r>
      <w:r w:rsidRPr="00BD1F38">
        <w:rPr>
          <w:rFonts w:eastAsiaTheme="minorEastAsia"/>
        </w:rPr>
        <w:t xml:space="preserve"> of the universe and its divine archetypes. One of the noteworthy examples of this anthropomorphic </w:t>
      </w:r>
      <w:r w:rsidRPr="00BD1F38">
        <w:t xml:space="preserve">metaphysically </w:t>
      </w:r>
      <w:proofErr w:type="spellStart"/>
      <w:r w:rsidRPr="00BD1F38">
        <w:rPr>
          <w:rFonts w:eastAsiaTheme="minorEastAsia"/>
        </w:rPr>
        <w:t>archetyp</w:t>
      </w:r>
      <w:r w:rsidRPr="00BD1F38">
        <w:t>alised</w:t>
      </w:r>
      <w:proofErr w:type="spellEnd"/>
      <w:r w:rsidRPr="00BD1F38">
        <w:t xml:space="preserve"> extension </w:t>
      </w:r>
      <w:r w:rsidRPr="00BD1F38">
        <w:rPr>
          <w:rFonts w:eastAsiaTheme="minorEastAsia"/>
        </w:rPr>
        <w:t xml:space="preserve">from bodily waters to divinity interpreted in this dissertation, was the Judaic concept of </w:t>
      </w:r>
      <w:r w:rsidRPr="00BD1F38">
        <w:rPr>
          <w:rFonts w:eastAsiaTheme="minorEastAsia"/>
          <w:i/>
          <w:iCs/>
        </w:rPr>
        <w:t>Nephesh</w:t>
      </w:r>
      <w:r w:rsidRPr="00BD1F38">
        <w:rPr>
          <w:rFonts w:eastAsiaTheme="minorEastAsia"/>
        </w:rPr>
        <w:t xml:space="preserve"> </w:t>
      </w:r>
      <w:r w:rsidRPr="00BD1F38">
        <w:t xml:space="preserve">– </w:t>
      </w:r>
      <w:r w:rsidRPr="00BD1F38">
        <w:rPr>
          <w:i/>
          <w:iCs/>
        </w:rPr>
        <w:t>Being</w:t>
      </w:r>
      <w:r w:rsidRPr="00BD1F38">
        <w:t xml:space="preserve"> - </w:t>
      </w:r>
      <w:r w:rsidRPr="00BD1F38">
        <w:rPr>
          <w:rFonts w:eastAsiaTheme="minorEastAsia"/>
        </w:rPr>
        <w:t>such as in the original Hebrew of ‘for the life of flesh (</w:t>
      </w:r>
      <w:r w:rsidRPr="00BD1F38">
        <w:rPr>
          <w:rFonts w:eastAsiaTheme="minorEastAsia"/>
          <w:i/>
          <w:iCs/>
        </w:rPr>
        <w:t>nephesh</w:t>
      </w:r>
      <w:r w:rsidRPr="00BD1F38">
        <w:rPr>
          <w:rFonts w:eastAsiaTheme="minorEastAsia"/>
        </w:rPr>
        <w:t>) is in the blood’</w:t>
      </w:r>
      <w:r w:rsidRPr="00BD1F38">
        <w:t xml:space="preserve"> and the archetype of a sanctified shared divine blood of sacred covenant which imbues divinity with a reflective corporeal frailty.  </w:t>
      </w:r>
    </w:p>
    <w:p w14:paraId="543DAD11" w14:textId="77777777" w:rsidR="0045403B" w:rsidRPr="00BD1F38" w:rsidRDefault="0045403B" w:rsidP="00711677">
      <w:pPr>
        <w:autoSpaceDE w:val="0"/>
        <w:autoSpaceDN w:val="0"/>
        <w:adjustRightInd w:val="0"/>
        <w:spacing w:line="360" w:lineRule="auto"/>
      </w:pPr>
    </w:p>
    <w:p w14:paraId="5D255438" w14:textId="77777777" w:rsidR="0045403B" w:rsidRPr="00BD1F38" w:rsidRDefault="0045403B" w:rsidP="00711677">
      <w:pPr>
        <w:autoSpaceDE w:val="0"/>
        <w:autoSpaceDN w:val="0"/>
        <w:adjustRightInd w:val="0"/>
        <w:spacing w:line="360" w:lineRule="auto"/>
      </w:pPr>
      <w:r w:rsidRPr="00BD1F38">
        <w:lastRenderedPageBreak/>
        <w:t>Bodily fluids – archetypally understood as flowing divine essence - were seen as actively impacting their divinity and greater sacred cosmological environment,</w:t>
      </w:r>
      <w:r w:rsidRPr="00BD1F38">
        <w:rPr>
          <w:rStyle w:val="FootnoteReference"/>
        </w:rPr>
        <w:footnoteReference w:id="317"/>
      </w:r>
      <w:r w:rsidRPr="00BD1F38">
        <w:t xml:space="preserve"> with Eliade specifying that ‘every spatial </w:t>
      </w:r>
      <w:proofErr w:type="spellStart"/>
      <w:r w:rsidRPr="00BD1F38">
        <w:t>hierophany</w:t>
      </w:r>
      <w:proofErr w:type="spellEnd"/>
      <w:r w:rsidRPr="00BD1F38">
        <w:t>’ - which the aforementioned effects, implications, and consequent metaphysical representations of these fluids and with the body perceived as corporeal spatial microcosm of their greater sacred cosmological environment, characterise – ‘is equivalent to a cosmogony’</w:t>
      </w:r>
      <w:r w:rsidRPr="00BD1F38">
        <w:rPr>
          <w:rStyle w:val="Emphasis"/>
          <w:color w:val="1E1E1E"/>
        </w:rPr>
        <w:t>.</w:t>
      </w:r>
      <w:r w:rsidRPr="00BD1F38">
        <w:rPr>
          <w:rStyle w:val="FootnoteReference"/>
          <w:color w:val="1E1E1E"/>
        </w:rPr>
        <w:footnoteReference w:id="318"/>
      </w:r>
      <w:r w:rsidRPr="00BD1F38">
        <w:rPr>
          <w:rStyle w:val="Emphasis"/>
          <w:color w:val="1E1E1E"/>
        </w:rPr>
        <w:t xml:space="preserve"> </w:t>
      </w:r>
      <w:r w:rsidRPr="00BD1F38">
        <w:rPr>
          <w:color w:val="000000"/>
        </w:rPr>
        <w:t>Meyer evidenced that the body’s waters, seen as mediating the boundaries of the inner and outer world,</w:t>
      </w:r>
      <w:r w:rsidRPr="00BD1F38">
        <w:rPr>
          <w:rStyle w:val="FootnoteReference"/>
          <w:color w:val="000000"/>
        </w:rPr>
        <w:footnoteReference w:id="319"/>
      </w:r>
      <w:r w:rsidRPr="00BD1F38">
        <w:rPr>
          <w:color w:val="000000"/>
        </w:rPr>
        <w:t xml:space="preserve"> in the breaching of these boundaries: i.e. blood-loss, were interpreted as disrupting the greater sacred cosmological order. This anthropomorphic permeability of the metaphysical was an </w:t>
      </w:r>
      <w:proofErr w:type="spellStart"/>
      <w:r w:rsidRPr="00BD1F38">
        <w:rPr>
          <w:color w:val="000000"/>
        </w:rPr>
        <w:t>archetypalising</w:t>
      </w:r>
      <w:proofErr w:type="spellEnd"/>
      <w:r w:rsidRPr="00BD1F38">
        <w:rPr>
          <w:color w:val="000000"/>
        </w:rPr>
        <w:t xml:space="preserve"> again similarly permeable to the </w:t>
      </w:r>
      <w:r w:rsidRPr="00BD1F38">
        <w:t xml:space="preserve">‘specific social, </w:t>
      </w:r>
      <w:proofErr w:type="gramStart"/>
      <w:r w:rsidRPr="00BD1F38">
        <w:t>cultural</w:t>
      </w:r>
      <w:proofErr w:type="gramEnd"/>
      <w:r w:rsidRPr="00BD1F38">
        <w:t xml:space="preserve"> and environmental contexts’ </w:t>
      </w:r>
      <w:proofErr w:type="spellStart"/>
      <w:r w:rsidRPr="00BD1F38">
        <w:t>Roesler</w:t>
      </w:r>
      <w:proofErr w:type="spellEnd"/>
      <w:r w:rsidRPr="00BD1F38">
        <w:t xml:space="preserve"> requested be applied to archetypal research. As such, I put forth some of the </w:t>
      </w:r>
      <w:proofErr w:type="spellStart"/>
      <w:r w:rsidRPr="00BD1F38">
        <w:t>Torahically</w:t>
      </w:r>
      <w:proofErr w:type="spellEnd"/>
      <w:r w:rsidRPr="00BD1F38">
        <w:t xml:space="preserve"> intimated patriarchal ‘social discourse and the exercise of power’</w:t>
      </w:r>
      <w:r w:rsidRPr="00BD1F38">
        <w:rPr>
          <w:rStyle w:val="FootnoteReference"/>
        </w:rPr>
        <w:footnoteReference w:id="320"/>
      </w:r>
      <w:r w:rsidRPr="00BD1F38">
        <w:t xml:space="preserve"> suggestive of this permeability being characterised by the perceived </w:t>
      </w:r>
      <w:r w:rsidRPr="00BD1F38">
        <w:rPr>
          <w:i/>
          <w:iCs/>
        </w:rPr>
        <w:t>pollution</w:t>
      </w:r>
      <w:r w:rsidRPr="00BD1F38">
        <w:t xml:space="preserve"> or </w:t>
      </w:r>
      <w:r w:rsidRPr="00BD1F38">
        <w:rPr>
          <w:i/>
          <w:iCs/>
        </w:rPr>
        <w:t>disorder</w:t>
      </w:r>
      <w:r w:rsidRPr="00BD1F38">
        <w:t xml:space="preserve"> of menstruation – specifically with sin triggering the female aspect of Judaic divinity to menstruate.</w:t>
      </w:r>
      <w:r w:rsidRPr="00BD1F38">
        <w:rPr>
          <w:rStyle w:val="FootnoteReference"/>
        </w:rPr>
        <w:footnoteReference w:id="321"/>
      </w:r>
      <w:r w:rsidRPr="00BD1F38">
        <w:t xml:space="preserve"> This was also plausibly shown in relation to their eco-spiritual ritual practise - with narratives and </w:t>
      </w:r>
      <w:r w:rsidRPr="00BD1F38">
        <w:rPr>
          <w:i/>
          <w:iCs/>
        </w:rPr>
        <w:t>practises</w:t>
      </w:r>
      <w:r w:rsidRPr="00BD1F38">
        <w:t xml:space="preserve"> set up for ‘classifying bodies’ – whether human or divine.</w:t>
      </w:r>
    </w:p>
    <w:p w14:paraId="7C1CC986" w14:textId="77777777" w:rsidR="0045403B" w:rsidRPr="00BD1F38" w:rsidRDefault="0045403B" w:rsidP="00711677">
      <w:pPr>
        <w:autoSpaceDE w:val="0"/>
        <w:autoSpaceDN w:val="0"/>
        <w:adjustRightInd w:val="0"/>
        <w:spacing w:line="360" w:lineRule="auto"/>
        <w:rPr>
          <w:color w:val="000000"/>
        </w:rPr>
      </w:pPr>
    </w:p>
    <w:p w14:paraId="776C0A12" w14:textId="77777777" w:rsidR="0045403B" w:rsidRPr="00BD1F38" w:rsidRDefault="0045403B" w:rsidP="00711677">
      <w:pPr>
        <w:autoSpaceDE w:val="0"/>
        <w:autoSpaceDN w:val="0"/>
        <w:adjustRightInd w:val="0"/>
        <w:spacing w:line="360" w:lineRule="auto"/>
        <w:rPr>
          <w:color w:val="000000"/>
        </w:rPr>
      </w:pPr>
      <w:r w:rsidRPr="00BD1F38">
        <w:t xml:space="preserve">The fluid permeability was shown to represent the openness </w:t>
      </w:r>
      <w:r w:rsidRPr="00BD1F38">
        <w:rPr>
          <w:color w:val="000000"/>
        </w:rPr>
        <w:t xml:space="preserve">to ecological stressors symbiotically for both bodily-microcosm and macrocosm of the greater sacred cosmological environment composed of sacred archetypes. The eco-spiritual rituals of </w:t>
      </w:r>
      <w:proofErr w:type="spellStart"/>
      <w:r w:rsidRPr="00BD1F38">
        <w:rPr>
          <w:color w:val="000000"/>
        </w:rPr>
        <w:t>Tevilah</w:t>
      </w:r>
      <w:proofErr w:type="spellEnd"/>
      <w:r w:rsidRPr="00BD1F38">
        <w:rPr>
          <w:color w:val="000000"/>
        </w:rPr>
        <w:t xml:space="preserve"> and Soma in which the microcosm and macrocosm are cleansed and affirmed restore the order of the created cosmogony, function as safeguarding against primordial chaos, as referenced already in this conclusion, under the emergent theme of Value’s subheading. This was a part of the </w:t>
      </w:r>
      <w:r w:rsidRPr="00BD1F38">
        <w:rPr>
          <w:i/>
          <w:iCs/>
          <w:color w:val="000000"/>
        </w:rPr>
        <w:t>value</w:t>
      </w:r>
      <w:r w:rsidRPr="00BD1F38">
        <w:rPr>
          <w:color w:val="000000"/>
        </w:rPr>
        <w:t xml:space="preserve"> of permeability, as; with it being necessary for the interfacing of bodily and earthly fluids ritually forming the divine archetypal microcosmos and </w:t>
      </w:r>
      <w:proofErr w:type="spellStart"/>
      <w:r w:rsidRPr="00BD1F38">
        <w:rPr>
          <w:color w:val="000000"/>
        </w:rPr>
        <w:t>macrocosmos</w:t>
      </w:r>
      <w:proofErr w:type="spellEnd"/>
      <w:r w:rsidRPr="00BD1F38">
        <w:rPr>
          <w:color w:val="000000"/>
        </w:rPr>
        <w:t xml:space="preserve"> – the symbolic locus of creative activity being the interrelationship between the permeable practitioner, ritually used liquid, and divinity and greater sacred cosmological environment; highlighting the interconnectedness of the eco-spiritual ritual, the body and its fluids, and the external world, and therefore illuminating aspects of how and why water (such as those of </w:t>
      </w:r>
      <w:proofErr w:type="spellStart"/>
      <w:r w:rsidRPr="00BD1F38">
        <w:rPr>
          <w:color w:val="000000"/>
        </w:rPr>
        <w:t>Tevilah</w:t>
      </w:r>
      <w:proofErr w:type="spellEnd"/>
      <w:r w:rsidRPr="00BD1F38">
        <w:rPr>
          <w:color w:val="000000"/>
        </w:rPr>
        <w:t xml:space="preserve"> and Soma, of the body, and of the local </w:t>
      </w:r>
      <w:r w:rsidRPr="00BD1F38">
        <w:rPr>
          <w:color w:val="000000"/>
        </w:rPr>
        <w:lastRenderedPageBreak/>
        <w:t xml:space="preserve">environment) may have influenced divine archetypes of select Judaic and Vedic thought represented in Torah and Rig Veda. </w:t>
      </w:r>
    </w:p>
    <w:p w14:paraId="06CB4011" w14:textId="77777777" w:rsidR="0045403B" w:rsidRPr="00BD1F38" w:rsidRDefault="0045403B" w:rsidP="00711677">
      <w:pPr>
        <w:autoSpaceDE w:val="0"/>
        <w:autoSpaceDN w:val="0"/>
        <w:adjustRightInd w:val="0"/>
        <w:spacing w:line="360" w:lineRule="auto"/>
      </w:pPr>
    </w:p>
    <w:p w14:paraId="3E657277" w14:textId="77777777" w:rsidR="0045403B" w:rsidRPr="00BD1F38" w:rsidRDefault="0045403B" w:rsidP="0045403B">
      <w:pPr>
        <w:autoSpaceDE w:val="0"/>
        <w:autoSpaceDN w:val="0"/>
        <w:adjustRightInd w:val="0"/>
        <w:rPr>
          <w:sz w:val="16"/>
          <w:szCs w:val="16"/>
        </w:rPr>
      </w:pPr>
    </w:p>
    <w:p w14:paraId="54E5121A" w14:textId="77777777" w:rsidR="0045403B" w:rsidRPr="00BD1F38" w:rsidRDefault="0045403B" w:rsidP="0045403B">
      <w:pPr>
        <w:jc w:val="center"/>
        <w:rPr>
          <w:sz w:val="72"/>
          <w:szCs w:val="72"/>
        </w:rPr>
      </w:pPr>
      <w:r w:rsidRPr="00BD1F38">
        <w:rPr>
          <w:sz w:val="72"/>
          <w:szCs w:val="72"/>
        </w:rPr>
        <w:t>FINAL THOUGHTS</w:t>
      </w:r>
    </w:p>
    <w:p w14:paraId="72F4453C" w14:textId="77777777" w:rsidR="0045403B" w:rsidRPr="00BD1F38" w:rsidRDefault="0045403B" w:rsidP="0045403B">
      <w:pPr>
        <w:tabs>
          <w:tab w:val="left" w:pos="6260"/>
        </w:tabs>
        <w:autoSpaceDE w:val="0"/>
        <w:autoSpaceDN w:val="0"/>
        <w:adjustRightInd w:val="0"/>
        <w:rPr>
          <w:sz w:val="22"/>
          <w:szCs w:val="22"/>
        </w:rPr>
      </w:pPr>
    </w:p>
    <w:p w14:paraId="250571CF" w14:textId="77777777" w:rsidR="003850E1" w:rsidRPr="00BD1F38" w:rsidRDefault="003850E1" w:rsidP="00711677">
      <w:pPr>
        <w:tabs>
          <w:tab w:val="left" w:pos="6260"/>
        </w:tabs>
        <w:autoSpaceDE w:val="0"/>
        <w:autoSpaceDN w:val="0"/>
        <w:adjustRightInd w:val="0"/>
        <w:spacing w:line="360" w:lineRule="auto"/>
      </w:pPr>
    </w:p>
    <w:p w14:paraId="20110E2D" w14:textId="54DC5DC0" w:rsidR="0045403B" w:rsidRPr="00BD1F38" w:rsidRDefault="0045403B" w:rsidP="00711677">
      <w:pPr>
        <w:tabs>
          <w:tab w:val="left" w:pos="6260"/>
        </w:tabs>
        <w:autoSpaceDE w:val="0"/>
        <w:autoSpaceDN w:val="0"/>
        <w:adjustRightInd w:val="0"/>
        <w:spacing w:line="360" w:lineRule="auto"/>
        <w:rPr>
          <w:lang w:val="en-US"/>
        </w:rPr>
      </w:pPr>
      <w:r w:rsidRPr="00BD1F38">
        <w:t xml:space="preserve">The apparent discovery and corresponding details of </w:t>
      </w:r>
      <w:proofErr w:type="spellStart"/>
      <w:r w:rsidRPr="00BD1F38">
        <w:t>hierophany</w:t>
      </w:r>
      <w:proofErr w:type="spellEnd"/>
      <w:r w:rsidRPr="00BD1F38">
        <w:t xml:space="preserve">, value, anthropomorphism, and their evident interconnectedness, as the most pressing ways in which water may have </w:t>
      </w:r>
      <w:r w:rsidRPr="00BD1F38">
        <w:rPr>
          <w:rFonts w:eastAsiaTheme="minorEastAsia"/>
        </w:rPr>
        <w:t>influenced divine archetypes of select Judaic and Vedic thought, respectively represented in Torah and Rig Veda,</w:t>
      </w:r>
      <w:r w:rsidRPr="00BD1F38">
        <w:t xml:space="preserve"> </w:t>
      </w:r>
      <w:r w:rsidRPr="00BD1F38">
        <w:rPr>
          <w:rFonts w:eastAsiaTheme="minorEastAsia"/>
        </w:rPr>
        <w:t xml:space="preserve">contributes to wider academia (especially archetypal, eco-spiritual, </w:t>
      </w:r>
      <w:r w:rsidRPr="00BD1F38">
        <w:t xml:space="preserve">and </w:t>
      </w:r>
      <w:r w:rsidRPr="00BD1F38">
        <w:rPr>
          <w:rFonts w:eastAsiaTheme="minorEastAsia"/>
        </w:rPr>
        <w:t xml:space="preserve">sacred </w:t>
      </w:r>
      <w:r w:rsidRPr="00BD1F38">
        <w:t>space</w:t>
      </w:r>
      <w:r w:rsidRPr="00BD1F38">
        <w:rPr>
          <w:rFonts w:eastAsiaTheme="minorEastAsia"/>
        </w:rPr>
        <w:t xml:space="preserve"> </w:t>
      </w:r>
      <w:r w:rsidRPr="00BD1F38">
        <w:t xml:space="preserve">research) </w:t>
      </w:r>
      <w:r w:rsidRPr="00BD1F38">
        <w:rPr>
          <w:rFonts w:eastAsiaTheme="minorEastAsia"/>
        </w:rPr>
        <w:t>by assembling and positioning the tripartite lens through which it is seemingly clearer to see</w:t>
      </w:r>
      <w:r w:rsidRPr="00BD1F38">
        <w:t xml:space="preserve">, </w:t>
      </w:r>
      <w:r w:rsidRPr="00BD1F38">
        <w:rPr>
          <w:i/>
          <w:iCs/>
        </w:rPr>
        <w:t>specifically</w:t>
      </w:r>
      <w:r w:rsidRPr="00BD1F38">
        <w:t xml:space="preserve"> contextualise</w:t>
      </w:r>
      <w:r w:rsidRPr="00BD1F38">
        <w:rPr>
          <w:rFonts w:eastAsiaTheme="minorEastAsia"/>
        </w:rPr>
        <w:t xml:space="preserve"> and </w:t>
      </w:r>
      <w:r w:rsidRPr="00BD1F38">
        <w:t xml:space="preserve">thus </w:t>
      </w:r>
      <w:r w:rsidRPr="00BD1F38">
        <w:rPr>
          <w:rFonts w:eastAsiaTheme="minorEastAsia"/>
        </w:rPr>
        <w:t>understand</w:t>
      </w:r>
      <w:r w:rsidRPr="00BD1F38">
        <w:t xml:space="preserve"> the </w:t>
      </w:r>
      <w:r w:rsidRPr="00BD1F38">
        <w:rPr>
          <w:rFonts w:eastAsiaTheme="minorEastAsia"/>
          <w:lang w:val="en-US"/>
        </w:rPr>
        <w:t xml:space="preserve">eco-spiritual </w:t>
      </w:r>
      <w:proofErr w:type="spellStart"/>
      <w:r w:rsidRPr="00BD1F38">
        <w:rPr>
          <w:lang w:val="en-US"/>
        </w:rPr>
        <w:t>interrelational</w:t>
      </w:r>
      <w:proofErr w:type="spellEnd"/>
      <w:r w:rsidRPr="00BD1F38">
        <w:rPr>
          <w:lang w:val="en-US"/>
        </w:rPr>
        <w:t xml:space="preserve"> environment</w:t>
      </w:r>
      <w:r w:rsidRPr="00BD1F38">
        <w:rPr>
          <w:rFonts w:eastAsiaTheme="minorEastAsia"/>
          <w:lang w:val="en-US"/>
        </w:rPr>
        <w:t xml:space="preserve"> of Vedic and Judaic peoples</w:t>
      </w:r>
      <w:r w:rsidRPr="00BD1F38">
        <w:rPr>
          <w:lang w:val="en-US"/>
        </w:rPr>
        <w:t xml:space="preserve"> respectively</w:t>
      </w:r>
      <w:r w:rsidRPr="00BD1F38">
        <w:rPr>
          <w:rFonts w:eastAsiaTheme="minorEastAsia"/>
          <w:lang w:val="en-US"/>
        </w:rPr>
        <w:t xml:space="preserve">, not only in an earthly sense but in </w:t>
      </w:r>
      <w:r w:rsidRPr="00BD1F38">
        <w:rPr>
          <w:lang w:val="en-US"/>
        </w:rPr>
        <w:t>their greater sacred</w:t>
      </w:r>
      <w:r w:rsidRPr="00BD1F38">
        <w:rPr>
          <w:rFonts w:eastAsiaTheme="minorEastAsia"/>
          <w:lang w:val="en-US"/>
        </w:rPr>
        <w:t xml:space="preserve"> cosmological environment composed of symbols and archetypal conception</w:t>
      </w:r>
      <w:r w:rsidRPr="00BD1F38">
        <w:rPr>
          <w:lang w:val="en-US"/>
        </w:rPr>
        <w:t xml:space="preserve">. This, therefore, offers, as was suggested possible in the introduction, a unique and arguably more holistically </w:t>
      </w:r>
      <w:proofErr w:type="spellStart"/>
      <w:r w:rsidRPr="00BD1F38">
        <w:rPr>
          <w:lang w:val="en-US"/>
        </w:rPr>
        <w:t>contextualised</w:t>
      </w:r>
      <w:proofErr w:type="spellEnd"/>
      <w:r w:rsidRPr="00BD1F38">
        <w:rPr>
          <w:lang w:val="en-US"/>
        </w:rPr>
        <w:t xml:space="preserve"> </w:t>
      </w:r>
      <w:r w:rsidRPr="00BD1F38">
        <w:rPr>
          <w:i/>
          <w:iCs/>
          <w:lang w:val="en-US"/>
        </w:rPr>
        <w:t>specified</w:t>
      </w:r>
      <w:r w:rsidRPr="00BD1F38">
        <w:rPr>
          <w:lang w:val="en-US"/>
        </w:rPr>
        <w:t xml:space="preserve"> representation of </w:t>
      </w:r>
      <w:r w:rsidRPr="00BD1F38">
        <w:rPr>
          <w:rFonts w:eastAsiaTheme="minorEastAsia"/>
        </w:rPr>
        <w:t xml:space="preserve">humanity’s eco-spiritual relationship with water than </w:t>
      </w:r>
      <w:r w:rsidRPr="00BD1F38">
        <w:t xml:space="preserve">Stokowski’s excellent, ambitiously culture-spanning piece </w:t>
      </w:r>
      <w:r w:rsidRPr="00BD1F38">
        <w:rPr>
          <w:i/>
          <w:iCs/>
        </w:rPr>
        <w:t>Symbolic Aspects of Water</w:t>
      </w:r>
      <w:r w:rsidRPr="00BD1F38">
        <w:rPr>
          <w:rStyle w:val="FootnoteReference"/>
        </w:rPr>
        <w:footnoteReference w:id="322"/>
      </w:r>
      <w:r w:rsidRPr="00BD1F38">
        <w:t>,</w:t>
      </w:r>
      <w:r w:rsidRPr="00BD1F38">
        <w:rPr>
          <w:rStyle w:val="FootnoteReference"/>
        </w:rPr>
        <w:footnoteReference w:id="323"/>
      </w:r>
      <w:r w:rsidRPr="00BD1F38">
        <w:t xml:space="preserve"> </w:t>
      </w:r>
      <w:r w:rsidRPr="00BD1F38">
        <w:rPr>
          <w:rFonts w:eastAsiaTheme="minorEastAsia"/>
        </w:rPr>
        <w:t>in their concentrated example</w:t>
      </w:r>
      <w:r w:rsidRPr="00BD1F38">
        <w:rPr>
          <w:rFonts w:eastAsiaTheme="minorEastAsia"/>
          <w:i/>
          <w:iCs/>
        </w:rPr>
        <w:t xml:space="preserve"> </w:t>
      </w:r>
      <w:r w:rsidRPr="00BD1F38">
        <w:rPr>
          <w:rFonts w:eastAsiaTheme="minorEastAsia"/>
        </w:rPr>
        <w:t xml:space="preserve">provided through anthropological, religious (textual and ritual), and comparative mythological interpretive examination as </w:t>
      </w:r>
      <w:proofErr w:type="spellStart"/>
      <w:r w:rsidRPr="00BD1F38">
        <w:rPr>
          <w:rFonts w:eastAsiaTheme="minorEastAsia"/>
        </w:rPr>
        <w:t>Roesler</w:t>
      </w:r>
      <w:proofErr w:type="spellEnd"/>
      <w:r w:rsidRPr="00BD1F38">
        <w:rPr>
          <w:rFonts w:eastAsiaTheme="minorEastAsia"/>
        </w:rPr>
        <w:t xml:space="preserve"> recommended</w:t>
      </w:r>
      <w:r w:rsidRPr="00BD1F38">
        <w:t xml:space="preserve"> for further research. Similarly heeding </w:t>
      </w:r>
      <w:proofErr w:type="spellStart"/>
      <w:r w:rsidRPr="00BD1F38">
        <w:t>Roesler’s</w:t>
      </w:r>
      <w:proofErr w:type="spellEnd"/>
      <w:r w:rsidRPr="00BD1F38">
        <w:t xml:space="preserve"> </w:t>
      </w:r>
      <w:r w:rsidRPr="00BD1F38">
        <w:rPr>
          <w:rFonts w:eastAsiaTheme="minorEastAsia"/>
        </w:rPr>
        <w:t>interpretive research sugg</w:t>
      </w:r>
      <w:r w:rsidRPr="00BD1F38">
        <w:t xml:space="preserve">estions, comparing the </w:t>
      </w:r>
      <w:proofErr w:type="spellStart"/>
      <w:r w:rsidRPr="00BD1F38">
        <w:t>archetypalised</w:t>
      </w:r>
      <w:proofErr w:type="spellEnd"/>
      <w:r w:rsidRPr="00BD1F38">
        <w:t xml:space="preserve"> mythology of both Judaic </w:t>
      </w:r>
      <w:r w:rsidRPr="00BD1F38">
        <w:rPr>
          <w:i/>
          <w:iCs/>
        </w:rPr>
        <w:t>and</w:t>
      </w:r>
      <w:r w:rsidRPr="00BD1F38">
        <w:t xml:space="preserve"> Vedic thought in order to bridge some of the academic gaps within archetype research, the resulting </w:t>
      </w:r>
      <w:r w:rsidRPr="00BD1F38">
        <w:rPr>
          <w:rFonts w:eastAsiaTheme="minorEastAsia"/>
        </w:rPr>
        <w:t>interpretation</w:t>
      </w:r>
      <w:r w:rsidRPr="00BD1F38">
        <w:t>s having greater reliability - in terms of rendering the results less destabilised by unrecognised or undisclosed confirmation bias, and possibly broader applicability for future research seeking to answer the same or similar research question but using material from different religions.</w:t>
      </w:r>
      <w:r w:rsidRPr="00BD1F38">
        <w:rPr>
          <w:rStyle w:val="FootnoteReference"/>
        </w:rPr>
        <w:footnoteReference w:id="324"/>
      </w:r>
    </w:p>
    <w:p w14:paraId="4959A618" w14:textId="77777777" w:rsidR="0045403B" w:rsidRPr="00BD1F38" w:rsidRDefault="0045403B" w:rsidP="00711677">
      <w:pPr>
        <w:tabs>
          <w:tab w:val="left" w:pos="6260"/>
        </w:tabs>
        <w:autoSpaceDE w:val="0"/>
        <w:autoSpaceDN w:val="0"/>
        <w:adjustRightInd w:val="0"/>
        <w:spacing w:line="360" w:lineRule="auto"/>
      </w:pPr>
    </w:p>
    <w:p w14:paraId="02F31460" w14:textId="0DD66CF2" w:rsidR="0045403B" w:rsidRPr="00BD1F38" w:rsidRDefault="0045403B" w:rsidP="00711677">
      <w:pPr>
        <w:tabs>
          <w:tab w:val="left" w:pos="6260"/>
        </w:tabs>
        <w:autoSpaceDE w:val="0"/>
        <w:autoSpaceDN w:val="0"/>
        <w:adjustRightInd w:val="0"/>
        <w:spacing w:line="360" w:lineRule="auto"/>
      </w:pPr>
      <w:r w:rsidRPr="00BD1F38">
        <w:t xml:space="preserve">My work notably diverges from and thus supplements Stokowski’s also in my focus on the impact of water as a uniquely </w:t>
      </w:r>
      <w:r w:rsidRPr="00BD1F38">
        <w:rPr>
          <w:i/>
          <w:iCs/>
        </w:rPr>
        <w:t>sacred</w:t>
      </w:r>
      <w:r w:rsidRPr="00BD1F38">
        <w:t xml:space="preserve"> force. The methodological approach I took, using primary </w:t>
      </w:r>
      <w:r w:rsidRPr="00BD1F38">
        <w:lastRenderedPageBreak/>
        <w:t xml:space="preserve">sacred source material </w:t>
      </w:r>
      <w:r w:rsidRPr="00BD1F38">
        <w:rPr>
          <w:i/>
          <w:iCs/>
        </w:rPr>
        <w:t>and</w:t>
      </w:r>
      <w:r w:rsidRPr="00BD1F38">
        <w:t xml:space="preserve"> ritual; reflecting more the changing, </w:t>
      </w:r>
      <w:r w:rsidRPr="00BD1F38">
        <w:rPr>
          <w:i/>
          <w:iCs/>
        </w:rPr>
        <w:t>anthropologically relevant</w:t>
      </w:r>
      <w:r w:rsidRPr="00BD1F38">
        <w:t xml:space="preserve"> ‘needs and interests’ of cultures that empower and embody the dynamic substance and subsistence of archetypes;</w:t>
      </w:r>
      <w:r w:rsidRPr="00BD1F38">
        <w:rPr>
          <w:rStyle w:val="FootnoteReference"/>
        </w:rPr>
        <w:footnoteReference w:id="325"/>
      </w:r>
      <w:r w:rsidRPr="00BD1F38">
        <w:t xml:space="preserve"> </w:t>
      </w:r>
      <w:r w:rsidRPr="00BD1F38">
        <w:rPr>
          <w:lang w:val="en-US"/>
        </w:rPr>
        <w:t>illuminated aspects of how these specific groups ‘relate to the sacred within the context of […] natural [local], global, and even cosmic ecosystems’</w:t>
      </w:r>
      <w:r w:rsidRPr="00BD1F38">
        <w:rPr>
          <w:rStyle w:val="FootnoteReference"/>
        </w:rPr>
        <w:footnoteReference w:id="326"/>
      </w:r>
      <w:r w:rsidRPr="00BD1F38">
        <w:rPr>
          <w:lang w:val="en-US"/>
        </w:rPr>
        <w:t xml:space="preserve"> and as such, by Wheeler’s identification: adds valuably to eco-spiritual research; additionally relating the academic fields of archetypal and eco-spiritual research – </w:t>
      </w:r>
      <w:proofErr w:type="spellStart"/>
      <w:r w:rsidRPr="00BD1F38">
        <w:rPr>
          <w:lang w:val="en-US"/>
        </w:rPr>
        <w:t>cognising</w:t>
      </w:r>
      <w:proofErr w:type="spellEnd"/>
      <w:r w:rsidRPr="00BD1F38">
        <w:rPr>
          <w:lang w:val="en-US"/>
        </w:rPr>
        <w:t xml:space="preserve"> </w:t>
      </w:r>
      <w:r w:rsidRPr="00BD1F38">
        <w:t xml:space="preserve">how aquatic environmental circumstances may have influenced the formation of divine archetypes and how this may have influenced perception of and interrelationship with both the local environment and the greater sacred cosmological environment they inhabit as Eliade’s </w:t>
      </w:r>
      <w:r w:rsidRPr="00BD1F38">
        <w:rPr>
          <w:i/>
          <w:iCs/>
        </w:rPr>
        <w:t xml:space="preserve">homo </w:t>
      </w:r>
      <w:proofErr w:type="spellStart"/>
      <w:r w:rsidRPr="00BD1F38">
        <w:rPr>
          <w:i/>
          <w:iCs/>
        </w:rPr>
        <w:t>religiosus</w:t>
      </w:r>
      <w:proofErr w:type="spellEnd"/>
      <w:r w:rsidRPr="00BD1F38">
        <w:t>.</w:t>
      </w:r>
      <w:r w:rsidRPr="00BD1F38">
        <w:rPr>
          <w:rStyle w:val="FootnoteReference"/>
        </w:rPr>
        <w:footnoteReference w:id="327"/>
      </w:r>
      <w:r w:rsidRPr="00BD1F38">
        <w:t xml:space="preserve"> As such, this dissertation predominantly contributes to the research of Eliade on sacred space; Wheeler on eco-spirituality; and Jung and </w:t>
      </w:r>
      <w:proofErr w:type="spellStart"/>
      <w:r w:rsidRPr="00BD1F38">
        <w:t>Roesler</w:t>
      </w:r>
      <w:proofErr w:type="spellEnd"/>
      <w:r w:rsidRPr="00BD1F38">
        <w:t xml:space="preserve"> with archetypes, and Stokowski on the relationship between water and people. The effects of </w:t>
      </w:r>
      <w:proofErr w:type="spellStart"/>
      <w:r w:rsidRPr="00BD1F38">
        <w:t>hierophany</w:t>
      </w:r>
      <w:proofErr w:type="spellEnd"/>
      <w:r w:rsidRPr="00BD1F38">
        <w:t xml:space="preserve">, value, anthropomorphism, and within these themes the likes of bodily </w:t>
      </w:r>
      <w:proofErr w:type="gramStart"/>
      <w:r w:rsidRPr="00BD1F38">
        <w:t>fluids’</w:t>
      </w:r>
      <w:proofErr w:type="gramEnd"/>
      <w:r w:rsidRPr="00BD1F38">
        <w:t xml:space="preserve"> and hydrological environmental catastrophes’ link to archetypal metaphysical ideation – further indicating specific constituents of these themes that are potentially fruitful branches of prospective research that could under enhanced analytical focus prove to yield additional knowledge in these fields.  </w:t>
      </w:r>
    </w:p>
    <w:p w14:paraId="42614CA4" w14:textId="77777777" w:rsidR="0045403B" w:rsidRPr="00BD1F38" w:rsidRDefault="0045403B" w:rsidP="00711677">
      <w:pPr>
        <w:spacing w:before="100" w:beforeAutospacing="1" w:after="100" w:afterAutospacing="1" w:line="360" w:lineRule="auto"/>
        <w:rPr>
          <w:color w:val="000000"/>
        </w:rPr>
      </w:pPr>
      <w:r w:rsidRPr="00BD1F38">
        <w:rPr>
          <w:rFonts w:eastAsiaTheme="minorEastAsia"/>
        </w:rPr>
        <w:t xml:space="preserve">This </w:t>
      </w:r>
      <w:r w:rsidRPr="00BD1F38">
        <w:t>‘</w:t>
      </w:r>
      <w:r w:rsidRPr="00BD1F38">
        <w:rPr>
          <w:rFonts w:eastAsiaTheme="minorEastAsia"/>
          <w:color w:val="000000" w:themeColor="text1"/>
          <w:lang w:val="en-US"/>
        </w:rPr>
        <w:t xml:space="preserve">specific local landscape, </w:t>
      </w:r>
      <w:r w:rsidRPr="00BD1F38">
        <w:rPr>
          <w:color w:val="000000" w:themeColor="text1"/>
          <w:lang w:val="en-US"/>
        </w:rPr>
        <w:t xml:space="preserve">[…] </w:t>
      </w:r>
      <w:r w:rsidRPr="00BD1F38">
        <w:rPr>
          <w:rFonts w:eastAsiaTheme="minorEastAsia"/>
          <w:color w:val="000000" w:themeColor="text1"/>
          <w:lang w:val="en-US"/>
        </w:rPr>
        <w:t xml:space="preserve">product of </w:t>
      </w:r>
      <w:r w:rsidRPr="00BD1F38">
        <w:rPr>
          <w:color w:val="000000" w:themeColor="text1"/>
          <w:lang w:val="en-US"/>
        </w:rPr>
        <w:t xml:space="preserve">[…] </w:t>
      </w:r>
      <w:r w:rsidRPr="00BD1F38">
        <w:rPr>
          <w:rFonts w:eastAsiaTheme="minorEastAsia"/>
          <w:color w:val="000000" w:themeColor="text1"/>
          <w:lang w:val="en-US"/>
        </w:rPr>
        <w:t>society</w:t>
      </w:r>
      <w:r w:rsidRPr="00BD1F38">
        <w:rPr>
          <w:color w:val="000000" w:themeColor="text1"/>
          <w:lang w:val="en-US"/>
        </w:rPr>
        <w:t>’-</w:t>
      </w:r>
      <w:r w:rsidRPr="00BD1F38">
        <w:rPr>
          <w:rFonts w:eastAsiaTheme="minorEastAsia"/>
        </w:rPr>
        <w:t>contextualised</w:t>
      </w:r>
      <w:r w:rsidRPr="00BD1F38">
        <w:rPr>
          <w:rStyle w:val="FootnoteReference"/>
          <w:rFonts w:eastAsiaTheme="minorEastAsia"/>
          <w:color w:val="000000" w:themeColor="text1"/>
          <w:lang w:val="en-US"/>
        </w:rPr>
        <w:footnoteReference w:id="328"/>
      </w:r>
      <w:r w:rsidRPr="00BD1F38">
        <w:rPr>
          <w:rFonts w:eastAsiaTheme="minorEastAsia"/>
        </w:rPr>
        <w:t xml:space="preserve"> tripartite academic lens indicates scope for further research using the same research question but with different primary sacred source material or eco-spiritual rituals </w:t>
      </w:r>
      <w:proofErr w:type="gramStart"/>
      <w:r w:rsidRPr="00BD1F38">
        <w:rPr>
          <w:rFonts w:eastAsiaTheme="minorEastAsia"/>
        </w:rPr>
        <w:t>in order to</w:t>
      </w:r>
      <w:proofErr w:type="gramEnd"/>
      <w:r w:rsidRPr="00BD1F38">
        <w:rPr>
          <w:rFonts w:eastAsiaTheme="minorEastAsia"/>
        </w:rPr>
        <w:t xml:space="preserve"> expand the field of view of this lens when applied to eco-spiritual environmental engagement. Another plausible avenue for research would be to use this same tripartite lens when attempting to research the formation of divine archetypes in other religions to see if it is applicable in a greater or lesser extent. This could be done specifically in relation to apparent water-centric religious symbolism or pertaining to other socio-ecological factors. Further research would also help to corroborate or dilute the efficacy of these three main emergent themes of this</w:t>
      </w:r>
      <w:r w:rsidRPr="00BD1F38">
        <w:rPr>
          <w:rFonts w:eastAsiaTheme="minorEastAsia"/>
          <w:lang w:val="en-US"/>
        </w:rPr>
        <w:t xml:space="preserve"> dissertation</w:t>
      </w:r>
      <w:r w:rsidRPr="00BD1F38">
        <w:rPr>
          <w:lang w:val="en-US"/>
        </w:rPr>
        <w:t xml:space="preserve">, and </w:t>
      </w:r>
      <w:proofErr w:type="spellStart"/>
      <w:r w:rsidRPr="00BD1F38">
        <w:rPr>
          <w:color w:val="000000"/>
          <w:lang w:val="en-US"/>
        </w:rPr>
        <w:t>i</w:t>
      </w:r>
      <w:r w:rsidRPr="00BD1F38">
        <w:rPr>
          <w:color w:val="000000"/>
        </w:rPr>
        <w:t>nvestigating</w:t>
      </w:r>
      <w:proofErr w:type="spellEnd"/>
      <w:r w:rsidRPr="00BD1F38">
        <w:rPr>
          <w:color w:val="000000"/>
        </w:rPr>
        <w:t xml:space="preserve"> the uniquely sacred force of water in relation to divine archetypes of other cultures would provide a broader comparative vantage and allow for additional cultural narrative exposition. </w:t>
      </w:r>
    </w:p>
    <w:p w14:paraId="2AC9548D" w14:textId="63CDFC29" w:rsidR="0045403B" w:rsidRPr="00BD1F38" w:rsidRDefault="0045403B" w:rsidP="00711677">
      <w:pPr>
        <w:spacing w:line="360" w:lineRule="auto"/>
      </w:pPr>
      <w:proofErr w:type="gramStart"/>
      <w:r w:rsidRPr="00BD1F38">
        <w:lastRenderedPageBreak/>
        <w:t>Finally</w:t>
      </w:r>
      <w:proofErr w:type="gramEnd"/>
      <w:r w:rsidRPr="00BD1F38">
        <w:t xml:space="preserve"> then: </w:t>
      </w:r>
      <w:proofErr w:type="spellStart"/>
      <w:r w:rsidRPr="00BD1F38">
        <w:t>hierophany</w:t>
      </w:r>
      <w:proofErr w:type="spellEnd"/>
      <w:r w:rsidRPr="00BD1F38">
        <w:t xml:space="preserve">, value, anthropomorphism, and their evident interconnectedness, were revealed in the evidence provided and interpreted in this thesis, as the most pressing ways in which water may have </w:t>
      </w:r>
      <w:r w:rsidRPr="00BD1F38">
        <w:rPr>
          <w:rFonts w:eastAsiaTheme="minorEastAsia"/>
        </w:rPr>
        <w:t>influenced divine archetypes of select Judaic and Vedic thought, respectively represented in Torah and Rig Veda</w:t>
      </w:r>
      <w:r w:rsidRPr="00BD1F38">
        <w:t xml:space="preserve">. How and </w:t>
      </w:r>
      <w:proofErr w:type="gramStart"/>
      <w:r w:rsidRPr="00BD1F38">
        <w:t>why</w:t>
      </w:r>
      <w:proofErr w:type="gramEnd"/>
      <w:r w:rsidRPr="00BD1F38">
        <w:t xml:space="preserve"> this was the case was indicated as being a complex array of variances on psychological, physiological, sociological interpretations of the experiential stimuli</w:t>
      </w:r>
      <w:r w:rsidR="00667849" w:rsidRPr="00BD1F38">
        <w:t xml:space="preserve"> </w:t>
      </w:r>
      <w:proofErr w:type="spellStart"/>
      <w:r w:rsidR="00667849" w:rsidRPr="00BD1F38">
        <w:t>categorisable</w:t>
      </w:r>
      <w:proofErr w:type="spellEnd"/>
      <w:r w:rsidR="00667849" w:rsidRPr="00BD1F38">
        <w:t xml:space="preserve"> as one or multiple of what Water Giveth, Taketh Away, </w:t>
      </w:r>
      <w:r w:rsidR="00D85993" w:rsidRPr="00BD1F38">
        <w:t>or</w:t>
      </w:r>
      <w:r w:rsidR="00667849" w:rsidRPr="00BD1F38">
        <w:t xml:space="preserve"> Reflections on its and our</w:t>
      </w:r>
      <w:r w:rsidR="00072AE9" w:rsidRPr="00BD1F38">
        <w:t xml:space="preserve"> eco-spiritual</w:t>
      </w:r>
      <w:r w:rsidR="00667849" w:rsidRPr="00BD1F38">
        <w:t xml:space="preserve"> interrelationship with the local and greater sacred cosmological environment composed of our divine archetypes</w:t>
      </w:r>
      <w:r w:rsidR="000969DC" w:rsidRPr="00BD1F38">
        <w:t>.</w:t>
      </w:r>
      <w:r w:rsidR="00A8253C" w:rsidRPr="00BD1F38">
        <w:t xml:space="preserve"> </w:t>
      </w:r>
      <w:r w:rsidR="00E85D67" w:rsidRPr="00BD1F38">
        <w:t xml:space="preserve">Regarding </w:t>
      </w:r>
      <w:proofErr w:type="spellStart"/>
      <w:r w:rsidR="00E85D67" w:rsidRPr="00BD1F38">
        <w:t>Tevilah</w:t>
      </w:r>
      <w:proofErr w:type="spellEnd"/>
      <w:r w:rsidR="00E85D67" w:rsidRPr="00BD1F38">
        <w:t xml:space="preserve"> and Soma having been shaped by or reflecting certain divine archetypes of the eco-spiritual beliefs and practises of the Judaic and Vedic people, i</w:t>
      </w:r>
      <w:r w:rsidRPr="00BD1F38">
        <w:t xml:space="preserve">t is a case of parsing the symbolism </w:t>
      </w:r>
      <w:r w:rsidR="00A9179E" w:rsidRPr="00BD1F38">
        <w:t xml:space="preserve">to understand </w:t>
      </w:r>
      <w:r w:rsidR="00D5312B" w:rsidRPr="00BD1F38">
        <w:t xml:space="preserve">water’s </w:t>
      </w:r>
      <w:r w:rsidR="00870B52" w:rsidRPr="00BD1F38">
        <w:t xml:space="preserve">possible </w:t>
      </w:r>
      <w:r w:rsidR="00D5312B" w:rsidRPr="00BD1F38">
        <w:t xml:space="preserve">influence </w:t>
      </w:r>
      <w:r w:rsidR="00B20D13" w:rsidRPr="00BD1F38">
        <w:t xml:space="preserve">in this. </w:t>
      </w:r>
      <w:r w:rsidR="00E55CF6" w:rsidRPr="00BD1F38">
        <w:t xml:space="preserve">This </w:t>
      </w:r>
      <w:r w:rsidRPr="00BD1F38">
        <w:t xml:space="preserve">is where the primary sacred textual </w:t>
      </w:r>
      <w:r w:rsidR="00242CB0" w:rsidRPr="00BD1F38">
        <w:t xml:space="preserve">source </w:t>
      </w:r>
      <w:r w:rsidRPr="00BD1F38">
        <w:t>material of Torah and Rig Veda proved essential to this undertaking. Given the evidence</w:t>
      </w:r>
      <w:r w:rsidR="00A04623" w:rsidRPr="00BD1F38">
        <w:t xml:space="preserve"> provided</w:t>
      </w:r>
      <w:r w:rsidRPr="00BD1F38">
        <w:t>, it stands to reason that they</w:t>
      </w:r>
      <w:r w:rsidR="001E628A" w:rsidRPr="00BD1F38">
        <w:t xml:space="preserve"> both reflect </w:t>
      </w:r>
      <w:r w:rsidR="001E628A" w:rsidRPr="00BD1F38">
        <w:rPr>
          <w:i/>
          <w:iCs/>
        </w:rPr>
        <w:t>and</w:t>
      </w:r>
      <w:r w:rsidRPr="00BD1F38">
        <w:t xml:space="preserve"> are shaped by </w:t>
      </w:r>
      <w:r w:rsidR="00901FA6" w:rsidRPr="00BD1F38">
        <w:t>it</w:t>
      </w:r>
      <w:r w:rsidRPr="00BD1F38">
        <w:t xml:space="preserve">, though the extent to which this is the case is difficult to </w:t>
      </w:r>
      <w:r w:rsidR="00E85D67" w:rsidRPr="00BD1F38">
        <w:t xml:space="preserve">conclusively </w:t>
      </w:r>
      <w:r w:rsidRPr="00BD1F38">
        <w:t>determine.</w:t>
      </w:r>
      <w:r w:rsidR="00030DF7" w:rsidRPr="00BD1F38">
        <w:t xml:space="preserve"> T</w:t>
      </w:r>
      <w:r w:rsidRPr="00BD1F38">
        <w:t>extual and ritual interpretation</w:t>
      </w:r>
      <w:r w:rsidR="00030DF7" w:rsidRPr="00BD1F38">
        <w:t>, however,</w:t>
      </w:r>
      <w:r w:rsidRPr="00BD1F38">
        <w:t xml:space="preserve"> as done here</w:t>
      </w:r>
      <w:r w:rsidR="00030DF7" w:rsidRPr="00BD1F38">
        <w:t>,</w:t>
      </w:r>
      <w:r w:rsidRPr="00BD1F38">
        <w:t xml:space="preserve"> is academically necessary in distinguishing how it </w:t>
      </w:r>
      <w:r w:rsidRPr="00BD1F38">
        <w:rPr>
          <w:i/>
          <w:iCs/>
        </w:rPr>
        <w:t>may</w:t>
      </w:r>
      <w:r w:rsidRPr="00BD1F38">
        <w:t xml:space="preserve"> be illustrated so that academia is ready to contextualise any additional affirmatory information that presents itself.  </w:t>
      </w:r>
    </w:p>
    <w:p w14:paraId="08BD728D" w14:textId="77777777" w:rsidR="0045403B" w:rsidRPr="00BD1F38" w:rsidRDefault="0045403B" w:rsidP="00711677">
      <w:pPr>
        <w:spacing w:line="360" w:lineRule="auto"/>
      </w:pPr>
    </w:p>
    <w:p w14:paraId="4B73C235" w14:textId="77777777" w:rsidR="00244366" w:rsidRPr="00BD1F38" w:rsidRDefault="00244366" w:rsidP="00711677">
      <w:pPr>
        <w:spacing w:line="360" w:lineRule="auto"/>
      </w:pPr>
    </w:p>
    <w:p w14:paraId="69F6E1D3" w14:textId="77777777" w:rsidR="00ED1C7D" w:rsidRPr="00BD1F38" w:rsidRDefault="00ED1C7D" w:rsidP="00711677">
      <w:pPr>
        <w:spacing w:line="360" w:lineRule="auto"/>
      </w:pPr>
    </w:p>
    <w:p w14:paraId="705E4CA2" w14:textId="77777777" w:rsidR="00A8253C" w:rsidRPr="00BD1F38" w:rsidRDefault="00A8253C" w:rsidP="00B55DF8">
      <w:pPr>
        <w:rPr>
          <w:sz w:val="52"/>
          <w:szCs w:val="52"/>
        </w:rPr>
      </w:pPr>
    </w:p>
    <w:p w14:paraId="160C36CD" w14:textId="77777777" w:rsidR="000B5724" w:rsidRPr="00BD1F38" w:rsidRDefault="000B5724" w:rsidP="00B55DF8">
      <w:pPr>
        <w:rPr>
          <w:sz w:val="52"/>
          <w:szCs w:val="52"/>
        </w:rPr>
      </w:pPr>
    </w:p>
    <w:p w14:paraId="02DA241E" w14:textId="77777777" w:rsidR="00875A97" w:rsidRDefault="00875A97" w:rsidP="00B55DF8">
      <w:pPr>
        <w:rPr>
          <w:sz w:val="52"/>
          <w:szCs w:val="52"/>
        </w:rPr>
      </w:pPr>
    </w:p>
    <w:p w14:paraId="07449CE7" w14:textId="77777777" w:rsidR="00782EB4" w:rsidRDefault="00782EB4" w:rsidP="00B55DF8">
      <w:pPr>
        <w:rPr>
          <w:sz w:val="52"/>
          <w:szCs w:val="52"/>
        </w:rPr>
      </w:pPr>
    </w:p>
    <w:p w14:paraId="407F8752" w14:textId="77777777" w:rsidR="00782EB4" w:rsidRDefault="00782EB4" w:rsidP="00B55DF8">
      <w:pPr>
        <w:rPr>
          <w:sz w:val="52"/>
          <w:szCs w:val="52"/>
        </w:rPr>
      </w:pPr>
    </w:p>
    <w:p w14:paraId="33C5D6D5" w14:textId="77777777" w:rsidR="00782EB4" w:rsidRDefault="00782EB4" w:rsidP="00B55DF8">
      <w:pPr>
        <w:rPr>
          <w:sz w:val="52"/>
          <w:szCs w:val="52"/>
        </w:rPr>
      </w:pPr>
    </w:p>
    <w:p w14:paraId="7C93E7E9" w14:textId="77777777" w:rsidR="00782EB4" w:rsidRPr="00BD1F38" w:rsidRDefault="00782EB4" w:rsidP="00B55DF8">
      <w:pPr>
        <w:rPr>
          <w:sz w:val="52"/>
          <w:szCs w:val="52"/>
        </w:rPr>
      </w:pPr>
    </w:p>
    <w:p w14:paraId="1A5EC5A5" w14:textId="77777777" w:rsidR="000B52AB" w:rsidRPr="00BD1F38" w:rsidRDefault="000B52AB"/>
    <w:p w14:paraId="3A154C06" w14:textId="1170DB4D" w:rsidR="00452FD4" w:rsidRPr="00BD1F38" w:rsidRDefault="00451CF9" w:rsidP="00452FD4">
      <w:pPr>
        <w:autoSpaceDE w:val="0"/>
        <w:autoSpaceDN w:val="0"/>
        <w:adjustRightInd w:val="0"/>
        <w:jc w:val="center"/>
        <w:rPr>
          <w:rFonts w:eastAsiaTheme="minorEastAsia"/>
          <w:b/>
          <w:bCs/>
          <w:sz w:val="72"/>
          <w:szCs w:val="72"/>
        </w:rPr>
      </w:pPr>
      <w:r w:rsidRPr="00BD1F38">
        <w:rPr>
          <w:rFonts w:eastAsiaTheme="minorEastAsia"/>
          <w:b/>
          <w:bCs/>
          <w:sz w:val="72"/>
          <w:szCs w:val="72"/>
        </w:rPr>
        <w:lastRenderedPageBreak/>
        <w:t>BIBLIOGRAPHY</w:t>
      </w:r>
    </w:p>
    <w:p w14:paraId="11DE9B1A" w14:textId="77777777" w:rsidR="000B52AB" w:rsidRPr="00BD1F38" w:rsidRDefault="000B52AB" w:rsidP="00452FD4">
      <w:pPr>
        <w:autoSpaceDE w:val="0"/>
        <w:autoSpaceDN w:val="0"/>
        <w:adjustRightInd w:val="0"/>
      </w:pPr>
    </w:p>
    <w:p w14:paraId="7FDD32DB" w14:textId="77777777" w:rsidR="0048258B" w:rsidRPr="00BD1F38" w:rsidRDefault="0048258B" w:rsidP="00452FD4">
      <w:pPr>
        <w:autoSpaceDE w:val="0"/>
        <w:autoSpaceDN w:val="0"/>
        <w:adjustRightInd w:val="0"/>
      </w:pPr>
    </w:p>
    <w:p w14:paraId="4790C36A" w14:textId="405C1A95" w:rsidR="0048258B" w:rsidRPr="00BD1F38" w:rsidRDefault="0048258B" w:rsidP="00452FD4">
      <w:pPr>
        <w:autoSpaceDE w:val="0"/>
        <w:autoSpaceDN w:val="0"/>
        <w:adjustRightInd w:val="0"/>
      </w:pPr>
      <w:r w:rsidRPr="00BD1F38">
        <w:t xml:space="preserve">Adler, Yonatan, ‘On the Origins of </w:t>
      </w:r>
      <w:proofErr w:type="spellStart"/>
      <w:r w:rsidRPr="00BD1F38">
        <w:t>Tevilah</w:t>
      </w:r>
      <w:proofErr w:type="spellEnd"/>
      <w:r w:rsidRPr="00BD1F38">
        <w:t xml:space="preserve"> (Ritual Immersion)’, </w:t>
      </w:r>
      <w:r w:rsidRPr="00BD1F38">
        <w:rPr>
          <w:i/>
          <w:iCs/>
        </w:rPr>
        <w:t>TheTorah.com</w:t>
      </w:r>
      <w:r w:rsidRPr="00BD1F38">
        <w:t xml:space="preserve"> (2017) &lt;</w:t>
      </w:r>
      <w:hyperlink r:id="rId10" w:history="1">
        <w:r w:rsidRPr="00BD1F38">
          <w:rPr>
            <w:rStyle w:val="Hyperlink"/>
          </w:rPr>
          <w:t>https://thetorah.com/article/on-the-origins-of-tevilah-ritual-immersion</w:t>
        </w:r>
      </w:hyperlink>
      <w:r w:rsidRPr="00BD1F38">
        <w:t>&gt; [accessed 20 November 2024].</w:t>
      </w:r>
    </w:p>
    <w:p w14:paraId="47FE18E4" w14:textId="77777777" w:rsidR="0048258B" w:rsidRPr="00BD1F38" w:rsidRDefault="0048258B" w:rsidP="00452FD4">
      <w:pPr>
        <w:autoSpaceDE w:val="0"/>
        <w:autoSpaceDN w:val="0"/>
        <w:adjustRightInd w:val="0"/>
      </w:pPr>
    </w:p>
    <w:p w14:paraId="0E9DE545" w14:textId="63F4F611" w:rsidR="00452FD4" w:rsidRPr="00BD1F38" w:rsidRDefault="00452FD4" w:rsidP="00452FD4">
      <w:pPr>
        <w:autoSpaceDE w:val="0"/>
        <w:autoSpaceDN w:val="0"/>
        <w:adjustRightInd w:val="0"/>
      </w:pPr>
      <w:proofErr w:type="spellStart"/>
      <w:r w:rsidRPr="00BD1F38">
        <w:t>Ahirrao</w:t>
      </w:r>
      <w:proofErr w:type="spellEnd"/>
      <w:r w:rsidRPr="00BD1F38">
        <w:t xml:space="preserve">, Y. A. and A. Patil, ‘Identity </w:t>
      </w:r>
      <w:proofErr w:type="gramStart"/>
      <w:r w:rsidRPr="00BD1F38">
        <w:t>And</w:t>
      </w:r>
      <w:proofErr w:type="gramEnd"/>
      <w:r w:rsidRPr="00BD1F38">
        <w:t xml:space="preserve"> Understanding of Soma Plant In Perspective of Indian </w:t>
      </w:r>
      <w:proofErr w:type="spellStart"/>
      <w:r w:rsidRPr="00BD1F38">
        <w:t>Bioculture</w:t>
      </w:r>
      <w:proofErr w:type="spellEnd"/>
      <w:r w:rsidRPr="00BD1F38">
        <w:t xml:space="preserve"> And Medicine’, </w:t>
      </w:r>
      <w:r w:rsidRPr="00BD1F38">
        <w:rPr>
          <w:i/>
          <w:iCs/>
        </w:rPr>
        <w:t>International Journal of Scientific Research in Science and Technology</w:t>
      </w:r>
      <w:r w:rsidRPr="00BD1F38">
        <w:t>, 9.2 (2022), p. 327-337 &lt;DOI: 10.32628/IJSRST229250&gt;</w:t>
      </w:r>
    </w:p>
    <w:p w14:paraId="486C73D6" w14:textId="77777777" w:rsidR="00DE1506" w:rsidRPr="00BD1F38" w:rsidRDefault="00DE1506" w:rsidP="00452FD4">
      <w:pPr>
        <w:autoSpaceDE w:val="0"/>
        <w:autoSpaceDN w:val="0"/>
        <w:adjustRightInd w:val="0"/>
        <w:rPr>
          <w:rFonts w:eastAsiaTheme="minorEastAsia"/>
        </w:rPr>
      </w:pPr>
    </w:p>
    <w:p w14:paraId="6280377C" w14:textId="1DFA15CB" w:rsidR="00DE1506" w:rsidRPr="00BD1F38" w:rsidRDefault="00DE1506" w:rsidP="00452FD4">
      <w:pPr>
        <w:autoSpaceDE w:val="0"/>
        <w:autoSpaceDN w:val="0"/>
        <w:adjustRightInd w:val="0"/>
        <w:rPr>
          <w:rFonts w:eastAsiaTheme="minorEastAsia"/>
        </w:rPr>
      </w:pPr>
      <w:proofErr w:type="spellStart"/>
      <w:r w:rsidRPr="00BD1F38">
        <w:rPr>
          <w:rFonts w:eastAsiaTheme="minorEastAsia"/>
          <w:lang w:val="en-US"/>
        </w:rPr>
        <w:t>Azoulay</w:t>
      </w:r>
      <w:proofErr w:type="spellEnd"/>
      <w:r w:rsidRPr="00BD1F38">
        <w:rPr>
          <w:rFonts w:eastAsiaTheme="minorEastAsia"/>
          <w:lang w:val="en-US"/>
        </w:rPr>
        <w:t xml:space="preserve">, Audrey, and UNESCO, ‘Foreword’, in </w:t>
      </w:r>
      <w:r w:rsidRPr="00BD1F38">
        <w:rPr>
          <w:rFonts w:eastAsiaTheme="minorEastAsia"/>
          <w:i/>
          <w:iCs/>
          <w:lang w:val="en-US"/>
        </w:rPr>
        <w:t>VALUING WATER</w:t>
      </w:r>
      <w:r w:rsidRPr="00BD1F38">
        <w:rPr>
          <w:rFonts w:eastAsiaTheme="minorEastAsia"/>
          <w:lang w:val="en-US"/>
        </w:rPr>
        <w:t>, UNESCO, 2021, pp. vi–</w:t>
      </w:r>
      <w:proofErr w:type="gramStart"/>
      <w:r w:rsidRPr="00BD1F38">
        <w:rPr>
          <w:rFonts w:eastAsiaTheme="minorEastAsia"/>
          <w:lang w:val="en-US"/>
        </w:rPr>
        <w:t>vi  &lt;</w:t>
      </w:r>
      <w:proofErr w:type="gramEnd"/>
      <w:r w:rsidR="00000000">
        <w:fldChar w:fldCharType="begin"/>
      </w:r>
      <w:r w:rsidR="00000000">
        <w:instrText>HYPERLINK "http://www.jstor.org/stable/resrep65081.3"</w:instrText>
      </w:r>
      <w:r w:rsidR="00000000">
        <w:fldChar w:fldCharType="separate"/>
      </w:r>
      <w:r w:rsidRPr="00BD1F38">
        <w:rPr>
          <w:rStyle w:val="Hyperlink"/>
          <w:rFonts w:eastAsiaTheme="minorEastAsia"/>
          <w:lang w:val="en-US"/>
        </w:rPr>
        <w:t>http://www.jstor.org/stable/resrep65081.3</w:t>
      </w:r>
      <w:r w:rsidR="00000000">
        <w:rPr>
          <w:rStyle w:val="Hyperlink"/>
          <w:rFonts w:eastAsiaTheme="minorEastAsia"/>
          <w:lang w:val="en-US"/>
        </w:rPr>
        <w:fldChar w:fldCharType="end"/>
      </w:r>
      <w:r w:rsidRPr="00BD1F38">
        <w:rPr>
          <w:rFonts w:eastAsiaTheme="minorEastAsia"/>
          <w:lang w:val="en-US"/>
        </w:rPr>
        <w:t>&gt; [accessed 07 September 2024]</w:t>
      </w:r>
    </w:p>
    <w:p w14:paraId="46A122AD" w14:textId="77777777" w:rsidR="00452FD4" w:rsidRPr="00BD1F38" w:rsidRDefault="00452FD4" w:rsidP="00452FD4">
      <w:pPr>
        <w:autoSpaceDE w:val="0"/>
        <w:autoSpaceDN w:val="0"/>
        <w:adjustRightInd w:val="0"/>
        <w:rPr>
          <w:rFonts w:eastAsiaTheme="minorEastAsia"/>
        </w:rPr>
      </w:pPr>
    </w:p>
    <w:p w14:paraId="247BF5AD" w14:textId="6B7022C1" w:rsidR="00C93031" w:rsidRPr="00BD1F38" w:rsidRDefault="00C93031" w:rsidP="00C93031">
      <w:pPr>
        <w:rPr>
          <w:color w:val="000000"/>
        </w:rPr>
      </w:pPr>
      <w:proofErr w:type="spellStart"/>
      <w:r w:rsidRPr="00BD1F38">
        <w:rPr>
          <w:color w:val="000000"/>
        </w:rPr>
        <w:t>Bernbaum</w:t>
      </w:r>
      <w:proofErr w:type="spellEnd"/>
      <w:r w:rsidRPr="00BD1F38">
        <w:rPr>
          <w:color w:val="000000"/>
        </w:rPr>
        <w:t>, Edwin, ‘Sacred Mountains: Themes and Teachings’,</w:t>
      </w:r>
      <w:r w:rsidRPr="00BD1F38">
        <w:rPr>
          <w:rStyle w:val="apple-converted-space"/>
          <w:color w:val="000000"/>
        </w:rPr>
        <w:t> </w:t>
      </w:r>
      <w:r w:rsidRPr="00BD1F38">
        <w:rPr>
          <w:i/>
          <w:iCs/>
          <w:color w:val="000000"/>
        </w:rPr>
        <w:t>Mountain Research and Development</w:t>
      </w:r>
      <w:r w:rsidRPr="00BD1F38">
        <w:rPr>
          <w:color w:val="000000"/>
        </w:rPr>
        <w:t>, vol. 26.4 (2006), pp. 304–309 &lt;</w:t>
      </w:r>
      <w:hyperlink r:id="rId11" w:history="1">
        <w:r w:rsidRPr="00BD1F38">
          <w:rPr>
            <w:rStyle w:val="Hyperlink"/>
          </w:rPr>
          <w:t>http://www.jstor.org/stable/4540647</w:t>
        </w:r>
      </w:hyperlink>
      <w:r w:rsidRPr="00BD1F38">
        <w:rPr>
          <w:color w:val="000000"/>
        </w:rPr>
        <w:t>&gt; [accessed 12 January 2025]</w:t>
      </w:r>
    </w:p>
    <w:p w14:paraId="29718F2D" w14:textId="77777777" w:rsidR="00C93031" w:rsidRPr="00BD1F38" w:rsidRDefault="00C93031" w:rsidP="00452FD4">
      <w:pPr>
        <w:autoSpaceDE w:val="0"/>
        <w:autoSpaceDN w:val="0"/>
        <w:adjustRightInd w:val="0"/>
        <w:rPr>
          <w:rFonts w:eastAsiaTheme="minorEastAsia"/>
        </w:rPr>
      </w:pPr>
    </w:p>
    <w:p w14:paraId="2EBC1260" w14:textId="77777777" w:rsidR="00452FD4" w:rsidRPr="00BD1F38" w:rsidRDefault="00452FD4" w:rsidP="00452FD4">
      <w:pPr>
        <w:autoSpaceDE w:val="0"/>
        <w:autoSpaceDN w:val="0"/>
        <w:adjustRightInd w:val="0"/>
        <w:rPr>
          <w:rFonts w:eastAsiaTheme="minorEastAsia"/>
        </w:rPr>
      </w:pPr>
      <w:proofErr w:type="spellStart"/>
      <w:r w:rsidRPr="00BD1F38">
        <w:rPr>
          <w:rFonts w:eastAsiaTheme="minorEastAsia"/>
        </w:rPr>
        <w:t>Biale</w:t>
      </w:r>
      <w:proofErr w:type="spellEnd"/>
      <w:r w:rsidRPr="00BD1F38">
        <w:rPr>
          <w:rFonts w:eastAsiaTheme="minorEastAsia"/>
        </w:rPr>
        <w:t xml:space="preserve">, David, ‘Blood as a Central Symbol in Jewish Culture’, </w:t>
      </w:r>
      <w:r w:rsidRPr="00BD1F38">
        <w:rPr>
          <w:rFonts w:eastAsiaTheme="minorEastAsia"/>
          <w:i/>
          <w:iCs/>
        </w:rPr>
        <w:t xml:space="preserve">The Blood Project, </w:t>
      </w:r>
      <w:r w:rsidRPr="00BD1F38">
        <w:rPr>
          <w:rFonts w:eastAsiaTheme="minorEastAsia"/>
        </w:rPr>
        <w:t>October 21 2022,  &lt;</w:t>
      </w:r>
      <w:hyperlink r:id="rId12" w:anchor=":~:text=In%20the%20Middle%20Ages%2C%20ideas,%2C%20the%20shekhinah%2C%20to%20menstruate" w:history="1">
        <w:r w:rsidRPr="00BD1F38">
          <w:rPr>
            <w:rFonts w:eastAsiaTheme="minorEastAsia"/>
            <w:color w:val="DCA10D"/>
          </w:rPr>
          <w:t>https://www.thebloodproject.com/blood-as-a-central-symbol-in-jewish-culture/#:~:text=In%20the%20Middle%20Ages%2C%20ideas,%2C%20the%20shekhinah%2C%20to%20menstruate</w:t>
        </w:r>
      </w:hyperlink>
      <w:r w:rsidRPr="00BD1F38">
        <w:rPr>
          <w:rFonts w:eastAsiaTheme="minorEastAsia"/>
        </w:rPr>
        <w:t>&gt; [accessed September 20 2024]</w:t>
      </w:r>
    </w:p>
    <w:p w14:paraId="616BB018" w14:textId="77777777" w:rsidR="005022E6" w:rsidRPr="00BD1F38" w:rsidRDefault="005022E6" w:rsidP="00452FD4">
      <w:pPr>
        <w:autoSpaceDE w:val="0"/>
        <w:autoSpaceDN w:val="0"/>
        <w:adjustRightInd w:val="0"/>
        <w:rPr>
          <w:rFonts w:eastAsiaTheme="minorEastAsia"/>
        </w:rPr>
      </w:pPr>
    </w:p>
    <w:p w14:paraId="339B2A8C" w14:textId="641EA9F1" w:rsidR="005022E6" w:rsidRPr="00BD1F38" w:rsidRDefault="005022E6" w:rsidP="00452FD4">
      <w:pPr>
        <w:autoSpaceDE w:val="0"/>
        <w:autoSpaceDN w:val="0"/>
        <w:adjustRightInd w:val="0"/>
        <w:rPr>
          <w:rFonts w:eastAsiaTheme="minorEastAsia"/>
        </w:rPr>
      </w:pPr>
      <w:r w:rsidRPr="00BD1F38">
        <w:rPr>
          <w:rFonts w:eastAsiaTheme="minorEastAsia"/>
        </w:rPr>
        <w:t xml:space="preserve">Bradley, Mark, Victoria Leonard, Laurence </w:t>
      </w:r>
      <w:proofErr w:type="spellStart"/>
      <w:r w:rsidRPr="00BD1F38">
        <w:rPr>
          <w:rFonts w:eastAsiaTheme="minorEastAsia"/>
        </w:rPr>
        <w:t>Totelin</w:t>
      </w:r>
      <w:proofErr w:type="spellEnd"/>
      <w:r w:rsidRPr="00BD1F38">
        <w:rPr>
          <w:rFonts w:eastAsiaTheme="minorEastAsia"/>
        </w:rPr>
        <w:t xml:space="preserve">, ‘Introduction’ in </w:t>
      </w:r>
      <w:r w:rsidRPr="00BD1F38">
        <w:rPr>
          <w:rFonts w:eastAsiaTheme="minorEastAsia"/>
          <w:i/>
          <w:iCs/>
        </w:rPr>
        <w:t xml:space="preserve">Bodily Fluids </w:t>
      </w:r>
      <w:proofErr w:type="gramStart"/>
      <w:r w:rsidRPr="00BD1F38">
        <w:rPr>
          <w:rFonts w:eastAsiaTheme="minorEastAsia"/>
          <w:i/>
          <w:iCs/>
        </w:rPr>
        <w:t>In</w:t>
      </w:r>
      <w:proofErr w:type="gramEnd"/>
      <w:r w:rsidRPr="00BD1F38">
        <w:rPr>
          <w:rFonts w:eastAsiaTheme="minorEastAsia"/>
          <w:i/>
          <w:iCs/>
        </w:rPr>
        <w:t xml:space="preserve"> Antiquity, </w:t>
      </w:r>
      <w:r w:rsidRPr="00BD1F38">
        <w:rPr>
          <w:rFonts w:eastAsiaTheme="minorEastAsia"/>
        </w:rPr>
        <w:t xml:space="preserve">ed. by Mark Bradley, Victoria Leonard, Laurence </w:t>
      </w:r>
      <w:proofErr w:type="spellStart"/>
      <w:r w:rsidRPr="00BD1F38">
        <w:rPr>
          <w:rFonts w:eastAsiaTheme="minorEastAsia"/>
        </w:rPr>
        <w:t>Totelin</w:t>
      </w:r>
      <w:proofErr w:type="spellEnd"/>
      <w:r w:rsidRPr="00BD1F38">
        <w:rPr>
          <w:rFonts w:eastAsiaTheme="minorEastAsia"/>
        </w:rPr>
        <w:t xml:space="preserve"> (London &amp; New York: Routledge: Taylor &amp; Francis Group, 2021), pp. 1-15</w:t>
      </w:r>
    </w:p>
    <w:p w14:paraId="3786DFEF" w14:textId="77777777" w:rsidR="00473D0C" w:rsidRPr="00BD1F38" w:rsidRDefault="00473D0C" w:rsidP="00452FD4">
      <w:pPr>
        <w:autoSpaceDE w:val="0"/>
        <w:autoSpaceDN w:val="0"/>
        <w:adjustRightInd w:val="0"/>
        <w:rPr>
          <w:rFonts w:eastAsiaTheme="minorEastAsia"/>
        </w:rPr>
      </w:pPr>
    </w:p>
    <w:p w14:paraId="416186E3" w14:textId="1BDE1F9A" w:rsidR="00473D0C" w:rsidRPr="00BD1F38" w:rsidRDefault="00473D0C" w:rsidP="00473D0C">
      <w:proofErr w:type="spellStart"/>
      <w:r w:rsidRPr="00BD1F38">
        <w:t>Brettler</w:t>
      </w:r>
      <w:proofErr w:type="spellEnd"/>
      <w:r w:rsidRPr="00BD1F38">
        <w:t xml:space="preserve">, Marc, ‘Introduction to the Torah’, in </w:t>
      </w:r>
      <w:r w:rsidRPr="00BD1F38">
        <w:rPr>
          <w:i/>
          <w:iCs/>
        </w:rPr>
        <w:t>Three Testaments: Torah, Gospel, Quran</w:t>
      </w:r>
      <w:r w:rsidRPr="00BD1F38">
        <w:t xml:space="preserve">, ed. by </w:t>
      </w:r>
      <w:r w:rsidRPr="00BD1F38">
        <w:rPr>
          <w:color w:val="0F1111"/>
          <w:shd w:val="clear" w:color="auto" w:fill="FFFFFF"/>
        </w:rPr>
        <w:t>Brian Arthur Brown</w:t>
      </w:r>
      <w:r w:rsidRPr="00BD1F38">
        <w:t xml:space="preserve"> (Maryland: </w:t>
      </w:r>
      <w:r w:rsidRPr="00BD1F38">
        <w:rPr>
          <w:color w:val="0F1111"/>
        </w:rPr>
        <w:t>Rowman &amp; Littlefield, 2012)</w:t>
      </w:r>
    </w:p>
    <w:p w14:paraId="0019CA51" w14:textId="77777777" w:rsidR="00452FD4" w:rsidRPr="00BD1F38" w:rsidRDefault="00452FD4" w:rsidP="00452FD4">
      <w:pPr>
        <w:autoSpaceDE w:val="0"/>
        <w:autoSpaceDN w:val="0"/>
        <w:adjustRightInd w:val="0"/>
        <w:rPr>
          <w:rFonts w:eastAsiaTheme="minorEastAsia"/>
        </w:rPr>
      </w:pPr>
    </w:p>
    <w:p w14:paraId="138E66F2" w14:textId="549D3CC5" w:rsidR="002A59B5" w:rsidRPr="00BD1F38" w:rsidRDefault="00452FD4" w:rsidP="00452FD4">
      <w:pPr>
        <w:autoSpaceDE w:val="0"/>
        <w:autoSpaceDN w:val="0"/>
        <w:adjustRightInd w:val="0"/>
        <w:rPr>
          <w:rFonts w:eastAsiaTheme="minorEastAsia"/>
        </w:rPr>
      </w:pPr>
      <w:r w:rsidRPr="00BD1F38">
        <w:rPr>
          <w:rFonts w:eastAsiaTheme="minorEastAsia"/>
        </w:rPr>
        <w:t xml:space="preserve">Coker, Amy, ‘Fluid Vocabulary: Flux in the lexicon of bodily emissions’ in </w:t>
      </w:r>
      <w:r w:rsidRPr="00BD1F38">
        <w:rPr>
          <w:rFonts w:eastAsiaTheme="minorEastAsia"/>
          <w:i/>
          <w:iCs/>
        </w:rPr>
        <w:t xml:space="preserve">Bodily Fluids </w:t>
      </w:r>
      <w:proofErr w:type="gramStart"/>
      <w:r w:rsidRPr="00BD1F38">
        <w:rPr>
          <w:rFonts w:eastAsiaTheme="minorEastAsia"/>
          <w:i/>
          <w:iCs/>
        </w:rPr>
        <w:t>In</w:t>
      </w:r>
      <w:proofErr w:type="gramEnd"/>
      <w:r w:rsidRPr="00BD1F38">
        <w:rPr>
          <w:rFonts w:eastAsiaTheme="minorEastAsia"/>
          <w:i/>
          <w:iCs/>
        </w:rPr>
        <w:t xml:space="preserve"> Antiquity, </w:t>
      </w:r>
      <w:r w:rsidRPr="00BD1F38">
        <w:rPr>
          <w:rFonts w:eastAsiaTheme="minorEastAsia"/>
        </w:rPr>
        <w:t xml:space="preserve">ed. by Mark Bradley, Victoria Leonard, Laurence </w:t>
      </w:r>
      <w:proofErr w:type="spellStart"/>
      <w:r w:rsidRPr="00BD1F38">
        <w:rPr>
          <w:rFonts w:eastAsiaTheme="minorEastAsia"/>
        </w:rPr>
        <w:t>Totelin</w:t>
      </w:r>
      <w:proofErr w:type="spellEnd"/>
      <w:r w:rsidRPr="00BD1F38">
        <w:rPr>
          <w:rFonts w:eastAsiaTheme="minorEastAsia"/>
        </w:rPr>
        <w:t xml:space="preserve"> (London &amp; New York: Routledge: Taylor &amp; Francis Group, 2021), pp. 17-41 </w:t>
      </w:r>
      <w:r w:rsidR="00F61EE4" w:rsidRPr="00BD1F38">
        <w:rPr>
          <w:rFonts w:eastAsiaTheme="minorEastAsia"/>
        </w:rPr>
        <w:t xml:space="preserve"> </w:t>
      </w:r>
      <w:r w:rsidR="000C2F5D" w:rsidRPr="00BD1F38">
        <w:rPr>
          <w:rFonts w:eastAsiaTheme="minorEastAsia"/>
        </w:rPr>
        <w:t xml:space="preserve"> </w:t>
      </w:r>
    </w:p>
    <w:p w14:paraId="1ACC3598" w14:textId="77777777" w:rsidR="006E616E" w:rsidRPr="00BD1F38" w:rsidRDefault="006E616E" w:rsidP="00452FD4">
      <w:pPr>
        <w:autoSpaceDE w:val="0"/>
        <w:autoSpaceDN w:val="0"/>
        <w:adjustRightInd w:val="0"/>
        <w:rPr>
          <w:rFonts w:eastAsiaTheme="minorEastAsia"/>
        </w:rPr>
      </w:pPr>
    </w:p>
    <w:p w14:paraId="56A2FF63" w14:textId="52B309CF" w:rsidR="002A59B5" w:rsidRPr="00BD1F38" w:rsidRDefault="002A59B5" w:rsidP="00452FD4">
      <w:pPr>
        <w:autoSpaceDE w:val="0"/>
        <w:autoSpaceDN w:val="0"/>
        <w:adjustRightInd w:val="0"/>
        <w:rPr>
          <w:rFonts w:eastAsiaTheme="minorEastAsia"/>
          <w:lang w:val="en-US"/>
        </w:rPr>
      </w:pPr>
      <w:r w:rsidRPr="00BD1F38">
        <w:rPr>
          <w:rFonts w:eastAsiaTheme="minorEastAsia"/>
        </w:rPr>
        <w:t xml:space="preserve">Cooper, Nigel, </w:t>
      </w:r>
      <w:r w:rsidR="00822C2F" w:rsidRPr="00BD1F38">
        <w:rPr>
          <w:rFonts w:eastAsiaTheme="minorEastAsia"/>
        </w:rPr>
        <w:t xml:space="preserve">Emily Brady, Helen Steen, Rosalind Bryce, </w:t>
      </w:r>
      <w:r w:rsidR="00822C2F" w:rsidRPr="00BD1F38">
        <w:rPr>
          <w:rFonts w:eastAsiaTheme="minorEastAsia"/>
          <w:lang w:val="en-US"/>
        </w:rPr>
        <w:t>‘</w:t>
      </w:r>
      <w:r w:rsidRPr="00BD1F38">
        <w:rPr>
          <w:rFonts w:eastAsiaTheme="minorEastAsia"/>
          <w:lang w:val="en-US"/>
        </w:rPr>
        <w:t xml:space="preserve">Aesthetic and spiritual values of ecosystems: </w:t>
      </w:r>
      <w:proofErr w:type="spellStart"/>
      <w:r w:rsidRPr="00BD1F38">
        <w:rPr>
          <w:rFonts w:eastAsiaTheme="minorEastAsia"/>
          <w:lang w:val="en-US"/>
        </w:rPr>
        <w:t>Recognising</w:t>
      </w:r>
      <w:proofErr w:type="spellEnd"/>
      <w:r w:rsidRPr="00BD1F38">
        <w:rPr>
          <w:rFonts w:eastAsiaTheme="minorEastAsia"/>
          <w:lang w:val="en-US"/>
        </w:rPr>
        <w:t xml:space="preserve"> the ontological and axiological plurality of cultural ecosystem ‘services</w:t>
      </w:r>
      <w:r w:rsidR="00822C2F" w:rsidRPr="00BD1F38">
        <w:rPr>
          <w:rFonts w:eastAsiaTheme="minorEastAsia"/>
          <w:lang w:val="en-US"/>
        </w:rPr>
        <w:t>’</w:t>
      </w:r>
      <w:r w:rsidR="00442FF5" w:rsidRPr="00BD1F38">
        <w:rPr>
          <w:rFonts w:eastAsiaTheme="minorEastAsia"/>
          <w:lang w:val="en-US"/>
        </w:rPr>
        <w:t xml:space="preserve"> </w:t>
      </w:r>
      <w:r w:rsidRPr="00BD1F38">
        <w:rPr>
          <w:rFonts w:eastAsiaTheme="minorEastAsia"/>
          <w:lang w:val="en-US"/>
        </w:rPr>
        <w:t>’,</w:t>
      </w:r>
      <w:r w:rsidR="002B4568" w:rsidRPr="00BD1F38">
        <w:rPr>
          <w:rFonts w:eastAsiaTheme="minorEastAsia"/>
          <w:lang w:val="en-US"/>
        </w:rPr>
        <w:t xml:space="preserve"> </w:t>
      </w:r>
      <w:r w:rsidRPr="00BD1F38">
        <w:rPr>
          <w:rFonts w:eastAsiaTheme="minorEastAsia"/>
          <w:i/>
          <w:iCs/>
          <w:lang w:val="en-US"/>
        </w:rPr>
        <w:t>Ecosystem Services</w:t>
      </w:r>
      <w:r w:rsidRPr="00BD1F38">
        <w:rPr>
          <w:rFonts w:eastAsiaTheme="minorEastAsia"/>
          <w:lang w:val="en-US"/>
        </w:rPr>
        <w:t>,</w:t>
      </w:r>
      <w:r w:rsidR="002B4568" w:rsidRPr="00BD1F38">
        <w:rPr>
          <w:rFonts w:eastAsiaTheme="minorEastAsia"/>
          <w:lang w:val="en-US"/>
        </w:rPr>
        <w:t xml:space="preserve"> </w:t>
      </w:r>
      <w:r w:rsidRPr="00BD1F38">
        <w:rPr>
          <w:rFonts w:eastAsiaTheme="minorEastAsia"/>
          <w:lang w:val="en-US"/>
        </w:rPr>
        <w:t>21 Part</w:t>
      </w:r>
      <w:r w:rsidR="002B4568" w:rsidRPr="00BD1F38">
        <w:rPr>
          <w:rFonts w:eastAsiaTheme="minorEastAsia"/>
          <w:lang w:val="en-US"/>
        </w:rPr>
        <w:t xml:space="preserve"> </w:t>
      </w:r>
      <w:r w:rsidRPr="00BD1F38">
        <w:rPr>
          <w:rFonts w:eastAsiaTheme="minorEastAsia"/>
          <w:lang w:val="en-US"/>
        </w:rPr>
        <w:t>B</w:t>
      </w:r>
      <w:r w:rsidR="00DC3B03" w:rsidRPr="00BD1F38">
        <w:rPr>
          <w:rFonts w:eastAsiaTheme="minorEastAsia"/>
          <w:lang w:val="en-US"/>
        </w:rPr>
        <w:t xml:space="preserve"> (</w:t>
      </w:r>
      <w:r w:rsidRPr="00BD1F38">
        <w:rPr>
          <w:rFonts w:eastAsiaTheme="minorEastAsia"/>
          <w:lang w:val="en-US"/>
        </w:rPr>
        <w:t>2016</w:t>
      </w:r>
      <w:r w:rsidR="00DC3B03" w:rsidRPr="00BD1F38">
        <w:rPr>
          <w:rFonts w:eastAsiaTheme="minorEastAsia"/>
          <w:lang w:val="en-US"/>
        </w:rPr>
        <w:t>)</w:t>
      </w:r>
      <w:r w:rsidRPr="00BD1F38">
        <w:rPr>
          <w:rFonts w:eastAsiaTheme="minorEastAsia"/>
          <w:lang w:val="en-US"/>
        </w:rPr>
        <w:t>,</w:t>
      </w:r>
      <w:r w:rsidR="006D6CD1" w:rsidRPr="00BD1F38">
        <w:rPr>
          <w:rFonts w:eastAsiaTheme="minorEastAsia"/>
          <w:lang w:val="en-US"/>
        </w:rPr>
        <w:t xml:space="preserve"> </w:t>
      </w:r>
      <w:r w:rsidR="00E46A96" w:rsidRPr="00BD1F38">
        <w:rPr>
          <w:rFonts w:eastAsiaTheme="minorEastAsia"/>
          <w:lang w:val="en-US"/>
        </w:rPr>
        <w:t xml:space="preserve">pp. </w:t>
      </w:r>
      <w:r w:rsidRPr="00BD1F38">
        <w:rPr>
          <w:rFonts w:eastAsiaTheme="minorEastAsia"/>
          <w:lang w:val="en-US"/>
        </w:rPr>
        <w:t>218-229,</w:t>
      </w:r>
      <w:r w:rsidR="00F1709F" w:rsidRPr="00BD1F38">
        <w:rPr>
          <w:rFonts w:eastAsiaTheme="minorEastAsia"/>
          <w:lang w:val="en-US"/>
        </w:rPr>
        <w:t xml:space="preserve"> &lt;</w:t>
      </w:r>
      <w:hyperlink r:id="rId13" w:history="1">
        <w:r w:rsidR="00F1709F" w:rsidRPr="00BD1F38">
          <w:rPr>
            <w:rStyle w:val="Hyperlink"/>
            <w:rFonts w:eastAsiaTheme="minorEastAsia"/>
            <w:lang w:val="en-US"/>
          </w:rPr>
          <w:t>https://www.sciencedirect.com/science/article/pii/S2212041616301942</w:t>
        </w:r>
      </w:hyperlink>
      <w:r w:rsidR="00F1709F" w:rsidRPr="00BD1F38">
        <w:rPr>
          <w:rFonts w:eastAsiaTheme="minorEastAsia"/>
          <w:lang w:val="en-US"/>
        </w:rPr>
        <w:t>&gt;</w:t>
      </w:r>
      <w:r w:rsidR="006F046A" w:rsidRPr="00BD1F38">
        <w:rPr>
          <w:rFonts w:eastAsiaTheme="minorEastAsia"/>
          <w:lang w:val="en-US"/>
        </w:rPr>
        <w:t xml:space="preserve"> </w:t>
      </w:r>
      <w:r w:rsidR="000D18F3" w:rsidRPr="00BD1F38">
        <w:rPr>
          <w:rFonts w:eastAsiaTheme="minorEastAsia"/>
          <w:lang w:val="en-US"/>
        </w:rPr>
        <w:t xml:space="preserve">[accessed </w:t>
      </w:r>
      <w:r w:rsidR="00E265C6" w:rsidRPr="00BD1F38">
        <w:rPr>
          <w:rFonts w:eastAsiaTheme="minorEastAsia"/>
          <w:lang w:val="en-US"/>
        </w:rPr>
        <w:t>17 January 2025]</w:t>
      </w:r>
      <w:r w:rsidR="00F1709F" w:rsidRPr="00BD1F38">
        <w:rPr>
          <w:rFonts w:eastAsiaTheme="minorEastAsia"/>
          <w:lang w:val="en-US"/>
        </w:rPr>
        <w:t xml:space="preserve"> </w:t>
      </w:r>
      <w:r w:rsidR="00211C4C" w:rsidRPr="00BD1F38">
        <w:rPr>
          <w:rFonts w:eastAsiaTheme="minorEastAsia"/>
          <w:lang w:val="en-US"/>
        </w:rPr>
        <w:t xml:space="preserve">  </w:t>
      </w:r>
    </w:p>
    <w:p w14:paraId="7483884F" w14:textId="77777777" w:rsidR="00452FD4" w:rsidRPr="00BD1F38" w:rsidRDefault="00452FD4" w:rsidP="00452FD4">
      <w:pPr>
        <w:autoSpaceDE w:val="0"/>
        <w:autoSpaceDN w:val="0"/>
        <w:adjustRightInd w:val="0"/>
        <w:rPr>
          <w:rFonts w:eastAsiaTheme="minorEastAsia"/>
        </w:rPr>
      </w:pPr>
    </w:p>
    <w:p w14:paraId="75112C9E" w14:textId="77777777" w:rsidR="00452FD4" w:rsidRPr="00BD1F38" w:rsidRDefault="00452FD4" w:rsidP="00452FD4">
      <w:pPr>
        <w:autoSpaceDE w:val="0"/>
        <w:autoSpaceDN w:val="0"/>
        <w:adjustRightInd w:val="0"/>
        <w:rPr>
          <w:rFonts w:eastAsiaTheme="minorEastAsia"/>
        </w:rPr>
      </w:pPr>
      <w:r w:rsidRPr="00BD1F38">
        <w:rPr>
          <w:rFonts w:eastAsiaTheme="minorEastAsia"/>
        </w:rPr>
        <w:t xml:space="preserve">DeVito, Alessandra, ‘Why We’re Drawn to People Who Are Similar to Us’, </w:t>
      </w:r>
      <w:r w:rsidRPr="00BD1F38">
        <w:rPr>
          <w:rFonts w:eastAsiaTheme="minorEastAsia"/>
          <w:i/>
          <w:iCs/>
        </w:rPr>
        <w:t>Applied Social Psychology (ASP) blog</w:t>
      </w:r>
      <w:r w:rsidRPr="00BD1F38">
        <w:rPr>
          <w:rFonts w:eastAsiaTheme="minorEastAsia"/>
        </w:rPr>
        <w:t>, 2024. &lt;</w:t>
      </w:r>
      <w:hyperlink r:id="rId14" w:history="1">
        <w:r w:rsidRPr="00BD1F38">
          <w:rPr>
            <w:rFonts w:eastAsiaTheme="minorEastAsia"/>
            <w:color w:val="DCA10D"/>
          </w:rPr>
          <w:t>https://sites.psu.edu/aspsy/2024/04/05/why-were-drawn-to-people-who-are-similar-to-us/</w:t>
        </w:r>
      </w:hyperlink>
      <w:r w:rsidRPr="00BD1F38">
        <w:rPr>
          <w:rFonts w:eastAsiaTheme="minorEastAsia"/>
        </w:rPr>
        <w:t xml:space="preserve">&gt; </w:t>
      </w:r>
    </w:p>
    <w:p w14:paraId="2EE99539" w14:textId="77777777" w:rsidR="00452FD4" w:rsidRPr="00BD1F38" w:rsidRDefault="00452FD4" w:rsidP="00452FD4">
      <w:pPr>
        <w:autoSpaceDE w:val="0"/>
        <w:autoSpaceDN w:val="0"/>
        <w:adjustRightInd w:val="0"/>
        <w:rPr>
          <w:rFonts w:eastAsiaTheme="minorEastAsia"/>
        </w:rPr>
      </w:pPr>
    </w:p>
    <w:p w14:paraId="7345559A" w14:textId="5129958B" w:rsidR="00937B5D" w:rsidRPr="00BD1F38" w:rsidRDefault="00937B5D" w:rsidP="00452FD4">
      <w:pPr>
        <w:autoSpaceDE w:val="0"/>
        <w:autoSpaceDN w:val="0"/>
        <w:adjustRightInd w:val="0"/>
        <w:rPr>
          <w:rFonts w:eastAsiaTheme="minorEastAsia"/>
          <w:color w:val="000000" w:themeColor="text1"/>
        </w:rPr>
      </w:pPr>
      <w:proofErr w:type="spellStart"/>
      <w:r w:rsidRPr="00BD1F38">
        <w:rPr>
          <w:color w:val="000000" w:themeColor="text1"/>
          <w:shd w:val="clear" w:color="auto" w:fill="FFFFFF"/>
        </w:rPr>
        <w:lastRenderedPageBreak/>
        <w:t>Doniger</w:t>
      </w:r>
      <w:proofErr w:type="spellEnd"/>
      <w:r w:rsidRPr="00BD1F38">
        <w:rPr>
          <w:color w:val="000000" w:themeColor="text1"/>
          <w:shd w:val="clear" w:color="auto" w:fill="FFFFFF"/>
        </w:rPr>
        <w:t>, Wendy,</w:t>
      </w:r>
      <w:r w:rsidRPr="00BD1F38">
        <w:rPr>
          <w:i/>
          <w:iCs/>
          <w:color w:val="000000" w:themeColor="text1"/>
          <w:shd w:val="clear" w:color="auto" w:fill="FFFFFF"/>
        </w:rPr>
        <w:t xml:space="preserve"> The Rig Veda: An Anthology: One Hundred and Eight Hymns, Selected, Translated and Annotated</w:t>
      </w:r>
      <w:r w:rsidRPr="00BD1F38">
        <w:rPr>
          <w:color w:val="000000" w:themeColor="text1"/>
          <w:shd w:val="clear" w:color="auto" w:fill="FFFFFF"/>
        </w:rPr>
        <w:t xml:space="preserve">, Reprinted </w:t>
      </w:r>
      <w:proofErr w:type="spellStart"/>
      <w:r w:rsidRPr="00BD1F38">
        <w:rPr>
          <w:color w:val="000000" w:themeColor="text1"/>
          <w:shd w:val="clear" w:color="auto" w:fill="FFFFFF"/>
        </w:rPr>
        <w:t>Edn</w:t>
      </w:r>
      <w:proofErr w:type="spellEnd"/>
      <w:r w:rsidRPr="00BD1F38">
        <w:rPr>
          <w:color w:val="000000" w:themeColor="text1"/>
          <w:shd w:val="clear" w:color="auto" w:fill="FFFFFF"/>
        </w:rPr>
        <w:t>.</w:t>
      </w:r>
      <w:r w:rsidR="00943E84" w:rsidRPr="00BD1F38">
        <w:rPr>
          <w:color w:val="000000" w:themeColor="text1"/>
          <w:shd w:val="clear" w:color="auto" w:fill="FFFFFF"/>
        </w:rPr>
        <w:t xml:space="preserve"> </w:t>
      </w:r>
      <w:r w:rsidR="00E35560" w:rsidRPr="00BD1F38">
        <w:rPr>
          <w:color w:val="000000" w:themeColor="text1"/>
          <w:shd w:val="clear" w:color="auto" w:fill="FFFFFF"/>
        </w:rPr>
        <w:t xml:space="preserve">(Kindle Edition) </w:t>
      </w:r>
      <w:r w:rsidRPr="00BD1F38">
        <w:rPr>
          <w:color w:val="000000" w:themeColor="text1"/>
          <w:shd w:val="clear" w:color="auto" w:fill="FFFFFF"/>
        </w:rPr>
        <w:t>(Harmondsworth, Middlesex, England; New York, N.Y.:</w:t>
      </w:r>
      <w:r w:rsidR="00F956B6" w:rsidRPr="00BD1F38">
        <w:rPr>
          <w:color w:val="000000" w:themeColor="text1"/>
          <w:shd w:val="clear" w:color="auto" w:fill="FFFFFF"/>
        </w:rPr>
        <w:t xml:space="preserve"> </w:t>
      </w:r>
      <w:r w:rsidRPr="00BD1F38">
        <w:rPr>
          <w:color w:val="000000" w:themeColor="text1"/>
          <w:shd w:val="clear" w:color="auto" w:fill="FFFFFF"/>
        </w:rPr>
        <w:t xml:space="preserve">Penguin Books, </w:t>
      </w:r>
      <w:r w:rsidR="00E35560" w:rsidRPr="00BD1F38">
        <w:rPr>
          <w:color w:val="000000" w:themeColor="text1"/>
          <w:shd w:val="clear" w:color="auto" w:fill="FFFFFF"/>
        </w:rPr>
        <w:t xml:space="preserve">2005) </w:t>
      </w:r>
    </w:p>
    <w:p w14:paraId="7FDEA21B" w14:textId="77777777" w:rsidR="00452FD4" w:rsidRPr="00BD1F38" w:rsidRDefault="00452FD4" w:rsidP="00452FD4">
      <w:pPr>
        <w:autoSpaceDE w:val="0"/>
        <w:autoSpaceDN w:val="0"/>
        <w:adjustRightInd w:val="0"/>
        <w:rPr>
          <w:rFonts w:eastAsiaTheme="minorEastAsia"/>
        </w:rPr>
      </w:pPr>
    </w:p>
    <w:p w14:paraId="1AFDE244" w14:textId="79AE33E9" w:rsidR="00452FD4" w:rsidRPr="00BD1F38" w:rsidRDefault="00452FD4" w:rsidP="00452FD4">
      <w:pPr>
        <w:autoSpaceDE w:val="0"/>
        <w:autoSpaceDN w:val="0"/>
        <w:adjustRightInd w:val="0"/>
        <w:rPr>
          <w:rFonts w:eastAsiaTheme="minorEastAsia"/>
        </w:rPr>
      </w:pPr>
      <w:r w:rsidRPr="00BD1F38">
        <w:rPr>
          <w:rFonts w:eastAsiaTheme="minorEastAsia"/>
        </w:rPr>
        <w:t xml:space="preserve">Eliade, Mircea, </w:t>
      </w:r>
      <w:r w:rsidR="008C76D3" w:rsidRPr="00BD1F38">
        <w:rPr>
          <w:rFonts w:eastAsiaTheme="minorEastAsia"/>
          <w:i/>
          <w:iCs/>
        </w:rPr>
        <w:t>The Sacred</w:t>
      </w:r>
      <w:r w:rsidRPr="00BD1F38">
        <w:rPr>
          <w:rFonts w:eastAsiaTheme="minorEastAsia"/>
          <w:i/>
          <w:iCs/>
        </w:rPr>
        <w:t xml:space="preserve"> </w:t>
      </w:r>
      <w:r w:rsidR="007330A4" w:rsidRPr="00BD1F38">
        <w:rPr>
          <w:rFonts w:eastAsiaTheme="minorEastAsia"/>
          <w:i/>
          <w:iCs/>
        </w:rPr>
        <w:t>&amp;</w:t>
      </w:r>
      <w:r w:rsidRPr="00BD1F38">
        <w:rPr>
          <w:rFonts w:eastAsiaTheme="minorEastAsia"/>
          <w:i/>
          <w:iCs/>
        </w:rPr>
        <w:t xml:space="preserve"> T</w:t>
      </w:r>
      <w:r w:rsidR="008C76D3" w:rsidRPr="00BD1F38">
        <w:rPr>
          <w:rFonts w:eastAsiaTheme="minorEastAsia"/>
          <w:i/>
          <w:iCs/>
        </w:rPr>
        <w:t>he</w:t>
      </w:r>
      <w:r w:rsidRPr="00BD1F38">
        <w:rPr>
          <w:rFonts w:eastAsiaTheme="minorEastAsia"/>
          <w:i/>
          <w:iCs/>
        </w:rPr>
        <w:t xml:space="preserve"> P</w:t>
      </w:r>
      <w:r w:rsidR="008C76D3" w:rsidRPr="00BD1F38">
        <w:rPr>
          <w:rFonts w:eastAsiaTheme="minorEastAsia"/>
          <w:i/>
          <w:iCs/>
        </w:rPr>
        <w:t>rofane</w:t>
      </w:r>
      <w:r w:rsidRPr="00BD1F38">
        <w:rPr>
          <w:rFonts w:eastAsiaTheme="minorEastAsia"/>
          <w:i/>
          <w:iCs/>
        </w:rPr>
        <w:t xml:space="preserve">: </w:t>
      </w:r>
      <w:r w:rsidR="008C76D3" w:rsidRPr="00BD1F38">
        <w:rPr>
          <w:rFonts w:eastAsiaTheme="minorEastAsia"/>
          <w:i/>
          <w:iCs/>
        </w:rPr>
        <w:t>The Nature of Religion</w:t>
      </w:r>
      <w:r w:rsidRPr="00BD1F38">
        <w:rPr>
          <w:rFonts w:eastAsiaTheme="minorEastAsia"/>
        </w:rPr>
        <w:t xml:space="preserve">, 2nd </w:t>
      </w:r>
      <w:proofErr w:type="spellStart"/>
      <w:r w:rsidRPr="00BD1F38">
        <w:rPr>
          <w:rFonts w:eastAsiaTheme="minorEastAsia"/>
        </w:rPr>
        <w:t>edn</w:t>
      </w:r>
      <w:proofErr w:type="spellEnd"/>
      <w:r w:rsidRPr="00BD1F38">
        <w:rPr>
          <w:rFonts w:eastAsiaTheme="minorEastAsia"/>
        </w:rPr>
        <w:t>.</w:t>
      </w:r>
      <w:r w:rsidR="00E933EC" w:rsidRPr="00BD1F38">
        <w:rPr>
          <w:rFonts w:eastAsiaTheme="minorEastAsia"/>
        </w:rPr>
        <w:t xml:space="preserve">, trans. </w:t>
      </w:r>
      <w:r w:rsidRPr="00BD1F38">
        <w:rPr>
          <w:rFonts w:eastAsiaTheme="minorEastAsia"/>
        </w:rPr>
        <w:t>by Willard R. Trask (New York: Harcourt Books, 1987</w:t>
      </w:r>
      <w:r w:rsidR="008006AD" w:rsidRPr="00BD1F38">
        <w:rPr>
          <w:rFonts w:eastAsiaTheme="minorEastAsia"/>
        </w:rPr>
        <w:t>)</w:t>
      </w:r>
    </w:p>
    <w:p w14:paraId="18DE194E" w14:textId="77777777" w:rsidR="00452FD4" w:rsidRPr="00BD1F38" w:rsidRDefault="00452FD4" w:rsidP="00452FD4">
      <w:pPr>
        <w:pStyle w:val="NormalWeb"/>
      </w:pPr>
      <w:r w:rsidRPr="00BD1F38">
        <w:rPr>
          <w:rFonts w:eastAsiaTheme="minorEastAsia"/>
        </w:rPr>
        <w:t xml:space="preserve">Eliade, Mircea, </w:t>
      </w:r>
      <w:r w:rsidRPr="00BD1F38">
        <w:rPr>
          <w:rFonts w:eastAsiaTheme="minorEastAsia"/>
          <w:i/>
          <w:iCs/>
        </w:rPr>
        <w:t>A History of Religious Ideas Volume 2: From Gautama Buddha to the Triumph of Christianity</w:t>
      </w:r>
      <w:r w:rsidRPr="00BD1F38">
        <w:rPr>
          <w:rFonts w:eastAsiaTheme="minorEastAsia"/>
        </w:rPr>
        <w:t>, 2</w:t>
      </w:r>
      <w:r w:rsidRPr="00BD1F38">
        <w:rPr>
          <w:rFonts w:eastAsiaTheme="minorEastAsia"/>
          <w:vertAlign w:val="superscript"/>
        </w:rPr>
        <w:t>nd</w:t>
      </w:r>
      <w:r w:rsidRPr="00BD1F38">
        <w:rPr>
          <w:rFonts w:eastAsiaTheme="minorEastAsia"/>
        </w:rPr>
        <w:t xml:space="preserve"> </w:t>
      </w:r>
      <w:proofErr w:type="spellStart"/>
      <w:r w:rsidRPr="00BD1F38">
        <w:rPr>
          <w:rFonts w:eastAsiaTheme="minorEastAsia"/>
        </w:rPr>
        <w:t>edn</w:t>
      </w:r>
      <w:proofErr w:type="spellEnd"/>
      <w:r w:rsidRPr="00BD1F38">
        <w:rPr>
          <w:rFonts w:eastAsiaTheme="minorEastAsia"/>
        </w:rPr>
        <w:t xml:space="preserve">., translated by Willard R. Trask (Chicago: </w:t>
      </w:r>
      <w:r w:rsidRPr="00BD1F38">
        <w:t>The University of Chicago Press, 1984)</w:t>
      </w:r>
    </w:p>
    <w:p w14:paraId="6D850365" w14:textId="5A46317D" w:rsidR="007A0BDA" w:rsidRPr="00BD1F38" w:rsidRDefault="007A0BDA" w:rsidP="00452FD4">
      <w:pPr>
        <w:pStyle w:val="NormalWeb"/>
      </w:pPr>
      <w:r w:rsidRPr="00BD1F38">
        <w:t>Eliade, Mircea</w:t>
      </w:r>
      <w:r w:rsidR="000106D9" w:rsidRPr="00BD1F38">
        <w:t xml:space="preserve">, </w:t>
      </w:r>
      <w:r w:rsidR="000106D9" w:rsidRPr="00BD1F38">
        <w:rPr>
          <w:i/>
          <w:iCs/>
        </w:rPr>
        <w:t xml:space="preserve">Patterns </w:t>
      </w:r>
      <w:proofErr w:type="gramStart"/>
      <w:r w:rsidR="000106D9" w:rsidRPr="00BD1F38">
        <w:rPr>
          <w:i/>
          <w:iCs/>
        </w:rPr>
        <w:t>In</w:t>
      </w:r>
      <w:proofErr w:type="gramEnd"/>
      <w:r w:rsidR="000106D9" w:rsidRPr="00BD1F38">
        <w:rPr>
          <w:i/>
          <w:iCs/>
        </w:rPr>
        <w:t xml:space="preserve"> Comparative Religion</w:t>
      </w:r>
      <w:r w:rsidR="002173C1" w:rsidRPr="00BD1F38">
        <w:t xml:space="preserve">, trans. by Rosemary </w:t>
      </w:r>
      <w:proofErr w:type="spellStart"/>
      <w:r w:rsidR="002173C1" w:rsidRPr="00BD1F38">
        <w:t>Sheed</w:t>
      </w:r>
      <w:proofErr w:type="spellEnd"/>
      <w:r w:rsidR="002173C1" w:rsidRPr="00BD1F38">
        <w:t xml:space="preserve"> (New York: </w:t>
      </w:r>
      <w:proofErr w:type="spellStart"/>
      <w:r w:rsidR="002173C1" w:rsidRPr="00BD1F38">
        <w:t>Sheed</w:t>
      </w:r>
      <w:proofErr w:type="spellEnd"/>
      <w:r w:rsidR="002173C1" w:rsidRPr="00BD1F38">
        <w:t xml:space="preserve"> &amp; Ward, 1958</w:t>
      </w:r>
      <w:r w:rsidR="001305EF" w:rsidRPr="00BD1F38">
        <w:t>)</w:t>
      </w:r>
      <w:r w:rsidR="000106D9" w:rsidRPr="00BD1F38">
        <w:t xml:space="preserve"> </w:t>
      </w:r>
    </w:p>
    <w:p w14:paraId="1B7D8D92" w14:textId="012BD646" w:rsidR="00452FD4" w:rsidRPr="00BD1F38" w:rsidRDefault="00452FD4" w:rsidP="00452FD4">
      <w:pPr>
        <w:autoSpaceDE w:val="0"/>
        <w:autoSpaceDN w:val="0"/>
        <w:adjustRightInd w:val="0"/>
        <w:rPr>
          <w:rFonts w:eastAsiaTheme="minorEastAsia"/>
        </w:rPr>
      </w:pPr>
      <w:r w:rsidRPr="00BD1F38">
        <w:rPr>
          <w:rFonts w:eastAsiaTheme="minorEastAsia"/>
        </w:rPr>
        <w:t xml:space="preserve">Epstein, Brian, ‘Social Ontology’, </w:t>
      </w:r>
      <w:r w:rsidRPr="00BD1F38">
        <w:rPr>
          <w:rFonts w:eastAsiaTheme="minorEastAsia"/>
          <w:i/>
          <w:iCs/>
        </w:rPr>
        <w:t xml:space="preserve">The Stanford </w:t>
      </w:r>
      <w:proofErr w:type="spellStart"/>
      <w:r w:rsidRPr="00BD1F38">
        <w:rPr>
          <w:rFonts w:eastAsiaTheme="minorEastAsia"/>
          <w:i/>
          <w:iCs/>
        </w:rPr>
        <w:t>Encyclopedia</w:t>
      </w:r>
      <w:proofErr w:type="spellEnd"/>
      <w:r w:rsidRPr="00BD1F38">
        <w:rPr>
          <w:rFonts w:eastAsiaTheme="minorEastAsia"/>
          <w:i/>
          <w:iCs/>
        </w:rPr>
        <w:t xml:space="preserve"> of Philosophy</w:t>
      </w:r>
      <w:r w:rsidRPr="00BD1F38">
        <w:rPr>
          <w:rFonts w:eastAsiaTheme="minorEastAsia"/>
        </w:rPr>
        <w:t xml:space="preserve"> (Fall 2024 Edition), ed. by Edward N. </w:t>
      </w:r>
      <w:proofErr w:type="spellStart"/>
      <w:r w:rsidRPr="00BD1F38">
        <w:rPr>
          <w:rFonts w:eastAsiaTheme="minorEastAsia"/>
        </w:rPr>
        <w:t>Zalta</w:t>
      </w:r>
      <w:proofErr w:type="spellEnd"/>
      <w:r w:rsidRPr="00BD1F38">
        <w:rPr>
          <w:rFonts w:eastAsiaTheme="minorEastAsia"/>
        </w:rPr>
        <w:t xml:space="preserve"> &amp; Uri </w:t>
      </w:r>
      <w:proofErr w:type="spellStart"/>
      <w:r w:rsidRPr="00BD1F38">
        <w:rPr>
          <w:rFonts w:eastAsiaTheme="minorEastAsia"/>
        </w:rPr>
        <w:t>Nodelman</w:t>
      </w:r>
      <w:proofErr w:type="spellEnd"/>
      <w:r w:rsidRPr="00BD1F38">
        <w:rPr>
          <w:rFonts w:eastAsiaTheme="minorEastAsia"/>
        </w:rPr>
        <w:t xml:space="preserve"> &lt;</w:t>
      </w:r>
      <w:hyperlink r:id="rId15" w:history="1">
        <w:r w:rsidRPr="00BD1F38">
          <w:rPr>
            <w:rStyle w:val="Hyperlink"/>
            <w:rFonts w:eastAsiaTheme="minorEastAsia"/>
          </w:rPr>
          <w:t>https://plato.stanford.edu/archives/fall2024/entries/social-ontology/</w:t>
        </w:r>
      </w:hyperlink>
      <w:r w:rsidRPr="00BD1F38">
        <w:rPr>
          <w:rFonts w:eastAsiaTheme="minorEastAsia"/>
        </w:rPr>
        <w:t>&gt; [accessed 12 November 2024]</w:t>
      </w:r>
    </w:p>
    <w:p w14:paraId="4586FF9C" w14:textId="77777777" w:rsidR="008325C1" w:rsidRPr="00BD1F38" w:rsidRDefault="008325C1" w:rsidP="00452FD4">
      <w:pPr>
        <w:autoSpaceDE w:val="0"/>
        <w:autoSpaceDN w:val="0"/>
        <w:adjustRightInd w:val="0"/>
        <w:rPr>
          <w:rFonts w:eastAsiaTheme="minorEastAsia"/>
        </w:rPr>
      </w:pPr>
    </w:p>
    <w:p w14:paraId="59C7E087" w14:textId="5618E5FD" w:rsidR="008325C1" w:rsidRPr="00BD1F38" w:rsidRDefault="008325C1" w:rsidP="00452FD4">
      <w:pPr>
        <w:autoSpaceDE w:val="0"/>
        <w:autoSpaceDN w:val="0"/>
        <w:adjustRightInd w:val="0"/>
        <w:rPr>
          <w:rFonts w:eastAsiaTheme="minorEastAsia"/>
        </w:rPr>
      </w:pPr>
      <w:r w:rsidRPr="00BD1F38">
        <w:t xml:space="preserve">FSCJ, ‘7. Etymology and History of Hinduism’, in </w:t>
      </w:r>
      <w:r w:rsidRPr="00BD1F38">
        <w:rPr>
          <w:i/>
          <w:iCs/>
        </w:rPr>
        <w:t>World Religions</w:t>
      </w:r>
      <w:r w:rsidRPr="00BD1F38">
        <w:t xml:space="preserve"> (Jacksonville, FSCJ, Pressbooks, 2017) &lt;</w:t>
      </w:r>
      <w:hyperlink r:id="rId16" w:history="1">
        <w:r w:rsidRPr="00BD1F38">
          <w:rPr>
            <w:rStyle w:val="Hyperlink"/>
          </w:rPr>
          <w:t>https://fscj.pressbooks.pub/worldreligions/chapter/etymology-and-history/</w:t>
        </w:r>
      </w:hyperlink>
      <w:r w:rsidRPr="00BD1F38">
        <w:t>&gt; [accessed 01 June 2024]</w:t>
      </w:r>
    </w:p>
    <w:p w14:paraId="3AACD169" w14:textId="77777777" w:rsidR="00452FD4" w:rsidRPr="00BD1F38" w:rsidRDefault="00452FD4" w:rsidP="00452FD4">
      <w:pPr>
        <w:autoSpaceDE w:val="0"/>
        <w:autoSpaceDN w:val="0"/>
        <w:adjustRightInd w:val="0"/>
        <w:rPr>
          <w:rFonts w:eastAsiaTheme="minorEastAsia"/>
        </w:rPr>
      </w:pPr>
    </w:p>
    <w:p w14:paraId="12EA8BE7" w14:textId="3E70F297" w:rsidR="00452FD4" w:rsidRPr="00BD1F38" w:rsidRDefault="00452FD4" w:rsidP="00452FD4">
      <w:pPr>
        <w:autoSpaceDE w:val="0"/>
        <w:autoSpaceDN w:val="0"/>
        <w:adjustRightInd w:val="0"/>
        <w:rPr>
          <w:rFonts w:eastAsiaTheme="minorEastAsia"/>
        </w:rPr>
      </w:pPr>
      <w:proofErr w:type="spellStart"/>
      <w:r w:rsidRPr="00BD1F38">
        <w:t>Ficociello</w:t>
      </w:r>
      <w:proofErr w:type="spellEnd"/>
      <w:r w:rsidRPr="00BD1F38">
        <w:t xml:space="preserve">, Robert, </w:t>
      </w:r>
      <w:r w:rsidRPr="00BD1F38">
        <w:rPr>
          <w:i/>
          <w:iCs/>
        </w:rPr>
        <w:t>Eco Culture: Disaster, Narrative, Discourse</w:t>
      </w:r>
      <w:r w:rsidRPr="00BD1F38">
        <w:t xml:space="preserve"> (Maryland: Rowman &amp; Littlefield: Lexington Books Series: Ecocritical Theory and Practice, 2017)</w:t>
      </w:r>
    </w:p>
    <w:p w14:paraId="3943F2A7" w14:textId="77777777" w:rsidR="00452FD4" w:rsidRPr="00BD1F38" w:rsidRDefault="00452FD4" w:rsidP="00452FD4">
      <w:pPr>
        <w:autoSpaceDE w:val="0"/>
        <w:autoSpaceDN w:val="0"/>
        <w:adjustRightInd w:val="0"/>
        <w:rPr>
          <w:rFonts w:eastAsiaTheme="minorEastAsia"/>
        </w:rPr>
      </w:pPr>
    </w:p>
    <w:p w14:paraId="7EC0BF57" w14:textId="77777777" w:rsidR="00452FD4" w:rsidRPr="00BD1F38" w:rsidRDefault="00452FD4" w:rsidP="00452FD4">
      <w:pPr>
        <w:autoSpaceDE w:val="0"/>
        <w:autoSpaceDN w:val="0"/>
        <w:adjustRightInd w:val="0"/>
      </w:pPr>
      <w:r w:rsidRPr="00BD1F38">
        <w:t xml:space="preserve">Giddens, Anthony, </w:t>
      </w:r>
      <w:r w:rsidRPr="00BD1F38">
        <w:rPr>
          <w:i/>
          <w:iCs/>
        </w:rPr>
        <w:t>The Constitution of Society: Outline of the Theory of Structuration</w:t>
      </w:r>
      <w:r w:rsidRPr="00BD1F38">
        <w:t xml:space="preserve"> (Cambridge: Polity Press, 1984)</w:t>
      </w:r>
    </w:p>
    <w:p w14:paraId="4379622B" w14:textId="77777777" w:rsidR="00452FD4" w:rsidRPr="00BD1F38" w:rsidRDefault="00452FD4" w:rsidP="00452FD4">
      <w:pPr>
        <w:autoSpaceDE w:val="0"/>
        <w:autoSpaceDN w:val="0"/>
        <w:adjustRightInd w:val="0"/>
      </w:pPr>
    </w:p>
    <w:p w14:paraId="4F0505EB" w14:textId="53AE9827" w:rsidR="00704633" w:rsidRPr="00BD1F38" w:rsidRDefault="00452FD4" w:rsidP="00452FD4">
      <w:pPr>
        <w:autoSpaceDE w:val="0"/>
        <w:autoSpaceDN w:val="0"/>
        <w:adjustRightInd w:val="0"/>
        <w:rPr>
          <w:color w:val="000000"/>
        </w:rPr>
      </w:pPr>
      <w:r w:rsidRPr="00BD1F38">
        <w:t xml:space="preserve">Ginsburg, Elliot K., </w:t>
      </w:r>
      <w:r w:rsidRPr="00BD1F38">
        <w:rPr>
          <w:i/>
          <w:iCs/>
          <w:color w:val="000000"/>
        </w:rPr>
        <w:t>The Sabbath in the Classical Kabbalah</w:t>
      </w:r>
      <w:r w:rsidRPr="00BD1F38">
        <w:rPr>
          <w:color w:val="000000"/>
        </w:rPr>
        <w:t>, (New York: State University of New York Press, 1989)</w:t>
      </w:r>
    </w:p>
    <w:p w14:paraId="03E4F1CD" w14:textId="77777777" w:rsidR="00452FD4" w:rsidRPr="00BD1F38" w:rsidRDefault="00452FD4" w:rsidP="00452FD4">
      <w:pPr>
        <w:autoSpaceDE w:val="0"/>
        <w:autoSpaceDN w:val="0"/>
        <w:adjustRightInd w:val="0"/>
        <w:rPr>
          <w:color w:val="000000"/>
        </w:rPr>
      </w:pPr>
    </w:p>
    <w:p w14:paraId="011D00BF" w14:textId="4715F19A" w:rsidR="00452FD4" w:rsidRPr="00BD1F38" w:rsidRDefault="00452FD4" w:rsidP="00452FD4">
      <w:pPr>
        <w:autoSpaceDE w:val="0"/>
        <w:autoSpaceDN w:val="0"/>
        <w:adjustRightInd w:val="0"/>
        <w:rPr>
          <w:color w:val="000000"/>
        </w:rPr>
      </w:pPr>
      <w:r w:rsidRPr="00BD1F38">
        <w:t>Golan,</w:t>
      </w:r>
      <w:r w:rsidRPr="00BD1F38">
        <w:rPr>
          <w:color w:val="000000"/>
        </w:rPr>
        <w:t xml:space="preserve"> </w:t>
      </w:r>
      <w:proofErr w:type="spellStart"/>
      <w:r w:rsidRPr="00BD1F38">
        <w:rPr>
          <w:color w:val="000000"/>
        </w:rPr>
        <w:t>Galia</w:t>
      </w:r>
      <w:proofErr w:type="spellEnd"/>
      <w:r w:rsidRPr="00BD1F38">
        <w:rPr>
          <w:color w:val="000000"/>
        </w:rPr>
        <w:t>, ‘Obstacles and Possibilities for Peace between Israel and Palestine’,</w:t>
      </w:r>
      <w:r w:rsidRPr="00BD1F38">
        <w:rPr>
          <w:rStyle w:val="apple-converted-space"/>
          <w:color w:val="000000"/>
        </w:rPr>
        <w:t> </w:t>
      </w:r>
      <w:r w:rsidRPr="00BD1F38">
        <w:rPr>
          <w:i/>
          <w:iCs/>
          <w:color w:val="000000"/>
        </w:rPr>
        <w:t>Insight Turkey</w:t>
      </w:r>
      <w:r w:rsidRPr="00BD1F38">
        <w:rPr>
          <w:color w:val="000000"/>
        </w:rPr>
        <w:t>, vol. 22.1 (2020), p. 33–46 &lt;</w:t>
      </w:r>
      <w:hyperlink r:id="rId17" w:history="1">
        <w:r w:rsidRPr="00BD1F38">
          <w:rPr>
            <w:rStyle w:val="Hyperlink"/>
          </w:rPr>
          <w:t>https://www.jstor.org/stable/26921166</w:t>
        </w:r>
      </w:hyperlink>
      <w:r w:rsidRPr="00BD1F38">
        <w:rPr>
          <w:color w:val="000000"/>
        </w:rPr>
        <w:t>&gt; [accessed 11 December 2024]</w:t>
      </w:r>
    </w:p>
    <w:p w14:paraId="50B24680" w14:textId="77777777" w:rsidR="00452FD4" w:rsidRPr="00BD1F38" w:rsidRDefault="00452FD4" w:rsidP="00452FD4">
      <w:pPr>
        <w:autoSpaceDE w:val="0"/>
        <w:autoSpaceDN w:val="0"/>
        <w:adjustRightInd w:val="0"/>
        <w:rPr>
          <w:color w:val="000000"/>
        </w:rPr>
      </w:pPr>
    </w:p>
    <w:p w14:paraId="480E3788" w14:textId="6AAC0944" w:rsidR="000933A8" w:rsidRPr="00BD1F38" w:rsidRDefault="00452FD4" w:rsidP="00452FD4">
      <w:pPr>
        <w:autoSpaceDE w:val="0"/>
        <w:autoSpaceDN w:val="0"/>
        <w:adjustRightInd w:val="0"/>
        <w:rPr>
          <w:rFonts w:eastAsiaTheme="minorEastAsia"/>
        </w:rPr>
      </w:pPr>
      <w:r w:rsidRPr="00BD1F38">
        <w:rPr>
          <w:rFonts w:eastAsiaTheme="minorEastAsia"/>
        </w:rPr>
        <w:t xml:space="preserve">Hayes, Edward C., ‘The Evolution of Religion’, </w:t>
      </w:r>
      <w:r w:rsidRPr="00BD1F38">
        <w:rPr>
          <w:rFonts w:eastAsiaTheme="minorEastAsia"/>
          <w:i/>
          <w:iCs/>
        </w:rPr>
        <w:t>American Journal of Sociology</w:t>
      </w:r>
      <w:r w:rsidRPr="00BD1F38">
        <w:rPr>
          <w:rFonts w:eastAsiaTheme="minorEastAsia"/>
        </w:rPr>
        <w:t xml:space="preserve">, 21.1 (1915), </w:t>
      </w:r>
      <w:r w:rsidR="00022022" w:rsidRPr="00BD1F38">
        <w:rPr>
          <w:rFonts w:eastAsiaTheme="minorEastAsia"/>
        </w:rPr>
        <w:t xml:space="preserve">pp. </w:t>
      </w:r>
      <w:r w:rsidRPr="00BD1F38">
        <w:rPr>
          <w:rFonts w:eastAsiaTheme="minorEastAsia"/>
        </w:rPr>
        <w:t xml:space="preserve">45-64 </w:t>
      </w:r>
      <w:r w:rsidR="003A7C6C" w:rsidRPr="00BD1F38">
        <w:rPr>
          <w:rFonts w:eastAsiaTheme="minorEastAsia"/>
        </w:rPr>
        <w:t>&lt;</w:t>
      </w:r>
      <w:hyperlink r:id="rId18" w:history="1">
        <w:r w:rsidR="003A7C6C" w:rsidRPr="00BD1F38">
          <w:rPr>
            <w:rStyle w:val="Hyperlink"/>
            <w:rFonts w:eastAsiaTheme="minorEastAsia"/>
          </w:rPr>
          <w:t>https://www.jstor.org/stable/2763634</w:t>
        </w:r>
      </w:hyperlink>
      <w:r w:rsidR="008F691A" w:rsidRPr="00BD1F38">
        <w:rPr>
          <w:rFonts w:eastAsiaTheme="minorEastAsia"/>
          <w:lang w:val="en-US"/>
        </w:rPr>
        <w:t xml:space="preserve">&gt; </w:t>
      </w:r>
      <w:r w:rsidR="0037120B" w:rsidRPr="00BD1F38">
        <w:rPr>
          <w:rFonts w:eastAsia="MS Gothic"/>
        </w:rPr>
        <w:t>[</w:t>
      </w:r>
      <w:r w:rsidR="0037120B" w:rsidRPr="00BD1F38">
        <w:rPr>
          <w:rFonts w:eastAsiaTheme="minorEastAsia"/>
        </w:rPr>
        <w:t>a</w:t>
      </w:r>
      <w:r w:rsidRPr="00BD1F38">
        <w:rPr>
          <w:rFonts w:eastAsiaTheme="minorEastAsia"/>
        </w:rPr>
        <w:t>ccessed: 10</w:t>
      </w:r>
      <w:r w:rsidR="002A3D4F" w:rsidRPr="00BD1F38">
        <w:rPr>
          <w:rFonts w:eastAsiaTheme="minorEastAsia"/>
        </w:rPr>
        <w:t xml:space="preserve"> October 2024]</w:t>
      </w:r>
    </w:p>
    <w:p w14:paraId="44149CAC" w14:textId="77777777" w:rsidR="00452FD4" w:rsidRPr="00BD1F38" w:rsidRDefault="00452FD4" w:rsidP="00452FD4">
      <w:pPr>
        <w:autoSpaceDE w:val="0"/>
        <w:autoSpaceDN w:val="0"/>
        <w:adjustRightInd w:val="0"/>
      </w:pPr>
    </w:p>
    <w:p w14:paraId="65CB5982" w14:textId="77777777" w:rsidR="00452FD4" w:rsidRPr="00BD1F38" w:rsidRDefault="00452FD4" w:rsidP="00452FD4">
      <w:pPr>
        <w:autoSpaceDE w:val="0"/>
        <w:autoSpaceDN w:val="0"/>
        <w:adjustRightInd w:val="0"/>
        <w:rPr>
          <w:rFonts w:eastAsiaTheme="minorEastAsia"/>
        </w:rPr>
      </w:pPr>
      <w:r w:rsidRPr="00BD1F38">
        <w:rPr>
          <w:rFonts w:eastAsiaTheme="minorEastAsia"/>
        </w:rPr>
        <w:t xml:space="preserve">Heidegger, Martin, </w:t>
      </w:r>
      <w:r w:rsidRPr="00BD1F38">
        <w:rPr>
          <w:rFonts w:eastAsiaTheme="minorEastAsia"/>
          <w:i/>
          <w:iCs/>
        </w:rPr>
        <w:t>Being and Time</w:t>
      </w:r>
      <w:r w:rsidRPr="00BD1F38">
        <w:rPr>
          <w:rFonts w:eastAsiaTheme="minorEastAsia"/>
        </w:rPr>
        <w:t xml:space="preserve">, Revised Edition., trans. by John </w:t>
      </w:r>
      <w:proofErr w:type="spellStart"/>
      <w:r w:rsidRPr="00BD1F38">
        <w:rPr>
          <w:rFonts w:eastAsiaTheme="minorEastAsia"/>
        </w:rPr>
        <w:t>Macquarrie</w:t>
      </w:r>
      <w:proofErr w:type="spellEnd"/>
      <w:r w:rsidRPr="00BD1F38">
        <w:rPr>
          <w:rFonts w:eastAsiaTheme="minorEastAsia"/>
        </w:rPr>
        <w:t xml:space="preserve"> &amp; Edward Robinson (London: SCM Press LTD, 1962)</w:t>
      </w:r>
    </w:p>
    <w:p w14:paraId="4535C710" w14:textId="77777777" w:rsidR="00452FD4" w:rsidRPr="00BD1F38" w:rsidRDefault="00452FD4" w:rsidP="00452FD4">
      <w:pPr>
        <w:autoSpaceDE w:val="0"/>
        <w:autoSpaceDN w:val="0"/>
        <w:adjustRightInd w:val="0"/>
        <w:rPr>
          <w:rFonts w:eastAsiaTheme="minorEastAsia"/>
        </w:rPr>
      </w:pPr>
    </w:p>
    <w:p w14:paraId="3B228DCD" w14:textId="77777777" w:rsidR="00452FD4" w:rsidRPr="00BD1F38" w:rsidRDefault="00452FD4" w:rsidP="00452FD4">
      <w:pPr>
        <w:autoSpaceDE w:val="0"/>
        <w:autoSpaceDN w:val="0"/>
        <w:adjustRightInd w:val="0"/>
        <w:rPr>
          <w:rFonts w:eastAsiaTheme="minorEastAsia"/>
          <w:lang w:val="en-US"/>
        </w:rPr>
      </w:pPr>
      <w:r w:rsidRPr="00BD1F38">
        <w:rPr>
          <w:rFonts w:eastAsiaTheme="minorEastAsia"/>
          <w:lang w:val="en-US"/>
        </w:rPr>
        <w:t>Hewitt, Kenneth, I</w:t>
      </w:r>
      <w:r w:rsidRPr="00BD1F38">
        <w:rPr>
          <w:rFonts w:eastAsiaTheme="minorEastAsia"/>
          <w:i/>
          <w:iCs/>
          <w:lang w:val="en-US"/>
        </w:rPr>
        <w:t xml:space="preserve">nterpretations of Calamity: from the viewpoint of human ecology </w:t>
      </w:r>
      <w:r w:rsidRPr="00BD1F38">
        <w:rPr>
          <w:rFonts w:eastAsiaTheme="minorEastAsia"/>
          <w:lang w:val="en-US"/>
        </w:rPr>
        <w:t>(Boston: Allen &amp; Unwin Inc., 1984)</w:t>
      </w:r>
    </w:p>
    <w:p w14:paraId="42BAB363" w14:textId="77777777" w:rsidR="00CF2F78" w:rsidRPr="00BD1F38" w:rsidRDefault="00CF2F78" w:rsidP="00452FD4">
      <w:pPr>
        <w:autoSpaceDE w:val="0"/>
        <w:autoSpaceDN w:val="0"/>
        <w:adjustRightInd w:val="0"/>
        <w:rPr>
          <w:rFonts w:eastAsiaTheme="minorEastAsia"/>
          <w:lang w:val="en-US"/>
        </w:rPr>
      </w:pPr>
    </w:p>
    <w:p w14:paraId="59BDB9D0" w14:textId="55498E17" w:rsidR="00CF2F78" w:rsidRPr="00BD1F38" w:rsidRDefault="00CF2F78" w:rsidP="00452FD4">
      <w:pPr>
        <w:autoSpaceDE w:val="0"/>
        <w:autoSpaceDN w:val="0"/>
        <w:adjustRightInd w:val="0"/>
        <w:rPr>
          <w:rFonts w:eastAsiaTheme="minorEastAsia"/>
        </w:rPr>
      </w:pPr>
      <w:r w:rsidRPr="00BD1F38">
        <w:rPr>
          <w:lang w:val="en-US"/>
        </w:rPr>
        <w:lastRenderedPageBreak/>
        <w:t xml:space="preserve">Hume, David, </w:t>
      </w:r>
      <w:r w:rsidRPr="00BD1F38">
        <w:rPr>
          <w:i/>
          <w:iCs/>
          <w:lang w:val="en-US"/>
        </w:rPr>
        <w:t>The Natural History of Religion</w:t>
      </w:r>
      <w:r w:rsidRPr="00BD1F38">
        <w:rPr>
          <w:lang w:val="en-US"/>
        </w:rPr>
        <w:t>, reprint edition, ed. by H. E. Root (Stanford, California: Stanford University Press, 1957)</w:t>
      </w:r>
    </w:p>
    <w:p w14:paraId="5104C90A" w14:textId="77777777" w:rsidR="00452FD4" w:rsidRPr="00BD1F38" w:rsidRDefault="00452FD4" w:rsidP="00452FD4">
      <w:pPr>
        <w:autoSpaceDE w:val="0"/>
        <w:autoSpaceDN w:val="0"/>
        <w:adjustRightInd w:val="0"/>
        <w:rPr>
          <w:rFonts w:eastAsiaTheme="minorEastAsia"/>
        </w:rPr>
      </w:pPr>
    </w:p>
    <w:p w14:paraId="3FA174F3" w14:textId="693224E4" w:rsidR="00452FD4" w:rsidRPr="00BD1F38" w:rsidRDefault="00452FD4" w:rsidP="00452FD4">
      <w:pPr>
        <w:autoSpaceDE w:val="0"/>
        <w:autoSpaceDN w:val="0"/>
        <w:adjustRightInd w:val="0"/>
        <w:rPr>
          <w:rFonts w:eastAsiaTheme="minorEastAsia"/>
        </w:rPr>
      </w:pPr>
      <w:r w:rsidRPr="00BD1F38">
        <w:rPr>
          <w:color w:val="000000" w:themeColor="text1"/>
        </w:rPr>
        <w:t>‘</w:t>
      </w:r>
      <w:r w:rsidRPr="00BD1F38">
        <w:rPr>
          <w:color w:val="000000" w:themeColor="text1"/>
          <w:shd w:val="clear" w:color="auto" w:fill="FFFFFF"/>
        </w:rPr>
        <w:t>idea’, in</w:t>
      </w:r>
      <w:r w:rsidRPr="00BD1F38">
        <w:rPr>
          <w:rStyle w:val="apple-converted-space"/>
          <w:color w:val="000000" w:themeColor="text1"/>
          <w:shd w:val="clear" w:color="auto" w:fill="FFFFFF"/>
        </w:rPr>
        <w:t> </w:t>
      </w:r>
      <w:r w:rsidRPr="00BD1F38">
        <w:rPr>
          <w:i/>
          <w:iCs/>
          <w:color w:val="000000" w:themeColor="text1"/>
        </w:rPr>
        <w:t xml:space="preserve">Merriam Webster </w:t>
      </w:r>
      <w:r w:rsidRPr="00BD1F38">
        <w:rPr>
          <w:color w:val="000000" w:themeColor="text1"/>
        </w:rPr>
        <w:t>[online]</w:t>
      </w:r>
      <w:r w:rsidRPr="00BD1F38">
        <w:rPr>
          <w:color w:val="000000" w:themeColor="text1"/>
          <w:shd w:val="clear" w:color="auto" w:fill="FFFFFF"/>
        </w:rPr>
        <w:t xml:space="preserve"> &lt;</w:t>
      </w:r>
      <w:hyperlink r:id="rId19" w:history="1">
        <w:r w:rsidRPr="00BD1F38">
          <w:rPr>
            <w:rStyle w:val="Hyperlink"/>
            <w:shd w:val="clear" w:color="auto" w:fill="FFFFFF"/>
          </w:rPr>
          <w:t>https://www.merriam-webster.com/dictionary/idea</w:t>
        </w:r>
      </w:hyperlink>
      <w:r w:rsidRPr="00BD1F38">
        <w:rPr>
          <w:color w:val="000000" w:themeColor="text1"/>
          <w:shd w:val="clear" w:color="auto" w:fill="FFFFFF"/>
        </w:rPr>
        <w:t>&gt; [accessed 13 November 2024]</w:t>
      </w:r>
    </w:p>
    <w:p w14:paraId="301072D5" w14:textId="77777777" w:rsidR="00452FD4" w:rsidRPr="00BD1F38" w:rsidRDefault="00452FD4" w:rsidP="00452FD4">
      <w:pPr>
        <w:autoSpaceDE w:val="0"/>
        <w:autoSpaceDN w:val="0"/>
        <w:adjustRightInd w:val="0"/>
        <w:rPr>
          <w:rFonts w:eastAsiaTheme="minorEastAsia"/>
        </w:rPr>
      </w:pPr>
    </w:p>
    <w:p w14:paraId="02122615" w14:textId="77777777" w:rsidR="00452FD4" w:rsidRPr="00BD1F38" w:rsidRDefault="00452FD4" w:rsidP="00452FD4">
      <w:pPr>
        <w:autoSpaceDE w:val="0"/>
        <w:autoSpaceDN w:val="0"/>
        <w:adjustRightInd w:val="0"/>
        <w:rPr>
          <w:rFonts w:eastAsiaTheme="minorEastAsia"/>
        </w:rPr>
      </w:pPr>
      <w:r w:rsidRPr="00BD1F38">
        <w:rPr>
          <w:rFonts w:eastAsiaTheme="minorEastAsia"/>
        </w:rPr>
        <w:t xml:space="preserve">Ishii, Robertson Teresa and Philip Atkins, ‘Essential vs. Accidental Properties', </w:t>
      </w:r>
      <w:r w:rsidRPr="00BD1F38">
        <w:rPr>
          <w:rFonts w:eastAsiaTheme="minorEastAsia"/>
          <w:i/>
          <w:iCs/>
        </w:rPr>
        <w:t xml:space="preserve">The Stanford </w:t>
      </w:r>
      <w:proofErr w:type="spellStart"/>
      <w:r w:rsidRPr="00BD1F38">
        <w:rPr>
          <w:rFonts w:eastAsiaTheme="minorEastAsia"/>
          <w:i/>
          <w:iCs/>
        </w:rPr>
        <w:t>Encyclopedia</w:t>
      </w:r>
      <w:proofErr w:type="spellEnd"/>
      <w:r w:rsidRPr="00BD1F38">
        <w:rPr>
          <w:rFonts w:eastAsiaTheme="minorEastAsia"/>
          <w:i/>
          <w:iCs/>
        </w:rPr>
        <w:t xml:space="preserve"> of Philosophy</w:t>
      </w:r>
      <w:r w:rsidRPr="00BD1F38">
        <w:rPr>
          <w:rFonts w:eastAsiaTheme="minorEastAsia"/>
        </w:rPr>
        <w:t xml:space="preserve"> (Spring 2023 Edition), ed. Edward N. </w:t>
      </w:r>
      <w:proofErr w:type="spellStart"/>
      <w:r w:rsidRPr="00BD1F38">
        <w:rPr>
          <w:rFonts w:eastAsiaTheme="minorEastAsia"/>
        </w:rPr>
        <w:t>Zalta</w:t>
      </w:r>
      <w:proofErr w:type="spellEnd"/>
      <w:r w:rsidRPr="00BD1F38">
        <w:rPr>
          <w:rFonts w:eastAsiaTheme="minorEastAsia"/>
        </w:rPr>
        <w:t xml:space="preserve"> &amp; Uri </w:t>
      </w:r>
      <w:proofErr w:type="spellStart"/>
      <w:r w:rsidRPr="00BD1F38">
        <w:rPr>
          <w:rFonts w:eastAsiaTheme="minorEastAsia"/>
        </w:rPr>
        <w:t>Nodelman</w:t>
      </w:r>
      <w:proofErr w:type="spellEnd"/>
      <w:r w:rsidRPr="00BD1F38">
        <w:rPr>
          <w:rFonts w:eastAsiaTheme="minorEastAsia"/>
        </w:rPr>
        <w:t xml:space="preserve"> &lt;</w:t>
      </w:r>
      <w:hyperlink r:id="rId20" w:history="1">
        <w:r w:rsidRPr="00BD1F38">
          <w:rPr>
            <w:rFonts w:eastAsiaTheme="minorEastAsia"/>
            <w:color w:val="DCA10D"/>
          </w:rPr>
          <w:t>https://plato.stanford.edu/archives/spr2023/entries/essential-accidental/</w:t>
        </w:r>
      </w:hyperlink>
      <w:r w:rsidRPr="00BD1F38">
        <w:rPr>
          <w:rFonts w:eastAsiaTheme="minorEastAsia"/>
        </w:rPr>
        <w:t>&gt; [accessed 01 October 2024]</w:t>
      </w:r>
    </w:p>
    <w:p w14:paraId="546D41EC" w14:textId="77777777" w:rsidR="007543BF" w:rsidRPr="00BD1F38" w:rsidRDefault="007543BF" w:rsidP="00452FD4">
      <w:pPr>
        <w:autoSpaceDE w:val="0"/>
        <w:autoSpaceDN w:val="0"/>
        <w:adjustRightInd w:val="0"/>
        <w:rPr>
          <w:lang w:val="en-US"/>
        </w:rPr>
      </w:pPr>
    </w:p>
    <w:p w14:paraId="18533D85" w14:textId="13B1BACF" w:rsidR="007543BF" w:rsidRPr="00BD1F38" w:rsidRDefault="007543BF" w:rsidP="00452FD4">
      <w:pPr>
        <w:autoSpaceDE w:val="0"/>
        <w:autoSpaceDN w:val="0"/>
        <w:adjustRightInd w:val="0"/>
        <w:rPr>
          <w:lang w:val="en-US"/>
        </w:rPr>
      </w:pPr>
      <w:r w:rsidRPr="00BD1F38">
        <w:t xml:space="preserve">Jung, C. </w:t>
      </w:r>
      <w:proofErr w:type="spellStart"/>
      <w:proofErr w:type="gramStart"/>
      <w:r w:rsidRPr="00BD1F38">
        <w:t>G.,‘</w:t>
      </w:r>
      <w:proofErr w:type="gramEnd"/>
      <w:r w:rsidRPr="00BD1F38">
        <w:t>Instinct</w:t>
      </w:r>
      <w:proofErr w:type="spellEnd"/>
      <w:r w:rsidRPr="00BD1F38">
        <w:t xml:space="preserve"> and the Unconscious. III’, in </w:t>
      </w:r>
      <w:r w:rsidRPr="00BD1F38">
        <w:rPr>
          <w:i/>
          <w:iCs/>
        </w:rPr>
        <w:t xml:space="preserve">Joint Meeting of the British Psychological Society, the Aristotelian Society and the Mind Association </w:t>
      </w:r>
      <w:r w:rsidRPr="00BD1F38">
        <w:t>(London: British Journal of Psychology, 12 July 1919), &lt;</w:t>
      </w:r>
      <w:hyperlink r:id="rId21" w:history="1">
        <w:r w:rsidR="00E0567C" w:rsidRPr="00BD1F38">
          <w:rPr>
            <w:rStyle w:val="Hyperlink"/>
          </w:rPr>
          <w:t>https://doi.org/10.1111/j.2044-8295.1919.tb00003.x</w:t>
        </w:r>
      </w:hyperlink>
      <w:r w:rsidRPr="00BD1F38">
        <w:t>&gt; pp. 15-23</w:t>
      </w:r>
    </w:p>
    <w:p w14:paraId="30E1944E" w14:textId="5BE59336" w:rsidR="00F702EC" w:rsidRPr="00BD1F38" w:rsidRDefault="00567B28" w:rsidP="00463412">
      <w:pPr>
        <w:pStyle w:val="NormalWeb"/>
        <w:rPr>
          <w:color w:val="000000"/>
        </w:rPr>
      </w:pPr>
      <w:r w:rsidRPr="00BD1F38">
        <w:rPr>
          <w:rStyle w:val="Strong"/>
          <w:b w:val="0"/>
          <w:bCs w:val="0"/>
          <w:color w:val="000000"/>
        </w:rPr>
        <w:t>Jung, C. G.,</w:t>
      </w:r>
      <w:r w:rsidRPr="00BD1F38">
        <w:rPr>
          <w:rStyle w:val="apple-converted-space"/>
          <w:rFonts w:eastAsiaTheme="majorEastAsia"/>
          <w:color w:val="000000"/>
        </w:rPr>
        <w:t> </w:t>
      </w:r>
      <w:r w:rsidRPr="00BD1F38">
        <w:rPr>
          <w:rStyle w:val="apple-converted-space"/>
          <w:i/>
          <w:iCs/>
          <w:color w:val="000000"/>
        </w:rPr>
        <w:t>The Collected Works of C. G. Jung</w:t>
      </w:r>
      <w:r w:rsidR="00B9552D" w:rsidRPr="00BD1F38">
        <w:rPr>
          <w:rStyle w:val="apple-converted-space"/>
          <w:i/>
          <w:iCs/>
          <w:color w:val="000000"/>
        </w:rPr>
        <w:t xml:space="preserve"> </w:t>
      </w:r>
      <w:r w:rsidR="00E21267" w:rsidRPr="00BD1F38">
        <w:rPr>
          <w:rStyle w:val="apple-converted-space"/>
          <w:i/>
          <w:iCs/>
          <w:color w:val="000000"/>
        </w:rPr>
        <w:t>| Complete Digital Edition,</w:t>
      </w:r>
      <w:r w:rsidRPr="00BD1F38">
        <w:rPr>
          <w:rStyle w:val="apple-converted-space"/>
          <w:i/>
          <w:iCs/>
          <w:color w:val="000000"/>
        </w:rPr>
        <w:t xml:space="preserve"> Volume 4:</w:t>
      </w:r>
      <w:r w:rsidRPr="00BD1F38">
        <w:rPr>
          <w:rStyle w:val="apple-converted-space"/>
          <w:color w:val="000000"/>
        </w:rPr>
        <w:t xml:space="preserve"> </w:t>
      </w:r>
      <w:r w:rsidRPr="00BD1F38">
        <w:rPr>
          <w:rStyle w:val="Emphasis"/>
          <w:color w:val="000000"/>
        </w:rPr>
        <w:t xml:space="preserve">Freud and Psychoanalysis, </w:t>
      </w:r>
      <w:r w:rsidRPr="00BD1F38">
        <w:rPr>
          <w:rStyle w:val="Emphasis"/>
          <w:i w:val="0"/>
          <w:iCs w:val="0"/>
          <w:color w:val="000000"/>
        </w:rPr>
        <w:t xml:space="preserve">trans. by R. F. C. Hull, ed. by Sir Herbert Read, Michael Fordham, M.D., M.R.C.P., Gerhard Adler, </w:t>
      </w:r>
      <w:proofErr w:type="gramStart"/>
      <w:r w:rsidRPr="00BD1F38">
        <w:rPr>
          <w:rStyle w:val="Emphasis"/>
          <w:i w:val="0"/>
          <w:iCs w:val="0"/>
          <w:color w:val="000000"/>
        </w:rPr>
        <w:t>PH.D</w:t>
      </w:r>
      <w:proofErr w:type="gramEnd"/>
      <w:r w:rsidRPr="00BD1F38">
        <w:rPr>
          <w:rStyle w:val="Emphasis"/>
          <w:i w:val="0"/>
          <w:iCs w:val="0"/>
          <w:color w:val="000000"/>
        </w:rPr>
        <w:t>,</w:t>
      </w:r>
      <w:r w:rsidRPr="00BD1F38">
        <w:rPr>
          <w:color w:val="000000"/>
        </w:rPr>
        <w:t xml:space="preserve"> (New York: </w:t>
      </w:r>
      <w:proofErr w:type="spellStart"/>
      <w:r w:rsidRPr="00BD1F38">
        <w:rPr>
          <w:color w:val="000000"/>
        </w:rPr>
        <w:t>Bollingen</w:t>
      </w:r>
      <w:proofErr w:type="spellEnd"/>
      <w:r w:rsidRPr="00BD1F38">
        <w:rPr>
          <w:color w:val="000000"/>
        </w:rPr>
        <w:t xml:space="preserve"> Series XX, Pantheon Books, 1961)</w:t>
      </w:r>
    </w:p>
    <w:p w14:paraId="167CE6E4" w14:textId="3C7D3EBA" w:rsidR="00820DC3" w:rsidRPr="00BD1F38" w:rsidRDefault="00F702EC" w:rsidP="00463412">
      <w:pPr>
        <w:pStyle w:val="NormalWeb"/>
        <w:rPr>
          <w:color w:val="000000"/>
        </w:rPr>
      </w:pPr>
      <w:r w:rsidRPr="00BD1F38">
        <w:rPr>
          <w:lang w:val="en-US"/>
        </w:rPr>
        <w:t>Jung,</w:t>
      </w:r>
      <w:r w:rsidR="002B0884" w:rsidRPr="00BD1F38">
        <w:rPr>
          <w:lang w:val="en-US"/>
        </w:rPr>
        <w:t xml:space="preserve"> C. G.,</w:t>
      </w:r>
      <w:r w:rsidRPr="00BD1F38">
        <w:rPr>
          <w:lang w:val="en-US"/>
        </w:rPr>
        <w:t xml:space="preserve"> </w:t>
      </w:r>
      <w:r w:rsidRPr="00BD1F38">
        <w:rPr>
          <w:i/>
          <w:iCs/>
          <w:lang w:val="en-US"/>
        </w:rPr>
        <w:t xml:space="preserve">The Collected Works of C. G. Jung </w:t>
      </w:r>
      <w:r w:rsidR="00280AD5" w:rsidRPr="00BD1F38">
        <w:rPr>
          <w:i/>
          <w:iCs/>
          <w:lang w:val="en-US"/>
        </w:rPr>
        <w:t>| Complete Digital Edition</w:t>
      </w:r>
      <w:r w:rsidR="00E21267" w:rsidRPr="00BD1F38">
        <w:rPr>
          <w:i/>
          <w:iCs/>
          <w:lang w:val="en-US"/>
        </w:rPr>
        <w:t>,</w:t>
      </w:r>
      <w:r w:rsidR="00280AD5" w:rsidRPr="00BD1F38">
        <w:rPr>
          <w:i/>
          <w:iCs/>
          <w:lang w:val="en-US"/>
        </w:rPr>
        <w:t xml:space="preserve"> </w:t>
      </w:r>
      <w:r w:rsidRPr="00BD1F38">
        <w:rPr>
          <w:i/>
          <w:iCs/>
          <w:lang w:val="en-US"/>
        </w:rPr>
        <w:t>Volume 9, Part 1: The Archetypes and the Collective Unconscious</w:t>
      </w:r>
      <w:r w:rsidRPr="00BD1F38">
        <w:rPr>
          <w:lang w:val="en-US"/>
        </w:rPr>
        <w:t>, 2</w:t>
      </w:r>
      <w:r w:rsidRPr="00BD1F38">
        <w:rPr>
          <w:vertAlign w:val="superscript"/>
          <w:lang w:val="en-US"/>
        </w:rPr>
        <w:t>nd</w:t>
      </w:r>
      <w:r w:rsidRPr="00BD1F38">
        <w:rPr>
          <w:lang w:val="en-US"/>
        </w:rPr>
        <w:t xml:space="preserve"> Edition., </w:t>
      </w:r>
      <w:r w:rsidRPr="00BD1F38">
        <w:rPr>
          <w:rStyle w:val="Emphasis"/>
          <w:i w:val="0"/>
          <w:iCs w:val="0"/>
          <w:color w:val="000000"/>
        </w:rPr>
        <w:t>trans. by R. F. C. Hull, ed. by Sir Herbert Read, Michael Fordham, F.R.C.PSYCH., HON. F.B.PS.S., Gerhard Adler, PH.D, William McGuire (executive editor)</w:t>
      </w:r>
      <w:r w:rsidRPr="00BD1F38">
        <w:rPr>
          <w:color w:val="000000"/>
        </w:rPr>
        <w:t xml:space="preserve"> (New York: </w:t>
      </w:r>
      <w:proofErr w:type="spellStart"/>
      <w:r w:rsidRPr="00BD1F38">
        <w:rPr>
          <w:color w:val="000000"/>
        </w:rPr>
        <w:t>Bollingen</w:t>
      </w:r>
      <w:proofErr w:type="spellEnd"/>
      <w:r w:rsidRPr="00BD1F38">
        <w:rPr>
          <w:color w:val="000000"/>
        </w:rPr>
        <w:t xml:space="preserve"> Series XX, Pantheon Books, </w:t>
      </w:r>
      <w:r w:rsidR="00296F66" w:rsidRPr="00BD1F38">
        <w:rPr>
          <w:color w:val="000000"/>
        </w:rPr>
        <w:t>1968</w:t>
      </w:r>
      <w:r w:rsidRPr="00BD1F38">
        <w:rPr>
          <w:color w:val="000000"/>
        </w:rPr>
        <w:t>)</w:t>
      </w:r>
    </w:p>
    <w:p w14:paraId="76A7BB6D" w14:textId="5D24D3D2" w:rsidR="00BB4A75" w:rsidRPr="00BD1F38" w:rsidRDefault="00BB4A75" w:rsidP="00463412">
      <w:pPr>
        <w:pStyle w:val="NormalWeb"/>
        <w:rPr>
          <w:lang w:val="en-US"/>
        </w:rPr>
      </w:pPr>
      <w:r w:rsidRPr="00BD1F38">
        <w:rPr>
          <w:lang w:val="en-US"/>
        </w:rPr>
        <w:t xml:space="preserve">Jung, </w:t>
      </w:r>
      <w:r w:rsidR="00D36E60" w:rsidRPr="00BD1F38">
        <w:rPr>
          <w:lang w:val="en-US"/>
        </w:rPr>
        <w:t>C. G.,</w:t>
      </w:r>
      <w:r w:rsidR="004E40DB" w:rsidRPr="00BD1F38">
        <w:rPr>
          <w:lang w:val="en-US"/>
        </w:rPr>
        <w:t xml:space="preserve"> </w:t>
      </w:r>
      <w:r w:rsidRPr="00BD1F38">
        <w:rPr>
          <w:rStyle w:val="apple-converted-space"/>
          <w:i/>
          <w:iCs/>
          <w:color w:val="000000"/>
        </w:rPr>
        <w:t>The Collected Works of C. G. Jung | Complete Digital Edition, Volume 10:</w:t>
      </w:r>
      <w:r w:rsidRPr="00BD1F38">
        <w:rPr>
          <w:rStyle w:val="apple-converted-space"/>
          <w:color w:val="000000"/>
        </w:rPr>
        <w:t xml:space="preserve"> </w:t>
      </w:r>
      <w:r w:rsidRPr="00BD1F38">
        <w:rPr>
          <w:rStyle w:val="Emphasis"/>
          <w:color w:val="000000"/>
        </w:rPr>
        <w:t xml:space="preserve">Civilisation in Transition, </w:t>
      </w:r>
      <w:r w:rsidRPr="00BD1F38">
        <w:rPr>
          <w:rStyle w:val="Emphasis"/>
          <w:i w:val="0"/>
          <w:iCs w:val="0"/>
          <w:color w:val="000000"/>
        </w:rPr>
        <w:t xml:space="preserve">trans. by R. F. C. Hull, ed. by Sir Herbert Read, Michael Fordham, M.D., M.R.C.P., Gerhard Adler, </w:t>
      </w:r>
      <w:proofErr w:type="gramStart"/>
      <w:r w:rsidRPr="00BD1F38">
        <w:rPr>
          <w:rStyle w:val="Emphasis"/>
          <w:i w:val="0"/>
          <w:iCs w:val="0"/>
          <w:color w:val="000000"/>
        </w:rPr>
        <w:t>PH.D</w:t>
      </w:r>
      <w:proofErr w:type="gramEnd"/>
      <w:r w:rsidRPr="00BD1F38">
        <w:rPr>
          <w:rStyle w:val="Emphasis"/>
          <w:i w:val="0"/>
          <w:iCs w:val="0"/>
          <w:color w:val="000000"/>
        </w:rPr>
        <w:t>,</w:t>
      </w:r>
      <w:r w:rsidRPr="00BD1F38">
        <w:rPr>
          <w:color w:val="000000"/>
        </w:rPr>
        <w:t xml:space="preserve"> (New York: </w:t>
      </w:r>
      <w:proofErr w:type="spellStart"/>
      <w:r w:rsidRPr="00BD1F38">
        <w:rPr>
          <w:color w:val="000000"/>
        </w:rPr>
        <w:t>Bollingen</w:t>
      </w:r>
      <w:proofErr w:type="spellEnd"/>
      <w:r w:rsidRPr="00BD1F38">
        <w:rPr>
          <w:color w:val="000000"/>
        </w:rPr>
        <w:t xml:space="preserve"> Series XX, Pantheon Books, 1961)</w:t>
      </w:r>
    </w:p>
    <w:p w14:paraId="54F94443" w14:textId="65F01DB4" w:rsidR="00903F45" w:rsidRPr="00BD1F38" w:rsidRDefault="00820DC3" w:rsidP="00E0567C">
      <w:pPr>
        <w:pStyle w:val="NormalWeb"/>
      </w:pPr>
      <w:r w:rsidRPr="00BD1F38">
        <w:rPr>
          <w:lang w:val="en-US"/>
        </w:rPr>
        <w:t>Jung,</w:t>
      </w:r>
      <w:r w:rsidR="00D36E60" w:rsidRPr="00BD1F38">
        <w:rPr>
          <w:lang w:val="en-US"/>
        </w:rPr>
        <w:t xml:space="preserve"> C. G.,</w:t>
      </w:r>
      <w:r w:rsidRPr="00BD1F38">
        <w:rPr>
          <w:lang w:val="en-US"/>
        </w:rPr>
        <w:t xml:space="preserve"> </w:t>
      </w:r>
      <w:r w:rsidRPr="00BD1F38">
        <w:rPr>
          <w:i/>
          <w:iCs/>
          <w:lang w:val="en-US"/>
        </w:rPr>
        <w:t>The Collected Works of C. G. Jung | Complete Digital Edition, Volume 12: Psychology and Alchemy</w:t>
      </w:r>
      <w:r w:rsidRPr="00BD1F38">
        <w:rPr>
          <w:lang w:val="en-US"/>
        </w:rPr>
        <w:t>, 2</w:t>
      </w:r>
      <w:r w:rsidRPr="00BD1F38">
        <w:rPr>
          <w:vertAlign w:val="superscript"/>
          <w:lang w:val="en-US"/>
        </w:rPr>
        <w:t>nd</w:t>
      </w:r>
      <w:r w:rsidRPr="00BD1F38">
        <w:rPr>
          <w:lang w:val="en-US"/>
        </w:rPr>
        <w:t xml:space="preserve"> Edition., </w:t>
      </w:r>
      <w:r w:rsidRPr="00BD1F38">
        <w:rPr>
          <w:rStyle w:val="Emphasis"/>
          <w:i w:val="0"/>
          <w:iCs w:val="0"/>
          <w:color w:val="000000"/>
        </w:rPr>
        <w:t xml:space="preserve">trans. by R. F. C. Hull, ed. by Sir Herbert Read, Michael Fordham, F.R.C.PSYCH., HON. </w:t>
      </w:r>
      <w:proofErr w:type="gramStart"/>
      <w:r w:rsidRPr="00BD1F38">
        <w:rPr>
          <w:rStyle w:val="Emphasis"/>
          <w:i w:val="0"/>
          <w:iCs w:val="0"/>
          <w:color w:val="000000"/>
        </w:rPr>
        <w:t>F.B.PS.S.</w:t>
      </w:r>
      <w:proofErr w:type="gramEnd"/>
      <w:r w:rsidRPr="00BD1F38">
        <w:rPr>
          <w:rStyle w:val="Emphasis"/>
          <w:i w:val="0"/>
          <w:iCs w:val="0"/>
          <w:color w:val="000000"/>
        </w:rPr>
        <w:t>, Gerhard Adler, PH.D, William McGuire (executive editor)</w:t>
      </w:r>
      <w:r w:rsidRPr="00BD1F38">
        <w:rPr>
          <w:color w:val="000000"/>
        </w:rPr>
        <w:t xml:space="preserve"> (New York: </w:t>
      </w:r>
      <w:proofErr w:type="spellStart"/>
      <w:r w:rsidRPr="00BD1F38">
        <w:rPr>
          <w:color w:val="000000"/>
        </w:rPr>
        <w:t>Bollingen</w:t>
      </w:r>
      <w:proofErr w:type="spellEnd"/>
      <w:r w:rsidRPr="00BD1F38">
        <w:rPr>
          <w:color w:val="000000"/>
        </w:rPr>
        <w:t xml:space="preserve"> Series XX, Pantheon Books, 1968)</w:t>
      </w:r>
    </w:p>
    <w:p w14:paraId="0E35C5F4" w14:textId="13CE21B7" w:rsidR="00452FD4" w:rsidRPr="00BD1F38" w:rsidRDefault="00992EAF" w:rsidP="00452FD4">
      <w:pPr>
        <w:autoSpaceDE w:val="0"/>
        <w:autoSpaceDN w:val="0"/>
        <w:adjustRightInd w:val="0"/>
        <w:rPr>
          <w:lang w:val="en-US"/>
        </w:rPr>
      </w:pPr>
      <w:r w:rsidRPr="00BD1F38">
        <w:rPr>
          <w:lang w:val="en-US"/>
        </w:rPr>
        <w:t xml:space="preserve">Jung, C. G., </w:t>
      </w:r>
      <w:r w:rsidRPr="00BD1F38">
        <w:rPr>
          <w:i/>
          <w:iCs/>
          <w:lang w:val="en-US"/>
        </w:rPr>
        <w:t>The Collected Works of C. G. Jung | Complete Digital Edition, Volume 18: The Symbolic Life</w:t>
      </w:r>
      <w:r w:rsidRPr="00BD1F38">
        <w:rPr>
          <w:lang w:val="en-US"/>
        </w:rPr>
        <w:t xml:space="preserve">: </w:t>
      </w:r>
      <w:r w:rsidRPr="00BD1F38">
        <w:rPr>
          <w:i/>
          <w:iCs/>
          <w:lang w:val="en-US"/>
        </w:rPr>
        <w:t>Miscellaneous Writings</w:t>
      </w:r>
      <w:r w:rsidRPr="00BD1F38">
        <w:rPr>
          <w:lang w:val="en-US"/>
        </w:rPr>
        <w:t xml:space="preserve">, </w:t>
      </w:r>
      <w:r w:rsidRPr="00BD1F38">
        <w:rPr>
          <w:rStyle w:val="Emphasis"/>
          <w:i w:val="0"/>
          <w:iCs w:val="0"/>
          <w:color w:val="000000"/>
        </w:rPr>
        <w:t xml:space="preserve">trans. by R. F. C. Hull, ed. by Sir Herbert Read, Michael Fordham, F.R.C.PSYCH., HON. </w:t>
      </w:r>
      <w:proofErr w:type="gramStart"/>
      <w:r w:rsidRPr="00BD1F38">
        <w:rPr>
          <w:rStyle w:val="Emphasis"/>
          <w:i w:val="0"/>
          <w:iCs w:val="0"/>
          <w:color w:val="000000"/>
        </w:rPr>
        <w:t>F.B.PS.S.</w:t>
      </w:r>
      <w:proofErr w:type="gramEnd"/>
      <w:r w:rsidRPr="00BD1F38">
        <w:rPr>
          <w:rStyle w:val="Emphasis"/>
          <w:i w:val="0"/>
          <w:iCs w:val="0"/>
          <w:color w:val="000000"/>
        </w:rPr>
        <w:t>, Gerhard Adler, PH.D, William McGuire (executive editor)</w:t>
      </w:r>
      <w:r w:rsidRPr="00BD1F38">
        <w:rPr>
          <w:color w:val="000000"/>
        </w:rPr>
        <w:t xml:space="preserve"> (New York: </w:t>
      </w:r>
      <w:proofErr w:type="spellStart"/>
      <w:r w:rsidRPr="00BD1F38">
        <w:rPr>
          <w:color w:val="000000"/>
        </w:rPr>
        <w:t>Bollingen</w:t>
      </w:r>
      <w:proofErr w:type="spellEnd"/>
      <w:r w:rsidRPr="00BD1F38">
        <w:rPr>
          <w:color w:val="000000"/>
        </w:rPr>
        <w:t xml:space="preserve"> Series XX, Pantheon Books, 1968)</w:t>
      </w:r>
    </w:p>
    <w:p w14:paraId="40C04CBC" w14:textId="77777777" w:rsidR="005E2009" w:rsidRPr="00BD1F38" w:rsidRDefault="005E2009" w:rsidP="00452FD4">
      <w:pPr>
        <w:autoSpaceDE w:val="0"/>
        <w:autoSpaceDN w:val="0"/>
        <w:adjustRightInd w:val="0"/>
        <w:rPr>
          <w:rFonts w:eastAsiaTheme="minorEastAsia"/>
        </w:rPr>
      </w:pPr>
    </w:p>
    <w:p w14:paraId="10F82148" w14:textId="39E61A6F" w:rsidR="005E2009" w:rsidRPr="00BD1F38" w:rsidRDefault="005E2009" w:rsidP="00452FD4">
      <w:pPr>
        <w:autoSpaceDE w:val="0"/>
        <w:autoSpaceDN w:val="0"/>
        <w:adjustRightInd w:val="0"/>
        <w:rPr>
          <w:rFonts w:eastAsiaTheme="minorEastAsia"/>
        </w:rPr>
      </w:pPr>
      <w:r w:rsidRPr="00BD1F38">
        <w:rPr>
          <w:rFonts w:eastAsiaTheme="minorEastAsia"/>
          <w:lang w:val="en-US"/>
        </w:rPr>
        <w:t>Kulkarni, Nirmala, ‘</w:t>
      </w:r>
      <w:r w:rsidRPr="00BD1F38">
        <w:rPr>
          <w:rFonts w:eastAsiaTheme="minorEastAsia"/>
          <w:i/>
          <w:iCs/>
          <w:lang w:val="en-US"/>
        </w:rPr>
        <w:t>VĀK</w:t>
      </w:r>
      <w:r w:rsidRPr="00BD1F38">
        <w:rPr>
          <w:rFonts w:eastAsiaTheme="minorEastAsia"/>
          <w:lang w:val="en-US"/>
        </w:rPr>
        <w:t xml:space="preserve"> IN THE VEDIC RITUAL AND RITUALS FOR </w:t>
      </w:r>
      <w:r w:rsidRPr="00BD1F38">
        <w:rPr>
          <w:rFonts w:eastAsiaTheme="minorEastAsia"/>
          <w:i/>
          <w:iCs/>
          <w:lang w:val="en-US"/>
        </w:rPr>
        <w:t>VĀK</w:t>
      </w:r>
      <w:r w:rsidRPr="00BD1F38">
        <w:rPr>
          <w:rFonts w:eastAsiaTheme="minorEastAsia"/>
          <w:lang w:val="en-US"/>
        </w:rPr>
        <w:t xml:space="preserve">’, in </w:t>
      </w:r>
      <w:r w:rsidRPr="00BD1F38">
        <w:rPr>
          <w:rFonts w:eastAsiaTheme="minorEastAsia"/>
          <w:i/>
          <w:iCs/>
          <w:lang w:val="en-US"/>
        </w:rPr>
        <w:t>Annals of the Bhandarkar Oriental Research Institute</w:t>
      </w:r>
      <w:r w:rsidRPr="00BD1F38">
        <w:rPr>
          <w:rFonts w:eastAsiaTheme="minorEastAsia"/>
          <w:lang w:val="en-US"/>
        </w:rPr>
        <w:t>, 97 (2016), pp. 89–96 &lt;</w:t>
      </w:r>
      <w:hyperlink r:id="rId22" w:history="1">
        <w:r w:rsidRPr="00BD1F38">
          <w:rPr>
            <w:rFonts w:eastAsiaTheme="minorEastAsia"/>
            <w:color w:val="DCA10D"/>
            <w:lang w:val="en-US"/>
          </w:rPr>
          <w:t>https://www.jstor.org/stable/48629583</w:t>
        </w:r>
      </w:hyperlink>
      <w:r w:rsidRPr="00BD1F38">
        <w:rPr>
          <w:rFonts w:eastAsiaTheme="minorEastAsia"/>
          <w:lang w:val="en-US"/>
        </w:rPr>
        <w:t>&gt; [accessed 25 August 2024]</w:t>
      </w:r>
    </w:p>
    <w:p w14:paraId="52FE31D5" w14:textId="77777777" w:rsidR="00452FD4" w:rsidRPr="00BD1F38" w:rsidRDefault="00452FD4" w:rsidP="00452FD4">
      <w:pPr>
        <w:autoSpaceDE w:val="0"/>
        <w:autoSpaceDN w:val="0"/>
        <w:adjustRightInd w:val="0"/>
        <w:rPr>
          <w:rFonts w:eastAsiaTheme="minorEastAsia"/>
        </w:rPr>
      </w:pPr>
    </w:p>
    <w:p w14:paraId="7CCA8D32" w14:textId="77777777" w:rsidR="00452FD4" w:rsidRPr="00BD1F38" w:rsidRDefault="00452FD4" w:rsidP="00452FD4">
      <w:pPr>
        <w:autoSpaceDE w:val="0"/>
        <w:autoSpaceDN w:val="0"/>
        <w:adjustRightInd w:val="0"/>
        <w:rPr>
          <w:rFonts w:eastAsiaTheme="minorEastAsia"/>
        </w:rPr>
      </w:pPr>
      <w:proofErr w:type="spellStart"/>
      <w:r w:rsidRPr="00BD1F38">
        <w:rPr>
          <w:rFonts w:eastAsiaTheme="minorEastAsia"/>
        </w:rPr>
        <w:t>Lesches</w:t>
      </w:r>
      <w:proofErr w:type="spellEnd"/>
      <w:r w:rsidRPr="00BD1F38">
        <w:rPr>
          <w:rFonts w:eastAsiaTheme="minorEastAsia"/>
        </w:rPr>
        <w:t xml:space="preserve">, </w:t>
      </w:r>
      <w:proofErr w:type="spellStart"/>
      <w:r w:rsidRPr="00BD1F38">
        <w:rPr>
          <w:rFonts w:eastAsiaTheme="minorEastAsia"/>
        </w:rPr>
        <w:t>Schneur</w:t>
      </w:r>
      <w:proofErr w:type="spellEnd"/>
      <w:r w:rsidRPr="00BD1F38">
        <w:rPr>
          <w:rFonts w:eastAsiaTheme="minorEastAsia"/>
        </w:rPr>
        <w:t xml:space="preserve"> </w:t>
      </w:r>
      <w:proofErr w:type="spellStart"/>
      <w:r w:rsidRPr="00BD1F38">
        <w:rPr>
          <w:rFonts w:eastAsiaTheme="minorEastAsia"/>
        </w:rPr>
        <w:t>Zalman</w:t>
      </w:r>
      <w:proofErr w:type="spellEnd"/>
      <w:r w:rsidRPr="00BD1F38">
        <w:rPr>
          <w:rFonts w:eastAsiaTheme="minorEastAsia"/>
        </w:rPr>
        <w:t xml:space="preserve">, </w:t>
      </w:r>
      <w:r w:rsidRPr="00BD1F38">
        <w:rPr>
          <w:rFonts w:eastAsiaTheme="minorEastAsia"/>
          <w:i/>
          <w:iCs/>
        </w:rPr>
        <w:t>Understanding Mikvah: An overview of Mikvah construction</w:t>
      </w:r>
      <w:r w:rsidRPr="00BD1F38">
        <w:rPr>
          <w:rFonts w:eastAsiaTheme="minorEastAsia"/>
        </w:rPr>
        <w:t xml:space="preserve"> (Montreal: Kollel Menachem, 2001)</w:t>
      </w:r>
    </w:p>
    <w:p w14:paraId="663A110E" w14:textId="77777777" w:rsidR="00381097" w:rsidRPr="00BD1F38" w:rsidRDefault="00381097" w:rsidP="00452FD4">
      <w:pPr>
        <w:autoSpaceDE w:val="0"/>
        <w:autoSpaceDN w:val="0"/>
        <w:adjustRightInd w:val="0"/>
        <w:rPr>
          <w:rFonts w:eastAsiaTheme="minorEastAsia"/>
        </w:rPr>
      </w:pPr>
    </w:p>
    <w:p w14:paraId="7A8EA32B" w14:textId="49D2C043" w:rsidR="00381097" w:rsidRPr="00BD1F38" w:rsidRDefault="00381097" w:rsidP="00452FD4">
      <w:pPr>
        <w:autoSpaceDE w:val="0"/>
        <w:autoSpaceDN w:val="0"/>
        <w:adjustRightInd w:val="0"/>
        <w:rPr>
          <w:rFonts w:eastAsiaTheme="minorEastAsia"/>
        </w:rPr>
      </w:pPr>
      <w:proofErr w:type="spellStart"/>
      <w:r w:rsidRPr="00BD1F38">
        <w:rPr>
          <w:color w:val="000000"/>
        </w:rPr>
        <w:lastRenderedPageBreak/>
        <w:t>Matteoni</w:t>
      </w:r>
      <w:proofErr w:type="spellEnd"/>
      <w:r w:rsidRPr="00BD1F38">
        <w:rPr>
          <w:color w:val="000000"/>
        </w:rPr>
        <w:t xml:space="preserve">, Francesca, ‘The Jew, the Blood and the Body in Late Medieval and Early Modern Europe’, </w:t>
      </w:r>
      <w:r w:rsidRPr="00BD1F38">
        <w:rPr>
          <w:i/>
          <w:iCs/>
          <w:color w:val="000000"/>
        </w:rPr>
        <w:t>Folklore</w:t>
      </w:r>
      <w:r w:rsidRPr="00BD1F38">
        <w:rPr>
          <w:color w:val="000000"/>
        </w:rPr>
        <w:t>, 119</w:t>
      </w:r>
      <w:r w:rsidR="003550D0" w:rsidRPr="00BD1F38">
        <w:rPr>
          <w:color w:val="000000"/>
        </w:rPr>
        <w:t>.</w:t>
      </w:r>
      <w:r w:rsidRPr="00BD1F38">
        <w:rPr>
          <w:color w:val="000000"/>
        </w:rPr>
        <w:t>2, 2008, pp. 182–200 &lt;</w:t>
      </w:r>
      <w:hyperlink r:id="rId23" w:history="1">
        <w:r w:rsidRPr="00BD1F38">
          <w:rPr>
            <w:rStyle w:val="Hyperlink"/>
          </w:rPr>
          <w:t>http://www.jstor.org/stable/40646449</w:t>
        </w:r>
      </w:hyperlink>
      <w:proofErr w:type="gramStart"/>
      <w:r w:rsidRPr="00BD1F38">
        <w:rPr>
          <w:color w:val="000000"/>
        </w:rPr>
        <w:t>&gt;  [</w:t>
      </w:r>
      <w:proofErr w:type="gramEnd"/>
      <w:r w:rsidRPr="00BD1F38">
        <w:rPr>
          <w:color w:val="000000"/>
        </w:rPr>
        <w:t>accessed 8th November 2024]</w:t>
      </w:r>
    </w:p>
    <w:p w14:paraId="4F8FB8FB" w14:textId="77777777" w:rsidR="00452FD4" w:rsidRPr="00BD1F38" w:rsidRDefault="00452FD4" w:rsidP="00452FD4">
      <w:pPr>
        <w:autoSpaceDE w:val="0"/>
        <w:autoSpaceDN w:val="0"/>
        <w:adjustRightInd w:val="0"/>
        <w:rPr>
          <w:rFonts w:eastAsiaTheme="minorEastAsia"/>
        </w:rPr>
      </w:pPr>
    </w:p>
    <w:p w14:paraId="57B84E16" w14:textId="77777777" w:rsidR="00452FD4" w:rsidRPr="00BD1F38" w:rsidRDefault="00452FD4" w:rsidP="00452FD4">
      <w:pPr>
        <w:autoSpaceDE w:val="0"/>
        <w:autoSpaceDN w:val="0"/>
        <w:adjustRightInd w:val="0"/>
        <w:rPr>
          <w:rFonts w:eastAsiaTheme="minorEastAsia"/>
        </w:rPr>
      </w:pPr>
      <w:r w:rsidRPr="00BD1F38">
        <w:rPr>
          <w:rFonts w:eastAsiaTheme="minorEastAsia"/>
        </w:rPr>
        <w:t xml:space="preserve">McCool, Stephen, Roger N. Clark, George H. </w:t>
      </w:r>
      <w:proofErr w:type="spellStart"/>
      <w:r w:rsidRPr="00BD1F38">
        <w:rPr>
          <w:rFonts w:eastAsiaTheme="minorEastAsia"/>
        </w:rPr>
        <w:t>Stankey</w:t>
      </w:r>
      <w:proofErr w:type="spellEnd"/>
      <w:r w:rsidRPr="00BD1F38">
        <w:rPr>
          <w:rFonts w:eastAsiaTheme="minorEastAsia"/>
        </w:rPr>
        <w:t xml:space="preserve">, and Rhonda Mazza, ‘Chapter 1: Water, Recreation, and Society: Shifting Demands, Rising Concerns, Growing Complexity’, in </w:t>
      </w:r>
      <w:r w:rsidRPr="00BD1F38">
        <w:rPr>
          <w:rFonts w:eastAsiaTheme="minorEastAsia"/>
          <w:i/>
          <w:iCs/>
        </w:rPr>
        <w:t>Water and People: Challenges at the Interface of Symbolic and Utilitarian Values</w:t>
      </w:r>
      <w:r w:rsidRPr="00BD1F38">
        <w:rPr>
          <w:rFonts w:eastAsiaTheme="minorEastAsia"/>
        </w:rPr>
        <w:t xml:space="preserve">, ed. by Stephen F. McCool, Roger N. Clark, George H. </w:t>
      </w:r>
      <w:proofErr w:type="spellStart"/>
      <w:r w:rsidRPr="00BD1F38">
        <w:rPr>
          <w:rFonts w:eastAsiaTheme="minorEastAsia"/>
        </w:rPr>
        <w:t>Stankey</w:t>
      </w:r>
      <w:proofErr w:type="spellEnd"/>
      <w:r w:rsidRPr="00BD1F38">
        <w:rPr>
          <w:rFonts w:eastAsiaTheme="minorEastAsia"/>
        </w:rPr>
        <w:t>, Rhonda Mazza (Portland: Pacific Northwest Research Station, U.S. Department of Agriculture, 2008), pp. 9-18</w:t>
      </w:r>
    </w:p>
    <w:p w14:paraId="54987C81" w14:textId="77777777" w:rsidR="00452FD4" w:rsidRPr="00BD1F38" w:rsidRDefault="00452FD4" w:rsidP="00452FD4">
      <w:pPr>
        <w:autoSpaceDE w:val="0"/>
        <w:autoSpaceDN w:val="0"/>
        <w:adjustRightInd w:val="0"/>
        <w:rPr>
          <w:rFonts w:eastAsiaTheme="minorEastAsia"/>
        </w:rPr>
      </w:pPr>
    </w:p>
    <w:p w14:paraId="78ED4AE2" w14:textId="710BF781" w:rsidR="00452FD4" w:rsidRPr="00BD1F38" w:rsidRDefault="00452FD4" w:rsidP="00452FD4">
      <w:pPr>
        <w:autoSpaceDE w:val="0"/>
        <w:autoSpaceDN w:val="0"/>
        <w:adjustRightInd w:val="0"/>
        <w:rPr>
          <w:rFonts w:eastAsiaTheme="minorEastAsia"/>
        </w:rPr>
      </w:pPr>
      <w:r w:rsidRPr="00BD1F38">
        <w:rPr>
          <w:rFonts w:eastAsiaTheme="minorEastAsia"/>
        </w:rPr>
        <w:t>McDonald, Andrew</w:t>
      </w:r>
      <w:r w:rsidR="00EB5B11" w:rsidRPr="00BD1F38">
        <w:rPr>
          <w:rFonts w:eastAsiaTheme="minorEastAsia"/>
        </w:rPr>
        <w:t>,</w:t>
      </w:r>
      <w:r w:rsidRPr="00BD1F38">
        <w:rPr>
          <w:rFonts w:eastAsiaTheme="minorEastAsia"/>
        </w:rPr>
        <w:t xml:space="preserve"> ‘A Botanical Perspective on the Identity of Soma (Nelumbo Nucifera </w:t>
      </w:r>
      <w:proofErr w:type="spellStart"/>
      <w:r w:rsidRPr="00BD1F38">
        <w:rPr>
          <w:rFonts w:eastAsiaTheme="minorEastAsia"/>
        </w:rPr>
        <w:t>Gaertn</w:t>
      </w:r>
      <w:proofErr w:type="spellEnd"/>
      <w:r w:rsidRPr="00BD1F38">
        <w:rPr>
          <w:rFonts w:eastAsiaTheme="minorEastAsia"/>
        </w:rPr>
        <w:t xml:space="preserve">.) Based on Scriptural and Iconographic Records.’, </w:t>
      </w:r>
      <w:r w:rsidRPr="00BD1F38">
        <w:rPr>
          <w:rFonts w:eastAsiaTheme="minorEastAsia"/>
          <w:i/>
          <w:iCs/>
        </w:rPr>
        <w:t>Economic Botany</w:t>
      </w:r>
      <w:r w:rsidRPr="00BD1F38">
        <w:rPr>
          <w:rFonts w:eastAsiaTheme="minorEastAsia"/>
        </w:rPr>
        <w:t>, 58 (2S150.004), pp. S147–73 &lt;</w:t>
      </w:r>
      <w:hyperlink r:id="rId24" w:history="1">
        <w:r w:rsidRPr="00BD1F38">
          <w:rPr>
            <w:rFonts w:eastAsiaTheme="minorEastAsia"/>
            <w:color w:val="DCA10D"/>
          </w:rPr>
          <w:t>http://www.jstor.org/stable/4256916</w:t>
        </w:r>
      </w:hyperlink>
      <w:r w:rsidRPr="00BD1F38">
        <w:rPr>
          <w:rFonts w:eastAsiaTheme="minorEastAsia"/>
        </w:rPr>
        <w:t>&gt; [accessed 23 October 2024]</w:t>
      </w:r>
    </w:p>
    <w:p w14:paraId="425EC121" w14:textId="77777777" w:rsidR="00452FD4" w:rsidRPr="00BD1F38" w:rsidRDefault="00452FD4" w:rsidP="00452FD4">
      <w:pPr>
        <w:autoSpaceDE w:val="0"/>
        <w:autoSpaceDN w:val="0"/>
        <w:adjustRightInd w:val="0"/>
        <w:rPr>
          <w:rFonts w:eastAsiaTheme="minorEastAsia"/>
        </w:rPr>
      </w:pPr>
    </w:p>
    <w:p w14:paraId="4823E0BC" w14:textId="7CB98D71" w:rsidR="00452FD4" w:rsidRPr="00BD1F38" w:rsidRDefault="00452FD4" w:rsidP="00452FD4">
      <w:pPr>
        <w:autoSpaceDE w:val="0"/>
        <w:autoSpaceDN w:val="0"/>
        <w:adjustRightInd w:val="0"/>
        <w:rPr>
          <w:rFonts w:eastAsiaTheme="minorEastAsia"/>
        </w:rPr>
      </w:pPr>
      <w:r w:rsidRPr="00BD1F38">
        <w:rPr>
          <w:rFonts w:eastAsiaTheme="minorEastAsia"/>
        </w:rPr>
        <w:t xml:space="preserve">Meyer, Melissa L., </w:t>
      </w:r>
      <w:r w:rsidRPr="00BD1F38">
        <w:rPr>
          <w:rFonts w:eastAsiaTheme="minorEastAsia"/>
          <w:i/>
          <w:iCs/>
        </w:rPr>
        <w:t xml:space="preserve">Thicker Than Water: The Origins of Blood as Symbol and Ritual </w:t>
      </w:r>
      <w:r w:rsidRPr="00BD1F38">
        <w:rPr>
          <w:rFonts w:eastAsiaTheme="minorEastAsia"/>
        </w:rPr>
        <w:t>(New York: Routledge, 2005)</w:t>
      </w:r>
    </w:p>
    <w:p w14:paraId="27645A0B" w14:textId="77777777" w:rsidR="0062457A" w:rsidRPr="00BD1F38" w:rsidRDefault="0062457A" w:rsidP="00452FD4">
      <w:pPr>
        <w:autoSpaceDE w:val="0"/>
        <w:autoSpaceDN w:val="0"/>
        <w:adjustRightInd w:val="0"/>
        <w:rPr>
          <w:rFonts w:eastAsiaTheme="minorEastAsia"/>
        </w:rPr>
      </w:pPr>
    </w:p>
    <w:p w14:paraId="3F120CBA" w14:textId="4FD1FD0B" w:rsidR="0062457A" w:rsidRPr="00BD1F38" w:rsidRDefault="0062457A" w:rsidP="00452FD4">
      <w:pPr>
        <w:autoSpaceDE w:val="0"/>
        <w:autoSpaceDN w:val="0"/>
        <w:adjustRightInd w:val="0"/>
        <w:rPr>
          <w:rFonts w:eastAsiaTheme="minorEastAsia"/>
        </w:rPr>
      </w:pPr>
      <w:proofErr w:type="spellStart"/>
      <w:r w:rsidRPr="00BD1F38">
        <w:t>Morganstein</w:t>
      </w:r>
      <w:proofErr w:type="spellEnd"/>
      <w:r w:rsidRPr="00BD1F38">
        <w:t xml:space="preserve">, Joshua C., and Robert J. </w:t>
      </w:r>
      <w:proofErr w:type="spellStart"/>
      <w:r w:rsidRPr="00BD1F38">
        <w:t>Ursano</w:t>
      </w:r>
      <w:proofErr w:type="spellEnd"/>
      <w:r w:rsidRPr="00BD1F38">
        <w:t xml:space="preserve">, ‘Ecological Disasters and Mental Health: Causes, Consequences, and Interventions’, </w:t>
      </w:r>
      <w:r w:rsidRPr="00BD1F38">
        <w:rPr>
          <w:i/>
          <w:iCs/>
        </w:rPr>
        <w:t>frontiers in Psychiatry</w:t>
      </w:r>
      <w:r w:rsidR="001C2E33" w:rsidRPr="00BD1F38">
        <w:rPr>
          <w:i/>
          <w:iCs/>
        </w:rPr>
        <w:t>,</w:t>
      </w:r>
      <w:r w:rsidRPr="00BD1F38">
        <w:t xml:space="preserve"> 11.1 (2020), </w:t>
      </w:r>
      <w:r w:rsidR="0037380C" w:rsidRPr="00BD1F38">
        <w:t xml:space="preserve">pp. 1-15 </w:t>
      </w:r>
      <w:r w:rsidRPr="00BD1F38">
        <w:t>&lt;</w:t>
      </w:r>
      <w:r w:rsidR="0090498B" w:rsidRPr="00BD1F38">
        <w:t>DOI</w:t>
      </w:r>
      <w:r w:rsidRPr="00BD1F38">
        <w:t xml:space="preserve">: 10.3389/fpsyt.2020.00001&gt; </w:t>
      </w:r>
      <w:r w:rsidR="0090498B" w:rsidRPr="00BD1F38">
        <w:t>[accessed 13 January 2025]</w:t>
      </w:r>
    </w:p>
    <w:p w14:paraId="6D80E37E" w14:textId="77777777" w:rsidR="00D82B20" w:rsidRPr="00BD1F38" w:rsidRDefault="00D82B20" w:rsidP="00452FD4">
      <w:pPr>
        <w:autoSpaceDE w:val="0"/>
        <w:autoSpaceDN w:val="0"/>
        <w:adjustRightInd w:val="0"/>
        <w:rPr>
          <w:rFonts w:eastAsiaTheme="minorEastAsia"/>
        </w:rPr>
      </w:pPr>
    </w:p>
    <w:p w14:paraId="2C898817" w14:textId="32F760E0" w:rsidR="00D82B20" w:rsidRPr="00BD1F38" w:rsidRDefault="00D82B20" w:rsidP="00452FD4">
      <w:pPr>
        <w:autoSpaceDE w:val="0"/>
        <w:autoSpaceDN w:val="0"/>
        <w:adjustRightInd w:val="0"/>
        <w:rPr>
          <w:color w:val="000000"/>
        </w:rPr>
      </w:pPr>
      <w:proofErr w:type="spellStart"/>
      <w:r w:rsidRPr="00BD1F38">
        <w:rPr>
          <w:color w:val="000000"/>
        </w:rPr>
        <w:t>Mroczek</w:t>
      </w:r>
      <w:proofErr w:type="spellEnd"/>
      <w:r w:rsidRPr="00BD1F38">
        <w:rPr>
          <w:color w:val="000000"/>
        </w:rPr>
        <w:t>, Eva, ‘“WITHOUT TORAH AND SCRIPTURE”: BIBLICAL ABSENCE AND THE HISTORY OF REVELATION’,</w:t>
      </w:r>
      <w:r w:rsidRPr="00BD1F38">
        <w:rPr>
          <w:rStyle w:val="apple-converted-space"/>
          <w:color w:val="000000"/>
        </w:rPr>
        <w:t> </w:t>
      </w:r>
      <w:r w:rsidRPr="00BD1F38">
        <w:rPr>
          <w:i/>
          <w:iCs/>
          <w:color w:val="000000"/>
        </w:rPr>
        <w:t>Hebrew Studies</w:t>
      </w:r>
      <w:r w:rsidRPr="00BD1F38">
        <w:rPr>
          <w:color w:val="000000"/>
        </w:rPr>
        <w:t>, 61</w:t>
      </w:r>
      <w:r w:rsidR="00EB0FBC" w:rsidRPr="00BD1F38">
        <w:rPr>
          <w:color w:val="000000"/>
        </w:rPr>
        <w:t xml:space="preserve"> (</w:t>
      </w:r>
      <w:r w:rsidRPr="00BD1F38">
        <w:rPr>
          <w:color w:val="000000"/>
        </w:rPr>
        <w:t>2020</w:t>
      </w:r>
      <w:r w:rsidR="00EB0FBC" w:rsidRPr="00BD1F38">
        <w:rPr>
          <w:color w:val="000000"/>
        </w:rPr>
        <w:t>)</w:t>
      </w:r>
      <w:r w:rsidRPr="00BD1F38">
        <w:rPr>
          <w:color w:val="000000"/>
        </w:rPr>
        <w:t>, pp. 97–122</w:t>
      </w:r>
      <w:r w:rsidR="00A86763" w:rsidRPr="00BD1F38">
        <w:rPr>
          <w:color w:val="000000"/>
        </w:rPr>
        <w:t xml:space="preserve"> </w:t>
      </w:r>
      <w:r w:rsidRPr="00BD1F38">
        <w:rPr>
          <w:color w:val="000000"/>
        </w:rPr>
        <w:t>&lt;</w:t>
      </w:r>
      <w:hyperlink r:id="rId25" w:history="1">
        <w:r w:rsidRPr="00BD1F38">
          <w:rPr>
            <w:rStyle w:val="Hyperlink"/>
          </w:rPr>
          <w:t>://www.jstor.org/stable/26950402</w:t>
        </w:r>
      </w:hyperlink>
      <w:r w:rsidRPr="00BD1F38">
        <w:rPr>
          <w:color w:val="000000"/>
        </w:rPr>
        <w:t>&gt; [accessed 11 January 2025]</w:t>
      </w:r>
    </w:p>
    <w:p w14:paraId="3E2D8966" w14:textId="77777777" w:rsidR="00F21C69" w:rsidRPr="00BD1F38" w:rsidRDefault="00F21C69" w:rsidP="00452FD4">
      <w:pPr>
        <w:autoSpaceDE w:val="0"/>
        <w:autoSpaceDN w:val="0"/>
        <w:adjustRightInd w:val="0"/>
        <w:rPr>
          <w:color w:val="000000"/>
        </w:rPr>
      </w:pPr>
    </w:p>
    <w:p w14:paraId="4A5E7696" w14:textId="2ABAD61E" w:rsidR="00F21C69" w:rsidRPr="00BD1F38" w:rsidRDefault="00F21C69" w:rsidP="00452FD4">
      <w:pPr>
        <w:autoSpaceDE w:val="0"/>
        <w:autoSpaceDN w:val="0"/>
        <w:adjustRightInd w:val="0"/>
        <w:rPr>
          <w:rFonts w:eastAsiaTheme="minorEastAsia"/>
        </w:rPr>
      </w:pPr>
      <w:proofErr w:type="spellStart"/>
      <w:r w:rsidRPr="00BD1F38">
        <w:rPr>
          <w:lang w:val="en-US"/>
        </w:rPr>
        <w:t>Mukerjee</w:t>
      </w:r>
      <w:proofErr w:type="spellEnd"/>
      <w:r w:rsidRPr="00BD1F38">
        <w:rPr>
          <w:rFonts w:eastAsiaTheme="minorEastAsia"/>
          <w:lang w:val="en-US"/>
        </w:rPr>
        <w:t xml:space="preserve">, </w:t>
      </w:r>
      <w:proofErr w:type="spellStart"/>
      <w:r w:rsidRPr="00BD1F38">
        <w:rPr>
          <w:rFonts w:eastAsiaTheme="minorEastAsia"/>
          <w:lang w:val="en-US"/>
        </w:rPr>
        <w:t>Radhakamal</w:t>
      </w:r>
      <w:proofErr w:type="spellEnd"/>
      <w:r w:rsidRPr="00BD1F38">
        <w:rPr>
          <w:rFonts w:eastAsiaTheme="minorEastAsia"/>
          <w:lang w:val="en-US"/>
        </w:rPr>
        <w:t xml:space="preserve">, ‘‘Rasas’ as Springs of Art in Indian Aesthetics’, </w:t>
      </w:r>
      <w:r w:rsidRPr="00BD1F38">
        <w:rPr>
          <w:rFonts w:eastAsiaTheme="minorEastAsia"/>
          <w:i/>
          <w:iCs/>
          <w:lang w:val="en-US"/>
        </w:rPr>
        <w:t>The Journal of Aesthetics and Art Criticism</w:t>
      </w:r>
      <w:r w:rsidRPr="00BD1F38">
        <w:rPr>
          <w:rFonts w:eastAsiaTheme="minorEastAsia"/>
          <w:lang w:val="en-US"/>
        </w:rPr>
        <w:t>, 24.1 (1965), pp. 91–96 &lt;</w:t>
      </w:r>
      <w:hyperlink r:id="rId26" w:history="1">
        <w:r w:rsidRPr="00BD1F38">
          <w:rPr>
            <w:rFonts w:eastAsiaTheme="minorEastAsia"/>
            <w:color w:val="DCA10D"/>
            <w:lang w:val="en-US"/>
          </w:rPr>
          <w:t>https://doi.org/10.2307/428251</w:t>
        </w:r>
      </w:hyperlink>
      <w:r w:rsidRPr="00BD1F38">
        <w:rPr>
          <w:rFonts w:eastAsiaTheme="minorEastAsia"/>
          <w:lang w:val="en-US"/>
        </w:rPr>
        <w:t>&gt; [accessed 10 October 2024]</w:t>
      </w:r>
    </w:p>
    <w:p w14:paraId="23716CA8" w14:textId="77777777" w:rsidR="00452FD4" w:rsidRPr="00BD1F38" w:rsidRDefault="00452FD4" w:rsidP="00452FD4">
      <w:pPr>
        <w:autoSpaceDE w:val="0"/>
        <w:autoSpaceDN w:val="0"/>
        <w:adjustRightInd w:val="0"/>
        <w:rPr>
          <w:rFonts w:eastAsiaTheme="minorEastAsia"/>
        </w:rPr>
      </w:pPr>
    </w:p>
    <w:p w14:paraId="51623322" w14:textId="653C5753" w:rsidR="00452FD4" w:rsidRPr="00BD1F38" w:rsidRDefault="00452FD4" w:rsidP="00452FD4">
      <w:pPr>
        <w:autoSpaceDE w:val="0"/>
        <w:autoSpaceDN w:val="0"/>
        <w:adjustRightInd w:val="0"/>
        <w:rPr>
          <w:rFonts w:eastAsiaTheme="minorEastAsia"/>
        </w:rPr>
      </w:pPr>
      <w:r w:rsidRPr="00BD1F38">
        <w:rPr>
          <w:rFonts w:eastAsiaTheme="minorEastAsia"/>
        </w:rPr>
        <w:t xml:space="preserve">Mur, Marieke, </w:t>
      </w:r>
      <w:proofErr w:type="spellStart"/>
      <w:r w:rsidRPr="00BD1F38">
        <w:rPr>
          <w:rFonts w:eastAsiaTheme="minorEastAsia"/>
        </w:rPr>
        <w:t>Mirjam</w:t>
      </w:r>
      <w:proofErr w:type="spellEnd"/>
      <w:r w:rsidRPr="00BD1F38">
        <w:rPr>
          <w:rFonts w:eastAsiaTheme="minorEastAsia"/>
        </w:rPr>
        <w:t xml:space="preserve"> </w:t>
      </w:r>
      <w:proofErr w:type="spellStart"/>
      <w:r w:rsidRPr="00BD1F38">
        <w:rPr>
          <w:rFonts w:eastAsiaTheme="minorEastAsia"/>
        </w:rPr>
        <w:t>Meys</w:t>
      </w:r>
      <w:proofErr w:type="spellEnd"/>
      <w:r w:rsidRPr="00BD1F38">
        <w:rPr>
          <w:rFonts w:eastAsiaTheme="minorEastAsia"/>
        </w:rPr>
        <w:t xml:space="preserve">, Jerzy </w:t>
      </w:r>
      <w:proofErr w:type="spellStart"/>
      <w:r w:rsidRPr="00BD1F38">
        <w:rPr>
          <w:rFonts w:eastAsiaTheme="minorEastAsia"/>
        </w:rPr>
        <w:t>Bodurka</w:t>
      </w:r>
      <w:proofErr w:type="spellEnd"/>
      <w:r w:rsidRPr="00BD1F38">
        <w:rPr>
          <w:rFonts w:eastAsiaTheme="minorEastAsia"/>
        </w:rPr>
        <w:t xml:space="preserve">, Rainer Goebel, Peter A. </w:t>
      </w:r>
      <w:proofErr w:type="spellStart"/>
      <w:r w:rsidRPr="00BD1F38">
        <w:rPr>
          <w:rFonts w:eastAsiaTheme="minorEastAsia"/>
        </w:rPr>
        <w:t>Bandettini</w:t>
      </w:r>
      <w:proofErr w:type="spellEnd"/>
      <w:r w:rsidRPr="00BD1F38">
        <w:rPr>
          <w:rFonts w:eastAsiaTheme="minorEastAsia"/>
        </w:rPr>
        <w:t xml:space="preserve">, Nikolaus </w:t>
      </w:r>
      <w:proofErr w:type="spellStart"/>
      <w:r w:rsidRPr="00BD1F38">
        <w:rPr>
          <w:rFonts w:eastAsiaTheme="minorEastAsia"/>
        </w:rPr>
        <w:t>Kriegerskorte</w:t>
      </w:r>
      <w:proofErr w:type="spellEnd"/>
      <w:r w:rsidRPr="00BD1F38">
        <w:rPr>
          <w:rFonts w:eastAsiaTheme="minorEastAsia"/>
        </w:rPr>
        <w:t xml:space="preserve">, ’Human object-similarity judgments reflect and transcend the primate-IT object representation’, in </w:t>
      </w:r>
      <w:r w:rsidRPr="00BD1F38">
        <w:rPr>
          <w:rFonts w:eastAsiaTheme="minorEastAsia"/>
          <w:i/>
          <w:iCs/>
        </w:rPr>
        <w:t>Frontiers In Psychology</w:t>
      </w:r>
      <w:r w:rsidRPr="00BD1F38">
        <w:rPr>
          <w:rFonts w:eastAsiaTheme="minorEastAsia"/>
        </w:rPr>
        <w:t>,</w:t>
      </w:r>
      <w:r w:rsidR="00066D8E" w:rsidRPr="00BD1F38">
        <w:rPr>
          <w:rFonts w:eastAsiaTheme="minorEastAsia"/>
          <w:b/>
          <w:bCs/>
        </w:rPr>
        <w:t xml:space="preserve"> </w:t>
      </w:r>
      <w:r w:rsidRPr="00BD1F38">
        <w:rPr>
          <w:rFonts w:eastAsiaTheme="minorEastAsia"/>
        </w:rPr>
        <w:t xml:space="preserve">ed. by Michael J. </w:t>
      </w:r>
      <w:proofErr w:type="spellStart"/>
      <w:r w:rsidRPr="00BD1F38">
        <w:rPr>
          <w:rFonts w:eastAsiaTheme="minorEastAsia"/>
        </w:rPr>
        <w:t>Tarr</w:t>
      </w:r>
      <w:proofErr w:type="spellEnd"/>
      <w:r w:rsidRPr="00BD1F38">
        <w:rPr>
          <w:rFonts w:eastAsiaTheme="minorEastAsia"/>
        </w:rPr>
        <w:t>,</w:t>
      </w:r>
      <w:r w:rsidRPr="00BD1F38">
        <w:rPr>
          <w:rFonts w:eastAsiaTheme="minorEastAsia"/>
          <w:b/>
          <w:bCs/>
        </w:rPr>
        <w:t xml:space="preserve"> </w:t>
      </w:r>
      <w:r w:rsidRPr="00BD1F38">
        <w:rPr>
          <w:rFonts w:eastAsiaTheme="minorEastAsia"/>
        </w:rPr>
        <w:t>4.128 &lt;</w:t>
      </w:r>
      <w:hyperlink r:id="rId27" w:history="1">
        <w:r w:rsidRPr="00BD1F38">
          <w:rPr>
            <w:rFonts w:eastAsiaTheme="minorEastAsia"/>
            <w:color w:val="DCA10D"/>
          </w:rPr>
          <w:t>https://pmc.ncbi.nlm.nih.gov/articles/PMC3605517/</w:t>
        </w:r>
      </w:hyperlink>
      <w:r w:rsidRPr="00BD1F38">
        <w:rPr>
          <w:rFonts w:eastAsiaTheme="minorEastAsia"/>
        </w:rPr>
        <w:t>&gt; [accessed 02 October 2024]</w:t>
      </w:r>
    </w:p>
    <w:p w14:paraId="3D908AC3" w14:textId="77777777" w:rsidR="00A75272" w:rsidRPr="00BD1F38" w:rsidRDefault="00A75272" w:rsidP="00452FD4">
      <w:pPr>
        <w:autoSpaceDE w:val="0"/>
        <w:autoSpaceDN w:val="0"/>
        <w:adjustRightInd w:val="0"/>
        <w:rPr>
          <w:rFonts w:eastAsiaTheme="minorEastAsia"/>
        </w:rPr>
      </w:pPr>
    </w:p>
    <w:p w14:paraId="384C21F9" w14:textId="320B9859" w:rsidR="00A75272" w:rsidRPr="00BD1F38" w:rsidRDefault="00A75272" w:rsidP="00452FD4">
      <w:pPr>
        <w:autoSpaceDE w:val="0"/>
        <w:autoSpaceDN w:val="0"/>
        <w:adjustRightInd w:val="0"/>
        <w:rPr>
          <w:rFonts w:eastAsiaTheme="minorEastAsia"/>
        </w:rPr>
      </w:pPr>
      <w:r w:rsidRPr="00BD1F38">
        <w:rPr>
          <w:rFonts w:eastAsiaTheme="minorEastAsia"/>
          <w:lang w:val="en-US"/>
        </w:rPr>
        <w:t>Natya-Shastra.in, ‘</w:t>
      </w:r>
      <w:proofErr w:type="spellStart"/>
      <w:r w:rsidRPr="00BD1F38">
        <w:rPr>
          <w:rFonts w:eastAsiaTheme="minorEastAsia"/>
          <w:lang w:val="en-US"/>
        </w:rPr>
        <w:t>Adbhuta</w:t>
      </w:r>
      <w:proofErr w:type="spellEnd"/>
      <w:r w:rsidRPr="00BD1F38">
        <w:rPr>
          <w:rFonts w:eastAsiaTheme="minorEastAsia"/>
          <w:lang w:val="en-US"/>
        </w:rPr>
        <w:t xml:space="preserve"> Rasa: The Rasa of Wonder and Amazement’, 13 September 2024 &lt;</w:t>
      </w:r>
      <w:hyperlink r:id="rId28" w:history="1">
        <w:r w:rsidRPr="00BD1F38">
          <w:rPr>
            <w:rFonts w:eastAsiaTheme="minorEastAsia"/>
            <w:color w:val="DCA10D"/>
            <w:lang w:val="en-US"/>
          </w:rPr>
          <w:t>https://natya-shastra.in/adbhuta-rasa-the-rasa-of-wonder-and-amazement/</w:t>
        </w:r>
      </w:hyperlink>
      <w:r w:rsidRPr="00BD1F38">
        <w:rPr>
          <w:rFonts w:eastAsiaTheme="minorEastAsia"/>
          <w:lang w:val="en-US"/>
        </w:rPr>
        <w:t>&gt; [accessed 10 October 2024]</w:t>
      </w:r>
    </w:p>
    <w:p w14:paraId="3F5091D8" w14:textId="77777777" w:rsidR="00452FD4" w:rsidRPr="00BD1F38" w:rsidRDefault="00452FD4" w:rsidP="00452FD4">
      <w:pPr>
        <w:autoSpaceDE w:val="0"/>
        <w:autoSpaceDN w:val="0"/>
        <w:adjustRightInd w:val="0"/>
        <w:rPr>
          <w:rFonts w:eastAsiaTheme="minorEastAsia"/>
        </w:rPr>
      </w:pPr>
    </w:p>
    <w:p w14:paraId="10F7D3ED" w14:textId="77777777" w:rsidR="00452FD4" w:rsidRPr="00BD1F38" w:rsidRDefault="00452FD4" w:rsidP="00452FD4">
      <w:pPr>
        <w:autoSpaceDE w:val="0"/>
        <w:autoSpaceDN w:val="0"/>
        <w:adjustRightInd w:val="0"/>
        <w:rPr>
          <w:rFonts w:eastAsiaTheme="minorEastAsia"/>
        </w:rPr>
      </w:pPr>
      <w:r w:rsidRPr="00BD1F38">
        <w:t xml:space="preserve">Niddah, </w:t>
      </w:r>
      <w:r w:rsidRPr="00BD1F38">
        <w:rPr>
          <w:i/>
          <w:iCs/>
        </w:rPr>
        <w:t>Jewish Virtual Library</w:t>
      </w:r>
      <w:r w:rsidRPr="00BD1F38">
        <w:t xml:space="preserve"> (1998-2024/2007) &lt;</w:t>
      </w:r>
      <w:hyperlink r:id="rId29" w:history="1">
        <w:r w:rsidRPr="00BD1F38">
          <w:rPr>
            <w:rStyle w:val="Hyperlink"/>
          </w:rPr>
          <w:t>https://www.jewishvirtuallibrary.org/niddah</w:t>
        </w:r>
      </w:hyperlink>
      <w:r w:rsidRPr="00BD1F38">
        <w:t>&gt; [accessed 21 December 2024]</w:t>
      </w:r>
    </w:p>
    <w:p w14:paraId="0D1EBF1B" w14:textId="77777777" w:rsidR="00452FD4" w:rsidRPr="00BD1F38" w:rsidRDefault="00452FD4" w:rsidP="00452FD4">
      <w:pPr>
        <w:autoSpaceDE w:val="0"/>
        <w:autoSpaceDN w:val="0"/>
        <w:adjustRightInd w:val="0"/>
        <w:rPr>
          <w:rFonts w:eastAsiaTheme="minorEastAsia"/>
        </w:rPr>
      </w:pPr>
    </w:p>
    <w:p w14:paraId="6D46A0D8" w14:textId="7881875A" w:rsidR="00452FD4" w:rsidRPr="00BD1F38" w:rsidRDefault="00452FD4" w:rsidP="00452FD4">
      <w:pPr>
        <w:autoSpaceDE w:val="0"/>
        <w:autoSpaceDN w:val="0"/>
        <w:adjustRightInd w:val="0"/>
        <w:rPr>
          <w:rFonts w:eastAsiaTheme="minorEastAsia"/>
        </w:rPr>
      </w:pPr>
      <w:r w:rsidRPr="00BD1F38">
        <w:rPr>
          <w:rFonts w:eastAsiaTheme="minorEastAsia"/>
        </w:rPr>
        <w:t xml:space="preserve">O’Connor, Cailin, Sanford Goldberg, and Alvin Goldman, ‘Social Epistemology’, </w:t>
      </w:r>
      <w:r w:rsidRPr="00BD1F38">
        <w:rPr>
          <w:rFonts w:eastAsiaTheme="minorEastAsia"/>
          <w:i/>
          <w:iCs/>
        </w:rPr>
        <w:t xml:space="preserve">The Stanford </w:t>
      </w:r>
      <w:proofErr w:type="spellStart"/>
      <w:r w:rsidRPr="00BD1F38">
        <w:rPr>
          <w:rFonts w:eastAsiaTheme="minorEastAsia"/>
          <w:i/>
          <w:iCs/>
        </w:rPr>
        <w:t>Encyclopedia</w:t>
      </w:r>
      <w:proofErr w:type="spellEnd"/>
      <w:r w:rsidRPr="00BD1F38">
        <w:rPr>
          <w:rFonts w:eastAsiaTheme="minorEastAsia"/>
          <w:i/>
          <w:iCs/>
        </w:rPr>
        <w:t xml:space="preserve"> of Philosophy</w:t>
      </w:r>
      <w:r w:rsidRPr="00BD1F38">
        <w:rPr>
          <w:rFonts w:eastAsiaTheme="minorEastAsia"/>
        </w:rPr>
        <w:t xml:space="preserve"> (Summer 2024 Edition), ed. by Edward N. </w:t>
      </w:r>
      <w:proofErr w:type="spellStart"/>
      <w:r w:rsidRPr="00BD1F38">
        <w:rPr>
          <w:rFonts w:eastAsiaTheme="minorEastAsia"/>
        </w:rPr>
        <w:t>Zalta</w:t>
      </w:r>
      <w:proofErr w:type="spellEnd"/>
      <w:r w:rsidRPr="00BD1F38">
        <w:rPr>
          <w:rFonts w:eastAsiaTheme="minorEastAsia"/>
        </w:rPr>
        <w:t xml:space="preserve"> &amp; Uri </w:t>
      </w:r>
      <w:proofErr w:type="spellStart"/>
      <w:r w:rsidRPr="00BD1F38">
        <w:rPr>
          <w:rFonts w:eastAsiaTheme="minorEastAsia"/>
        </w:rPr>
        <w:t>Nodelman</w:t>
      </w:r>
      <w:proofErr w:type="spellEnd"/>
      <w:r w:rsidRPr="00BD1F38">
        <w:rPr>
          <w:rFonts w:eastAsiaTheme="minorEastAsia"/>
        </w:rPr>
        <w:t>, &lt;</w:t>
      </w:r>
      <w:hyperlink r:id="rId30" w:history="1">
        <w:r w:rsidRPr="00BD1F38">
          <w:rPr>
            <w:rFonts w:eastAsiaTheme="minorEastAsia"/>
            <w:color w:val="DCA10D"/>
          </w:rPr>
          <w:t>https://plato.stanford.edu/archives/sum2024/entries/epistemology-social/</w:t>
        </w:r>
      </w:hyperlink>
      <w:r w:rsidRPr="00BD1F38">
        <w:rPr>
          <w:rFonts w:eastAsiaTheme="minorEastAsia"/>
        </w:rPr>
        <w:t>&gt; [accessed 07 June 2024]</w:t>
      </w:r>
    </w:p>
    <w:p w14:paraId="72FCBE40" w14:textId="77777777" w:rsidR="00E01925" w:rsidRPr="00BD1F38" w:rsidRDefault="00E01925" w:rsidP="00452FD4">
      <w:pPr>
        <w:autoSpaceDE w:val="0"/>
        <w:autoSpaceDN w:val="0"/>
        <w:adjustRightInd w:val="0"/>
        <w:rPr>
          <w:rFonts w:eastAsiaTheme="minorEastAsia"/>
        </w:rPr>
      </w:pPr>
    </w:p>
    <w:p w14:paraId="6B388DB7" w14:textId="6D8AAF3F" w:rsidR="00E01925" w:rsidRPr="00BD1F38" w:rsidRDefault="00E01925" w:rsidP="00452FD4">
      <w:pPr>
        <w:autoSpaceDE w:val="0"/>
        <w:autoSpaceDN w:val="0"/>
        <w:adjustRightInd w:val="0"/>
        <w:rPr>
          <w:rFonts w:eastAsiaTheme="minorEastAsia"/>
        </w:rPr>
      </w:pPr>
      <w:proofErr w:type="spellStart"/>
      <w:r w:rsidRPr="00BD1F38">
        <w:lastRenderedPageBreak/>
        <w:t>Otte</w:t>
      </w:r>
      <w:proofErr w:type="spellEnd"/>
      <w:r w:rsidRPr="00BD1F38">
        <w:t xml:space="preserve">, Alexander, David Coates, Richard Connor, Giulia Rode, David </w:t>
      </w:r>
      <w:proofErr w:type="spellStart"/>
      <w:r w:rsidRPr="00BD1F38">
        <w:t>Hebart</w:t>
      </w:r>
      <w:proofErr w:type="spellEnd"/>
      <w:r w:rsidRPr="00BD1F38">
        <w:t xml:space="preserve">-Coleman, Martina </w:t>
      </w:r>
      <w:proofErr w:type="spellStart"/>
      <w:r w:rsidRPr="00BD1F38">
        <w:t>Klimes</w:t>
      </w:r>
      <w:proofErr w:type="spellEnd"/>
      <w:r w:rsidRPr="00BD1F38">
        <w:t xml:space="preserve">, Elizabeth </w:t>
      </w:r>
      <w:proofErr w:type="spellStart"/>
      <w:r w:rsidRPr="00BD1F38">
        <w:t>Yaari</w:t>
      </w:r>
      <w:proofErr w:type="spellEnd"/>
      <w:r w:rsidRPr="00BD1F38">
        <w:t xml:space="preserve">, Maria Teresa Gutierrez, Nigel </w:t>
      </w:r>
      <w:proofErr w:type="spellStart"/>
      <w:r w:rsidRPr="00BD1F38">
        <w:t>Crawhall</w:t>
      </w:r>
      <w:proofErr w:type="spellEnd"/>
      <w:r w:rsidRPr="00BD1F38">
        <w:t xml:space="preserve">, Rémy </w:t>
      </w:r>
      <w:proofErr w:type="spellStart"/>
      <w:r w:rsidRPr="00BD1F38">
        <w:t>Kinna</w:t>
      </w:r>
      <w:proofErr w:type="spellEnd"/>
      <w:r w:rsidRPr="00BD1F38">
        <w:t xml:space="preserve">, </w:t>
      </w:r>
      <w:proofErr w:type="spellStart"/>
      <w:r w:rsidRPr="00BD1F38">
        <w:t>Marlos</w:t>
      </w:r>
      <w:proofErr w:type="spellEnd"/>
      <w:r w:rsidRPr="00BD1F38">
        <w:t xml:space="preserve"> de Souza, Eva Mach, Barbara Van </w:t>
      </w:r>
      <w:proofErr w:type="spellStart"/>
      <w:r w:rsidRPr="00BD1F38">
        <w:t>Koppen</w:t>
      </w:r>
      <w:proofErr w:type="spellEnd"/>
      <w:r w:rsidRPr="00BD1F38">
        <w:t xml:space="preserve">, Nicole Webley, </w:t>
      </w:r>
      <w:r w:rsidRPr="00BD1F38">
        <w:rPr>
          <w:color w:val="000000"/>
        </w:rPr>
        <w:t>‘Chapter 7: Culture and the Values of Water’</w:t>
      </w:r>
      <w:r w:rsidRPr="00BD1F38">
        <w:rPr>
          <w:rStyle w:val="apple-converted-space"/>
          <w:color w:val="000000"/>
        </w:rPr>
        <w:t> </w:t>
      </w:r>
      <w:r w:rsidRPr="00BD1F38">
        <w:rPr>
          <w:lang w:val="en-US"/>
        </w:rPr>
        <w:t>in</w:t>
      </w:r>
      <w:r w:rsidRPr="00BD1F38">
        <w:rPr>
          <w:rFonts w:eastAsiaTheme="minorEastAsia"/>
          <w:lang w:val="en-US"/>
        </w:rPr>
        <w:t xml:space="preserve"> </w:t>
      </w:r>
      <w:r w:rsidRPr="00BD1F38">
        <w:rPr>
          <w:rFonts w:eastAsiaTheme="minorEastAsia"/>
          <w:i/>
          <w:iCs/>
          <w:lang w:val="en-US"/>
        </w:rPr>
        <w:t>VALUING WATER</w:t>
      </w:r>
      <w:r w:rsidRPr="00BD1F38">
        <w:rPr>
          <w:rFonts w:eastAsiaTheme="minorEastAsia"/>
          <w:lang w:val="en-US"/>
        </w:rPr>
        <w:t xml:space="preserve">, UNESCO </w:t>
      </w:r>
      <w:r w:rsidRPr="00BD1F38">
        <w:rPr>
          <w:lang w:val="en-US"/>
        </w:rPr>
        <w:t>(</w:t>
      </w:r>
      <w:r w:rsidRPr="00BD1F38">
        <w:rPr>
          <w:rFonts w:eastAsiaTheme="minorEastAsia"/>
          <w:lang w:val="en-US"/>
        </w:rPr>
        <w:t>2021</w:t>
      </w:r>
      <w:r w:rsidRPr="00BD1F38">
        <w:rPr>
          <w:lang w:val="en-US"/>
        </w:rPr>
        <w:t>)</w:t>
      </w:r>
      <w:r w:rsidRPr="00BD1F38">
        <w:rPr>
          <w:color w:val="000000"/>
        </w:rPr>
        <w:t>, pp. 97–106 &lt;</w:t>
      </w:r>
      <w:hyperlink r:id="rId31" w:history="1">
        <w:r w:rsidRPr="00BD1F38">
          <w:rPr>
            <w:rStyle w:val="Hyperlink"/>
          </w:rPr>
          <w:t>http://www.jstor.org/stable/resrep65081.16</w:t>
        </w:r>
      </w:hyperlink>
      <w:r w:rsidRPr="00BD1F38">
        <w:rPr>
          <w:color w:val="000000"/>
        </w:rPr>
        <w:t xml:space="preserve">&gt; </w:t>
      </w:r>
      <w:r w:rsidRPr="00BD1F38">
        <w:rPr>
          <w:lang w:val="en-US"/>
        </w:rPr>
        <w:t>[accessed 07 September 2024]</w:t>
      </w:r>
    </w:p>
    <w:p w14:paraId="554315AA" w14:textId="53967AAD" w:rsidR="00452FD4" w:rsidRPr="00BD1F38" w:rsidRDefault="00452FD4" w:rsidP="007A0BDA">
      <w:pPr>
        <w:pStyle w:val="NormalWeb"/>
      </w:pPr>
      <w:proofErr w:type="spellStart"/>
      <w:r w:rsidRPr="00BD1F38">
        <w:t>Pejathaya</w:t>
      </w:r>
      <w:proofErr w:type="spellEnd"/>
      <w:r w:rsidRPr="00BD1F38">
        <w:t xml:space="preserve">, Ramakrishna, and </w:t>
      </w:r>
      <w:proofErr w:type="spellStart"/>
      <w:r w:rsidRPr="00BD1F38">
        <w:t>Anagha</w:t>
      </w:r>
      <w:proofErr w:type="spellEnd"/>
      <w:r w:rsidRPr="00BD1F38">
        <w:t xml:space="preserve"> Pradeep, ‘Sahṛdaya: A touchstone for creative imagination’, </w:t>
      </w:r>
      <w:r w:rsidRPr="00BD1F38">
        <w:rPr>
          <w:i/>
          <w:iCs/>
        </w:rPr>
        <w:t>International Journal of Sanskrit Research</w:t>
      </w:r>
      <w:r w:rsidRPr="00BD1F38">
        <w:t xml:space="preserve">, 7.5 (2021), </w:t>
      </w:r>
      <w:r w:rsidR="00EF197B" w:rsidRPr="00BD1F38">
        <w:t>p</w:t>
      </w:r>
      <w:r w:rsidRPr="00BD1F38">
        <w:t xml:space="preserve">p. 258-260 &lt; </w:t>
      </w:r>
      <w:hyperlink r:id="rId32" w:history="1">
        <w:r w:rsidRPr="00BD1F38">
          <w:rPr>
            <w:rStyle w:val="Hyperlink"/>
          </w:rPr>
          <w:t>https://doi.org/10.22271/23947519.2021.v7.i5e.1511</w:t>
        </w:r>
      </w:hyperlink>
      <w:r w:rsidRPr="00BD1F38">
        <w:t>&gt;</w:t>
      </w:r>
    </w:p>
    <w:p w14:paraId="09A2F041" w14:textId="77E481B6" w:rsidR="00452FD4" w:rsidRPr="00BD1F38" w:rsidRDefault="00452FD4" w:rsidP="00452FD4">
      <w:pPr>
        <w:autoSpaceDE w:val="0"/>
        <w:autoSpaceDN w:val="0"/>
        <w:adjustRightInd w:val="0"/>
        <w:rPr>
          <w:rFonts w:eastAsiaTheme="minorEastAsia"/>
        </w:rPr>
      </w:pPr>
      <w:r w:rsidRPr="00BD1F38">
        <w:rPr>
          <w:color w:val="000000"/>
        </w:rPr>
        <w:t xml:space="preserve">Perry, Edward Delavan, ‘Indra in the Rig-Veda’, </w:t>
      </w:r>
      <w:r w:rsidRPr="00BD1F38">
        <w:rPr>
          <w:i/>
          <w:iCs/>
          <w:color w:val="000000"/>
        </w:rPr>
        <w:t>Journal of the American Oriental Society</w:t>
      </w:r>
      <w:r w:rsidRPr="00BD1F38">
        <w:rPr>
          <w:color w:val="000000"/>
        </w:rPr>
        <w:t>, 11 (1885), p</w:t>
      </w:r>
      <w:r w:rsidR="00F24E1B" w:rsidRPr="00BD1F38">
        <w:rPr>
          <w:color w:val="000000"/>
        </w:rPr>
        <w:t>p</w:t>
      </w:r>
      <w:r w:rsidRPr="00BD1F38">
        <w:rPr>
          <w:color w:val="000000"/>
        </w:rPr>
        <w:t>. 117–208 &lt;</w:t>
      </w:r>
      <w:hyperlink r:id="rId33" w:history="1">
        <w:r w:rsidRPr="00BD1F38">
          <w:rPr>
            <w:rStyle w:val="Hyperlink"/>
          </w:rPr>
          <w:t>https://doi.org/10.2307/592191</w:t>
        </w:r>
      </w:hyperlink>
      <w:r w:rsidRPr="00BD1F38">
        <w:rPr>
          <w:color w:val="000000"/>
        </w:rPr>
        <w:t>&gt; [accessed 08 December 2024]</w:t>
      </w:r>
    </w:p>
    <w:p w14:paraId="4D4CF41D" w14:textId="77777777" w:rsidR="009C300A" w:rsidRPr="00BD1F38" w:rsidRDefault="009C300A" w:rsidP="00452FD4">
      <w:pPr>
        <w:autoSpaceDE w:val="0"/>
        <w:autoSpaceDN w:val="0"/>
        <w:adjustRightInd w:val="0"/>
        <w:rPr>
          <w:rFonts w:eastAsiaTheme="minorEastAsia"/>
        </w:rPr>
      </w:pPr>
    </w:p>
    <w:p w14:paraId="0ED10A76" w14:textId="26CCD9BB" w:rsidR="009C300A" w:rsidRPr="00BD1F38" w:rsidRDefault="009C300A" w:rsidP="00452FD4">
      <w:pPr>
        <w:autoSpaceDE w:val="0"/>
        <w:autoSpaceDN w:val="0"/>
        <w:adjustRightInd w:val="0"/>
        <w:rPr>
          <w:rFonts w:eastAsiaTheme="minorEastAsia"/>
        </w:rPr>
      </w:pPr>
      <w:r w:rsidRPr="00BD1F38">
        <w:t>Reich,</w:t>
      </w:r>
      <w:r w:rsidR="00416B70" w:rsidRPr="00BD1F38">
        <w:t xml:space="preserve"> Ronny,</w:t>
      </w:r>
      <w:r w:rsidRPr="00BD1F38">
        <w:t xml:space="preserve"> ‘Archaeological Evidence of the Jewish Population at Hasmonean Gezer’, </w:t>
      </w:r>
      <w:r w:rsidRPr="00BD1F38">
        <w:rPr>
          <w:i/>
          <w:iCs/>
        </w:rPr>
        <w:t>Israel Exploration Journal</w:t>
      </w:r>
      <w:r w:rsidRPr="00BD1F38">
        <w:t xml:space="preserve">, 31 </w:t>
      </w:r>
      <w:r w:rsidR="00416B70" w:rsidRPr="00BD1F38">
        <w:t xml:space="preserve">(1981), pp. </w:t>
      </w:r>
      <w:r w:rsidRPr="00BD1F38">
        <w:t>48-52.</w:t>
      </w:r>
    </w:p>
    <w:p w14:paraId="5C445ED4" w14:textId="77777777" w:rsidR="00452FD4" w:rsidRPr="00BD1F38" w:rsidRDefault="00452FD4" w:rsidP="00452FD4">
      <w:pPr>
        <w:autoSpaceDE w:val="0"/>
        <w:autoSpaceDN w:val="0"/>
        <w:adjustRightInd w:val="0"/>
        <w:rPr>
          <w:rFonts w:eastAsiaTheme="minorEastAsia"/>
        </w:rPr>
      </w:pPr>
    </w:p>
    <w:p w14:paraId="45F6C335" w14:textId="77777777" w:rsidR="00452FD4" w:rsidRPr="00BD1F38" w:rsidRDefault="00452FD4" w:rsidP="00452FD4">
      <w:pPr>
        <w:autoSpaceDE w:val="0"/>
        <w:autoSpaceDN w:val="0"/>
        <w:adjustRightInd w:val="0"/>
        <w:rPr>
          <w:rFonts w:eastAsiaTheme="minorEastAsia"/>
        </w:rPr>
      </w:pPr>
      <w:proofErr w:type="spellStart"/>
      <w:r w:rsidRPr="00BD1F38">
        <w:t>Roesler</w:t>
      </w:r>
      <w:proofErr w:type="spellEnd"/>
      <w:r w:rsidRPr="00BD1F38">
        <w:t>, Christian,</w:t>
      </w:r>
      <w:r w:rsidRPr="00BD1F38">
        <w:rPr>
          <w:rFonts w:eastAsiaTheme="minorEastAsia"/>
        </w:rPr>
        <w:t xml:space="preserve"> </w:t>
      </w:r>
      <w:r w:rsidRPr="00BD1F38">
        <w:rPr>
          <w:i/>
          <w:iCs/>
        </w:rPr>
        <w:t>C. G. Jung’s Archetype Concept Theory, Research and Applications</w:t>
      </w:r>
      <w:r w:rsidRPr="00BD1F38">
        <w:t xml:space="preserve">, trans. by Alexander </w:t>
      </w:r>
      <w:proofErr w:type="spellStart"/>
      <w:r w:rsidRPr="00BD1F38">
        <w:t>Ulyet</w:t>
      </w:r>
      <w:proofErr w:type="spellEnd"/>
      <w:r w:rsidRPr="00BD1F38">
        <w:t xml:space="preserve"> and Christian </w:t>
      </w:r>
      <w:proofErr w:type="spellStart"/>
      <w:r w:rsidRPr="00BD1F38">
        <w:t>Roesler</w:t>
      </w:r>
      <w:proofErr w:type="spellEnd"/>
      <w:r w:rsidRPr="00BD1F38">
        <w:t xml:space="preserve"> (London: Routledge, 2022)</w:t>
      </w:r>
    </w:p>
    <w:p w14:paraId="26AB9A14" w14:textId="77777777" w:rsidR="00452FD4" w:rsidRPr="00BD1F38" w:rsidRDefault="00452FD4" w:rsidP="00452FD4">
      <w:pPr>
        <w:autoSpaceDE w:val="0"/>
        <w:autoSpaceDN w:val="0"/>
        <w:adjustRightInd w:val="0"/>
        <w:rPr>
          <w:rFonts w:eastAsiaTheme="minorEastAsia"/>
        </w:rPr>
      </w:pPr>
    </w:p>
    <w:p w14:paraId="2042B23B" w14:textId="03986087" w:rsidR="00452FD4" w:rsidRPr="00BD1F38" w:rsidRDefault="00452FD4" w:rsidP="00452FD4">
      <w:pPr>
        <w:autoSpaceDE w:val="0"/>
        <w:autoSpaceDN w:val="0"/>
        <w:adjustRightInd w:val="0"/>
        <w:rPr>
          <w:rFonts w:eastAsiaTheme="minorEastAsia"/>
          <w:b/>
          <w:bCs/>
        </w:rPr>
      </w:pPr>
      <w:proofErr w:type="spellStart"/>
      <w:r w:rsidRPr="00BD1F38">
        <w:rPr>
          <w:rFonts w:eastAsiaTheme="minorEastAsia"/>
        </w:rPr>
        <w:t>Roesler</w:t>
      </w:r>
      <w:proofErr w:type="spellEnd"/>
      <w:r w:rsidRPr="00BD1F38">
        <w:rPr>
          <w:rFonts w:eastAsiaTheme="minorEastAsia"/>
        </w:rPr>
        <w:t xml:space="preserve">, Prof. </w:t>
      </w:r>
      <w:proofErr w:type="spellStart"/>
      <w:r w:rsidRPr="00BD1F38">
        <w:rPr>
          <w:rFonts w:eastAsiaTheme="minorEastAsia"/>
        </w:rPr>
        <w:t>Dr.</w:t>
      </w:r>
      <w:proofErr w:type="spellEnd"/>
      <w:r w:rsidRPr="00BD1F38">
        <w:rPr>
          <w:rFonts w:eastAsiaTheme="minorEastAsia"/>
        </w:rPr>
        <w:t xml:space="preserve"> Christian, </w:t>
      </w:r>
      <w:r w:rsidRPr="00BD1F38">
        <w:rPr>
          <w:rFonts w:eastAsiaTheme="minorEastAsia"/>
          <w:i/>
          <w:iCs/>
        </w:rPr>
        <w:t>Development of a Reconceptualization of Archetype Theory</w:t>
      </w:r>
      <w:r w:rsidR="0095575C" w:rsidRPr="00BD1F38">
        <w:rPr>
          <w:rFonts w:eastAsiaTheme="minorEastAsia"/>
        </w:rPr>
        <w:t>:</w:t>
      </w:r>
      <w:r w:rsidRPr="00BD1F38">
        <w:rPr>
          <w:rFonts w:eastAsiaTheme="minorEastAsia"/>
        </w:rPr>
        <w:t xml:space="preserve"> Report to the IAAP (</w:t>
      </w:r>
      <w:r w:rsidR="00CE06E4" w:rsidRPr="00BD1F38">
        <w:rPr>
          <w:rFonts w:eastAsiaTheme="minorEastAsia"/>
        </w:rPr>
        <w:t>Freiburg: IAF</w:t>
      </w:r>
      <w:r w:rsidRPr="00BD1F38">
        <w:rPr>
          <w:rFonts w:eastAsiaTheme="minorEastAsia"/>
        </w:rPr>
        <w:t>, 2022</w:t>
      </w:r>
      <w:r w:rsidR="00CE06E4" w:rsidRPr="00BD1F38">
        <w:rPr>
          <w:rFonts w:eastAsiaTheme="minorEastAsia"/>
        </w:rPr>
        <w:t>)</w:t>
      </w:r>
      <w:r w:rsidRPr="00BD1F38">
        <w:rPr>
          <w:rFonts w:eastAsiaTheme="minorEastAsia"/>
        </w:rPr>
        <w:t xml:space="preserve"> </w:t>
      </w:r>
      <w:r w:rsidR="00F77264" w:rsidRPr="00BD1F38">
        <w:rPr>
          <w:rFonts w:eastAsiaTheme="minorEastAsia"/>
        </w:rPr>
        <w:t>&lt;</w:t>
      </w:r>
      <w:hyperlink r:id="rId34" w:history="1">
        <w:r w:rsidR="00F77264" w:rsidRPr="00BD1F38">
          <w:rPr>
            <w:rStyle w:val="Hyperlink"/>
            <w:rFonts w:eastAsiaTheme="minorEastAsia"/>
          </w:rPr>
          <w:t>https://nbn-resolving.org/urn:nbn:de:0311-5101</w:t>
        </w:r>
      </w:hyperlink>
      <w:r w:rsidR="00F77264" w:rsidRPr="00BD1F38">
        <w:rPr>
          <w:rFonts w:eastAsiaTheme="minorEastAsia"/>
        </w:rPr>
        <w:t>&gt;</w:t>
      </w:r>
      <w:r w:rsidR="00911255" w:rsidRPr="00BD1F38">
        <w:rPr>
          <w:rFonts w:eastAsiaTheme="minorEastAsia"/>
        </w:rPr>
        <w:t xml:space="preserve"> [accessed 01 May 2024]</w:t>
      </w:r>
      <w:r w:rsidRPr="00BD1F38">
        <w:rPr>
          <w:rFonts w:eastAsiaTheme="minorEastAsia"/>
        </w:rPr>
        <w:t xml:space="preserve"> </w:t>
      </w:r>
    </w:p>
    <w:p w14:paraId="39BC476B" w14:textId="77777777" w:rsidR="00452FD4" w:rsidRPr="00BD1F38" w:rsidRDefault="00452FD4" w:rsidP="00452FD4">
      <w:pPr>
        <w:autoSpaceDE w:val="0"/>
        <w:autoSpaceDN w:val="0"/>
        <w:adjustRightInd w:val="0"/>
        <w:rPr>
          <w:rFonts w:eastAsiaTheme="minorEastAsia"/>
        </w:rPr>
      </w:pPr>
    </w:p>
    <w:p w14:paraId="070CA060" w14:textId="77777777" w:rsidR="00452FD4" w:rsidRPr="00BD1F38" w:rsidRDefault="00452FD4" w:rsidP="00452FD4">
      <w:pPr>
        <w:autoSpaceDE w:val="0"/>
        <w:autoSpaceDN w:val="0"/>
        <w:adjustRightInd w:val="0"/>
        <w:rPr>
          <w:rFonts w:eastAsiaTheme="minorEastAsia"/>
        </w:rPr>
      </w:pPr>
      <w:proofErr w:type="spellStart"/>
      <w:r w:rsidRPr="00BD1F38">
        <w:rPr>
          <w:rFonts w:eastAsiaTheme="minorEastAsia"/>
        </w:rPr>
        <w:t>Sahlins</w:t>
      </w:r>
      <w:proofErr w:type="spellEnd"/>
      <w:r w:rsidRPr="00BD1F38">
        <w:rPr>
          <w:rFonts w:eastAsiaTheme="minorEastAsia"/>
        </w:rPr>
        <w:t xml:space="preserve">, Marshall, </w:t>
      </w:r>
      <w:r w:rsidRPr="00BD1F38">
        <w:rPr>
          <w:rFonts w:eastAsiaTheme="minorEastAsia"/>
          <w:i/>
          <w:iCs/>
        </w:rPr>
        <w:t>Historical Metaphors and Mythical Realities</w:t>
      </w:r>
      <w:r w:rsidRPr="00BD1F38">
        <w:rPr>
          <w:rFonts w:eastAsiaTheme="minorEastAsia"/>
        </w:rPr>
        <w:t>, (Ann Arbor, MI: University of Michigan Press, 1981)</w:t>
      </w:r>
    </w:p>
    <w:p w14:paraId="10715762" w14:textId="77777777" w:rsidR="00435151" w:rsidRPr="00BD1F38" w:rsidRDefault="00435151" w:rsidP="00452FD4">
      <w:pPr>
        <w:autoSpaceDE w:val="0"/>
        <w:autoSpaceDN w:val="0"/>
        <w:adjustRightInd w:val="0"/>
        <w:rPr>
          <w:rFonts w:eastAsiaTheme="minorEastAsia"/>
        </w:rPr>
      </w:pPr>
    </w:p>
    <w:p w14:paraId="03465E71" w14:textId="03D8A63D" w:rsidR="00435151" w:rsidRPr="00BD1F38" w:rsidRDefault="00435151" w:rsidP="00452FD4">
      <w:pPr>
        <w:autoSpaceDE w:val="0"/>
        <w:autoSpaceDN w:val="0"/>
        <w:adjustRightInd w:val="0"/>
        <w:rPr>
          <w:rFonts w:eastAsiaTheme="minorEastAsia"/>
        </w:rPr>
      </w:pPr>
      <w:r w:rsidRPr="00BD1F38">
        <w:rPr>
          <w:rFonts w:eastAsiaTheme="minorEastAsia"/>
        </w:rPr>
        <w:t xml:space="preserve">Salvo, Irene, ‘Uterine bleeding, knowledge, and emotion in ancient Greek medical and magical representations’, in </w:t>
      </w:r>
      <w:r w:rsidRPr="00BD1F38">
        <w:rPr>
          <w:rFonts w:eastAsiaTheme="minorEastAsia"/>
          <w:i/>
          <w:iCs/>
        </w:rPr>
        <w:t xml:space="preserve">Bodily Fluids </w:t>
      </w:r>
      <w:proofErr w:type="gramStart"/>
      <w:r w:rsidRPr="00BD1F38">
        <w:rPr>
          <w:rFonts w:eastAsiaTheme="minorEastAsia"/>
          <w:i/>
          <w:iCs/>
        </w:rPr>
        <w:t>In</w:t>
      </w:r>
      <w:proofErr w:type="gramEnd"/>
      <w:r w:rsidRPr="00BD1F38">
        <w:rPr>
          <w:rFonts w:eastAsiaTheme="minorEastAsia"/>
          <w:i/>
          <w:iCs/>
        </w:rPr>
        <w:t xml:space="preserve"> Antiquity, </w:t>
      </w:r>
      <w:r w:rsidRPr="00BD1F38">
        <w:rPr>
          <w:rFonts w:eastAsiaTheme="minorEastAsia"/>
        </w:rPr>
        <w:t xml:space="preserve">ed. by Mark Bradley, Victoria Leonard, Laurence </w:t>
      </w:r>
      <w:proofErr w:type="spellStart"/>
      <w:r w:rsidRPr="00BD1F38">
        <w:rPr>
          <w:rFonts w:eastAsiaTheme="minorEastAsia"/>
        </w:rPr>
        <w:t>Totelin</w:t>
      </w:r>
      <w:proofErr w:type="spellEnd"/>
      <w:r w:rsidRPr="00BD1F38">
        <w:rPr>
          <w:rFonts w:eastAsiaTheme="minorEastAsia"/>
        </w:rPr>
        <w:t xml:space="preserve"> (London &amp; New York: Routledge: Taylor &amp; Francis Group, 2021), pp. 57-75</w:t>
      </w:r>
    </w:p>
    <w:p w14:paraId="283CF202" w14:textId="77777777" w:rsidR="00D67CD7" w:rsidRPr="00BD1F38" w:rsidRDefault="00D67CD7" w:rsidP="00452FD4">
      <w:pPr>
        <w:autoSpaceDE w:val="0"/>
        <w:autoSpaceDN w:val="0"/>
        <w:adjustRightInd w:val="0"/>
        <w:rPr>
          <w:rFonts w:eastAsiaTheme="minorEastAsia"/>
        </w:rPr>
      </w:pPr>
    </w:p>
    <w:p w14:paraId="06FA5D63" w14:textId="62BA17F4" w:rsidR="00D67CD7" w:rsidRPr="00BD1F38" w:rsidRDefault="00D67CD7" w:rsidP="00452FD4">
      <w:pPr>
        <w:autoSpaceDE w:val="0"/>
        <w:autoSpaceDN w:val="0"/>
        <w:adjustRightInd w:val="0"/>
        <w:rPr>
          <w:rFonts w:eastAsiaTheme="minorEastAsia"/>
        </w:rPr>
      </w:pPr>
      <w:r w:rsidRPr="00BD1F38">
        <w:t xml:space="preserve">Sarkar, </w:t>
      </w:r>
      <w:proofErr w:type="spellStart"/>
      <w:r w:rsidRPr="00BD1F38">
        <w:t>Devajyoti</w:t>
      </w:r>
      <w:proofErr w:type="spellEnd"/>
      <w:r w:rsidRPr="00BD1F38">
        <w:t xml:space="preserve">, </w:t>
      </w:r>
      <w:r w:rsidRPr="00BD1F38">
        <w:rPr>
          <w:i/>
          <w:iCs/>
          <w:color w:val="0F1111"/>
          <w:shd w:val="clear" w:color="auto" w:fill="FFFFFF"/>
        </w:rPr>
        <w:t>Rig Veda: A Digital Version of H. H. Wilson's Translation</w:t>
      </w:r>
      <w:r w:rsidRPr="00BD1F38">
        <w:rPr>
          <w:color w:val="0F1111"/>
          <w:shd w:val="clear" w:color="auto" w:fill="FFFFFF"/>
        </w:rPr>
        <w:t xml:space="preserve"> (Kindle Edition) (</w:t>
      </w:r>
      <w:proofErr w:type="spellStart"/>
      <w:r w:rsidRPr="00BD1F38">
        <w:rPr>
          <w:color w:val="0F1111"/>
          <w:shd w:val="clear" w:color="auto" w:fill="FFFFFF"/>
        </w:rPr>
        <w:t>Vamra</w:t>
      </w:r>
      <w:proofErr w:type="spellEnd"/>
      <w:r w:rsidRPr="00BD1F38">
        <w:rPr>
          <w:color w:val="0F1111"/>
          <w:shd w:val="clear" w:color="auto" w:fill="FFFFFF"/>
        </w:rPr>
        <w:t xml:space="preserve"> </w:t>
      </w:r>
      <w:proofErr w:type="spellStart"/>
      <w:r w:rsidRPr="00BD1F38">
        <w:rPr>
          <w:color w:val="0F1111"/>
          <w:shd w:val="clear" w:color="auto" w:fill="FFFFFF"/>
        </w:rPr>
        <w:t>Vaikhanasa</w:t>
      </w:r>
      <w:proofErr w:type="spellEnd"/>
      <w:r w:rsidRPr="00BD1F38">
        <w:rPr>
          <w:color w:val="0F1111"/>
          <w:shd w:val="clear" w:color="auto" w:fill="FFFFFF"/>
        </w:rPr>
        <w:t xml:space="preserve"> Publishing, 2022)</w:t>
      </w:r>
    </w:p>
    <w:p w14:paraId="70440DFA" w14:textId="77777777" w:rsidR="00AF1859" w:rsidRPr="00BD1F38" w:rsidRDefault="00AF1859" w:rsidP="00452FD4">
      <w:pPr>
        <w:autoSpaceDE w:val="0"/>
        <w:autoSpaceDN w:val="0"/>
        <w:adjustRightInd w:val="0"/>
        <w:rPr>
          <w:rFonts w:eastAsiaTheme="minorEastAsia"/>
        </w:rPr>
      </w:pPr>
    </w:p>
    <w:p w14:paraId="0C991005" w14:textId="69E7065F" w:rsidR="00AF1859" w:rsidRPr="00BD1F38" w:rsidRDefault="00AF1859" w:rsidP="00452FD4">
      <w:pPr>
        <w:autoSpaceDE w:val="0"/>
        <w:autoSpaceDN w:val="0"/>
        <w:adjustRightInd w:val="0"/>
        <w:rPr>
          <w:rFonts w:eastAsiaTheme="minorEastAsia"/>
        </w:rPr>
      </w:pPr>
      <w:proofErr w:type="spellStart"/>
      <w:r w:rsidRPr="00BD1F38">
        <w:rPr>
          <w:lang w:val="en-US"/>
        </w:rPr>
        <w:t>Schechner</w:t>
      </w:r>
      <w:proofErr w:type="spellEnd"/>
      <w:r w:rsidRPr="00BD1F38">
        <w:rPr>
          <w:lang w:val="en-US"/>
        </w:rPr>
        <w:t>, Richard,</w:t>
      </w:r>
      <w:r w:rsidRPr="00BD1F38">
        <w:rPr>
          <w:rFonts w:eastAsiaTheme="minorEastAsia"/>
          <w:lang w:val="en-US"/>
        </w:rPr>
        <w:t xml:space="preserve"> ‘</w:t>
      </w:r>
      <w:proofErr w:type="spellStart"/>
      <w:r w:rsidRPr="00BD1F38">
        <w:rPr>
          <w:rFonts w:eastAsiaTheme="minorEastAsia"/>
          <w:lang w:val="en-US"/>
        </w:rPr>
        <w:t>Rasaesthetics</w:t>
      </w:r>
      <w:proofErr w:type="spellEnd"/>
      <w:r w:rsidRPr="00BD1F38">
        <w:rPr>
          <w:rFonts w:eastAsiaTheme="minorEastAsia"/>
          <w:lang w:val="en-US"/>
        </w:rPr>
        <w:t xml:space="preserve">’, </w:t>
      </w:r>
      <w:r w:rsidRPr="00BD1F38">
        <w:rPr>
          <w:rFonts w:eastAsiaTheme="minorEastAsia"/>
          <w:i/>
          <w:iCs/>
          <w:lang w:val="en-US"/>
        </w:rPr>
        <w:t>TDR (1988-)</w:t>
      </w:r>
      <w:r w:rsidRPr="00BD1F38">
        <w:rPr>
          <w:rFonts w:eastAsiaTheme="minorEastAsia"/>
          <w:lang w:val="en-US"/>
        </w:rPr>
        <w:t xml:space="preserve">, 45.3 (2001), pp. 27–50 </w:t>
      </w:r>
      <w:r w:rsidRPr="00BD1F38">
        <w:rPr>
          <w:rFonts w:eastAsiaTheme="minorEastAsia"/>
          <w:i/>
          <w:iCs/>
          <w:lang w:val="en-US"/>
        </w:rPr>
        <w:t>&lt;</w:t>
      </w:r>
      <w:hyperlink r:id="rId35" w:history="1">
        <w:r w:rsidRPr="00BD1F38">
          <w:rPr>
            <w:rFonts w:eastAsiaTheme="minorEastAsia"/>
            <w:color w:val="DCA10D"/>
            <w:lang w:val="en-US"/>
          </w:rPr>
          <w:t>http://www.jstor.org/stable/1146911</w:t>
        </w:r>
      </w:hyperlink>
      <w:r w:rsidRPr="00BD1F38">
        <w:rPr>
          <w:rFonts w:eastAsiaTheme="minorEastAsia"/>
          <w:lang w:val="en-US"/>
        </w:rPr>
        <w:t>&gt; [accessed 10 October 2024]</w:t>
      </w:r>
    </w:p>
    <w:p w14:paraId="0A7147D0" w14:textId="77777777" w:rsidR="00452FD4" w:rsidRPr="00BD1F38" w:rsidRDefault="00452FD4" w:rsidP="00452FD4">
      <w:pPr>
        <w:autoSpaceDE w:val="0"/>
        <w:autoSpaceDN w:val="0"/>
        <w:adjustRightInd w:val="0"/>
        <w:rPr>
          <w:rFonts w:eastAsiaTheme="minorEastAsia"/>
        </w:rPr>
      </w:pPr>
    </w:p>
    <w:p w14:paraId="6C1D22E2" w14:textId="18A71255" w:rsidR="007F765A" w:rsidRPr="00BD1F38" w:rsidRDefault="00452FD4" w:rsidP="00452FD4">
      <w:pPr>
        <w:autoSpaceDE w:val="0"/>
        <w:autoSpaceDN w:val="0"/>
        <w:adjustRightInd w:val="0"/>
        <w:rPr>
          <w:rFonts w:eastAsiaTheme="minorEastAsia"/>
        </w:rPr>
      </w:pPr>
      <w:r w:rsidRPr="00BD1F38">
        <w:rPr>
          <w:rFonts w:eastAsiaTheme="minorEastAsia"/>
        </w:rPr>
        <w:t xml:space="preserve">Scrivens, Mona, </w:t>
      </w:r>
      <w:r w:rsidRPr="00BD1F38">
        <w:rPr>
          <w:rFonts w:eastAsiaTheme="minorEastAsia"/>
          <w:i/>
          <w:iCs/>
        </w:rPr>
        <w:t xml:space="preserve">Spiritual Expectations and Experience of Women with </w:t>
      </w:r>
      <w:proofErr w:type="spellStart"/>
      <w:r w:rsidRPr="00BD1F38">
        <w:rPr>
          <w:rFonts w:eastAsiaTheme="minorEastAsia"/>
          <w:i/>
          <w:iCs/>
        </w:rPr>
        <w:t>Newborns</w:t>
      </w:r>
      <w:proofErr w:type="spellEnd"/>
      <w:r w:rsidRPr="00BD1F38">
        <w:rPr>
          <w:rFonts w:eastAsiaTheme="minorEastAsia"/>
        </w:rPr>
        <w:t xml:space="preserve"> (Unpublished PhD thesis, University of Toronto, 2017)</w:t>
      </w:r>
    </w:p>
    <w:p w14:paraId="5293B20D" w14:textId="77777777" w:rsidR="0068311E" w:rsidRPr="00BD1F38" w:rsidRDefault="0068311E" w:rsidP="00452FD4">
      <w:pPr>
        <w:autoSpaceDE w:val="0"/>
        <w:autoSpaceDN w:val="0"/>
        <w:adjustRightInd w:val="0"/>
        <w:rPr>
          <w:rFonts w:eastAsiaTheme="minorEastAsia"/>
        </w:rPr>
      </w:pPr>
    </w:p>
    <w:p w14:paraId="51EE8FAE" w14:textId="0E725A21" w:rsidR="0068311E" w:rsidRPr="00BD1F38" w:rsidRDefault="0068311E" w:rsidP="00452FD4">
      <w:pPr>
        <w:autoSpaceDE w:val="0"/>
        <w:autoSpaceDN w:val="0"/>
        <w:adjustRightInd w:val="0"/>
        <w:rPr>
          <w:rFonts w:eastAsiaTheme="minorEastAsia"/>
        </w:rPr>
      </w:pPr>
      <w:proofErr w:type="spellStart"/>
      <w:r w:rsidRPr="00BD1F38">
        <w:t>Sefaria</w:t>
      </w:r>
      <w:proofErr w:type="spellEnd"/>
      <w:r w:rsidRPr="00BD1F38">
        <w:t xml:space="preserve">, </w:t>
      </w:r>
      <w:r w:rsidRPr="00BD1F38">
        <w:rPr>
          <w:i/>
          <w:iCs/>
        </w:rPr>
        <w:t>The William Davidson Talmud (</w:t>
      </w:r>
      <w:proofErr w:type="spellStart"/>
      <w:r w:rsidRPr="00BD1F38">
        <w:rPr>
          <w:i/>
          <w:iCs/>
        </w:rPr>
        <w:t>Koren</w:t>
      </w:r>
      <w:proofErr w:type="spellEnd"/>
      <w:r w:rsidRPr="00BD1F38">
        <w:rPr>
          <w:i/>
          <w:iCs/>
        </w:rPr>
        <w:t xml:space="preserve"> – </w:t>
      </w:r>
      <w:proofErr w:type="spellStart"/>
      <w:r w:rsidRPr="00BD1F38">
        <w:rPr>
          <w:i/>
          <w:iCs/>
        </w:rPr>
        <w:t>Steinsaltz</w:t>
      </w:r>
      <w:proofErr w:type="spellEnd"/>
      <w:r w:rsidRPr="00BD1F38">
        <w:rPr>
          <w:i/>
          <w:iCs/>
        </w:rPr>
        <w:t xml:space="preserve"> &lt;</w:t>
      </w:r>
      <w:hyperlink r:id="rId36" w:history="1">
        <w:r w:rsidRPr="00BD1F38">
          <w:rPr>
            <w:rStyle w:val="Hyperlink"/>
          </w:rPr>
          <w:t>https://www.sefaria.org/Ketubot.110b.14?lang=bi</w:t>
        </w:r>
      </w:hyperlink>
      <w:r w:rsidRPr="00BD1F38">
        <w:t>&gt; [accessed 03 October 2024]</w:t>
      </w:r>
    </w:p>
    <w:p w14:paraId="780C562C" w14:textId="77777777" w:rsidR="00EC695B" w:rsidRPr="00BD1F38" w:rsidRDefault="00EC695B" w:rsidP="00452FD4">
      <w:pPr>
        <w:autoSpaceDE w:val="0"/>
        <w:autoSpaceDN w:val="0"/>
        <w:adjustRightInd w:val="0"/>
        <w:rPr>
          <w:rFonts w:eastAsiaTheme="minorEastAsia"/>
        </w:rPr>
      </w:pPr>
    </w:p>
    <w:p w14:paraId="6107C554" w14:textId="1C3089AB" w:rsidR="00EC695B" w:rsidRPr="00BD1F38" w:rsidRDefault="00EC695B" w:rsidP="00EC695B">
      <w:pPr>
        <w:rPr>
          <w:color w:val="000000"/>
        </w:rPr>
      </w:pPr>
      <w:r w:rsidRPr="00BD1F38">
        <w:rPr>
          <w:color w:val="000000"/>
        </w:rPr>
        <w:t>Shapira, Haim</w:t>
      </w:r>
      <w:r w:rsidR="00FC4506" w:rsidRPr="00BD1F38">
        <w:rPr>
          <w:color w:val="000000"/>
        </w:rPr>
        <w:t>,</w:t>
      </w:r>
      <w:r w:rsidRPr="00BD1F38">
        <w:rPr>
          <w:color w:val="000000"/>
        </w:rPr>
        <w:t xml:space="preserve"> ‘FOR THE JUDGMENT IS GOD’S’: HUMAN JUDGMENT AND DIVINE JUSTICE IN THE HEBREW BIBLE AND IN JEWISH TRADITION’,</w:t>
      </w:r>
      <w:r w:rsidRPr="00BD1F38">
        <w:rPr>
          <w:rStyle w:val="apple-converted-space"/>
          <w:color w:val="000000"/>
        </w:rPr>
        <w:t> </w:t>
      </w:r>
      <w:r w:rsidRPr="00BD1F38">
        <w:rPr>
          <w:i/>
          <w:iCs/>
          <w:color w:val="000000"/>
        </w:rPr>
        <w:t>Journal of Law and Religion</w:t>
      </w:r>
      <w:r w:rsidRPr="00BD1F38">
        <w:rPr>
          <w:color w:val="000000"/>
        </w:rPr>
        <w:t>, 27.2 (2011), pp. 273–328.</w:t>
      </w:r>
      <w:r w:rsidR="00A55E7F" w:rsidRPr="00BD1F38">
        <w:rPr>
          <w:rStyle w:val="apple-converted-space"/>
          <w:color w:val="000000"/>
        </w:rPr>
        <w:t xml:space="preserve"> &lt;</w:t>
      </w:r>
      <w:hyperlink r:id="rId37" w:history="1">
        <w:r w:rsidR="00A55E7F" w:rsidRPr="00BD1F38">
          <w:rPr>
            <w:rStyle w:val="Hyperlink"/>
          </w:rPr>
          <w:t>http://www.jstor.org/stable/23645134</w:t>
        </w:r>
      </w:hyperlink>
      <w:r w:rsidR="00A55E7F" w:rsidRPr="00BD1F38">
        <w:rPr>
          <w:color w:val="000000"/>
        </w:rPr>
        <w:t>&gt; [a</w:t>
      </w:r>
      <w:r w:rsidRPr="00BD1F38">
        <w:rPr>
          <w:color w:val="000000"/>
        </w:rPr>
        <w:t>ccessed 25 Jan</w:t>
      </w:r>
      <w:r w:rsidR="00A55E7F" w:rsidRPr="00BD1F38">
        <w:rPr>
          <w:color w:val="000000"/>
        </w:rPr>
        <w:t>uary</w:t>
      </w:r>
      <w:r w:rsidRPr="00BD1F38">
        <w:rPr>
          <w:color w:val="000000"/>
        </w:rPr>
        <w:t xml:space="preserve"> 2025</w:t>
      </w:r>
      <w:r w:rsidR="00A55E7F" w:rsidRPr="00BD1F38">
        <w:rPr>
          <w:color w:val="000000"/>
        </w:rPr>
        <w:t>]</w:t>
      </w:r>
    </w:p>
    <w:p w14:paraId="1C281834" w14:textId="77777777" w:rsidR="00452FD4" w:rsidRPr="00BD1F38" w:rsidRDefault="00452FD4" w:rsidP="00452FD4">
      <w:pPr>
        <w:autoSpaceDE w:val="0"/>
        <w:autoSpaceDN w:val="0"/>
        <w:adjustRightInd w:val="0"/>
        <w:rPr>
          <w:rFonts w:eastAsiaTheme="minorEastAsia"/>
        </w:rPr>
      </w:pPr>
    </w:p>
    <w:p w14:paraId="1CA10139" w14:textId="6301011A" w:rsidR="00452FD4" w:rsidRPr="00BD1F38" w:rsidRDefault="00452FD4" w:rsidP="00452FD4">
      <w:pPr>
        <w:autoSpaceDE w:val="0"/>
        <w:autoSpaceDN w:val="0"/>
        <w:adjustRightInd w:val="0"/>
        <w:rPr>
          <w:rFonts w:eastAsiaTheme="minorEastAsia"/>
        </w:rPr>
      </w:pPr>
      <w:r w:rsidRPr="00BD1F38">
        <w:rPr>
          <w:rFonts w:eastAsiaTheme="minorEastAsia"/>
        </w:rPr>
        <w:t xml:space="preserve">Singh, Rana P. B., ‘WATER SYMBOLISM AND SACRED LANDSCAPE IN HINDUISM: A STUDY OF BENARES (VARANASI)’, in </w:t>
      </w:r>
      <w:proofErr w:type="spellStart"/>
      <w:r w:rsidRPr="00BD1F38">
        <w:rPr>
          <w:rFonts w:eastAsiaTheme="minorEastAsia"/>
        </w:rPr>
        <w:t>Erdkunde</w:t>
      </w:r>
      <w:proofErr w:type="spellEnd"/>
      <w:r w:rsidRPr="00BD1F38">
        <w:rPr>
          <w:rFonts w:eastAsiaTheme="minorEastAsia"/>
        </w:rPr>
        <w:t>: Archive For Scientific Geography, 48.3 (1994), pp. 210-227 &lt;</w:t>
      </w:r>
      <w:hyperlink r:id="rId38" w:history="1">
        <w:r w:rsidRPr="00BD1F38">
          <w:rPr>
            <w:rFonts w:eastAsiaTheme="minorEastAsia"/>
            <w:color w:val="DCA10D"/>
          </w:rPr>
          <w:t>https://www.jstor.org/stable/25646594</w:t>
        </w:r>
      </w:hyperlink>
      <w:r w:rsidRPr="00BD1F38">
        <w:rPr>
          <w:rFonts w:eastAsiaTheme="minorEastAsia"/>
        </w:rPr>
        <w:t>&gt; [accessed 25 October 2024]</w:t>
      </w:r>
    </w:p>
    <w:p w14:paraId="67B8B1BC" w14:textId="77777777" w:rsidR="00452FD4" w:rsidRPr="00BD1F38" w:rsidRDefault="00452FD4" w:rsidP="00452FD4">
      <w:pPr>
        <w:autoSpaceDE w:val="0"/>
        <w:autoSpaceDN w:val="0"/>
        <w:adjustRightInd w:val="0"/>
        <w:rPr>
          <w:rFonts w:eastAsiaTheme="minorEastAsia"/>
        </w:rPr>
      </w:pPr>
    </w:p>
    <w:p w14:paraId="480FBA4F" w14:textId="1C412324" w:rsidR="003609FA" w:rsidRPr="00BD1F38" w:rsidRDefault="00E050B8" w:rsidP="00E050B8">
      <w:pPr>
        <w:autoSpaceDE w:val="0"/>
        <w:autoSpaceDN w:val="0"/>
        <w:adjustRightInd w:val="0"/>
        <w:rPr>
          <w:rFonts w:eastAsiaTheme="minorEastAsia"/>
        </w:rPr>
      </w:pPr>
      <w:bookmarkStart w:id="6" w:name="OLE_LINK11"/>
      <w:bookmarkStart w:id="7" w:name="OLE_LINK12"/>
      <w:proofErr w:type="spellStart"/>
      <w:r w:rsidRPr="00BD1F38">
        <w:rPr>
          <w:rFonts w:eastAsiaTheme="minorEastAsia"/>
        </w:rPr>
        <w:t>Stokowksi</w:t>
      </w:r>
      <w:proofErr w:type="spellEnd"/>
      <w:r w:rsidRPr="00BD1F38">
        <w:rPr>
          <w:rFonts w:eastAsiaTheme="minorEastAsia"/>
        </w:rPr>
        <w:t xml:space="preserve">, </w:t>
      </w:r>
      <w:r w:rsidR="0055306F" w:rsidRPr="00BD1F38">
        <w:rPr>
          <w:rFonts w:eastAsiaTheme="minorEastAsia"/>
        </w:rPr>
        <w:t xml:space="preserve">Patricia, </w:t>
      </w:r>
      <w:r w:rsidR="001F66EE" w:rsidRPr="00BD1F38">
        <w:rPr>
          <w:rFonts w:eastAsiaTheme="minorEastAsia"/>
        </w:rPr>
        <w:t>‘</w:t>
      </w:r>
      <w:r w:rsidRPr="00BD1F38">
        <w:rPr>
          <w:rFonts w:eastAsiaTheme="minorEastAsia"/>
        </w:rPr>
        <w:t>Chapter 2: Symbolic Aspects of Water</w:t>
      </w:r>
      <w:r w:rsidR="001F66EE" w:rsidRPr="00BD1F38">
        <w:rPr>
          <w:rFonts w:eastAsiaTheme="minorEastAsia"/>
        </w:rPr>
        <w:t>’</w:t>
      </w:r>
      <w:r w:rsidR="00ED0840" w:rsidRPr="00BD1F38">
        <w:rPr>
          <w:rFonts w:eastAsiaTheme="minorEastAsia"/>
        </w:rPr>
        <w:t>,</w:t>
      </w:r>
      <w:r w:rsidR="003609FA" w:rsidRPr="00BD1F38">
        <w:rPr>
          <w:rFonts w:eastAsiaTheme="minorEastAsia"/>
        </w:rPr>
        <w:t xml:space="preserve"> </w:t>
      </w:r>
      <w:r w:rsidR="00E96126" w:rsidRPr="00BD1F38">
        <w:rPr>
          <w:rFonts w:eastAsiaTheme="minorEastAsia"/>
        </w:rPr>
        <w:t>in</w:t>
      </w:r>
      <w:r w:rsidR="003609FA" w:rsidRPr="00BD1F38">
        <w:rPr>
          <w:rFonts w:eastAsiaTheme="minorEastAsia"/>
        </w:rPr>
        <w:t xml:space="preserve"> </w:t>
      </w:r>
      <w:r w:rsidR="003609FA" w:rsidRPr="00BD1F38">
        <w:rPr>
          <w:rFonts w:eastAsiaTheme="minorEastAsia"/>
          <w:i/>
          <w:iCs/>
        </w:rPr>
        <w:t>Water and People: Challenges at the Interface of Symbolic and Utilitarian Values</w:t>
      </w:r>
      <w:r w:rsidR="003609FA" w:rsidRPr="00BD1F38">
        <w:rPr>
          <w:rFonts w:eastAsiaTheme="minorEastAsia"/>
        </w:rPr>
        <w:t xml:space="preserve">, ed. by Stephen F. McCool, Roger N. Clark, George H. </w:t>
      </w:r>
      <w:proofErr w:type="spellStart"/>
      <w:r w:rsidR="003609FA" w:rsidRPr="00BD1F38">
        <w:rPr>
          <w:rFonts w:eastAsiaTheme="minorEastAsia"/>
        </w:rPr>
        <w:t>Stankey</w:t>
      </w:r>
      <w:proofErr w:type="spellEnd"/>
      <w:r w:rsidR="003609FA" w:rsidRPr="00BD1F38">
        <w:rPr>
          <w:rFonts w:eastAsiaTheme="minorEastAsia"/>
        </w:rPr>
        <w:t xml:space="preserve">, Rhonda Mazza (Portland: Pacific Northwest Research Station, U.S. Department of Agriculture, 2008), pp. </w:t>
      </w:r>
      <w:r w:rsidR="00924061" w:rsidRPr="00BD1F38">
        <w:rPr>
          <w:rFonts w:eastAsiaTheme="minorEastAsia"/>
        </w:rPr>
        <w:t>19-60</w:t>
      </w:r>
    </w:p>
    <w:p w14:paraId="49188605" w14:textId="77777777" w:rsidR="000B0832" w:rsidRPr="00BD1F38" w:rsidRDefault="000B0832" w:rsidP="00E050B8">
      <w:pPr>
        <w:autoSpaceDE w:val="0"/>
        <w:autoSpaceDN w:val="0"/>
        <w:adjustRightInd w:val="0"/>
        <w:rPr>
          <w:rFonts w:eastAsiaTheme="minorEastAsia"/>
        </w:rPr>
      </w:pPr>
    </w:p>
    <w:p w14:paraId="6D5D854E" w14:textId="7FDA3EFF" w:rsidR="000B0832" w:rsidRPr="00BD1F38" w:rsidRDefault="000B0832" w:rsidP="00E050B8">
      <w:pPr>
        <w:autoSpaceDE w:val="0"/>
        <w:autoSpaceDN w:val="0"/>
        <w:adjustRightInd w:val="0"/>
        <w:rPr>
          <w:rFonts w:eastAsiaTheme="minorEastAsia"/>
        </w:rPr>
      </w:pPr>
      <w:r w:rsidRPr="00BD1F38">
        <w:rPr>
          <w:rFonts w:eastAsiaTheme="minorEastAsia"/>
          <w:i/>
          <w:iCs/>
          <w:lang w:val="en-US"/>
        </w:rPr>
        <w:t xml:space="preserve">The Holy Bible Containing the Old and New Testaments, </w:t>
      </w:r>
      <w:proofErr w:type="spellStart"/>
      <w:r w:rsidRPr="00BD1F38">
        <w:rPr>
          <w:rFonts w:eastAsiaTheme="minorEastAsia"/>
          <w:lang w:val="en-US"/>
        </w:rPr>
        <w:t>Authorised</w:t>
      </w:r>
      <w:proofErr w:type="spellEnd"/>
      <w:r w:rsidRPr="00BD1F38">
        <w:rPr>
          <w:rFonts w:eastAsiaTheme="minorEastAsia"/>
          <w:lang w:val="en-US"/>
        </w:rPr>
        <w:t xml:space="preserve"> King James Version, (Cambridge: Cambridge University Press, 1984)</w:t>
      </w:r>
    </w:p>
    <w:p w14:paraId="190EE785" w14:textId="77777777" w:rsidR="00F6497E" w:rsidRPr="00BD1F38" w:rsidRDefault="00F6497E" w:rsidP="00E050B8">
      <w:pPr>
        <w:autoSpaceDE w:val="0"/>
        <w:autoSpaceDN w:val="0"/>
        <w:adjustRightInd w:val="0"/>
        <w:rPr>
          <w:rFonts w:eastAsiaTheme="minorEastAsia"/>
        </w:rPr>
      </w:pPr>
    </w:p>
    <w:p w14:paraId="18FEC6EC" w14:textId="68ED1F4B" w:rsidR="00F6497E" w:rsidRPr="00BD1F38" w:rsidRDefault="00F6497E" w:rsidP="00F6497E">
      <w:pPr>
        <w:rPr>
          <w:color w:val="000000"/>
        </w:rPr>
      </w:pPr>
      <w:r w:rsidRPr="00BD1F38">
        <w:rPr>
          <w:color w:val="000000"/>
        </w:rPr>
        <w:t>Tillich, Paul, ‘The Religious Symbol’,</w:t>
      </w:r>
      <w:r w:rsidRPr="00BD1F38">
        <w:rPr>
          <w:rStyle w:val="apple-converted-space"/>
          <w:color w:val="000000"/>
        </w:rPr>
        <w:t> </w:t>
      </w:r>
      <w:r w:rsidRPr="00BD1F38">
        <w:rPr>
          <w:i/>
          <w:iCs/>
          <w:color w:val="000000"/>
        </w:rPr>
        <w:t>Daedalus</w:t>
      </w:r>
      <w:r w:rsidRPr="00BD1F38">
        <w:rPr>
          <w:color w:val="000000"/>
        </w:rPr>
        <w:t>, 87.3</w:t>
      </w:r>
      <w:r w:rsidR="00ED5BEF" w:rsidRPr="00BD1F38">
        <w:rPr>
          <w:color w:val="000000"/>
        </w:rPr>
        <w:t xml:space="preserve"> </w:t>
      </w:r>
      <w:r w:rsidRPr="00BD1F38">
        <w:rPr>
          <w:color w:val="000000"/>
        </w:rPr>
        <w:t xml:space="preserve">Symbolism in Religion and Literature </w:t>
      </w:r>
      <w:r w:rsidR="003419B0" w:rsidRPr="00BD1F38">
        <w:rPr>
          <w:color w:val="000000"/>
        </w:rPr>
        <w:t>(</w:t>
      </w:r>
      <w:r w:rsidRPr="00BD1F38">
        <w:rPr>
          <w:color w:val="000000"/>
        </w:rPr>
        <w:t>1958</w:t>
      </w:r>
      <w:r w:rsidR="003419B0" w:rsidRPr="00BD1F38">
        <w:rPr>
          <w:color w:val="000000"/>
        </w:rPr>
        <w:t>)</w:t>
      </w:r>
      <w:r w:rsidRPr="00BD1F38">
        <w:rPr>
          <w:color w:val="000000"/>
        </w:rPr>
        <w:t>, pp. 3–21 &lt;</w:t>
      </w:r>
      <w:hyperlink r:id="rId39" w:history="1">
        <w:r w:rsidRPr="00BD1F38">
          <w:rPr>
            <w:rStyle w:val="Hyperlink"/>
          </w:rPr>
          <w:t>http://www.jstor.org/stable/20026449</w:t>
        </w:r>
      </w:hyperlink>
      <w:r w:rsidRPr="00BD1F38">
        <w:rPr>
          <w:color w:val="000000"/>
        </w:rPr>
        <w:t>&gt; [accessed 09 January 2025]</w:t>
      </w:r>
    </w:p>
    <w:bookmarkEnd w:id="6"/>
    <w:bookmarkEnd w:id="7"/>
    <w:p w14:paraId="127C488E" w14:textId="171AAD6F" w:rsidR="00452FD4" w:rsidRPr="00BD1F38" w:rsidRDefault="005D42C8" w:rsidP="00121D8E">
      <w:pPr>
        <w:pStyle w:val="NormalWeb"/>
        <w:shd w:val="clear" w:color="auto" w:fill="FFFFFF"/>
      </w:pPr>
      <w:r w:rsidRPr="00BD1F38">
        <w:t xml:space="preserve">Tucker, Mary Evelyn, and John A. Grim, ‘Introduction: The Emerging Alliance of World Religions and Ecology’, </w:t>
      </w:r>
      <w:r w:rsidRPr="00BD1F38">
        <w:rPr>
          <w:i/>
          <w:iCs/>
        </w:rPr>
        <w:t>Daedalus</w:t>
      </w:r>
      <w:r w:rsidR="000C37C6" w:rsidRPr="00BD1F38">
        <w:rPr>
          <w:i/>
          <w:iCs/>
        </w:rPr>
        <w:t>,</w:t>
      </w:r>
      <w:r w:rsidRPr="00BD1F38">
        <w:t xml:space="preserve"> </w:t>
      </w:r>
      <w:r w:rsidR="000C37C6" w:rsidRPr="00BD1F38">
        <w:t xml:space="preserve">130.4 Religion and Ecology: Can the Climate Change? </w:t>
      </w:r>
      <w:r w:rsidRPr="00BD1F38">
        <w:t>(2001)</w:t>
      </w:r>
      <w:r w:rsidR="000C37C6" w:rsidRPr="00BD1F38">
        <w:t xml:space="preserve"> </w:t>
      </w:r>
      <w:r w:rsidRPr="00BD1F38">
        <w:t xml:space="preserve">pp. 1-22 </w:t>
      </w:r>
      <w:r w:rsidR="00152B54" w:rsidRPr="00BD1F38">
        <w:t>&lt;</w:t>
      </w:r>
      <w:hyperlink r:id="rId40" w:history="1">
        <w:r w:rsidR="00152B54" w:rsidRPr="00BD1F38">
          <w:rPr>
            <w:rStyle w:val="Hyperlink"/>
          </w:rPr>
          <w:t>https://www.jstor.org/stable/20027715</w:t>
        </w:r>
      </w:hyperlink>
      <w:r w:rsidR="00152B54" w:rsidRPr="00BD1F38">
        <w:t>&gt; [accessed 10 January 2025]</w:t>
      </w:r>
    </w:p>
    <w:p w14:paraId="44F82336" w14:textId="3879ADD6" w:rsidR="00452FD4" w:rsidRPr="00BD1F38" w:rsidRDefault="00452FD4" w:rsidP="00452FD4">
      <w:pPr>
        <w:autoSpaceDE w:val="0"/>
        <w:autoSpaceDN w:val="0"/>
        <w:adjustRightInd w:val="0"/>
        <w:rPr>
          <w:rFonts w:eastAsiaTheme="minorEastAsia"/>
        </w:rPr>
      </w:pPr>
      <w:r w:rsidRPr="00BD1F38">
        <w:rPr>
          <w:rFonts w:eastAsiaTheme="minorEastAsia"/>
        </w:rPr>
        <w:t xml:space="preserve">Wasson, Gordon R., ‘The Soma of the Rig Veda: What Was It?’, </w:t>
      </w:r>
      <w:r w:rsidRPr="00BD1F38">
        <w:rPr>
          <w:rFonts w:eastAsiaTheme="minorEastAsia"/>
          <w:i/>
          <w:iCs/>
        </w:rPr>
        <w:t>Journal of the American Oriental Society</w:t>
      </w:r>
      <w:r w:rsidRPr="00BD1F38">
        <w:rPr>
          <w:rFonts w:eastAsiaTheme="minorEastAsia"/>
        </w:rPr>
        <w:t>, 91.2 (1971), pp. 169–</w:t>
      </w:r>
      <w:r w:rsidR="00C20DD5" w:rsidRPr="00BD1F38">
        <w:rPr>
          <w:rFonts w:eastAsiaTheme="minorEastAsia"/>
        </w:rPr>
        <w:t>1</w:t>
      </w:r>
      <w:r w:rsidRPr="00BD1F38">
        <w:rPr>
          <w:rFonts w:eastAsiaTheme="minorEastAsia"/>
        </w:rPr>
        <w:t>87 &lt;</w:t>
      </w:r>
      <w:hyperlink r:id="rId41" w:history="1">
        <w:r w:rsidRPr="00BD1F38">
          <w:rPr>
            <w:rFonts w:eastAsiaTheme="minorEastAsia"/>
            <w:color w:val="DCA10D"/>
          </w:rPr>
          <w:t>https://doi.org/10.2307/600096</w:t>
        </w:r>
      </w:hyperlink>
      <w:r w:rsidRPr="00BD1F38">
        <w:rPr>
          <w:rFonts w:eastAsiaTheme="minorEastAsia"/>
        </w:rPr>
        <w:t>&gt; [accessed 23 October 2024]</w:t>
      </w:r>
    </w:p>
    <w:p w14:paraId="7E6BAE39" w14:textId="77777777" w:rsidR="00452FD4" w:rsidRPr="00BD1F38" w:rsidRDefault="00452FD4" w:rsidP="00452FD4">
      <w:pPr>
        <w:autoSpaceDE w:val="0"/>
        <w:autoSpaceDN w:val="0"/>
        <w:adjustRightInd w:val="0"/>
        <w:rPr>
          <w:rFonts w:eastAsiaTheme="minorEastAsia"/>
        </w:rPr>
      </w:pPr>
    </w:p>
    <w:p w14:paraId="0407B839" w14:textId="290A15ED" w:rsidR="00452FD4" w:rsidRPr="00BD1F38" w:rsidRDefault="00452FD4" w:rsidP="00452FD4">
      <w:pPr>
        <w:autoSpaceDE w:val="0"/>
        <w:autoSpaceDN w:val="0"/>
        <w:adjustRightInd w:val="0"/>
        <w:rPr>
          <w:color w:val="1A1A1A"/>
        </w:rPr>
      </w:pPr>
      <w:r w:rsidRPr="00BD1F38">
        <w:rPr>
          <w:color w:val="1A1A1A"/>
        </w:rPr>
        <w:t>Wheeler, Michael, ‘Martin Heidegger’,</w:t>
      </w:r>
      <w:r w:rsidRPr="00BD1F38">
        <w:rPr>
          <w:rStyle w:val="apple-converted-space"/>
          <w:color w:val="1A1A1A"/>
        </w:rPr>
        <w:t> </w:t>
      </w:r>
      <w:r w:rsidRPr="00BD1F38">
        <w:rPr>
          <w:rStyle w:val="Emphasis"/>
          <w:color w:val="1A1A1A"/>
        </w:rPr>
        <w:t xml:space="preserve">The Stanford </w:t>
      </w:r>
      <w:proofErr w:type="spellStart"/>
      <w:r w:rsidRPr="00BD1F38">
        <w:rPr>
          <w:rStyle w:val="Emphasis"/>
          <w:color w:val="1A1A1A"/>
        </w:rPr>
        <w:t>Encyclopedia</w:t>
      </w:r>
      <w:proofErr w:type="spellEnd"/>
      <w:r w:rsidRPr="00BD1F38">
        <w:rPr>
          <w:rStyle w:val="Emphasis"/>
          <w:color w:val="1A1A1A"/>
        </w:rPr>
        <w:t xml:space="preserve"> of Philosophy</w:t>
      </w:r>
      <w:r w:rsidRPr="00BD1F38">
        <w:rPr>
          <w:rStyle w:val="apple-converted-space"/>
          <w:i/>
          <w:iCs/>
          <w:color w:val="1A1A1A"/>
        </w:rPr>
        <w:t> </w:t>
      </w:r>
      <w:r w:rsidRPr="00BD1F38">
        <w:rPr>
          <w:color w:val="1A1A1A"/>
        </w:rPr>
        <w:t xml:space="preserve">(Fall 2020 Edition), ed. by Edward N. </w:t>
      </w:r>
      <w:proofErr w:type="spellStart"/>
      <w:r w:rsidRPr="00BD1F38">
        <w:rPr>
          <w:color w:val="1A1A1A"/>
        </w:rPr>
        <w:t>Zalta</w:t>
      </w:r>
      <w:proofErr w:type="spellEnd"/>
      <w:r w:rsidRPr="00BD1F38">
        <w:rPr>
          <w:color w:val="1A1A1A"/>
        </w:rPr>
        <w:t xml:space="preserve"> &lt; </w:t>
      </w:r>
      <w:hyperlink r:id="rId42" w:history="1">
        <w:r w:rsidRPr="00BD1F38">
          <w:rPr>
            <w:rStyle w:val="Hyperlink"/>
          </w:rPr>
          <w:t>https://plato.stanford.edu/archives/fall2020/entries/heidegger/</w:t>
        </w:r>
      </w:hyperlink>
      <w:r w:rsidRPr="00BD1F38">
        <w:rPr>
          <w:color w:val="1A1A1A"/>
        </w:rPr>
        <w:t>&gt; [accessed 22 November 2024]</w:t>
      </w:r>
    </w:p>
    <w:p w14:paraId="1FA09EBA" w14:textId="77777777" w:rsidR="00EB181B" w:rsidRPr="00BD1F38" w:rsidRDefault="00EB181B" w:rsidP="00452FD4">
      <w:pPr>
        <w:autoSpaceDE w:val="0"/>
        <w:autoSpaceDN w:val="0"/>
        <w:adjustRightInd w:val="0"/>
        <w:rPr>
          <w:color w:val="1A1A1A"/>
        </w:rPr>
      </w:pPr>
    </w:p>
    <w:p w14:paraId="53C7F92F" w14:textId="49E3E00E" w:rsidR="00B804B9" w:rsidRPr="00BD1F38" w:rsidRDefault="00EB181B" w:rsidP="00452FD4">
      <w:pPr>
        <w:autoSpaceDE w:val="0"/>
        <w:autoSpaceDN w:val="0"/>
        <w:adjustRightInd w:val="0"/>
        <w:rPr>
          <w:color w:val="1A1A1A"/>
        </w:rPr>
      </w:pPr>
      <w:r w:rsidRPr="00BD1F38">
        <w:rPr>
          <w:color w:val="1A1A1A"/>
        </w:rPr>
        <w:t xml:space="preserve">Wheeler, Rachel, </w:t>
      </w:r>
      <w:proofErr w:type="spellStart"/>
      <w:r w:rsidRPr="00BD1F38">
        <w:rPr>
          <w:i/>
          <w:iCs/>
          <w:color w:val="1A1A1A"/>
        </w:rPr>
        <w:t>Ecospirituality</w:t>
      </w:r>
      <w:proofErr w:type="spellEnd"/>
      <w:r w:rsidRPr="00BD1F38">
        <w:rPr>
          <w:i/>
          <w:iCs/>
          <w:color w:val="1A1A1A"/>
        </w:rPr>
        <w:t>: An Introduction</w:t>
      </w:r>
      <w:r w:rsidRPr="00BD1F38">
        <w:rPr>
          <w:color w:val="1A1A1A"/>
        </w:rPr>
        <w:t xml:space="preserve"> </w:t>
      </w:r>
      <w:r w:rsidR="0039095E" w:rsidRPr="00BD1F38">
        <w:rPr>
          <w:color w:val="1A1A1A"/>
        </w:rPr>
        <w:t>(Minneapolis:</w:t>
      </w:r>
      <w:r w:rsidR="00CF3D6A" w:rsidRPr="00BD1F38">
        <w:rPr>
          <w:color w:val="1A1A1A"/>
        </w:rPr>
        <w:t xml:space="preserve"> Fortress Press, 2022)</w:t>
      </w:r>
    </w:p>
    <w:p w14:paraId="37330B65" w14:textId="77777777" w:rsidR="00452FD4" w:rsidRPr="00BD1F38" w:rsidRDefault="00452FD4" w:rsidP="00452FD4">
      <w:pPr>
        <w:autoSpaceDE w:val="0"/>
        <w:autoSpaceDN w:val="0"/>
        <w:adjustRightInd w:val="0"/>
        <w:rPr>
          <w:rFonts w:eastAsiaTheme="minorEastAsia"/>
        </w:rPr>
      </w:pPr>
    </w:p>
    <w:p w14:paraId="7B07E4BB" w14:textId="77777777" w:rsidR="008F68E0" w:rsidRPr="00BD1F38" w:rsidRDefault="008F68E0" w:rsidP="00452FD4">
      <w:pPr>
        <w:autoSpaceDE w:val="0"/>
        <w:autoSpaceDN w:val="0"/>
        <w:adjustRightInd w:val="0"/>
        <w:rPr>
          <w:rFonts w:eastAsiaTheme="minorEastAsia"/>
        </w:rPr>
      </w:pPr>
    </w:p>
    <w:sectPr w:rsidR="008F68E0" w:rsidRPr="00BD1F38">
      <w:footerReference w:type="even" r:id="rId43"/>
      <w:footerReference w:type="default" r:id="rId4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20BDA" w14:textId="77777777" w:rsidR="00F9388C" w:rsidRDefault="00F9388C" w:rsidP="00EE005A">
      <w:r>
        <w:separator/>
      </w:r>
    </w:p>
  </w:endnote>
  <w:endnote w:type="continuationSeparator" w:id="0">
    <w:p w14:paraId="33044D80" w14:textId="77777777" w:rsidR="00F9388C" w:rsidRDefault="00F9388C" w:rsidP="00EE0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ochin">
    <w:panose1 w:val="02000603020000020003"/>
    <w:charset w:val="00"/>
    <w:family w:val="auto"/>
    <w:pitch w:val="variable"/>
    <w:sig w:usb0="800002FF" w:usb1="4000004A" w:usb2="00000000" w:usb3="00000000" w:csb0="00000007" w:csb1="00000000"/>
  </w:font>
  <w:font w:name="Georgia">
    <w:panose1 w:val="02040502050405020303"/>
    <w:charset w:val="00"/>
    <w:family w:val="roman"/>
    <w:pitch w:val="variable"/>
    <w:sig w:usb0="00000287" w:usb1="00000000" w:usb2="00000000" w:usb3="00000000" w:csb0="0000009F" w:csb1="00000000"/>
  </w:font>
  <w:font w:name="PingFang TC">
    <w:panose1 w:val="020B0400000000000000"/>
    <w:charset w:val="88"/>
    <w:family w:val="swiss"/>
    <w:pitch w:val="variable"/>
    <w:sig w:usb0="A00002FF" w:usb1="7ACFFDFB" w:usb2="00000017" w:usb3="00000000" w:csb0="0010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 Color Emoji">
    <w:panose1 w:val="00000000000000000000"/>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1456037"/>
      <w:docPartObj>
        <w:docPartGallery w:val="Page Numbers (Bottom of Page)"/>
        <w:docPartUnique/>
      </w:docPartObj>
    </w:sdtPr>
    <w:sdtContent>
      <w:p w14:paraId="0D47F7E5" w14:textId="4CA660B1" w:rsidR="00E21BFE" w:rsidRDefault="00E21BFE" w:rsidP="000A3F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BAFB4F" w14:textId="77777777" w:rsidR="00E21BFE" w:rsidRDefault="00E21B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5233117"/>
      <w:docPartObj>
        <w:docPartGallery w:val="Page Numbers (Bottom of Page)"/>
        <w:docPartUnique/>
      </w:docPartObj>
    </w:sdtPr>
    <w:sdtContent>
      <w:p w14:paraId="1C7C8D8C" w14:textId="0E5443D8" w:rsidR="00E21BFE" w:rsidRDefault="00E21BFE" w:rsidP="000A3F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EE2E8D" w14:textId="77777777" w:rsidR="00E21BFE" w:rsidRDefault="00E21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846AC" w14:textId="77777777" w:rsidR="00F9388C" w:rsidRDefault="00F9388C" w:rsidP="00EE005A">
      <w:r>
        <w:separator/>
      </w:r>
    </w:p>
  </w:footnote>
  <w:footnote w:type="continuationSeparator" w:id="0">
    <w:p w14:paraId="7AADB615" w14:textId="77777777" w:rsidR="00F9388C" w:rsidRDefault="00F9388C" w:rsidP="00EE005A">
      <w:r>
        <w:continuationSeparator/>
      </w:r>
    </w:p>
  </w:footnote>
  <w:footnote w:id="1">
    <w:p w14:paraId="466D0CB2" w14:textId="77777777" w:rsidR="0045403B" w:rsidRPr="00BD1F38" w:rsidRDefault="0045403B" w:rsidP="0045403B">
      <w:pPr>
        <w:autoSpaceDE w:val="0"/>
        <w:autoSpaceDN w:val="0"/>
        <w:adjustRightInd w:val="0"/>
        <w:rPr>
          <w:rFonts w:eastAsiaTheme="minorEastAsia"/>
          <w:b/>
          <w:bCs/>
          <w:sz w:val="18"/>
          <w:szCs w:val="18"/>
        </w:rPr>
      </w:pPr>
      <w:r w:rsidRPr="00BD1F38">
        <w:rPr>
          <w:rStyle w:val="FootnoteReference"/>
          <w:sz w:val="18"/>
          <w:szCs w:val="18"/>
        </w:rPr>
        <w:footnoteRef/>
      </w:r>
      <w:r w:rsidRPr="00BD1F38">
        <w:rPr>
          <w:sz w:val="18"/>
          <w:szCs w:val="18"/>
        </w:rPr>
        <w:t xml:space="preserve"> Prof. Dr. Christian </w:t>
      </w:r>
      <w:r w:rsidRPr="00BD1F38">
        <w:rPr>
          <w:rFonts w:eastAsiaTheme="minorEastAsia"/>
          <w:sz w:val="18"/>
          <w:szCs w:val="18"/>
        </w:rPr>
        <w:t xml:space="preserve">Roesler, </w:t>
      </w:r>
      <w:r w:rsidRPr="00BD1F38">
        <w:rPr>
          <w:rFonts w:eastAsiaTheme="minorEastAsia"/>
          <w:i/>
          <w:iCs/>
          <w:sz w:val="18"/>
          <w:szCs w:val="18"/>
        </w:rPr>
        <w:t>Development of a Reconceptualization of Archetype Theory</w:t>
      </w:r>
      <w:r w:rsidRPr="00BD1F38">
        <w:rPr>
          <w:rFonts w:eastAsiaTheme="minorEastAsia"/>
          <w:sz w:val="18"/>
          <w:szCs w:val="18"/>
        </w:rPr>
        <w:t>: Report to the IAAP (Freiburg: IAF, 2022) &lt;</w:t>
      </w:r>
      <w:hyperlink r:id="rId1" w:history="1">
        <w:r w:rsidRPr="00BD1F38">
          <w:rPr>
            <w:rStyle w:val="Hyperlink"/>
            <w:rFonts w:eastAsiaTheme="minorEastAsia"/>
            <w:sz w:val="18"/>
            <w:szCs w:val="18"/>
          </w:rPr>
          <w:t>https://nbn-resolving.org/urn:nbn:de:0311-5101</w:t>
        </w:r>
      </w:hyperlink>
      <w:r w:rsidRPr="00BD1F38">
        <w:rPr>
          <w:rFonts w:eastAsiaTheme="minorEastAsia"/>
          <w:sz w:val="18"/>
          <w:szCs w:val="18"/>
        </w:rPr>
        <w:t>&gt; [accessed 01 May 2024]</w:t>
      </w:r>
      <w:r w:rsidRPr="00BD1F38">
        <w:rPr>
          <w:rFonts w:eastAsiaTheme="minorEastAsia"/>
          <w:b/>
          <w:bCs/>
          <w:sz w:val="18"/>
          <w:szCs w:val="18"/>
        </w:rPr>
        <w:t xml:space="preserve">, </w:t>
      </w:r>
      <w:r w:rsidRPr="00BD1F38">
        <w:rPr>
          <w:sz w:val="18"/>
          <w:szCs w:val="18"/>
        </w:rPr>
        <w:t>p. 261.</w:t>
      </w:r>
    </w:p>
  </w:footnote>
  <w:footnote w:id="2">
    <w:p w14:paraId="608CE50D" w14:textId="77777777" w:rsidR="0045403B" w:rsidRPr="00BD1F38" w:rsidRDefault="0045403B" w:rsidP="0045403B">
      <w:pPr>
        <w:autoSpaceDE w:val="0"/>
        <w:autoSpaceDN w:val="0"/>
        <w:adjustRightInd w:val="0"/>
        <w:rPr>
          <w:rFonts w:eastAsiaTheme="minorEastAsia"/>
          <w:b/>
          <w:bCs/>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Roesler, </w:t>
      </w:r>
      <w:r w:rsidRPr="00BD1F38">
        <w:rPr>
          <w:rFonts w:eastAsiaTheme="minorEastAsia"/>
          <w:i/>
          <w:iCs/>
          <w:sz w:val="18"/>
          <w:szCs w:val="18"/>
        </w:rPr>
        <w:t>Development of a Reconceptualization of Archetype Theory</w:t>
      </w:r>
      <w:r w:rsidRPr="00BD1F38">
        <w:rPr>
          <w:rFonts w:eastAsiaTheme="minorEastAsia"/>
          <w:sz w:val="18"/>
          <w:szCs w:val="18"/>
        </w:rPr>
        <w:t>,</w:t>
      </w:r>
      <w:r w:rsidRPr="00BD1F38">
        <w:rPr>
          <w:rFonts w:eastAsiaTheme="minorEastAsia"/>
          <w:b/>
          <w:bCs/>
          <w:sz w:val="18"/>
          <w:szCs w:val="18"/>
        </w:rPr>
        <w:t xml:space="preserve"> </w:t>
      </w:r>
      <w:r w:rsidRPr="00BD1F38">
        <w:rPr>
          <w:sz w:val="18"/>
          <w:szCs w:val="18"/>
        </w:rPr>
        <w:t>p. 261.</w:t>
      </w:r>
    </w:p>
  </w:footnote>
  <w:footnote w:id="3">
    <w:p w14:paraId="183BFC2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Roesler, </w:t>
      </w:r>
      <w:r w:rsidRPr="00BD1F38">
        <w:rPr>
          <w:rFonts w:ascii="Times New Roman" w:hAnsi="Times New Roman" w:cs="Times New Roman"/>
          <w:i/>
          <w:iCs/>
          <w:sz w:val="18"/>
          <w:szCs w:val="18"/>
        </w:rPr>
        <w:t>Development of a Reconceptualization of Archetype Theory,</w:t>
      </w:r>
      <w:r w:rsidRPr="00BD1F38">
        <w:rPr>
          <w:rFonts w:ascii="Times New Roman" w:hAnsi="Times New Roman" w:cs="Times New Roman"/>
          <w:sz w:val="18"/>
          <w:szCs w:val="18"/>
        </w:rPr>
        <w:t xml:space="preserve"> p. 261.</w:t>
      </w:r>
    </w:p>
  </w:footnote>
  <w:footnote w:id="4">
    <w:p w14:paraId="5044B171"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Patricia Stokowski, ‘Chapter 2: Symbolic Aspects of Water’, in </w:t>
      </w:r>
      <w:r w:rsidRPr="00BD1F38">
        <w:rPr>
          <w:rFonts w:eastAsiaTheme="minorEastAsia"/>
          <w:i/>
          <w:iCs/>
          <w:sz w:val="18"/>
          <w:szCs w:val="18"/>
        </w:rPr>
        <w:t>Water and People: Challenges at the Interface of Symbolic and Utilitarian Values</w:t>
      </w:r>
      <w:r w:rsidRPr="00BD1F38">
        <w:rPr>
          <w:rFonts w:eastAsiaTheme="minorEastAsia"/>
          <w:sz w:val="18"/>
          <w:szCs w:val="18"/>
        </w:rPr>
        <w:t>, ed. by Stephen F. McCool, Roger N. Clark, George H. Stankey, Rhonda Mazza (Portland: Pacific Northwest Research Station, U.S. Department of Agriculture, 2008), pp. 19-60.</w:t>
      </w:r>
    </w:p>
  </w:footnote>
  <w:footnote w:id="5">
    <w:p w14:paraId="76581703"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Mircea Eliade, </w:t>
      </w:r>
      <w:r w:rsidRPr="00BD1F38">
        <w:rPr>
          <w:rFonts w:eastAsiaTheme="minorEastAsia"/>
          <w:i/>
          <w:iCs/>
          <w:sz w:val="18"/>
          <w:szCs w:val="18"/>
        </w:rPr>
        <w:t>The Sacred &amp; The Profane: The Nature of Religion</w:t>
      </w:r>
      <w:r w:rsidRPr="00BD1F38">
        <w:rPr>
          <w:rFonts w:eastAsiaTheme="minorEastAsia"/>
          <w:sz w:val="18"/>
          <w:szCs w:val="18"/>
        </w:rPr>
        <w:t>, 2nd edn., trans. by Willard R. Trask (New York: Harcourt Books, 1987), p. 15.</w:t>
      </w:r>
    </w:p>
  </w:footnote>
  <w:footnote w:id="6">
    <w:p w14:paraId="2C77BB90"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15.</w:t>
      </w:r>
    </w:p>
  </w:footnote>
  <w:footnote w:id="7">
    <w:p w14:paraId="08634554" w14:textId="77777777" w:rsidR="0045403B" w:rsidRPr="00BD1F38" w:rsidRDefault="0045403B" w:rsidP="005E325E">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C. G. Jung, ‘Instinct and the Unconscious. III’, in </w:t>
      </w:r>
      <w:r w:rsidRPr="00BD1F38">
        <w:rPr>
          <w:rFonts w:ascii="Times New Roman" w:hAnsi="Times New Roman" w:cs="Times New Roman"/>
          <w:i/>
          <w:iCs/>
          <w:sz w:val="18"/>
          <w:szCs w:val="18"/>
        </w:rPr>
        <w:t xml:space="preserve">Joint Meeting of the British Psychological Society, the Aristotelian Society and the Mind Association </w:t>
      </w:r>
      <w:r w:rsidRPr="00BD1F38">
        <w:rPr>
          <w:rFonts w:ascii="Times New Roman" w:hAnsi="Times New Roman" w:cs="Times New Roman"/>
          <w:sz w:val="18"/>
          <w:szCs w:val="18"/>
        </w:rPr>
        <w:t xml:space="preserve">(London: British Journal of Psychology, 12 July 1919), &lt; </w:t>
      </w:r>
      <w:hyperlink r:id="rId2" w:history="1">
        <w:r w:rsidRPr="00BD1F38">
          <w:rPr>
            <w:rStyle w:val="Hyperlink"/>
            <w:rFonts w:ascii="Times New Roman" w:hAnsi="Times New Roman" w:cs="Times New Roman"/>
            <w:sz w:val="18"/>
            <w:szCs w:val="18"/>
          </w:rPr>
          <w:t>https://doi.org/10.1111/j.2044-8295.1919.tb00003.x</w:t>
        </w:r>
      </w:hyperlink>
      <w:r w:rsidRPr="00BD1F38">
        <w:rPr>
          <w:rFonts w:ascii="Times New Roman" w:hAnsi="Times New Roman" w:cs="Times New Roman"/>
          <w:sz w:val="18"/>
          <w:szCs w:val="18"/>
        </w:rPr>
        <w:t>&gt;, pp. 15-23.</w:t>
      </w:r>
    </w:p>
  </w:footnote>
  <w:footnote w:id="8">
    <w:p w14:paraId="63675BF7" w14:textId="77777777" w:rsidR="0045403B" w:rsidRPr="00BD1F38" w:rsidRDefault="0045403B" w:rsidP="005E325E">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‘Instinct and the Unconscious. </w:t>
      </w:r>
      <w:r w:rsidRPr="00BD1F38">
        <w:rPr>
          <w:rFonts w:ascii="Times New Roman" w:hAnsi="Times New Roman" w:cs="Times New Roman"/>
          <w:color w:val="000000" w:themeColor="text1"/>
          <w:sz w:val="18"/>
          <w:szCs w:val="18"/>
        </w:rPr>
        <w:t xml:space="preserve">III’, </w:t>
      </w:r>
      <w:r w:rsidRPr="00BD1F38">
        <w:rPr>
          <w:rFonts w:ascii="Times New Roman" w:hAnsi="Times New Roman" w:cs="Times New Roman"/>
          <w:sz w:val="18"/>
          <w:szCs w:val="18"/>
        </w:rPr>
        <w:t>p. 19.</w:t>
      </w:r>
    </w:p>
  </w:footnote>
  <w:footnote w:id="9">
    <w:p w14:paraId="0F3FF244" w14:textId="77777777" w:rsidR="0045403B" w:rsidRPr="00BD1F38" w:rsidRDefault="0045403B" w:rsidP="005E325E">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Roesler, </w:t>
      </w:r>
      <w:r w:rsidRPr="00BD1F38">
        <w:rPr>
          <w:rFonts w:ascii="Times New Roman" w:hAnsi="Times New Roman" w:cs="Times New Roman"/>
          <w:i/>
          <w:iCs/>
          <w:sz w:val="18"/>
          <w:szCs w:val="18"/>
        </w:rPr>
        <w:t>Development of a Reconceptualization of Archetype Theory,</w:t>
      </w:r>
      <w:r w:rsidRPr="00BD1F38">
        <w:rPr>
          <w:rFonts w:ascii="Times New Roman" w:hAnsi="Times New Roman" w:cs="Times New Roman"/>
          <w:sz w:val="18"/>
          <w:szCs w:val="18"/>
          <w:lang w:val="en-US"/>
        </w:rPr>
        <w:t xml:space="preserve"> p. 243.</w:t>
      </w:r>
    </w:p>
  </w:footnote>
  <w:footnote w:id="10">
    <w:p w14:paraId="058F81A8" w14:textId="1E1FB992" w:rsidR="005E325E" w:rsidRPr="00BD1F38" w:rsidRDefault="005E325E" w:rsidP="005E325E">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Roesler, </w:t>
      </w:r>
      <w:r w:rsidRPr="00BD1F38">
        <w:rPr>
          <w:rFonts w:ascii="Times New Roman" w:hAnsi="Times New Roman" w:cs="Times New Roman"/>
          <w:i/>
          <w:iCs/>
          <w:sz w:val="18"/>
          <w:szCs w:val="18"/>
        </w:rPr>
        <w:t>Development of a Reconceptualization of Archetype Theory,</w:t>
      </w:r>
      <w:r w:rsidRPr="00BD1F38">
        <w:rPr>
          <w:rFonts w:ascii="Times New Roman" w:hAnsi="Times New Roman" w:cs="Times New Roman"/>
          <w:sz w:val="18"/>
          <w:szCs w:val="18"/>
        </w:rPr>
        <w:t xml:space="preserve"> p. 243.</w:t>
      </w:r>
    </w:p>
  </w:footnote>
  <w:footnote w:id="11">
    <w:p w14:paraId="55908259" w14:textId="5F6856C7" w:rsidR="005E325E" w:rsidRPr="00BD1F38" w:rsidRDefault="005E325E">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C. G. Jung, </w:t>
      </w:r>
      <w:r w:rsidRPr="00BD1F38">
        <w:rPr>
          <w:rFonts w:ascii="Times New Roman" w:hAnsi="Times New Roman" w:cs="Times New Roman"/>
          <w:i/>
          <w:iCs/>
          <w:sz w:val="18"/>
          <w:szCs w:val="18"/>
        </w:rPr>
        <w:t xml:space="preserve">The Collected Works of C. G. Jung | Complete Digital Edition, Volume 9, Part 1: The Archetypes and the Collective Unconscious, </w:t>
      </w:r>
      <w:r w:rsidRPr="00BD1F38">
        <w:rPr>
          <w:rFonts w:ascii="Times New Roman" w:hAnsi="Times New Roman" w:cs="Times New Roman"/>
          <w:sz w:val="18"/>
          <w:szCs w:val="18"/>
        </w:rPr>
        <w:t>2nd Edition., trans. by R. F. C. Hull, ed. by Sir Herbert Read, Michael Fordham, F.R.C.PSYCH., HON. F.B.PS.S., Gerhard Adler, PH.D, William McGuire (executive editor) (New York: Bollingen Series XX, Pantheon Books, 1968), p. 21 (paragraph 5).</w:t>
      </w:r>
    </w:p>
  </w:footnote>
  <w:footnote w:id="12">
    <w:p w14:paraId="7E8FCBC1" w14:textId="54115F4C" w:rsidR="00C751BE" w:rsidRPr="00BD1F38" w:rsidRDefault="00C751BE">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C. G. Jung, </w:t>
      </w:r>
      <w:r w:rsidRPr="00BD1F38">
        <w:rPr>
          <w:rStyle w:val="apple-converted-space"/>
          <w:rFonts w:ascii="Times New Roman" w:hAnsi="Times New Roman" w:cs="Times New Roman"/>
          <w:i/>
          <w:iCs/>
          <w:color w:val="000000"/>
          <w:sz w:val="18"/>
          <w:szCs w:val="18"/>
        </w:rPr>
        <w:t xml:space="preserve">The Collected Works of C. G. Jung | </w:t>
      </w:r>
      <w:r w:rsidRPr="00BD1F38">
        <w:rPr>
          <w:rStyle w:val="apple-converted-space"/>
          <w:rFonts w:ascii="Times New Roman" w:hAnsi="Times New Roman" w:cs="Times New Roman"/>
          <w:color w:val="000000"/>
          <w:sz w:val="18"/>
          <w:szCs w:val="18"/>
        </w:rPr>
        <w:t>Complete Digital Edition</w:t>
      </w:r>
      <w:r w:rsidRPr="00BD1F38">
        <w:rPr>
          <w:rStyle w:val="apple-converted-space"/>
          <w:rFonts w:ascii="Times New Roman" w:hAnsi="Times New Roman" w:cs="Times New Roman"/>
          <w:i/>
          <w:iCs/>
          <w:color w:val="000000"/>
          <w:sz w:val="18"/>
          <w:szCs w:val="18"/>
        </w:rPr>
        <w:t>, Volume 4:</w:t>
      </w:r>
      <w:r w:rsidRPr="00BD1F38">
        <w:rPr>
          <w:rStyle w:val="apple-converted-space"/>
          <w:rFonts w:ascii="Times New Roman" w:hAnsi="Times New Roman" w:cs="Times New Roman"/>
          <w:color w:val="000000"/>
          <w:sz w:val="18"/>
          <w:szCs w:val="18"/>
        </w:rPr>
        <w:t xml:space="preserve"> </w:t>
      </w:r>
      <w:r w:rsidRPr="00BD1F38">
        <w:rPr>
          <w:rStyle w:val="Emphasis"/>
          <w:rFonts w:ascii="Times New Roman" w:hAnsi="Times New Roman" w:cs="Times New Roman"/>
          <w:color w:val="000000"/>
          <w:sz w:val="18"/>
          <w:szCs w:val="18"/>
        </w:rPr>
        <w:t xml:space="preserve">Freud and Psychoanalysis, </w:t>
      </w:r>
      <w:r w:rsidRPr="00BD1F38">
        <w:rPr>
          <w:rStyle w:val="Emphasis"/>
          <w:rFonts w:ascii="Times New Roman" w:hAnsi="Times New Roman" w:cs="Times New Roman"/>
          <w:i w:val="0"/>
          <w:iCs w:val="0"/>
          <w:color w:val="000000"/>
          <w:sz w:val="18"/>
          <w:szCs w:val="18"/>
        </w:rPr>
        <w:t>trans. by R. F. C. Hull, ed. by Sir Herbert Read, Michael Fordham, M.D., M.R.C.P., Gerhard Adler, PH.D,</w:t>
      </w:r>
      <w:r w:rsidRPr="00BD1F38">
        <w:rPr>
          <w:rFonts w:ascii="Times New Roman" w:hAnsi="Times New Roman" w:cs="Times New Roman"/>
          <w:color w:val="000000"/>
          <w:sz w:val="18"/>
          <w:szCs w:val="18"/>
        </w:rPr>
        <w:t xml:space="preserve"> (New York: Bollingen Series XX, Pantheon Books, 1961), p. 315.</w:t>
      </w:r>
    </w:p>
  </w:footnote>
  <w:footnote w:id="13">
    <w:p w14:paraId="48DD0D0F" w14:textId="1D18FD6B"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w:t>
      </w:r>
      <w:r w:rsidRPr="00BD1F38">
        <w:rPr>
          <w:rStyle w:val="Emphasis"/>
          <w:rFonts w:ascii="Times New Roman" w:hAnsi="Times New Roman" w:cs="Times New Roman"/>
          <w:color w:val="000000"/>
          <w:sz w:val="18"/>
          <w:szCs w:val="18"/>
        </w:rPr>
        <w:t xml:space="preserve">Civilisation in Transition, </w:t>
      </w:r>
      <w:r w:rsidRPr="00BD1F38">
        <w:rPr>
          <w:rStyle w:val="Emphasis"/>
          <w:rFonts w:ascii="Times New Roman" w:hAnsi="Times New Roman" w:cs="Times New Roman"/>
          <w:i w:val="0"/>
          <w:iCs w:val="0"/>
          <w:color w:val="000000"/>
          <w:sz w:val="18"/>
          <w:szCs w:val="18"/>
        </w:rPr>
        <w:t>p. 29.</w:t>
      </w:r>
    </w:p>
  </w:footnote>
  <w:footnote w:id="14">
    <w:p w14:paraId="634ACE3E"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C. G. Jung, </w:t>
      </w:r>
      <w:r w:rsidRPr="00BD1F38">
        <w:rPr>
          <w:rFonts w:ascii="Times New Roman" w:hAnsi="Times New Roman" w:cs="Times New Roman"/>
          <w:i/>
          <w:iCs/>
          <w:sz w:val="18"/>
          <w:szCs w:val="18"/>
          <w:lang w:val="en-US"/>
        </w:rPr>
        <w:t>The Collected Works of C. G. Jung | Complete Digital Edition, Volume 18: The Symbolic Life</w:t>
      </w:r>
      <w:r w:rsidRPr="00BD1F38">
        <w:rPr>
          <w:rFonts w:ascii="Times New Roman" w:hAnsi="Times New Roman" w:cs="Times New Roman"/>
          <w:sz w:val="18"/>
          <w:szCs w:val="18"/>
          <w:lang w:val="en-US"/>
        </w:rPr>
        <w:t xml:space="preserve">: </w:t>
      </w:r>
      <w:r w:rsidRPr="00BD1F38">
        <w:rPr>
          <w:rFonts w:ascii="Times New Roman" w:hAnsi="Times New Roman" w:cs="Times New Roman"/>
          <w:i/>
          <w:iCs/>
          <w:sz w:val="18"/>
          <w:szCs w:val="18"/>
          <w:lang w:val="en-US"/>
        </w:rPr>
        <w:t>Miscellaneous Writings</w:t>
      </w:r>
      <w:r w:rsidRPr="00BD1F38">
        <w:rPr>
          <w:rFonts w:ascii="Times New Roman" w:hAnsi="Times New Roman" w:cs="Times New Roman"/>
          <w:sz w:val="18"/>
          <w:szCs w:val="18"/>
          <w:lang w:val="en-US"/>
        </w:rPr>
        <w:t xml:space="preserve">, </w:t>
      </w:r>
      <w:r w:rsidRPr="00BD1F38">
        <w:rPr>
          <w:rStyle w:val="Emphasis"/>
          <w:rFonts w:ascii="Times New Roman" w:hAnsi="Times New Roman" w:cs="Times New Roman"/>
          <w:i w:val="0"/>
          <w:iCs w:val="0"/>
          <w:color w:val="000000"/>
          <w:sz w:val="18"/>
          <w:szCs w:val="18"/>
        </w:rPr>
        <w:t>trans. by R. F. C. Hull, ed. by Sir Herbert Read, Michael Fordham, F.R.C.PSYCH., HON. F.B.PS.S., Gerhard Adler, PH.D, William McGuire (executive editor)</w:t>
      </w:r>
      <w:r w:rsidRPr="00BD1F38">
        <w:rPr>
          <w:rFonts w:ascii="Times New Roman" w:hAnsi="Times New Roman" w:cs="Times New Roman"/>
          <w:color w:val="000000"/>
          <w:sz w:val="18"/>
          <w:szCs w:val="18"/>
        </w:rPr>
        <w:t xml:space="preserve"> (New York: Bollingen Series XX, Pantheon Books, 1968), page 30 (paragraph 20).</w:t>
      </w:r>
    </w:p>
  </w:footnote>
  <w:footnote w:id="15">
    <w:p w14:paraId="47D6F98A" w14:textId="77777777" w:rsidR="0045403B" w:rsidRPr="00BD1F38" w:rsidRDefault="0045403B" w:rsidP="0045403B">
      <w:pPr>
        <w:autoSpaceDE w:val="0"/>
        <w:autoSpaceDN w:val="0"/>
        <w:adjustRightInd w:val="0"/>
        <w:rPr>
          <w:color w:val="1A1A1A"/>
          <w:sz w:val="18"/>
          <w:szCs w:val="18"/>
        </w:rPr>
      </w:pPr>
      <w:r w:rsidRPr="00BD1F38">
        <w:rPr>
          <w:rStyle w:val="FootnoteReference"/>
          <w:sz w:val="18"/>
          <w:szCs w:val="18"/>
        </w:rPr>
        <w:footnoteRef/>
      </w:r>
      <w:r w:rsidRPr="00BD1F38">
        <w:rPr>
          <w:sz w:val="18"/>
          <w:szCs w:val="18"/>
        </w:rPr>
        <w:t xml:space="preserve"> </w:t>
      </w:r>
      <w:r w:rsidRPr="00BD1F38">
        <w:rPr>
          <w:color w:val="000000" w:themeColor="text1"/>
          <w:sz w:val="18"/>
          <w:szCs w:val="18"/>
        </w:rPr>
        <w:t xml:space="preserve">Rachel Wheeler, </w:t>
      </w:r>
      <w:r w:rsidRPr="00BD1F38">
        <w:rPr>
          <w:i/>
          <w:iCs/>
          <w:color w:val="000000" w:themeColor="text1"/>
          <w:sz w:val="18"/>
          <w:szCs w:val="18"/>
        </w:rPr>
        <w:t>Ecospirituality: An Introduction</w:t>
      </w:r>
      <w:r w:rsidRPr="00BD1F38">
        <w:rPr>
          <w:color w:val="000000" w:themeColor="text1"/>
          <w:sz w:val="18"/>
          <w:szCs w:val="18"/>
        </w:rPr>
        <w:t xml:space="preserve"> (Minneapolis: Fortress Press, 2022), p. 1.</w:t>
      </w:r>
    </w:p>
  </w:footnote>
  <w:footnote w:id="16">
    <w:p w14:paraId="1D2FF4E2"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56.</w:t>
      </w:r>
    </w:p>
  </w:footnote>
  <w:footnote w:id="17">
    <w:p w14:paraId="53D23C18"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183.</w:t>
      </w:r>
    </w:p>
  </w:footnote>
  <w:footnote w:id="18">
    <w:p w14:paraId="43585530"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183.</w:t>
      </w:r>
    </w:p>
  </w:footnote>
  <w:footnote w:id="19">
    <w:p w14:paraId="2EC8DE91"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183.</w:t>
      </w:r>
    </w:p>
  </w:footnote>
  <w:footnote w:id="20">
    <w:p w14:paraId="6B0F2921"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79.</w:t>
      </w:r>
    </w:p>
  </w:footnote>
  <w:footnote w:id="21">
    <w:p w14:paraId="3FA9C9A1"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183.</w:t>
      </w:r>
    </w:p>
  </w:footnote>
  <w:footnote w:id="22">
    <w:p w14:paraId="6FA8FC07" w14:textId="77777777" w:rsidR="0045403B" w:rsidRPr="00BD1F38" w:rsidRDefault="0045403B" w:rsidP="0045403B">
      <w:pPr>
        <w:rPr>
          <w:color w:val="000000"/>
          <w:sz w:val="18"/>
          <w:szCs w:val="18"/>
        </w:rPr>
      </w:pPr>
      <w:r w:rsidRPr="00BD1F38">
        <w:rPr>
          <w:rStyle w:val="FootnoteReference"/>
          <w:sz w:val="18"/>
          <w:szCs w:val="18"/>
        </w:rPr>
        <w:footnoteRef/>
      </w:r>
      <w:r w:rsidRPr="00BD1F38">
        <w:rPr>
          <w:sz w:val="18"/>
          <w:szCs w:val="18"/>
        </w:rPr>
        <w:t xml:space="preserve"> Eva </w:t>
      </w:r>
      <w:r w:rsidRPr="00BD1F38">
        <w:rPr>
          <w:color w:val="000000"/>
          <w:sz w:val="18"/>
          <w:szCs w:val="18"/>
        </w:rPr>
        <w:t>Mroczek, ‘“WITHOUT TORAH AND SCRIPTURE”: BIBLICAL ABSENCE AND THE HISTORY OF REVELATION’,</w:t>
      </w:r>
      <w:r w:rsidRPr="00BD1F38">
        <w:rPr>
          <w:rStyle w:val="apple-converted-space"/>
          <w:color w:val="000000"/>
          <w:sz w:val="18"/>
          <w:szCs w:val="18"/>
        </w:rPr>
        <w:t> </w:t>
      </w:r>
      <w:r w:rsidRPr="00BD1F38">
        <w:rPr>
          <w:i/>
          <w:iCs/>
          <w:color w:val="000000"/>
          <w:sz w:val="18"/>
          <w:szCs w:val="18"/>
        </w:rPr>
        <w:t>Hebrew Studies</w:t>
      </w:r>
      <w:r w:rsidRPr="00BD1F38">
        <w:rPr>
          <w:color w:val="000000"/>
          <w:sz w:val="18"/>
          <w:szCs w:val="18"/>
        </w:rPr>
        <w:t>, 61 (2020), pp. 97–122 (98)</w:t>
      </w:r>
      <w:r w:rsidRPr="00BD1F38">
        <w:rPr>
          <w:rStyle w:val="apple-converted-space"/>
          <w:color w:val="000000"/>
          <w:sz w:val="18"/>
          <w:szCs w:val="18"/>
        </w:rPr>
        <w:t> </w:t>
      </w:r>
      <w:r w:rsidRPr="00BD1F38">
        <w:rPr>
          <w:color w:val="000000"/>
          <w:sz w:val="18"/>
          <w:szCs w:val="18"/>
        </w:rPr>
        <w:t>&lt;</w:t>
      </w:r>
      <w:hyperlink r:id="rId3" w:history="1">
        <w:r w:rsidRPr="00BD1F38">
          <w:rPr>
            <w:rStyle w:val="Hyperlink"/>
            <w:sz w:val="18"/>
            <w:szCs w:val="18"/>
          </w:rPr>
          <w:t>https://www.jstor.org/stable/26950402</w:t>
        </w:r>
      </w:hyperlink>
      <w:r w:rsidRPr="00BD1F38">
        <w:rPr>
          <w:color w:val="000000"/>
          <w:sz w:val="18"/>
          <w:szCs w:val="18"/>
        </w:rPr>
        <w:t>&gt; [accessed 11 January 2025].</w:t>
      </w:r>
    </w:p>
  </w:footnote>
  <w:footnote w:id="23">
    <w:p w14:paraId="40D990E1"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Marc Brettler, ‘Introduction to the Torah’, in </w:t>
      </w:r>
      <w:r w:rsidRPr="00BD1F38">
        <w:rPr>
          <w:rFonts w:ascii="Times New Roman" w:hAnsi="Times New Roman" w:cs="Times New Roman"/>
          <w:i/>
          <w:iCs/>
          <w:sz w:val="18"/>
          <w:szCs w:val="18"/>
        </w:rPr>
        <w:t>Three Testaments: Torah, Gospel, Quran</w:t>
      </w:r>
      <w:r w:rsidRPr="00BD1F38">
        <w:rPr>
          <w:rFonts w:ascii="Times New Roman" w:hAnsi="Times New Roman" w:cs="Times New Roman"/>
          <w:sz w:val="18"/>
          <w:szCs w:val="18"/>
        </w:rPr>
        <w:t xml:space="preserve">, ed. by </w:t>
      </w:r>
      <w:r w:rsidRPr="00BD1F38">
        <w:rPr>
          <w:rFonts w:ascii="Times New Roman" w:hAnsi="Times New Roman" w:cs="Times New Roman"/>
          <w:color w:val="0F1111"/>
          <w:sz w:val="18"/>
          <w:szCs w:val="18"/>
          <w:shd w:val="clear" w:color="auto" w:fill="FFFFFF"/>
        </w:rPr>
        <w:t>Brian Arthur Brown</w:t>
      </w:r>
      <w:r w:rsidRPr="00BD1F38">
        <w:rPr>
          <w:rFonts w:ascii="Times New Roman" w:hAnsi="Times New Roman" w:cs="Times New Roman"/>
          <w:sz w:val="18"/>
          <w:szCs w:val="18"/>
        </w:rPr>
        <w:t xml:space="preserve"> (Maryland: </w:t>
      </w:r>
      <w:r w:rsidRPr="00BD1F38">
        <w:rPr>
          <w:rFonts w:ascii="Times New Roman" w:hAnsi="Times New Roman" w:cs="Times New Roman"/>
          <w:color w:val="0F1111"/>
          <w:sz w:val="18"/>
          <w:szCs w:val="18"/>
        </w:rPr>
        <w:t>Rowman &amp; Littlefield Publishers,</w:t>
      </w:r>
      <w:r w:rsidRPr="00BD1F38">
        <w:rPr>
          <w:rFonts w:ascii="Times New Roman" w:hAnsi="Times New Roman" w:cs="Times New Roman"/>
          <w:sz w:val="18"/>
          <w:szCs w:val="18"/>
        </w:rPr>
        <w:t xml:space="preserve"> 2012), p. 55.</w:t>
      </w:r>
    </w:p>
  </w:footnote>
  <w:footnote w:id="24">
    <w:p w14:paraId="7597D6C9" w14:textId="729929F1"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Brettler</w:t>
      </w:r>
      <w:r w:rsidR="00FF38D6" w:rsidRPr="00BD1F38">
        <w:rPr>
          <w:rFonts w:ascii="Times New Roman" w:hAnsi="Times New Roman" w:cs="Times New Roman"/>
          <w:sz w:val="18"/>
          <w:szCs w:val="18"/>
        </w:rPr>
        <w:t xml:space="preserve">, ‘Introduction to the Torah’, </w:t>
      </w:r>
      <w:r w:rsidRPr="00BD1F38">
        <w:rPr>
          <w:rFonts w:ascii="Times New Roman" w:hAnsi="Times New Roman" w:cs="Times New Roman"/>
          <w:sz w:val="18"/>
          <w:szCs w:val="18"/>
        </w:rPr>
        <w:t>p. 55.</w:t>
      </w:r>
    </w:p>
  </w:footnote>
  <w:footnote w:id="25">
    <w:p w14:paraId="5D17CF0F" w14:textId="388B80C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Brettler, </w:t>
      </w:r>
      <w:r w:rsidR="006C5DA4" w:rsidRPr="00BD1F38">
        <w:rPr>
          <w:rFonts w:ascii="Times New Roman" w:hAnsi="Times New Roman" w:cs="Times New Roman"/>
          <w:sz w:val="18"/>
          <w:szCs w:val="18"/>
        </w:rPr>
        <w:t xml:space="preserve">‘Introduction to the Torah’, </w:t>
      </w:r>
      <w:r w:rsidRPr="00BD1F38">
        <w:rPr>
          <w:rFonts w:ascii="Times New Roman" w:hAnsi="Times New Roman" w:cs="Times New Roman"/>
          <w:sz w:val="18"/>
          <w:szCs w:val="18"/>
          <w:lang w:val="en-US"/>
        </w:rPr>
        <w:t>p. 56.</w:t>
      </w:r>
    </w:p>
  </w:footnote>
  <w:footnote w:id="26">
    <w:p w14:paraId="756F5DF8" w14:textId="1512B4B9"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Brettler,</w:t>
      </w:r>
      <w:r w:rsidR="006C5DA4" w:rsidRPr="00BD1F38">
        <w:rPr>
          <w:rFonts w:ascii="Times New Roman" w:hAnsi="Times New Roman" w:cs="Times New Roman"/>
          <w:sz w:val="18"/>
          <w:szCs w:val="18"/>
          <w:lang w:val="en-US"/>
        </w:rPr>
        <w:t xml:space="preserve"> </w:t>
      </w:r>
      <w:r w:rsidR="006C5DA4" w:rsidRPr="00BD1F38">
        <w:rPr>
          <w:rFonts w:ascii="Times New Roman" w:hAnsi="Times New Roman" w:cs="Times New Roman"/>
          <w:sz w:val="18"/>
          <w:szCs w:val="18"/>
        </w:rPr>
        <w:t xml:space="preserve">‘Introduction to the Torah’, </w:t>
      </w:r>
      <w:r w:rsidRPr="00BD1F38">
        <w:rPr>
          <w:rFonts w:ascii="Times New Roman" w:hAnsi="Times New Roman" w:cs="Times New Roman"/>
          <w:sz w:val="18"/>
          <w:szCs w:val="18"/>
          <w:lang w:val="en-US"/>
        </w:rPr>
        <w:t xml:space="preserve"> p. 59. </w:t>
      </w:r>
    </w:p>
  </w:footnote>
  <w:footnote w:id="27">
    <w:p w14:paraId="4C74E609" w14:textId="7582814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Mroczek, </w:t>
      </w:r>
      <w:r w:rsidR="009865B1" w:rsidRPr="00BD1F38">
        <w:rPr>
          <w:rFonts w:ascii="Times New Roman" w:hAnsi="Times New Roman" w:cs="Times New Roman"/>
          <w:sz w:val="18"/>
          <w:szCs w:val="18"/>
          <w:lang w:val="en-US"/>
        </w:rPr>
        <w:t>‘“</w:t>
      </w:r>
      <w:r w:rsidR="00FF2AD4" w:rsidRPr="00BD1F38">
        <w:rPr>
          <w:rFonts w:ascii="Times New Roman" w:hAnsi="Times New Roman" w:cs="Times New Roman"/>
          <w:sz w:val="18"/>
          <w:szCs w:val="18"/>
          <w:lang w:val="en-US"/>
        </w:rPr>
        <w:t>WITHOUT TORAH AND SCRIPTURE</w:t>
      </w:r>
      <w:r w:rsidR="009865B1" w:rsidRPr="00BD1F38">
        <w:rPr>
          <w:rFonts w:ascii="Times New Roman" w:hAnsi="Times New Roman" w:cs="Times New Roman"/>
          <w:sz w:val="18"/>
          <w:szCs w:val="18"/>
          <w:lang w:val="en-US"/>
        </w:rPr>
        <w:t>”’,</w:t>
      </w:r>
      <w:r w:rsidR="00FF2AD4"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98.</w:t>
      </w:r>
    </w:p>
  </w:footnote>
  <w:footnote w:id="28">
    <w:p w14:paraId="3BA9B353" w14:textId="060C9CE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Brettler, </w:t>
      </w:r>
      <w:r w:rsidR="00E765B1" w:rsidRPr="00BD1F38">
        <w:rPr>
          <w:rFonts w:ascii="Times New Roman" w:hAnsi="Times New Roman" w:cs="Times New Roman"/>
          <w:sz w:val="18"/>
          <w:szCs w:val="18"/>
        </w:rPr>
        <w:t xml:space="preserve">‘Introduction to the Torah’, </w:t>
      </w:r>
      <w:r w:rsidRPr="00BD1F38">
        <w:rPr>
          <w:rFonts w:ascii="Times New Roman" w:hAnsi="Times New Roman" w:cs="Times New Roman"/>
          <w:sz w:val="18"/>
          <w:szCs w:val="18"/>
          <w:lang w:val="en-US"/>
        </w:rPr>
        <w:t xml:space="preserve">p. 60. </w:t>
      </w:r>
    </w:p>
  </w:footnote>
  <w:footnote w:id="29">
    <w:p w14:paraId="785138A3" w14:textId="2CEB3BB5"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Brettler, </w:t>
      </w:r>
      <w:r w:rsidR="00E765B1" w:rsidRPr="00BD1F38">
        <w:rPr>
          <w:rFonts w:ascii="Times New Roman" w:hAnsi="Times New Roman" w:cs="Times New Roman"/>
          <w:sz w:val="18"/>
          <w:szCs w:val="18"/>
        </w:rPr>
        <w:t xml:space="preserve">‘Introduction to the Torah’, </w:t>
      </w:r>
      <w:r w:rsidRPr="00BD1F38">
        <w:rPr>
          <w:rFonts w:ascii="Times New Roman" w:hAnsi="Times New Roman" w:cs="Times New Roman"/>
          <w:sz w:val="18"/>
          <w:szCs w:val="18"/>
          <w:lang w:val="en-US"/>
        </w:rPr>
        <w:t>p. 61.</w:t>
      </w:r>
    </w:p>
  </w:footnote>
  <w:footnote w:id="30">
    <w:p w14:paraId="5EF6BBFA" w14:textId="77777777" w:rsidR="0045403B" w:rsidRPr="00BD1F38" w:rsidRDefault="0045403B" w:rsidP="0045403B">
      <w:pPr>
        <w:rPr>
          <w:color w:val="000000"/>
          <w:sz w:val="18"/>
          <w:szCs w:val="18"/>
        </w:rPr>
      </w:pPr>
      <w:r w:rsidRPr="00BD1F38">
        <w:rPr>
          <w:rStyle w:val="FootnoteReference"/>
          <w:sz w:val="18"/>
          <w:szCs w:val="18"/>
        </w:rPr>
        <w:footnoteRef/>
      </w:r>
      <w:r w:rsidRPr="00BD1F38">
        <w:rPr>
          <w:sz w:val="18"/>
          <w:szCs w:val="18"/>
        </w:rPr>
        <w:t xml:space="preserve"> </w:t>
      </w:r>
      <w:r w:rsidRPr="00BD1F38">
        <w:rPr>
          <w:color w:val="000000"/>
          <w:sz w:val="18"/>
          <w:szCs w:val="18"/>
        </w:rPr>
        <w:t>Haim Shapira, ‘FOR THE JUDGMENT IS GOD’S’: HUMAN JUDGMENT AND DIVINE JUSTICE IN THE HEBREW BIBLE AND IN JEWISH TRADITION’,</w:t>
      </w:r>
      <w:r w:rsidRPr="00BD1F38">
        <w:rPr>
          <w:rStyle w:val="apple-converted-space"/>
          <w:color w:val="000000"/>
          <w:sz w:val="18"/>
          <w:szCs w:val="18"/>
        </w:rPr>
        <w:t> </w:t>
      </w:r>
      <w:r w:rsidRPr="00BD1F38">
        <w:rPr>
          <w:i/>
          <w:iCs/>
          <w:color w:val="000000"/>
          <w:sz w:val="18"/>
          <w:szCs w:val="18"/>
        </w:rPr>
        <w:t>Journal of Law and Religion</w:t>
      </w:r>
      <w:r w:rsidRPr="00BD1F38">
        <w:rPr>
          <w:color w:val="000000"/>
          <w:sz w:val="18"/>
          <w:szCs w:val="18"/>
        </w:rPr>
        <w:t>, 27.2 (2011), pp. 273–328 (281)</w:t>
      </w:r>
      <w:r w:rsidRPr="00BD1F38">
        <w:rPr>
          <w:rStyle w:val="apple-converted-space"/>
          <w:color w:val="000000"/>
          <w:sz w:val="18"/>
          <w:szCs w:val="18"/>
        </w:rPr>
        <w:t xml:space="preserve"> &lt;</w:t>
      </w:r>
      <w:hyperlink r:id="rId4" w:history="1">
        <w:r w:rsidRPr="00BD1F38">
          <w:rPr>
            <w:rStyle w:val="Hyperlink"/>
            <w:sz w:val="18"/>
            <w:szCs w:val="18"/>
          </w:rPr>
          <w:t>http://www.jstor.org/stable/23645134</w:t>
        </w:r>
      </w:hyperlink>
      <w:r w:rsidRPr="00BD1F38">
        <w:rPr>
          <w:color w:val="000000"/>
          <w:sz w:val="18"/>
          <w:szCs w:val="18"/>
        </w:rPr>
        <w:t>&gt; [accessed 25 January 2025].</w:t>
      </w:r>
    </w:p>
  </w:footnote>
  <w:footnote w:id="31">
    <w:p w14:paraId="3A963BEA"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color w:val="000000" w:themeColor="text1"/>
          <w:sz w:val="18"/>
          <w:szCs w:val="18"/>
          <w:shd w:val="clear" w:color="auto" w:fill="FFFFFF"/>
        </w:rPr>
        <w:t>Doniger, Wendy,</w:t>
      </w:r>
      <w:r w:rsidRPr="00BD1F38">
        <w:rPr>
          <w:i/>
          <w:iCs/>
          <w:color w:val="000000" w:themeColor="text1"/>
          <w:sz w:val="18"/>
          <w:szCs w:val="18"/>
          <w:shd w:val="clear" w:color="auto" w:fill="FFFFFF"/>
        </w:rPr>
        <w:t xml:space="preserve"> The Rig Veda: An Anthology: One Hundred and Eight Hymns, Selected, Translated and Annotated</w:t>
      </w:r>
      <w:r w:rsidRPr="00BD1F38">
        <w:rPr>
          <w:color w:val="000000" w:themeColor="text1"/>
          <w:sz w:val="18"/>
          <w:szCs w:val="18"/>
          <w:shd w:val="clear" w:color="auto" w:fill="FFFFFF"/>
        </w:rPr>
        <w:t>, Reprinted Edn. (Kindle Edition) (Harmondsworth, Middlesex, England; New York, N.Y.: Penguin Books, 2005), p. 80 (</w:t>
      </w:r>
      <w:r w:rsidRPr="00BD1F38">
        <w:rPr>
          <w:sz w:val="18"/>
          <w:szCs w:val="18"/>
        </w:rPr>
        <w:t>1.164.45).</w:t>
      </w:r>
    </w:p>
  </w:footnote>
  <w:footnote w:id="32">
    <w:p w14:paraId="30854E89" w14:textId="18B07DC1"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5C1428"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229 (translator’s note).</w:t>
      </w:r>
    </w:p>
  </w:footnote>
  <w:footnote w:id="33">
    <w:p w14:paraId="05229F09" w14:textId="682A3E2C"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5C1428"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xml:space="preserve"> p. 229 (translator’s note).</w:t>
      </w:r>
    </w:p>
  </w:footnote>
  <w:footnote w:id="34">
    <w:p w14:paraId="1C3BD7C4" w14:textId="22B10E00"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5C1428"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229 (translator’s note).</w:t>
      </w:r>
    </w:p>
  </w:footnote>
  <w:footnote w:id="35">
    <w:p w14:paraId="3ED13639"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lang w:val="en-US"/>
        </w:rPr>
        <w:t>, p. 15.</w:t>
      </w:r>
    </w:p>
  </w:footnote>
  <w:footnote w:id="36">
    <w:p w14:paraId="7B19EF23"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Yonatan Adler, ‘On the Origins of Tevilah (Ritual Immersion)’, </w:t>
      </w:r>
      <w:r w:rsidRPr="00BD1F38">
        <w:rPr>
          <w:rFonts w:ascii="Times New Roman" w:hAnsi="Times New Roman" w:cs="Times New Roman"/>
          <w:i/>
          <w:iCs/>
          <w:sz w:val="18"/>
          <w:szCs w:val="18"/>
        </w:rPr>
        <w:t>TheTorah.com</w:t>
      </w:r>
      <w:r w:rsidRPr="00BD1F38">
        <w:rPr>
          <w:rFonts w:ascii="Times New Roman" w:hAnsi="Times New Roman" w:cs="Times New Roman"/>
          <w:sz w:val="18"/>
          <w:szCs w:val="18"/>
        </w:rPr>
        <w:t xml:space="preserve"> (2017) &lt;</w:t>
      </w:r>
      <w:hyperlink r:id="rId5" w:history="1">
        <w:r w:rsidRPr="00BD1F38">
          <w:rPr>
            <w:rStyle w:val="Hyperlink"/>
            <w:rFonts w:ascii="Times New Roman" w:hAnsi="Times New Roman" w:cs="Times New Roman"/>
            <w:sz w:val="18"/>
            <w:szCs w:val="18"/>
          </w:rPr>
          <w:t>https://thetorah.com/article/on-the-origins-of-tevilah-ritual-immersion</w:t>
        </w:r>
      </w:hyperlink>
      <w:r w:rsidRPr="00BD1F38">
        <w:rPr>
          <w:rFonts w:ascii="Times New Roman" w:hAnsi="Times New Roman" w:cs="Times New Roman"/>
          <w:sz w:val="18"/>
          <w:szCs w:val="18"/>
        </w:rPr>
        <w:t>&gt; [accessed 20 November 2024].</w:t>
      </w:r>
    </w:p>
  </w:footnote>
  <w:footnote w:id="37">
    <w:p w14:paraId="2CF80807"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Schneur Zalman Lesches, </w:t>
      </w:r>
      <w:r w:rsidRPr="00BD1F38">
        <w:rPr>
          <w:rFonts w:eastAsiaTheme="minorEastAsia"/>
          <w:i/>
          <w:iCs/>
          <w:sz w:val="18"/>
          <w:szCs w:val="18"/>
        </w:rPr>
        <w:t>Understanding Mikvah: An overview of Mikvah construction</w:t>
      </w:r>
      <w:r w:rsidRPr="00BD1F38">
        <w:rPr>
          <w:rFonts w:eastAsiaTheme="minorEastAsia"/>
          <w:sz w:val="18"/>
          <w:szCs w:val="18"/>
        </w:rPr>
        <w:t xml:space="preserve"> (Montreal: Kollel Menachem, 2001), p. 43.</w:t>
      </w:r>
    </w:p>
  </w:footnote>
  <w:footnote w:id="38">
    <w:p w14:paraId="4258C730" w14:textId="0B0E8C76"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Lesches, </w:t>
      </w:r>
      <w:r w:rsidR="00047F19" w:rsidRPr="00BD1F38">
        <w:rPr>
          <w:rFonts w:ascii="Times New Roman" w:hAnsi="Times New Roman" w:cs="Times New Roman"/>
          <w:i/>
          <w:iCs/>
          <w:sz w:val="18"/>
          <w:szCs w:val="18"/>
          <w:lang w:val="en-US"/>
        </w:rPr>
        <w:t>Understanding Mikvah</w:t>
      </w:r>
      <w:r w:rsidR="00047F19"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37.</w:t>
      </w:r>
    </w:p>
  </w:footnote>
  <w:footnote w:id="39">
    <w:p w14:paraId="62DE63B0"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Andrew McDonald, ‘A Botanical Perspective on the Identity of Soma (Nelumbo Nucifera Gaertn.) Based on Scriptural and Iconographic Records.’, </w:t>
      </w:r>
      <w:r w:rsidRPr="00BD1F38">
        <w:rPr>
          <w:rFonts w:eastAsiaTheme="minorEastAsia"/>
          <w:i/>
          <w:iCs/>
          <w:sz w:val="18"/>
          <w:szCs w:val="18"/>
        </w:rPr>
        <w:t>Economic Botany</w:t>
      </w:r>
      <w:r w:rsidRPr="00BD1F38">
        <w:rPr>
          <w:rFonts w:eastAsiaTheme="minorEastAsia"/>
          <w:sz w:val="18"/>
          <w:szCs w:val="18"/>
        </w:rPr>
        <w:t>, 58 (2S150.004), pp. S147–73 &lt;</w:t>
      </w:r>
      <w:hyperlink r:id="rId6" w:history="1">
        <w:r w:rsidRPr="00BD1F38">
          <w:rPr>
            <w:rFonts w:eastAsiaTheme="minorEastAsia"/>
            <w:color w:val="DCA10D"/>
            <w:sz w:val="18"/>
            <w:szCs w:val="18"/>
          </w:rPr>
          <w:t>http://www.jstor.org/stable/4256916</w:t>
        </w:r>
      </w:hyperlink>
      <w:r w:rsidRPr="00BD1F38">
        <w:rPr>
          <w:rFonts w:eastAsiaTheme="minorEastAsia"/>
          <w:sz w:val="18"/>
          <w:szCs w:val="18"/>
        </w:rPr>
        <w:t>&gt; [accessed 23 October 2024]</w:t>
      </w:r>
      <w:r w:rsidRPr="00BD1F38">
        <w:rPr>
          <w:sz w:val="18"/>
          <w:szCs w:val="18"/>
          <w:lang w:val="en-US"/>
        </w:rPr>
        <w:t xml:space="preserve">. </w:t>
      </w:r>
    </w:p>
  </w:footnote>
  <w:footnote w:id="40">
    <w:p w14:paraId="08A33C52"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Gordon R. Wasson, ‘The Soma of the Rig Veda: What Was It?’, </w:t>
      </w:r>
      <w:r w:rsidRPr="00BD1F38">
        <w:rPr>
          <w:rFonts w:eastAsiaTheme="minorEastAsia"/>
          <w:i/>
          <w:iCs/>
          <w:sz w:val="18"/>
          <w:szCs w:val="18"/>
        </w:rPr>
        <w:t>Journal of the American Oriental Society</w:t>
      </w:r>
      <w:r w:rsidRPr="00BD1F38">
        <w:rPr>
          <w:rFonts w:eastAsiaTheme="minorEastAsia"/>
          <w:sz w:val="18"/>
          <w:szCs w:val="18"/>
        </w:rPr>
        <w:t>, 91.2 (1971), pp. 169–187 (169) &lt;</w:t>
      </w:r>
      <w:hyperlink r:id="rId7" w:history="1">
        <w:r w:rsidRPr="00BD1F38">
          <w:rPr>
            <w:rFonts w:eastAsiaTheme="minorEastAsia"/>
            <w:color w:val="DCA10D"/>
            <w:sz w:val="18"/>
            <w:szCs w:val="18"/>
          </w:rPr>
          <w:t>https://doi.org/10.2307/600096</w:t>
        </w:r>
      </w:hyperlink>
      <w:r w:rsidRPr="00BD1F38">
        <w:rPr>
          <w:rFonts w:eastAsiaTheme="minorEastAsia"/>
          <w:sz w:val="18"/>
          <w:szCs w:val="18"/>
        </w:rPr>
        <w:t>&gt; [accessed 23 October 2024].</w:t>
      </w:r>
    </w:p>
  </w:footnote>
  <w:footnote w:id="41">
    <w:p w14:paraId="794DC00C" w14:textId="4ACC4673"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047F19"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xml:space="preserve">. </w:t>
      </w:r>
    </w:p>
  </w:footnote>
  <w:footnote w:id="42">
    <w:p w14:paraId="36CD7748" w14:textId="01699B6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McDonald, </w:t>
      </w:r>
      <w:r w:rsidR="00047F19" w:rsidRPr="00BD1F38">
        <w:rPr>
          <w:rFonts w:ascii="Times New Roman" w:hAnsi="Times New Roman" w:cs="Times New Roman"/>
          <w:sz w:val="18"/>
          <w:szCs w:val="18"/>
          <w:lang w:val="en-US"/>
        </w:rPr>
        <w:t>‘</w:t>
      </w:r>
      <w:r w:rsidR="00047F19" w:rsidRPr="00BD1F38">
        <w:rPr>
          <w:rFonts w:ascii="Times New Roman" w:hAnsi="Times New Roman" w:cs="Times New Roman"/>
          <w:sz w:val="18"/>
          <w:szCs w:val="18"/>
        </w:rPr>
        <w:t xml:space="preserve">A Botanical Perspective on the Identity of Soma’ </w:t>
      </w:r>
      <w:r w:rsidRPr="00BD1F38">
        <w:rPr>
          <w:rFonts w:ascii="Times New Roman" w:hAnsi="Times New Roman" w:cs="Times New Roman"/>
          <w:sz w:val="18"/>
          <w:szCs w:val="18"/>
          <w:lang w:val="en-US"/>
        </w:rPr>
        <w:t>p. S168.</w:t>
      </w:r>
    </w:p>
  </w:footnote>
  <w:footnote w:id="43">
    <w:p w14:paraId="0365E6CB" w14:textId="63789006"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047F19"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xml:space="preserve">. </w:t>
      </w:r>
    </w:p>
  </w:footnote>
  <w:footnote w:id="44">
    <w:p w14:paraId="7753A0DB" w14:textId="55B0B2B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794479"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14 (translator’s note).</w:t>
      </w:r>
    </w:p>
  </w:footnote>
  <w:footnote w:id="45">
    <w:p w14:paraId="5E4EEAB7" w14:textId="6E7C4E8A"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McDonald</w:t>
      </w:r>
      <w:r w:rsidR="000B573F" w:rsidRPr="00BD1F38">
        <w:rPr>
          <w:rFonts w:ascii="Times New Roman" w:hAnsi="Times New Roman" w:cs="Times New Roman"/>
          <w:sz w:val="18"/>
          <w:szCs w:val="18"/>
          <w:lang w:val="en-US"/>
        </w:rPr>
        <w:t>, ‘</w:t>
      </w:r>
      <w:r w:rsidR="000B573F" w:rsidRPr="00BD1F38">
        <w:rPr>
          <w:rFonts w:ascii="Times New Roman" w:hAnsi="Times New Roman" w:cs="Times New Roman"/>
          <w:sz w:val="18"/>
          <w:szCs w:val="18"/>
        </w:rPr>
        <w:t>A Botanical Perspective on the Identity of Soma’</w:t>
      </w:r>
      <w:r w:rsidRPr="00BD1F38">
        <w:rPr>
          <w:rFonts w:ascii="Times New Roman" w:hAnsi="Times New Roman" w:cs="Times New Roman"/>
          <w:sz w:val="18"/>
          <w:szCs w:val="18"/>
          <w:lang w:val="en-US"/>
        </w:rPr>
        <w:t>.</w:t>
      </w:r>
    </w:p>
  </w:footnote>
  <w:footnote w:id="46">
    <w:p w14:paraId="148F63BF" w14:textId="77777777" w:rsidR="0045403B" w:rsidRPr="00BD1F38" w:rsidRDefault="0045403B" w:rsidP="0045403B">
      <w:pPr>
        <w:rPr>
          <w:color w:val="000000"/>
          <w:sz w:val="18"/>
          <w:szCs w:val="18"/>
        </w:rPr>
      </w:pPr>
      <w:r w:rsidRPr="00BD1F38">
        <w:rPr>
          <w:rStyle w:val="FootnoteReference"/>
          <w:sz w:val="18"/>
          <w:szCs w:val="18"/>
        </w:rPr>
        <w:footnoteRef/>
      </w:r>
      <w:r w:rsidRPr="00BD1F38">
        <w:rPr>
          <w:sz w:val="18"/>
          <w:szCs w:val="18"/>
        </w:rPr>
        <w:t xml:space="preserve"> </w:t>
      </w:r>
      <w:r w:rsidRPr="00BD1F38">
        <w:rPr>
          <w:color w:val="000000"/>
          <w:sz w:val="18"/>
          <w:szCs w:val="18"/>
        </w:rPr>
        <w:t>Paul Tillich, ‘The Religious Symbol’,</w:t>
      </w:r>
      <w:r w:rsidRPr="00BD1F38">
        <w:rPr>
          <w:rStyle w:val="apple-converted-space"/>
          <w:color w:val="000000"/>
          <w:sz w:val="18"/>
          <w:szCs w:val="18"/>
        </w:rPr>
        <w:t> </w:t>
      </w:r>
      <w:r w:rsidRPr="00BD1F38">
        <w:rPr>
          <w:i/>
          <w:iCs/>
          <w:color w:val="000000"/>
          <w:sz w:val="18"/>
          <w:szCs w:val="18"/>
        </w:rPr>
        <w:t>Daedalus</w:t>
      </w:r>
      <w:r w:rsidRPr="00BD1F38">
        <w:rPr>
          <w:color w:val="000000"/>
          <w:sz w:val="18"/>
          <w:szCs w:val="18"/>
        </w:rPr>
        <w:t>, 87.3 Symbolism in Religion and Literature (1958), pp. 3–21 (3) &lt;</w:t>
      </w:r>
      <w:hyperlink r:id="rId8" w:history="1">
        <w:r w:rsidRPr="00BD1F38">
          <w:rPr>
            <w:rStyle w:val="Hyperlink"/>
            <w:sz w:val="18"/>
            <w:szCs w:val="18"/>
          </w:rPr>
          <w:t>http://www.jstor.org/stable/20026449</w:t>
        </w:r>
      </w:hyperlink>
      <w:r w:rsidRPr="00BD1F38">
        <w:rPr>
          <w:color w:val="000000"/>
          <w:sz w:val="18"/>
          <w:szCs w:val="18"/>
        </w:rPr>
        <w:t>&gt; [accessed 09 January 2025].</w:t>
      </w:r>
    </w:p>
  </w:footnote>
  <w:footnote w:id="47">
    <w:p w14:paraId="5BF25420" w14:textId="4661D386"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084AE8"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14 (translator’s note).</w:t>
      </w:r>
    </w:p>
  </w:footnote>
  <w:footnote w:id="48">
    <w:p w14:paraId="7A92433C"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Alexander Otte, David Coates, Richard Connor, Giulia Rode, David Hebart-Coleman, Martina Klimes, Elizabeth Yaari, Maria Teresa Gutierrez, Nigel Crawhall, Rémy Kinna, Marlos de Souza, Eva Mach, Barbara Van Koppen, Nicole Webley, </w:t>
      </w:r>
      <w:r w:rsidRPr="00BD1F38">
        <w:rPr>
          <w:rFonts w:ascii="Times New Roman" w:hAnsi="Times New Roman" w:cs="Times New Roman"/>
          <w:color w:val="000000"/>
          <w:sz w:val="18"/>
          <w:szCs w:val="18"/>
        </w:rPr>
        <w:t>‘Chapter 7: Culture and the Values of Water’</w:t>
      </w:r>
      <w:r w:rsidRPr="00BD1F38">
        <w:rPr>
          <w:rStyle w:val="apple-converted-space"/>
          <w:rFonts w:ascii="Times New Roman" w:hAnsi="Times New Roman" w:cs="Times New Roman"/>
          <w:color w:val="000000"/>
          <w:sz w:val="18"/>
          <w:szCs w:val="18"/>
        </w:rPr>
        <w:t> </w:t>
      </w:r>
      <w:r w:rsidRPr="00BD1F38">
        <w:rPr>
          <w:rFonts w:ascii="Times New Roman" w:hAnsi="Times New Roman" w:cs="Times New Roman"/>
          <w:sz w:val="18"/>
          <w:szCs w:val="18"/>
          <w:lang w:val="en-US"/>
        </w:rPr>
        <w:t xml:space="preserve">in </w:t>
      </w:r>
      <w:r w:rsidRPr="00BD1F38">
        <w:rPr>
          <w:rFonts w:ascii="Times New Roman" w:hAnsi="Times New Roman" w:cs="Times New Roman"/>
          <w:i/>
          <w:iCs/>
          <w:sz w:val="18"/>
          <w:szCs w:val="18"/>
          <w:lang w:val="en-US"/>
        </w:rPr>
        <w:t>VALUING WATER</w:t>
      </w:r>
      <w:r w:rsidRPr="00BD1F38">
        <w:rPr>
          <w:rFonts w:ascii="Times New Roman" w:hAnsi="Times New Roman" w:cs="Times New Roman"/>
          <w:sz w:val="18"/>
          <w:szCs w:val="18"/>
          <w:lang w:val="en-US"/>
        </w:rPr>
        <w:t>, UNESCO (2021)</w:t>
      </w:r>
      <w:r w:rsidRPr="00BD1F38">
        <w:rPr>
          <w:rFonts w:ascii="Times New Roman" w:hAnsi="Times New Roman" w:cs="Times New Roman"/>
          <w:color w:val="000000"/>
          <w:sz w:val="18"/>
          <w:szCs w:val="18"/>
        </w:rPr>
        <w:t>, pp. 97–106 (98) &lt;</w:t>
      </w:r>
      <w:hyperlink r:id="rId9" w:history="1">
        <w:r w:rsidRPr="00BD1F38">
          <w:rPr>
            <w:rStyle w:val="Hyperlink"/>
            <w:rFonts w:ascii="Times New Roman" w:hAnsi="Times New Roman" w:cs="Times New Roman"/>
            <w:sz w:val="18"/>
            <w:szCs w:val="18"/>
          </w:rPr>
          <w:t>http://www.jstor.org/stable/resrep65081.16</w:t>
        </w:r>
      </w:hyperlink>
      <w:r w:rsidRPr="00BD1F38">
        <w:rPr>
          <w:rFonts w:ascii="Times New Roman" w:hAnsi="Times New Roman" w:cs="Times New Roman"/>
          <w:color w:val="000000"/>
          <w:sz w:val="18"/>
          <w:szCs w:val="18"/>
        </w:rPr>
        <w:t xml:space="preserve">&gt; </w:t>
      </w:r>
      <w:r w:rsidRPr="00BD1F38">
        <w:rPr>
          <w:rFonts w:ascii="Times New Roman" w:hAnsi="Times New Roman" w:cs="Times New Roman"/>
          <w:sz w:val="18"/>
          <w:szCs w:val="18"/>
          <w:lang w:val="en-US"/>
        </w:rPr>
        <w:t>[accessed 07 September 2024].</w:t>
      </w:r>
    </w:p>
  </w:footnote>
  <w:footnote w:id="49">
    <w:p w14:paraId="582A5F6A" w14:textId="6993FBF9"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Otte et al., </w:t>
      </w:r>
      <w:r w:rsidR="00416C7A" w:rsidRPr="00BD1F38">
        <w:rPr>
          <w:rFonts w:ascii="Times New Roman" w:hAnsi="Times New Roman" w:cs="Times New Roman"/>
          <w:sz w:val="18"/>
          <w:szCs w:val="18"/>
        </w:rPr>
        <w:t xml:space="preserve">‘Culture and the Values of Water’, </w:t>
      </w:r>
      <w:r w:rsidRPr="00BD1F38">
        <w:rPr>
          <w:rFonts w:ascii="Times New Roman" w:hAnsi="Times New Roman" w:cs="Times New Roman"/>
          <w:sz w:val="18"/>
          <w:szCs w:val="18"/>
        </w:rPr>
        <w:t xml:space="preserve">p. 98. </w:t>
      </w:r>
    </w:p>
  </w:footnote>
  <w:footnote w:id="50">
    <w:p w14:paraId="6C9B40D8" w14:textId="77777777" w:rsidR="0045403B" w:rsidRPr="00BD1F38" w:rsidRDefault="0045403B" w:rsidP="0045403B">
      <w:pPr>
        <w:autoSpaceDE w:val="0"/>
        <w:autoSpaceDN w:val="0"/>
        <w:adjustRightInd w:val="0"/>
        <w:rPr>
          <w:rFonts w:eastAsiaTheme="minorEastAsia"/>
          <w:sz w:val="18"/>
          <w:szCs w:val="18"/>
          <w:lang w:val="en-US"/>
        </w:rPr>
      </w:pPr>
      <w:r w:rsidRPr="00BD1F38">
        <w:rPr>
          <w:rStyle w:val="FootnoteReference"/>
          <w:sz w:val="18"/>
          <w:szCs w:val="18"/>
        </w:rPr>
        <w:footnoteRef/>
      </w:r>
      <w:r w:rsidRPr="00BD1F38">
        <w:rPr>
          <w:sz w:val="18"/>
          <w:szCs w:val="18"/>
        </w:rPr>
        <w:t xml:space="preserve"> </w:t>
      </w:r>
      <w:r w:rsidRPr="00BD1F38">
        <w:rPr>
          <w:rFonts w:eastAsiaTheme="minorEastAsia"/>
          <w:sz w:val="18"/>
          <w:szCs w:val="18"/>
          <w:lang w:val="en-US"/>
        </w:rPr>
        <w:t xml:space="preserve">Audrey Azoulay and UNESCO, ‘Foreword’, in </w:t>
      </w:r>
      <w:r w:rsidRPr="00BD1F38">
        <w:rPr>
          <w:rFonts w:eastAsiaTheme="minorEastAsia"/>
          <w:i/>
          <w:iCs/>
          <w:sz w:val="18"/>
          <w:szCs w:val="18"/>
          <w:lang w:val="en-US"/>
        </w:rPr>
        <w:t>VALUING WATER</w:t>
      </w:r>
      <w:r w:rsidRPr="00BD1F38">
        <w:rPr>
          <w:rFonts w:eastAsiaTheme="minorEastAsia"/>
          <w:sz w:val="18"/>
          <w:szCs w:val="18"/>
          <w:lang w:val="en-US"/>
        </w:rPr>
        <w:t>, UNESCO, 2021, pp. vi–vi (vi) &lt;</w:t>
      </w:r>
      <w:hyperlink r:id="rId10" w:history="1">
        <w:r w:rsidRPr="00BD1F38">
          <w:rPr>
            <w:rStyle w:val="Hyperlink"/>
            <w:rFonts w:eastAsiaTheme="minorEastAsia"/>
            <w:sz w:val="18"/>
            <w:szCs w:val="18"/>
            <w:lang w:val="en-US"/>
          </w:rPr>
          <w:t>http://www.jstor.org/stable/resrep65081.3</w:t>
        </w:r>
      </w:hyperlink>
      <w:r w:rsidRPr="00BD1F38">
        <w:rPr>
          <w:rFonts w:eastAsiaTheme="minorEastAsia"/>
          <w:sz w:val="18"/>
          <w:szCs w:val="18"/>
          <w:lang w:val="en-US"/>
        </w:rPr>
        <w:t>&gt; [accessed 07 September 2024].</w:t>
      </w:r>
    </w:p>
  </w:footnote>
  <w:footnote w:id="51">
    <w:p w14:paraId="1B13886C"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i/>
          <w:iCs/>
          <w:color w:val="000000" w:themeColor="text1"/>
          <w:sz w:val="18"/>
          <w:szCs w:val="18"/>
        </w:rPr>
        <w:t>The Holy Bible Containing the Old and New Testaments,</w:t>
      </w:r>
      <w:r w:rsidRPr="00BD1F38">
        <w:rPr>
          <w:rStyle w:val="apple-converted-space"/>
          <w:rFonts w:ascii="Times New Roman" w:hAnsi="Times New Roman" w:cs="Times New Roman"/>
          <w:i/>
          <w:iCs/>
          <w:color w:val="000000" w:themeColor="text1"/>
          <w:sz w:val="18"/>
          <w:szCs w:val="18"/>
        </w:rPr>
        <w:t> </w:t>
      </w:r>
      <w:r w:rsidRPr="00BD1F38">
        <w:rPr>
          <w:rFonts w:ascii="Times New Roman" w:hAnsi="Times New Roman" w:cs="Times New Roman"/>
          <w:color w:val="000000" w:themeColor="text1"/>
          <w:sz w:val="18"/>
          <w:szCs w:val="18"/>
          <w:shd w:val="clear" w:color="auto" w:fill="FFFFFF"/>
        </w:rPr>
        <w:t xml:space="preserve">Authorised King James Version, (Cambridge: Cambridge University Press, 1984), </w:t>
      </w:r>
      <w:r w:rsidRPr="00BD1F38">
        <w:rPr>
          <w:rFonts w:ascii="Times New Roman" w:hAnsi="Times New Roman" w:cs="Times New Roman"/>
          <w:color w:val="000000" w:themeColor="text1"/>
          <w:sz w:val="18"/>
          <w:szCs w:val="18"/>
          <w:lang w:val="en-US"/>
        </w:rPr>
        <w:t>Exodus 15. 22.</w:t>
      </w:r>
    </w:p>
  </w:footnote>
  <w:footnote w:id="52">
    <w:p w14:paraId="576544B7"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Exodus 15. 25.</w:t>
      </w:r>
    </w:p>
  </w:footnote>
  <w:footnote w:id="53">
    <w:p w14:paraId="630A0422"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Sefaria, </w:t>
      </w:r>
      <w:r w:rsidRPr="00BD1F38">
        <w:rPr>
          <w:i/>
          <w:iCs/>
          <w:sz w:val="18"/>
          <w:szCs w:val="18"/>
        </w:rPr>
        <w:t xml:space="preserve">The William Davidson Talmud (Koren – Steinsaltz), </w:t>
      </w:r>
      <w:r w:rsidRPr="00BD1F38">
        <w:rPr>
          <w:sz w:val="18"/>
          <w:szCs w:val="18"/>
        </w:rPr>
        <w:t>Bava Kamma 82a:5</w:t>
      </w:r>
      <w:r w:rsidRPr="00BD1F38">
        <w:rPr>
          <w:i/>
          <w:iCs/>
          <w:sz w:val="18"/>
          <w:szCs w:val="18"/>
        </w:rPr>
        <w:t xml:space="preserve"> &lt;</w:t>
      </w:r>
      <w:hyperlink r:id="rId11" w:history="1">
        <w:r w:rsidRPr="00BD1F38">
          <w:rPr>
            <w:rStyle w:val="Hyperlink"/>
            <w:sz w:val="18"/>
            <w:szCs w:val="18"/>
          </w:rPr>
          <w:t>https://www.sefaria.org/Ketubot.110b.14?lang=bi</w:t>
        </w:r>
      </w:hyperlink>
      <w:r w:rsidRPr="00BD1F38">
        <w:rPr>
          <w:sz w:val="18"/>
          <w:szCs w:val="18"/>
        </w:rPr>
        <w:t>&gt; [accessed 03 October 2024].</w:t>
      </w:r>
    </w:p>
  </w:footnote>
  <w:footnote w:id="54">
    <w:p w14:paraId="124D7C86"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Isaiah 55. 1.</w:t>
      </w:r>
    </w:p>
  </w:footnote>
  <w:footnote w:id="55">
    <w:p w14:paraId="41AED0EF"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183.</w:t>
      </w:r>
    </w:p>
  </w:footnote>
  <w:footnote w:id="56">
    <w:p w14:paraId="6A9239C3"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Exodus 15. 27.</w:t>
      </w:r>
    </w:p>
  </w:footnote>
  <w:footnote w:id="57">
    <w:p w14:paraId="06BEDEFC"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34.</w:t>
      </w:r>
    </w:p>
  </w:footnote>
  <w:footnote w:id="58">
    <w:p w14:paraId="637D27A9"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45, 63, 97.</w:t>
      </w:r>
    </w:p>
  </w:footnote>
  <w:footnote w:id="59">
    <w:p w14:paraId="53676E7D" w14:textId="77777777" w:rsidR="0045403B" w:rsidRPr="00BD1F38" w:rsidRDefault="0045403B" w:rsidP="0045403B">
      <w:pPr>
        <w:autoSpaceDE w:val="0"/>
        <w:autoSpaceDN w:val="0"/>
        <w:adjustRightInd w:val="0"/>
        <w:rPr>
          <w:rFonts w:eastAsiaTheme="minorEastAsia"/>
          <w:sz w:val="18"/>
          <w:szCs w:val="18"/>
          <w:lang w:val="en-US"/>
        </w:rPr>
      </w:pPr>
      <w:r w:rsidRPr="00BD1F38">
        <w:rPr>
          <w:rStyle w:val="FootnoteReference"/>
          <w:sz w:val="18"/>
          <w:szCs w:val="18"/>
        </w:rPr>
        <w:footnoteRef/>
      </w:r>
      <w:r w:rsidRPr="00BD1F38">
        <w:rPr>
          <w:sz w:val="18"/>
          <w:szCs w:val="18"/>
        </w:rPr>
        <w:t xml:space="preserve"> </w:t>
      </w:r>
      <w:r w:rsidRPr="00BD1F38">
        <w:rPr>
          <w:rFonts w:eastAsiaTheme="minorEastAsia"/>
          <w:sz w:val="18"/>
          <w:szCs w:val="18"/>
          <w:lang w:val="en-US"/>
        </w:rPr>
        <w:t xml:space="preserve">Stephen F. McCool, Roger N. Clark, George H. Stankey, Rhonda Mazza, ‘Chapter 1: Water, Recreation, and Society: Shifting Demands, Rising Concerns, Growing Complexity’, in </w:t>
      </w:r>
      <w:r w:rsidRPr="00BD1F38">
        <w:rPr>
          <w:rFonts w:eastAsiaTheme="minorEastAsia"/>
          <w:i/>
          <w:iCs/>
          <w:sz w:val="18"/>
          <w:szCs w:val="18"/>
          <w:lang w:val="en-US"/>
        </w:rPr>
        <w:t>Water and People: Challenges at the Interface of Symbolic and Utilitarian Values</w:t>
      </w:r>
      <w:r w:rsidRPr="00BD1F38">
        <w:rPr>
          <w:rFonts w:eastAsiaTheme="minorEastAsia"/>
          <w:sz w:val="18"/>
          <w:szCs w:val="18"/>
          <w:lang w:val="en-US"/>
        </w:rPr>
        <w:t>, ed. by Stephen F. McCool, Roger N. Clark, George H. Stankey, Rhonda Mazza (Portland: Pacific Northwest Research Station, U.S. Department of Agriculture, 2008), pp. 9-18 (9).</w:t>
      </w:r>
    </w:p>
  </w:footnote>
  <w:footnote w:id="60">
    <w:p w14:paraId="77A32A65" w14:textId="77777777" w:rsidR="00BE7B04" w:rsidRPr="00BD1F38" w:rsidRDefault="00BE7B04" w:rsidP="00BE7B04">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57.</w:t>
      </w:r>
    </w:p>
  </w:footnote>
  <w:footnote w:id="61">
    <w:p w14:paraId="0E91F983"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34.</w:t>
      </w:r>
    </w:p>
  </w:footnote>
  <w:footnote w:id="62">
    <w:p w14:paraId="21376C10" w14:textId="77777777" w:rsidR="00A5348F" w:rsidRPr="00BD1F38" w:rsidRDefault="00A5348F" w:rsidP="00A5348F">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Exodus 15. 26.</w:t>
      </w:r>
    </w:p>
  </w:footnote>
  <w:footnote w:id="63">
    <w:p w14:paraId="424D5846"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Exodus 15. 5.</w:t>
      </w:r>
    </w:p>
  </w:footnote>
  <w:footnote w:id="64">
    <w:p w14:paraId="2C4053C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Elliot K. Ginsburg, </w:t>
      </w:r>
      <w:r w:rsidRPr="00BD1F38">
        <w:rPr>
          <w:rFonts w:ascii="Times New Roman" w:hAnsi="Times New Roman" w:cs="Times New Roman"/>
          <w:i/>
          <w:iCs/>
          <w:color w:val="000000"/>
          <w:sz w:val="18"/>
          <w:szCs w:val="18"/>
        </w:rPr>
        <w:t>The Sabbath in the Classical Kabbalah</w:t>
      </w:r>
      <w:r w:rsidRPr="00BD1F38">
        <w:rPr>
          <w:rFonts w:ascii="Times New Roman" w:hAnsi="Times New Roman" w:cs="Times New Roman"/>
          <w:color w:val="000000"/>
          <w:sz w:val="18"/>
          <w:szCs w:val="18"/>
        </w:rPr>
        <w:t xml:space="preserve"> (New York: State University of New York Press, 1989), p. 228. </w:t>
      </w:r>
    </w:p>
  </w:footnote>
  <w:footnote w:id="65">
    <w:p w14:paraId="3ADA53FB" w14:textId="4158382E"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Ginsburg, </w:t>
      </w:r>
      <w:r w:rsidR="00C963F2" w:rsidRPr="00BD1F38">
        <w:rPr>
          <w:rFonts w:ascii="Times New Roman" w:hAnsi="Times New Roman" w:cs="Times New Roman"/>
          <w:i/>
          <w:iCs/>
          <w:color w:val="000000"/>
          <w:sz w:val="18"/>
          <w:szCs w:val="18"/>
        </w:rPr>
        <w:t>The Sabbath in the Classical Kabbalah,</w:t>
      </w:r>
      <w:r w:rsidR="00C963F2" w:rsidRPr="00BD1F38">
        <w:rPr>
          <w:rFonts w:ascii="Times New Roman" w:hAnsi="Times New Roman" w:cs="Times New Roman"/>
          <w:sz w:val="18"/>
          <w:szCs w:val="18"/>
        </w:rPr>
        <w:t xml:space="preserve"> </w:t>
      </w:r>
      <w:r w:rsidRPr="00BD1F38">
        <w:rPr>
          <w:rFonts w:ascii="Times New Roman" w:hAnsi="Times New Roman" w:cs="Times New Roman"/>
          <w:sz w:val="18"/>
          <w:szCs w:val="18"/>
        </w:rPr>
        <w:t>p. 228.</w:t>
      </w:r>
    </w:p>
  </w:footnote>
  <w:footnote w:id="66">
    <w:p w14:paraId="64D48C7D" w14:textId="5B209048"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CC3250"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109 (10.51.8).</w:t>
      </w:r>
    </w:p>
  </w:footnote>
  <w:footnote w:id="67">
    <w:p w14:paraId="491E7C1D" w14:textId="13A660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CC3250"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109-110 (translator’s note)</w:t>
      </w:r>
    </w:p>
  </w:footnote>
  <w:footnote w:id="68">
    <w:p w14:paraId="318C432C" w14:textId="034AFC5A"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CC3250"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81 (1.164.51).</w:t>
      </w:r>
    </w:p>
  </w:footnote>
  <w:footnote w:id="69">
    <w:p w14:paraId="6CF9B244"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FSCJ, ‘7. Etymology and History of Hinduism’, in </w:t>
      </w:r>
      <w:r w:rsidRPr="00BD1F38">
        <w:rPr>
          <w:rFonts w:ascii="Times New Roman" w:hAnsi="Times New Roman" w:cs="Times New Roman"/>
          <w:i/>
          <w:iCs/>
          <w:sz w:val="18"/>
          <w:szCs w:val="18"/>
        </w:rPr>
        <w:t>World Religions</w:t>
      </w:r>
      <w:r w:rsidRPr="00BD1F38">
        <w:rPr>
          <w:rFonts w:ascii="Times New Roman" w:hAnsi="Times New Roman" w:cs="Times New Roman"/>
          <w:sz w:val="18"/>
          <w:szCs w:val="18"/>
        </w:rPr>
        <w:t xml:space="preserve"> (Jacksonville, FSCJ, Pressbooks, 2017) &lt;</w:t>
      </w:r>
      <w:hyperlink r:id="rId12" w:history="1">
        <w:r w:rsidRPr="00BD1F38">
          <w:rPr>
            <w:rStyle w:val="Hyperlink"/>
            <w:rFonts w:ascii="Times New Roman" w:hAnsi="Times New Roman" w:cs="Times New Roman"/>
            <w:sz w:val="18"/>
            <w:szCs w:val="18"/>
          </w:rPr>
          <w:t>https://fscj.pressbooks.pub/worldreligions/chapter/etymology-and-history/</w:t>
        </w:r>
      </w:hyperlink>
      <w:r w:rsidRPr="00BD1F38">
        <w:rPr>
          <w:rFonts w:ascii="Times New Roman" w:hAnsi="Times New Roman" w:cs="Times New Roman"/>
          <w:sz w:val="18"/>
          <w:szCs w:val="18"/>
        </w:rPr>
        <w:t>&gt; [accessed 01 June 2024].</w:t>
      </w:r>
    </w:p>
  </w:footnote>
  <w:footnote w:id="70">
    <w:p w14:paraId="4238DF40" w14:textId="77777777" w:rsidR="0045403B" w:rsidRPr="00BD1F38" w:rsidRDefault="0045403B" w:rsidP="0045403B">
      <w:pPr>
        <w:rPr>
          <w:color w:val="000000"/>
          <w:sz w:val="18"/>
          <w:szCs w:val="18"/>
        </w:rPr>
      </w:pPr>
      <w:r w:rsidRPr="00BD1F38">
        <w:rPr>
          <w:rStyle w:val="FootnoteReference"/>
          <w:sz w:val="18"/>
          <w:szCs w:val="18"/>
        </w:rPr>
        <w:footnoteRef/>
      </w:r>
      <w:r w:rsidRPr="00BD1F38">
        <w:rPr>
          <w:sz w:val="18"/>
          <w:szCs w:val="18"/>
        </w:rPr>
        <w:t xml:space="preserve"> Max Müller cited by </w:t>
      </w:r>
      <w:r w:rsidRPr="00BD1F38">
        <w:rPr>
          <w:color w:val="000000"/>
          <w:sz w:val="18"/>
          <w:szCs w:val="18"/>
        </w:rPr>
        <w:t xml:space="preserve">Edward Delavan Perry, ‘Indra in the Rig-Veda’, </w:t>
      </w:r>
      <w:r w:rsidRPr="00BD1F38">
        <w:rPr>
          <w:i/>
          <w:iCs/>
          <w:color w:val="000000"/>
          <w:sz w:val="18"/>
          <w:szCs w:val="18"/>
        </w:rPr>
        <w:t>Journal of the American Oriental Society</w:t>
      </w:r>
      <w:r w:rsidRPr="00BD1F38">
        <w:rPr>
          <w:color w:val="000000"/>
          <w:sz w:val="18"/>
          <w:szCs w:val="18"/>
        </w:rPr>
        <w:t>, vol. 11 (1885), p. 117–208 (119) &lt;</w:t>
      </w:r>
      <w:hyperlink r:id="rId13" w:history="1">
        <w:r w:rsidRPr="00BD1F38">
          <w:rPr>
            <w:rStyle w:val="Hyperlink"/>
            <w:sz w:val="18"/>
            <w:szCs w:val="18"/>
          </w:rPr>
          <w:t>https://doi.org/10.2307/592191</w:t>
        </w:r>
      </w:hyperlink>
      <w:r w:rsidRPr="00BD1F38">
        <w:rPr>
          <w:color w:val="000000"/>
          <w:sz w:val="18"/>
          <w:szCs w:val="18"/>
        </w:rPr>
        <w:t>&gt; [accessed 08 December 2024].</w:t>
      </w:r>
    </w:p>
  </w:footnote>
  <w:footnote w:id="71">
    <w:p w14:paraId="1AD98088" w14:textId="4161EDBA"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Otte et al., </w:t>
      </w:r>
      <w:r w:rsidR="00CC3250" w:rsidRPr="00BD1F38">
        <w:rPr>
          <w:rFonts w:ascii="Times New Roman" w:hAnsi="Times New Roman" w:cs="Times New Roman"/>
          <w:sz w:val="18"/>
          <w:szCs w:val="18"/>
        </w:rPr>
        <w:t xml:space="preserve">‘Culture and the Values of Water’, </w:t>
      </w:r>
      <w:r w:rsidRPr="00BD1F38">
        <w:rPr>
          <w:rFonts w:ascii="Times New Roman" w:hAnsi="Times New Roman" w:cs="Times New Roman"/>
          <w:sz w:val="18"/>
          <w:szCs w:val="18"/>
        </w:rPr>
        <w:t xml:space="preserve">p. 98. </w:t>
      </w:r>
    </w:p>
  </w:footnote>
  <w:footnote w:id="72">
    <w:p w14:paraId="25249290"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73">
    <w:p w14:paraId="071757C9"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74">
    <w:p w14:paraId="258F79B6"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Genesis 17. 7.</w:t>
      </w:r>
    </w:p>
  </w:footnote>
  <w:footnote w:id="75">
    <w:p w14:paraId="0C3CFDBB"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Genesis 17. 8.</w:t>
      </w:r>
    </w:p>
  </w:footnote>
  <w:footnote w:id="76">
    <w:p w14:paraId="1ADEB4C5"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77">
    <w:p w14:paraId="6CC9A821" w14:textId="35050E5A"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Otte et al., </w:t>
      </w:r>
      <w:r w:rsidR="00C55F7B" w:rsidRPr="00BD1F38">
        <w:rPr>
          <w:rFonts w:ascii="Times New Roman" w:hAnsi="Times New Roman" w:cs="Times New Roman"/>
          <w:sz w:val="18"/>
          <w:szCs w:val="18"/>
          <w:lang w:val="en-US"/>
        </w:rPr>
        <w:t>‘</w:t>
      </w:r>
      <w:r w:rsidR="00C55F7B" w:rsidRPr="00BD1F38">
        <w:rPr>
          <w:rFonts w:ascii="Times New Roman" w:hAnsi="Times New Roman" w:cs="Times New Roman"/>
          <w:sz w:val="18"/>
          <w:szCs w:val="18"/>
        </w:rPr>
        <w:t xml:space="preserve">Culture and the Values of Water’, </w:t>
      </w:r>
      <w:r w:rsidRPr="00BD1F38">
        <w:rPr>
          <w:rFonts w:ascii="Times New Roman" w:hAnsi="Times New Roman" w:cs="Times New Roman"/>
          <w:sz w:val="18"/>
          <w:szCs w:val="18"/>
          <w:lang w:val="en-US"/>
        </w:rPr>
        <w:t>p. 98.</w:t>
      </w:r>
    </w:p>
  </w:footnote>
  <w:footnote w:id="78">
    <w:p w14:paraId="0F43ED88"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Deuteronomy 8. 7.</w:t>
      </w:r>
    </w:p>
  </w:footnote>
  <w:footnote w:id="79">
    <w:p w14:paraId="3BFC317B"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Deuteronomy 8. 9.</w:t>
      </w:r>
    </w:p>
  </w:footnote>
  <w:footnote w:id="80">
    <w:p w14:paraId="55030291"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81">
    <w:p w14:paraId="6F864812" w14:textId="24EAC85C"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Otte et al., </w:t>
      </w:r>
      <w:r w:rsidR="00C55F7B" w:rsidRPr="00BD1F38">
        <w:rPr>
          <w:rFonts w:ascii="Times New Roman" w:hAnsi="Times New Roman" w:cs="Times New Roman"/>
          <w:sz w:val="18"/>
          <w:szCs w:val="18"/>
        </w:rPr>
        <w:t xml:space="preserve">‘Culture and the Values of Water’, </w:t>
      </w:r>
      <w:r w:rsidRPr="00BD1F38">
        <w:rPr>
          <w:rFonts w:ascii="Times New Roman" w:hAnsi="Times New Roman" w:cs="Times New Roman"/>
          <w:sz w:val="18"/>
          <w:szCs w:val="18"/>
        </w:rPr>
        <w:t>p. 98.</w:t>
      </w:r>
    </w:p>
  </w:footnote>
  <w:footnote w:id="82">
    <w:p w14:paraId="0D87BAC0" w14:textId="77777777" w:rsidR="0045403B" w:rsidRPr="00BD1F38" w:rsidRDefault="0045403B" w:rsidP="0045403B">
      <w:pPr>
        <w:rPr>
          <w:color w:val="000000"/>
          <w:sz w:val="18"/>
          <w:szCs w:val="18"/>
        </w:rPr>
      </w:pPr>
      <w:r w:rsidRPr="00BD1F38">
        <w:rPr>
          <w:rStyle w:val="FootnoteReference"/>
          <w:sz w:val="18"/>
          <w:szCs w:val="18"/>
        </w:rPr>
        <w:footnoteRef/>
      </w:r>
      <w:r w:rsidRPr="00BD1F38">
        <w:rPr>
          <w:sz w:val="18"/>
          <w:szCs w:val="18"/>
        </w:rPr>
        <w:t xml:space="preserve"> Galia Golan,</w:t>
      </w:r>
      <w:r w:rsidRPr="00BD1F38">
        <w:rPr>
          <w:color w:val="000000"/>
          <w:sz w:val="18"/>
          <w:szCs w:val="18"/>
        </w:rPr>
        <w:t xml:space="preserve"> ‘Obstacles and Possibilities for Peace between Israel and Palestine’,</w:t>
      </w:r>
      <w:r w:rsidRPr="00BD1F38">
        <w:rPr>
          <w:rStyle w:val="apple-converted-space"/>
          <w:color w:val="000000"/>
          <w:sz w:val="18"/>
          <w:szCs w:val="18"/>
        </w:rPr>
        <w:t> </w:t>
      </w:r>
      <w:r w:rsidRPr="00BD1F38">
        <w:rPr>
          <w:i/>
          <w:iCs/>
          <w:color w:val="000000"/>
          <w:sz w:val="18"/>
          <w:szCs w:val="18"/>
        </w:rPr>
        <w:t>Insight Turkey</w:t>
      </w:r>
      <w:r w:rsidRPr="00BD1F38">
        <w:rPr>
          <w:color w:val="000000"/>
          <w:sz w:val="18"/>
          <w:szCs w:val="18"/>
        </w:rPr>
        <w:t>, vol. 22.1 (2020), p. 33–46.</w:t>
      </w:r>
      <w:r w:rsidRPr="00BD1F38">
        <w:rPr>
          <w:rStyle w:val="apple-converted-space"/>
          <w:color w:val="000000"/>
          <w:sz w:val="18"/>
          <w:szCs w:val="18"/>
        </w:rPr>
        <w:t> </w:t>
      </w:r>
      <w:r w:rsidRPr="00BD1F38">
        <w:rPr>
          <w:color w:val="000000"/>
          <w:sz w:val="18"/>
          <w:szCs w:val="18"/>
        </w:rPr>
        <w:t xml:space="preserve"> &lt;</w:t>
      </w:r>
      <w:hyperlink r:id="rId14" w:history="1">
        <w:r w:rsidRPr="00BD1F38">
          <w:rPr>
            <w:rStyle w:val="Hyperlink"/>
            <w:sz w:val="18"/>
            <w:szCs w:val="18"/>
          </w:rPr>
          <w:t>https://www.jstor.org/stable/26921166</w:t>
        </w:r>
      </w:hyperlink>
      <w:r w:rsidRPr="00BD1F38">
        <w:rPr>
          <w:color w:val="000000"/>
          <w:sz w:val="18"/>
          <w:szCs w:val="18"/>
        </w:rPr>
        <w:t>&gt; [accessed 11 December 2024].</w:t>
      </w:r>
    </w:p>
  </w:footnote>
  <w:footnote w:id="83">
    <w:p w14:paraId="2B1413EB"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xml:space="preserve">, p. 22. </w:t>
      </w:r>
    </w:p>
  </w:footnote>
  <w:footnote w:id="84">
    <w:p w14:paraId="3C4CF2BE"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Genesis 35. 14-35. 15.</w:t>
      </w:r>
    </w:p>
  </w:footnote>
  <w:footnote w:id="85">
    <w:p w14:paraId="6F092ABA"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22.</w:t>
      </w:r>
    </w:p>
  </w:footnote>
  <w:footnote w:id="86">
    <w:p w14:paraId="4DB91B41"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i/>
          <w:iCs/>
          <w:sz w:val="18"/>
          <w:szCs w:val="18"/>
        </w:rPr>
        <w:t>The William Davidson Talmud (Koren – Steinsaltz),</w:t>
      </w:r>
      <w:r w:rsidRPr="00BD1F38">
        <w:rPr>
          <w:rFonts w:ascii="Times New Roman" w:hAnsi="Times New Roman" w:cs="Times New Roman"/>
          <w:sz w:val="18"/>
          <w:szCs w:val="18"/>
        </w:rPr>
        <w:t xml:space="preserve"> Ketubot 110B</w:t>
      </w:r>
      <w:r w:rsidRPr="00BD1F38">
        <w:rPr>
          <w:rFonts w:ascii="Times New Roman" w:hAnsi="Times New Roman" w:cs="Times New Roman"/>
          <w:i/>
          <w:iCs/>
          <w:sz w:val="18"/>
          <w:szCs w:val="18"/>
        </w:rPr>
        <w:t>.</w:t>
      </w:r>
    </w:p>
  </w:footnote>
  <w:footnote w:id="87">
    <w:p w14:paraId="515765DA"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Sacred &amp; The Profane, </w:t>
      </w:r>
      <w:r w:rsidRPr="00BD1F38">
        <w:rPr>
          <w:rFonts w:ascii="Times New Roman" w:hAnsi="Times New Roman" w:cs="Times New Roman"/>
          <w:sz w:val="18"/>
          <w:szCs w:val="18"/>
        </w:rPr>
        <w:t>p. 117.</w:t>
      </w:r>
    </w:p>
  </w:footnote>
  <w:footnote w:id="88">
    <w:p w14:paraId="20EB42D9" w14:textId="03D5AC75"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757357"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00757357" w:rsidRPr="00BD1F38">
        <w:rPr>
          <w:rFonts w:ascii="Times New Roman" w:hAnsi="Times New Roman" w:cs="Times New Roman"/>
          <w:i/>
          <w:iCs/>
          <w:sz w:val="18"/>
          <w:szCs w:val="18"/>
        </w:rPr>
        <w:t>.</w:t>
      </w:r>
    </w:p>
  </w:footnote>
  <w:footnote w:id="89">
    <w:p w14:paraId="7C7052D3" w14:textId="5DBE94CA"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McDonald, </w:t>
      </w:r>
      <w:r w:rsidR="00612E9A" w:rsidRPr="00BD1F38">
        <w:rPr>
          <w:rFonts w:ascii="Times New Roman" w:hAnsi="Times New Roman" w:cs="Times New Roman"/>
          <w:sz w:val="18"/>
          <w:szCs w:val="18"/>
          <w:lang w:val="en-US"/>
        </w:rPr>
        <w:t>‘</w:t>
      </w:r>
      <w:r w:rsidR="00612E9A" w:rsidRPr="00BD1F38">
        <w:rPr>
          <w:rFonts w:ascii="Times New Roman" w:hAnsi="Times New Roman" w:cs="Times New Roman"/>
          <w:sz w:val="18"/>
          <w:szCs w:val="18"/>
        </w:rPr>
        <w:t xml:space="preserve">A Botanical Perspective on the Identity of Soma’, </w:t>
      </w:r>
      <w:r w:rsidRPr="00BD1F38">
        <w:rPr>
          <w:rFonts w:ascii="Times New Roman" w:hAnsi="Times New Roman" w:cs="Times New Roman"/>
          <w:sz w:val="18"/>
          <w:szCs w:val="18"/>
          <w:lang w:val="en-US"/>
        </w:rPr>
        <w:t>p. S167.</w:t>
      </w:r>
    </w:p>
  </w:footnote>
  <w:footnote w:id="90">
    <w:p w14:paraId="7C265A3E"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Rig Veda, p. 83 (translator’s note).</w:t>
      </w:r>
    </w:p>
  </w:footnote>
  <w:footnote w:id="91">
    <w:p w14:paraId="6660E472" w14:textId="202092D6"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lang w:val="en-US"/>
        </w:rPr>
        <w:t xml:space="preserve"> Nirmala Kulkarni, ‘</w:t>
      </w:r>
      <w:r w:rsidRPr="00BD1F38">
        <w:rPr>
          <w:rFonts w:ascii="Times New Roman" w:hAnsi="Times New Roman" w:cs="Times New Roman"/>
          <w:i/>
          <w:iCs/>
          <w:sz w:val="18"/>
          <w:szCs w:val="18"/>
          <w:lang w:val="en-US"/>
        </w:rPr>
        <w:t>VĀK</w:t>
      </w:r>
      <w:r w:rsidRPr="00BD1F38">
        <w:rPr>
          <w:rFonts w:ascii="Times New Roman" w:hAnsi="Times New Roman" w:cs="Times New Roman"/>
          <w:sz w:val="18"/>
          <w:szCs w:val="18"/>
          <w:lang w:val="en-US"/>
        </w:rPr>
        <w:t xml:space="preserve"> IN THE VEDIC RITUAL AND RITUALS FOR </w:t>
      </w:r>
      <w:r w:rsidRPr="00BD1F38">
        <w:rPr>
          <w:rFonts w:ascii="Times New Roman" w:hAnsi="Times New Roman" w:cs="Times New Roman"/>
          <w:i/>
          <w:iCs/>
          <w:sz w:val="18"/>
          <w:szCs w:val="18"/>
          <w:lang w:val="en-US"/>
        </w:rPr>
        <w:t>VĀK</w:t>
      </w:r>
      <w:r w:rsidRPr="00BD1F38">
        <w:rPr>
          <w:rFonts w:ascii="Times New Roman" w:hAnsi="Times New Roman" w:cs="Times New Roman"/>
          <w:sz w:val="18"/>
          <w:szCs w:val="18"/>
          <w:lang w:val="en-US"/>
        </w:rPr>
        <w:t xml:space="preserve">’, in </w:t>
      </w:r>
      <w:r w:rsidRPr="00BD1F38">
        <w:rPr>
          <w:rFonts w:ascii="Times New Roman" w:hAnsi="Times New Roman" w:cs="Times New Roman"/>
          <w:i/>
          <w:iCs/>
          <w:sz w:val="18"/>
          <w:szCs w:val="18"/>
          <w:lang w:val="en-US"/>
        </w:rPr>
        <w:t>Annals of the Bhandarkar Oriental Research Institute</w:t>
      </w:r>
      <w:r w:rsidRPr="00BD1F38">
        <w:rPr>
          <w:rFonts w:ascii="Times New Roman" w:hAnsi="Times New Roman" w:cs="Times New Roman"/>
          <w:sz w:val="18"/>
          <w:szCs w:val="18"/>
          <w:lang w:val="en-US"/>
        </w:rPr>
        <w:t>, 97 (2016), pp. 89–96 (89) &lt;</w:t>
      </w:r>
      <w:hyperlink r:id="rId15" w:history="1">
        <w:r w:rsidRPr="00BD1F38">
          <w:rPr>
            <w:rFonts w:ascii="Times New Roman" w:hAnsi="Times New Roman" w:cs="Times New Roman"/>
            <w:color w:val="DCA10D"/>
            <w:sz w:val="18"/>
            <w:szCs w:val="18"/>
            <w:lang w:val="en-US"/>
          </w:rPr>
          <w:t>https://www.jstor.org/stable/48629583</w:t>
        </w:r>
      </w:hyperlink>
      <w:r w:rsidRPr="00BD1F38">
        <w:rPr>
          <w:rFonts w:ascii="Times New Roman" w:hAnsi="Times New Roman" w:cs="Times New Roman"/>
          <w:sz w:val="18"/>
          <w:szCs w:val="18"/>
          <w:lang w:val="en-US"/>
        </w:rPr>
        <w:t>&gt; [accessed 25 August 2024].</w:t>
      </w:r>
    </w:p>
  </w:footnote>
  <w:footnote w:id="92">
    <w:p w14:paraId="2E28E738"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Devajyoti Sarkar, </w:t>
      </w:r>
      <w:r w:rsidRPr="00BD1F38">
        <w:rPr>
          <w:rFonts w:ascii="Times New Roman" w:hAnsi="Times New Roman" w:cs="Times New Roman"/>
          <w:i/>
          <w:iCs/>
          <w:color w:val="0F1111"/>
          <w:sz w:val="18"/>
          <w:szCs w:val="18"/>
          <w:shd w:val="clear" w:color="auto" w:fill="FFFFFF"/>
        </w:rPr>
        <w:t>Rig Veda: A Digital Version of H. H. Wilson's Translation</w:t>
      </w:r>
      <w:r w:rsidRPr="00BD1F38">
        <w:rPr>
          <w:rFonts w:ascii="Times New Roman" w:hAnsi="Times New Roman" w:cs="Times New Roman"/>
          <w:color w:val="0F1111"/>
          <w:sz w:val="18"/>
          <w:szCs w:val="18"/>
          <w:shd w:val="clear" w:color="auto" w:fill="FFFFFF"/>
        </w:rPr>
        <w:t xml:space="preserve"> (Kindle Edition) (Vamra Vaikhanasa Publishing, 2022), </w:t>
      </w:r>
      <w:r w:rsidRPr="00BD1F38">
        <w:rPr>
          <w:rFonts w:ascii="Times New Roman" w:hAnsi="Times New Roman" w:cs="Times New Roman"/>
          <w:sz w:val="18"/>
          <w:szCs w:val="18"/>
        </w:rPr>
        <w:t>2.41.16.</w:t>
      </w:r>
    </w:p>
  </w:footnote>
  <w:footnote w:id="93">
    <w:p w14:paraId="723B2835"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Rig Veda, p. 81 (1.116.50).</w:t>
      </w:r>
    </w:p>
  </w:footnote>
  <w:footnote w:id="94">
    <w:p w14:paraId="6282636D" w14:textId="43BEBB5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McDonald</w:t>
      </w:r>
      <w:r w:rsidR="00B0550B" w:rsidRPr="00BD1F38">
        <w:rPr>
          <w:rFonts w:ascii="Times New Roman" w:hAnsi="Times New Roman" w:cs="Times New Roman"/>
          <w:sz w:val="18"/>
          <w:szCs w:val="18"/>
          <w:lang w:val="en-US"/>
        </w:rPr>
        <w:t>, ‘</w:t>
      </w:r>
      <w:r w:rsidR="00B0550B" w:rsidRPr="00BD1F38">
        <w:rPr>
          <w:rFonts w:ascii="Times New Roman" w:hAnsi="Times New Roman" w:cs="Times New Roman"/>
          <w:sz w:val="18"/>
          <w:szCs w:val="18"/>
        </w:rPr>
        <w:t>A Botanical Perspective on the Identity of Soma’.</w:t>
      </w:r>
    </w:p>
  </w:footnote>
  <w:footnote w:id="95">
    <w:p w14:paraId="3F2D3546"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Patterns In Comparative Religion</w:t>
      </w:r>
      <w:r w:rsidRPr="00BD1F38">
        <w:rPr>
          <w:rFonts w:ascii="Times New Roman" w:hAnsi="Times New Roman" w:cs="Times New Roman"/>
          <w:sz w:val="18"/>
          <w:szCs w:val="18"/>
        </w:rPr>
        <w:t>, p. 200.</w:t>
      </w:r>
    </w:p>
  </w:footnote>
  <w:footnote w:id="96">
    <w:p w14:paraId="44618EC1"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Patterns In Comparative Religion</w:t>
      </w:r>
      <w:r w:rsidRPr="00BD1F38">
        <w:rPr>
          <w:rFonts w:ascii="Times New Roman" w:hAnsi="Times New Roman" w:cs="Times New Roman"/>
          <w:sz w:val="18"/>
          <w:szCs w:val="18"/>
        </w:rPr>
        <w:t xml:space="preserve">, p. 200. </w:t>
      </w:r>
    </w:p>
  </w:footnote>
  <w:footnote w:id="97">
    <w:p w14:paraId="6DAE5129"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Eliade, </w:t>
      </w:r>
      <w:r w:rsidRPr="00BD1F38">
        <w:rPr>
          <w:rFonts w:ascii="Times New Roman" w:hAnsi="Times New Roman" w:cs="Times New Roman"/>
          <w:i/>
          <w:iCs/>
          <w:sz w:val="18"/>
          <w:szCs w:val="18"/>
          <w:lang w:val="en-US"/>
        </w:rPr>
        <w:t>The Sacred &amp; The Profane</w:t>
      </w:r>
      <w:r w:rsidRPr="00BD1F38">
        <w:rPr>
          <w:rFonts w:ascii="Times New Roman" w:hAnsi="Times New Roman" w:cs="Times New Roman"/>
          <w:sz w:val="18"/>
          <w:szCs w:val="18"/>
          <w:lang w:val="en-US"/>
        </w:rPr>
        <w:t xml:space="preserve">, p. 56, 183. </w:t>
      </w:r>
    </w:p>
  </w:footnote>
  <w:footnote w:id="98">
    <w:p w14:paraId="536C83EF"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Rana P. B. Singh, ‘WATER SYMBOLISM AND SACRED LANDSCAPE IN HINDUISM: A STUDY OF BENARES (VARANASI)’, </w:t>
      </w:r>
      <w:r w:rsidRPr="00BD1F38">
        <w:rPr>
          <w:rFonts w:ascii="Times New Roman" w:hAnsi="Times New Roman" w:cs="Times New Roman"/>
          <w:i/>
          <w:iCs/>
          <w:sz w:val="18"/>
          <w:szCs w:val="18"/>
        </w:rPr>
        <w:t>Erdkunde: Archive For Scientific Geography</w:t>
      </w:r>
      <w:r w:rsidRPr="00BD1F38">
        <w:rPr>
          <w:rFonts w:ascii="Times New Roman" w:hAnsi="Times New Roman" w:cs="Times New Roman"/>
          <w:sz w:val="18"/>
          <w:szCs w:val="18"/>
        </w:rPr>
        <w:t>, 48.3 (1994), pp. 210-227 (210) &lt;</w:t>
      </w:r>
      <w:hyperlink r:id="rId16" w:history="1">
        <w:r w:rsidRPr="00BD1F38">
          <w:rPr>
            <w:rFonts w:ascii="Times New Roman" w:hAnsi="Times New Roman" w:cs="Times New Roman"/>
            <w:color w:val="DCA10D"/>
            <w:sz w:val="18"/>
            <w:szCs w:val="18"/>
          </w:rPr>
          <w:t>https://www.jstor.org/stable/25646594</w:t>
        </w:r>
      </w:hyperlink>
      <w:r w:rsidRPr="00BD1F38">
        <w:rPr>
          <w:rFonts w:ascii="Times New Roman" w:hAnsi="Times New Roman" w:cs="Times New Roman"/>
          <w:sz w:val="18"/>
          <w:szCs w:val="18"/>
        </w:rPr>
        <w:t>&gt; [accessed 25 October 2024].</w:t>
      </w:r>
    </w:p>
  </w:footnote>
  <w:footnote w:id="99">
    <w:p w14:paraId="050E535A"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Radhakamal Mukerjee, ‘‘Rasas’ as Springs of Art in Indian Aesthetics’, </w:t>
      </w:r>
      <w:r w:rsidRPr="00BD1F38">
        <w:rPr>
          <w:rFonts w:ascii="Times New Roman" w:hAnsi="Times New Roman" w:cs="Times New Roman"/>
          <w:i/>
          <w:iCs/>
          <w:sz w:val="18"/>
          <w:szCs w:val="18"/>
          <w:lang w:val="en-US"/>
        </w:rPr>
        <w:t>The Journal of Aesthetics and Art Criticism</w:t>
      </w:r>
      <w:r w:rsidRPr="00BD1F38">
        <w:rPr>
          <w:rFonts w:ascii="Times New Roman" w:hAnsi="Times New Roman" w:cs="Times New Roman"/>
          <w:sz w:val="18"/>
          <w:szCs w:val="18"/>
          <w:lang w:val="en-US"/>
        </w:rPr>
        <w:t>, 24.1 (1965), pp. 91–96 (92) &lt;</w:t>
      </w:r>
      <w:hyperlink r:id="rId17" w:history="1">
        <w:r w:rsidRPr="00BD1F38">
          <w:rPr>
            <w:rFonts w:ascii="Times New Roman" w:hAnsi="Times New Roman" w:cs="Times New Roman"/>
            <w:color w:val="DCA10D"/>
            <w:sz w:val="18"/>
            <w:szCs w:val="18"/>
            <w:lang w:val="en-US"/>
          </w:rPr>
          <w:t>https://doi.org/10.2307/428251</w:t>
        </w:r>
      </w:hyperlink>
      <w:r w:rsidRPr="00BD1F38">
        <w:rPr>
          <w:rFonts w:ascii="Times New Roman" w:hAnsi="Times New Roman" w:cs="Times New Roman"/>
          <w:sz w:val="18"/>
          <w:szCs w:val="18"/>
          <w:lang w:val="en-US"/>
        </w:rPr>
        <w:t>&gt; [accessed 10 October 2024].</w:t>
      </w:r>
    </w:p>
  </w:footnote>
  <w:footnote w:id="100">
    <w:p w14:paraId="11A049E9"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Richard Schechner, ‘Rasaesthetics’, </w:t>
      </w:r>
      <w:r w:rsidRPr="00BD1F38">
        <w:rPr>
          <w:rFonts w:ascii="Times New Roman" w:hAnsi="Times New Roman" w:cs="Times New Roman"/>
          <w:i/>
          <w:iCs/>
          <w:sz w:val="18"/>
          <w:szCs w:val="18"/>
          <w:lang w:val="en-US"/>
        </w:rPr>
        <w:t>TDR (1988-)</w:t>
      </w:r>
      <w:r w:rsidRPr="00BD1F38">
        <w:rPr>
          <w:rFonts w:ascii="Times New Roman" w:hAnsi="Times New Roman" w:cs="Times New Roman"/>
          <w:sz w:val="18"/>
          <w:szCs w:val="18"/>
          <w:lang w:val="en-US"/>
        </w:rPr>
        <w:t xml:space="preserve">, 45.3 (2001), pp. 27–50 (32) </w:t>
      </w:r>
      <w:r w:rsidRPr="00BD1F38">
        <w:rPr>
          <w:rFonts w:ascii="Times New Roman" w:hAnsi="Times New Roman" w:cs="Times New Roman"/>
          <w:i/>
          <w:iCs/>
          <w:sz w:val="18"/>
          <w:szCs w:val="18"/>
          <w:lang w:val="en-US"/>
        </w:rPr>
        <w:t>&lt;</w:t>
      </w:r>
      <w:hyperlink r:id="rId18" w:history="1">
        <w:r w:rsidRPr="00BD1F38">
          <w:rPr>
            <w:rFonts w:ascii="Times New Roman" w:hAnsi="Times New Roman" w:cs="Times New Roman"/>
            <w:color w:val="DCA10D"/>
            <w:sz w:val="18"/>
            <w:szCs w:val="18"/>
            <w:lang w:val="en-US"/>
          </w:rPr>
          <w:t>http://www.jstor.org/stable/1146911</w:t>
        </w:r>
      </w:hyperlink>
      <w:r w:rsidRPr="00BD1F38">
        <w:rPr>
          <w:rFonts w:ascii="Times New Roman" w:hAnsi="Times New Roman" w:cs="Times New Roman"/>
          <w:sz w:val="18"/>
          <w:szCs w:val="18"/>
          <w:lang w:val="en-US"/>
        </w:rPr>
        <w:t>&gt; [accessed 10 October 2024].</w:t>
      </w:r>
    </w:p>
  </w:footnote>
  <w:footnote w:id="101">
    <w:p w14:paraId="4D403B8C"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Natya-Shastra.in, ‘Adbhuta Rasa: The Rasa of Wonder and Amazement’, 13 September 2024 &lt;</w:t>
      </w:r>
      <w:hyperlink r:id="rId19" w:history="1">
        <w:r w:rsidRPr="00BD1F38">
          <w:rPr>
            <w:rFonts w:ascii="Times New Roman" w:hAnsi="Times New Roman" w:cs="Times New Roman"/>
            <w:color w:val="DCA10D"/>
            <w:sz w:val="18"/>
            <w:szCs w:val="18"/>
            <w:lang w:val="en-US"/>
          </w:rPr>
          <w:t>https://natya-shastra.in/adbhuta-rasa-the-rasa-of-wonder-and-amazement/</w:t>
        </w:r>
      </w:hyperlink>
      <w:r w:rsidRPr="00BD1F38">
        <w:rPr>
          <w:rFonts w:ascii="Times New Roman" w:hAnsi="Times New Roman" w:cs="Times New Roman"/>
          <w:sz w:val="18"/>
          <w:szCs w:val="18"/>
          <w:lang w:val="en-US"/>
        </w:rPr>
        <w:t>&gt; [accessed 10 October 2024].</w:t>
      </w:r>
    </w:p>
  </w:footnote>
  <w:footnote w:id="102">
    <w:p w14:paraId="343943C6"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Adbhuta Rasa: The Rasa of Wonder and Amazement’.</w:t>
      </w:r>
    </w:p>
  </w:footnote>
  <w:footnote w:id="103">
    <w:p w14:paraId="13E9DB93" w14:textId="77777777" w:rsidR="0045403B" w:rsidRPr="00BD1F38" w:rsidRDefault="0045403B" w:rsidP="0045403B">
      <w:pPr>
        <w:autoSpaceDE w:val="0"/>
        <w:autoSpaceDN w:val="0"/>
        <w:adjustRightInd w:val="0"/>
        <w:rPr>
          <w:sz w:val="18"/>
          <w:szCs w:val="18"/>
          <w:lang w:val="en-US"/>
        </w:rPr>
      </w:pPr>
      <w:r w:rsidRPr="00BD1F38">
        <w:rPr>
          <w:rStyle w:val="FootnoteReference"/>
          <w:sz w:val="18"/>
          <w:szCs w:val="18"/>
        </w:rPr>
        <w:footnoteRef/>
      </w:r>
      <w:r w:rsidRPr="00BD1F38">
        <w:rPr>
          <w:sz w:val="18"/>
          <w:szCs w:val="18"/>
        </w:rPr>
        <w:t xml:space="preserve"> ‘</w:t>
      </w:r>
      <w:r w:rsidRPr="00BD1F38">
        <w:rPr>
          <w:rFonts w:eastAsiaTheme="minorEastAsia"/>
          <w:sz w:val="18"/>
          <w:szCs w:val="18"/>
          <w:lang w:val="en-US"/>
        </w:rPr>
        <w:t>Adbhuta Rasa: The Rasa of Wonder and Amazement’.</w:t>
      </w:r>
    </w:p>
  </w:footnote>
  <w:footnote w:id="104">
    <w:p w14:paraId="0D994550"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Adbhuta Rasa: The Rasa of Wonder and Amazement’.</w:t>
      </w:r>
    </w:p>
  </w:footnote>
  <w:footnote w:id="105">
    <w:p w14:paraId="4C04B64C" w14:textId="1D3B123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Rana P. B. Singh, </w:t>
      </w:r>
      <w:r w:rsidR="00EF09B7" w:rsidRPr="00BD1F38">
        <w:rPr>
          <w:rFonts w:ascii="Times New Roman" w:hAnsi="Times New Roman" w:cs="Times New Roman"/>
          <w:sz w:val="18"/>
          <w:szCs w:val="18"/>
          <w:lang w:val="en-US"/>
        </w:rPr>
        <w:t>‘</w:t>
      </w:r>
      <w:r w:rsidR="00EF09B7" w:rsidRPr="00BD1F38">
        <w:rPr>
          <w:rFonts w:ascii="Times New Roman" w:hAnsi="Times New Roman" w:cs="Times New Roman"/>
          <w:sz w:val="18"/>
          <w:szCs w:val="18"/>
        </w:rPr>
        <w:t>WATER SYMBOLISM AND SACRED LANDSCAPE IN HINDUISM’,</w:t>
      </w:r>
      <w:r w:rsidR="00EF09B7"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210.</w:t>
      </w:r>
    </w:p>
  </w:footnote>
  <w:footnote w:id="106">
    <w:p w14:paraId="6BD2703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xml:space="preserve">, p. 63. </w:t>
      </w:r>
    </w:p>
  </w:footnote>
  <w:footnote w:id="107">
    <w:p w14:paraId="032758A1"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Mircea Eliade, </w:t>
      </w:r>
      <w:r w:rsidRPr="00BD1F38">
        <w:rPr>
          <w:rFonts w:ascii="Times New Roman" w:hAnsi="Times New Roman" w:cs="Times New Roman"/>
          <w:i/>
          <w:iCs/>
          <w:sz w:val="18"/>
          <w:szCs w:val="18"/>
        </w:rPr>
        <w:t>A History of Religious Ideas Volume 2: From Gautama Buddha to the Triumph of Christianity</w:t>
      </w:r>
      <w:r w:rsidRPr="00BD1F38">
        <w:rPr>
          <w:rFonts w:ascii="Times New Roman" w:hAnsi="Times New Roman" w:cs="Times New Roman"/>
          <w:sz w:val="18"/>
          <w:szCs w:val="18"/>
        </w:rPr>
        <w:t>, 2</w:t>
      </w:r>
      <w:r w:rsidRPr="00BD1F38">
        <w:rPr>
          <w:rFonts w:ascii="Times New Roman" w:hAnsi="Times New Roman" w:cs="Times New Roman"/>
          <w:sz w:val="18"/>
          <w:szCs w:val="18"/>
          <w:vertAlign w:val="superscript"/>
        </w:rPr>
        <w:t>nd</w:t>
      </w:r>
      <w:r w:rsidRPr="00BD1F38">
        <w:rPr>
          <w:rFonts w:ascii="Times New Roman" w:hAnsi="Times New Roman" w:cs="Times New Roman"/>
          <w:sz w:val="18"/>
          <w:szCs w:val="18"/>
        </w:rPr>
        <w:t xml:space="preserve"> edn., translated by Willard R. Trask (Chicago: The University of Chicago Press, 1984), SECTION 140.</w:t>
      </w:r>
    </w:p>
  </w:footnote>
  <w:footnote w:id="108">
    <w:p w14:paraId="177FD4F5"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History of Religious Ideas Vol. 2</w:t>
      </w:r>
      <w:r w:rsidRPr="00BD1F38">
        <w:rPr>
          <w:rFonts w:ascii="Times New Roman" w:hAnsi="Times New Roman" w:cs="Times New Roman"/>
          <w:sz w:val="18"/>
          <w:szCs w:val="18"/>
        </w:rPr>
        <w:t>, SECTION 140.</w:t>
      </w:r>
    </w:p>
  </w:footnote>
  <w:footnote w:id="109">
    <w:p w14:paraId="1E1984E3"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Adbhuta Rasa: The Rasa of Wonder and Amazement’.</w:t>
      </w:r>
    </w:p>
  </w:footnote>
  <w:footnote w:id="110">
    <w:p w14:paraId="540BC6B0" w14:textId="6016DEA8"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Cooper et al.</w:t>
      </w:r>
      <w:r w:rsidR="00A950BE" w:rsidRPr="00BD1F38">
        <w:rPr>
          <w:rFonts w:ascii="Times New Roman" w:hAnsi="Times New Roman" w:cs="Times New Roman"/>
          <w:sz w:val="18"/>
          <w:szCs w:val="18"/>
          <w:lang w:val="en-US"/>
        </w:rPr>
        <w:t>, ‘Aesthetic and spiritual values of ecosystems’.</w:t>
      </w:r>
    </w:p>
  </w:footnote>
  <w:footnote w:id="111">
    <w:p w14:paraId="62D2400D" w14:textId="51988EE8"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346550"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157 (10.108.2).</w:t>
      </w:r>
    </w:p>
  </w:footnote>
  <w:footnote w:id="112">
    <w:p w14:paraId="36F02510"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Ramakrishna Pejathaya and Anagha Pradeep, ‘Sahṛdaya: A touchstone for creative imagination’, </w:t>
      </w:r>
      <w:r w:rsidRPr="00BD1F38">
        <w:rPr>
          <w:rFonts w:ascii="Times New Roman" w:hAnsi="Times New Roman" w:cs="Times New Roman"/>
          <w:i/>
          <w:iCs/>
          <w:sz w:val="18"/>
          <w:szCs w:val="18"/>
        </w:rPr>
        <w:t>International Journal of Sanskrit Research</w:t>
      </w:r>
      <w:r w:rsidRPr="00BD1F38">
        <w:rPr>
          <w:rFonts w:ascii="Times New Roman" w:hAnsi="Times New Roman" w:cs="Times New Roman"/>
          <w:sz w:val="18"/>
          <w:szCs w:val="18"/>
        </w:rPr>
        <w:t xml:space="preserve">, 7.5 (2021), p. 258-260 (258) &lt;DOI: </w:t>
      </w:r>
      <w:hyperlink r:id="rId20" w:history="1">
        <w:r w:rsidRPr="00BD1F38">
          <w:rPr>
            <w:rStyle w:val="Hyperlink"/>
            <w:rFonts w:ascii="Times New Roman" w:hAnsi="Times New Roman" w:cs="Times New Roman"/>
            <w:sz w:val="18"/>
            <w:szCs w:val="18"/>
          </w:rPr>
          <w:t>https://doi.org/10.22271/23947519.2021.v7.i5e.1511</w:t>
        </w:r>
      </w:hyperlink>
      <w:r w:rsidRPr="00BD1F38">
        <w:rPr>
          <w:rFonts w:ascii="Times New Roman" w:hAnsi="Times New Roman" w:cs="Times New Roman"/>
          <w:sz w:val="18"/>
          <w:szCs w:val="18"/>
        </w:rPr>
        <w:t>&gt;.</w:t>
      </w:r>
    </w:p>
  </w:footnote>
  <w:footnote w:id="113">
    <w:p w14:paraId="35CAB7B2"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Eliade, </w:t>
      </w:r>
      <w:r w:rsidRPr="00BD1F38">
        <w:rPr>
          <w:rFonts w:ascii="Times New Roman" w:hAnsi="Times New Roman" w:cs="Times New Roman"/>
          <w:i/>
          <w:iCs/>
          <w:sz w:val="18"/>
          <w:szCs w:val="18"/>
        </w:rPr>
        <w:t>History of Religious Ideas Vol. 2</w:t>
      </w:r>
      <w:r w:rsidRPr="00BD1F38">
        <w:rPr>
          <w:rFonts w:ascii="Times New Roman" w:hAnsi="Times New Roman" w:cs="Times New Roman"/>
          <w:sz w:val="18"/>
          <w:szCs w:val="18"/>
        </w:rPr>
        <w:t>, SECTION 140.</w:t>
      </w:r>
    </w:p>
  </w:footnote>
  <w:footnote w:id="114">
    <w:p w14:paraId="3CF5FC2F"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History of Religious Ideas Vol. 2</w:t>
      </w:r>
      <w:r w:rsidRPr="00BD1F38">
        <w:rPr>
          <w:rFonts w:ascii="Times New Roman" w:hAnsi="Times New Roman" w:cs="Times New Roman"/>
          <w:sz w:val="18"/>
          <w:szCs w:val="18"/>
        </w:rPr>
        <w:t>, SECTION 140.</w:t>
      </w:r>
    </w:p>
  </w:footnote>
  <w:footnote w:id="115">
    <w:p w14:paraId="43D86CB8"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Adbhuta Rasa: The Rasa of Wonder and Amazement’.</w:t>
      </w:r>
    </w:p>
  </w:footnote>
  <w:footnote w:id="116">
    <w:p w14:paraId="60CF99EC" w14:textId="589DCC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McDonald, </w:t>
      </w:r>
      <w:r w:rsidR="00BE7222" w:rsidRPr="00BD1F38">
        <w:rPr>
          <w:rFonts w:ascii="Times New Roman" w:hAnsi="Times New Roman" w:cs="Times New Roman"/>
          <w:sz w:val="18"/>
          <w:szCs w:val="18"/>
        </w:rPr>
        <w:t xml:space="preserve">‘A Botanical Perspective on the Identity of Soma’, </w:t>
      </w:r>
      <w:r w:rsidRPr="00BD1F38">
        <w:rPr>
          <w:rFonts w:ascii="Times New Roman" w:hAnsi="Times New Roman" w:cs="Times New Roman"/>
          <w:sz w:val="18"/>
          <w:szCs w:val="18"/>
        </w:rPr>
        <w:t>p. S149.</w:t>
      </w:r>
    </w:p>
  </w:footnote>
  <w:footnote w:id="117">
    <w:p w14:paraId="1750CCBA" w14:textId="2E0EB11C"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McDonald, </w:t>
      </w:r>
      <w:r w:rsidR="00BE7222" w:rsidRPr="00BD1F38">
        <w:rPr>
          <w:rFonts w:ascii="Times New Roman" w:hAnsi="Times New Roman" w:cs="Times New Roman"/>
          <w:sz w:val="18"/>
          <w:szCs w:val="18"/>
        </w:rPr>
        <w:t xml:space="preserve">‘A Botanical Perspective on the Identity of Soma’, </w:t>
      </w:r>
      <w:r w:rsidRPr="00BD1F38">
        <w:rPr>
          <w:rFonts w:ascii="Times New Roman" w:hAnsi="Times New Roman" w:cs="Times New Roman"/>
          <w:sz w:val="18"/>
          <w:szCs w:val="18"/>
        </w:rPr>
        <w:t>p. S148.</w:t>
      </w:r>
    </w:p>
  </w:footnote>
  <w:footnote w:id="118">
    <w:p w14:paraId="11CAB4D2" w14:textId="458DAC89"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McDonald, </w:t>
      </w:r>
      <w:r w:rsidR="00BE7222" w:rsidRPr="00BD1F38">
        <w:rPr>
          <w:rFonts w:ascii="Times New Roman" w:hAnsi="Times New Roman" w:cs="Times New Roman"/>
          <w:sz w:val="18"/>
          <w:szCs w:val="18"/>
          <w:lang w:val="en-US"/>
        </w:rPr>
        <w:t>‘</w:t>
      </w:r>
      <w:r w:rsidR="00BE7222" w:rsidRPr="00BD1F38">
        <w:rPr>
          <w:rFonts w:ascii="Times New Roman" w:hAnsi="Times New Roman" w:cs="Times New Roman"/>
          <w:sz w:val="18"/>
          <w:szCs w:val="18"/>
        </w:rPr>
        <w:t xml:space="preserve">A Botanical Perspective on the Identity of Soma’, </w:t>
      </w:r>
      <w:r w:rsidRPr="00BD1F38">
        <w:rPr>
          <w:rFonts w:ascii="Times New Roman" w:hAnsi="Times New Roman" w:cs="Times New Roman"/>
          <w:sz w:val="18"/>
          <w:szCs w:val="18"/>
          <w:lang w:val="en-US"/>
        </w:rPr>
        <w:t>p. S148.</w:t>
      </w:r>
    </w:p>
  </w:footnote>
  <w:footnote w:id="119">
    <w:p w14:paraId="28878713" w14:textId="0D261320"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A86AAC"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157 (</w:t>
      </w:r>
      <w:r w:rsidRPr="00BD1F38">
        <w:rPr>
          <w:rFonts w:ascii="Times New Roman" w:hAnsi="Times New Roman" w:cs="Times New Roman"/>
          <w:sz w:val="18"/>
          <w:szCs w:val="18"/>
          <w:lang w:val="en-US"/>
        </w:rPr>
        <w:t>10.108.2).</w:t>
      </w:r>
    </w:p>
  </w:footnote>
  <w:footnote w:id="120">
    <w:p w14:paraId="7255B2E0"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121">
    <w:p w14:paraId="5CBC2672" w14:textId="743ADAD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Pejathaya and Pradeep, </w:t>
      </w:r>
      <w:r w:rsidR="006F27D7" w:rsidRPr="00BD1F38">
        <w:rPr>
          <w:rFonts w:ascii="Times New Roman" w:hAnsi="Times New Roman" w:cs="Times New Roman"/>
          <w:sz w:val="18"/>
          <w:szCs w:val="18"/>
        </w:rPr>
        <w:t>‘Sahṛdaya</w:t>
      </w:r>
      <w:r w:rsidR="003D5CDE" w:rsidRPr="00BD1F38">
        <w:rPr>
          <w:rFonts w:ascii="Times New Roman" w:hAnsi="Times New Roman" w:cs="Times New Roman"/>
          <w:sz w:val="18"/>
          <w:szCs w:val="18"/>
        </w:rPr>
        <w:t>’</w:t>
      </w:r>
      <w:r w:rsidR="006F27D7" w:rsidRPr="00BD1F38">
        <w:rPr>
          <w:rFonts w:ascii="Times New Roman" w:hAnsi="Times New Roman" w:cs="Times New Roman"/>
          <w:sz w:val="18"/>
          <w:szCs w:val="18"/>
        </w:rPr>
        <w:t xml:space="preserve">, </w:t>
      </w:r>
      <w:r w:rsidRPr="00BD1F38">
        <w:rPr>
          <w:rFonts w:ascii="Times New Roman" w:hAnsi="Times New Roman" w:cs="Times New Roman"/>
          <w:sz w:val="18"/>
          <w:szCs w:val="18"/>
        </w:rPr>
        <w:t>p. 258.</w:t>
      </w:r>
    </w:p>
  </w:footnote>
  <w:footnote w:id="122">
    <w:p w14:paraId="391BD2FC"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w:t>
      </w:r>
      <w:r w:rsidRPr="00BD1F38">
        <w:rPr>
          <w:rFonts w:ascii="Times New Roman" w:hAnsi="Times New Roman" w:cs="Times New Roman"/>
          <w:i/>
          <w:iCs/>
          <w:sz w:val="18"/>
          <w:szCs w:val="18"/>
        </w:rPr>
        <w:t>, The Sacred &amp; The Profane</w:t>
      </w:r>
      <w:r w:rsidRPr="00BD1F38">
        <w:rPr>
          <w:rFonts w:ascii="Times New Roman" w:hAnsi="Times New Roman" w:cs="Times New Roman"/>
          <w:sz w:val="18"/>
          <w:szCs w:val="18"/>
        </w:rPr>
        <w:t xml:space="preserve">, p. 21. </w:t>
      </w:r>
    </w:p>
  </w:footnote>
  <w:footnote w:id="123">
    <w:p w14:paraId="7B79D2C7"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xml:space="preserve">, p. 21. </w:t>
      </w:r>
    </w:p>
  </w:footnote>
  <w:footnote w:id="124">
    <w:p w14:paraId="0B98163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21.</w:t>
      </w:r>
    </w:p>
  </w:footnote>
  <w:footnote w:id="125">
    <w:p w14:paraId="649890BF"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Patterns In Comparative Religion</w:t>
      </w:r>
      <w:r w:rsidRPr="00BD1F38">
        <w:rPr>
          <w:rFonts w:ascii="Times New Roman" w:hAnsi="Times New Roman" w:cs="Times New Roman"/>
          <w:sz w:val="18"/>
          <w:szCs w:val="18"/>
        </w:rPr>
        <w:t xml:space="preserve">, p. 200. </w:t>
      </w:r>
    </w:p>
  </w:footnote>
  <w:footnote w:id="126">
    <w:p w14:paraId="4BF5D0A5"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Mircea Eliade, </w:t>
      </w:r>
      <w:r w:rsidRPr="00BD1F38">
        <w:rPr>
          <w:rFonts w:ascii="Times New Roman" w:hAnsi="Times New Roman" w:cs="Times New Roman"/>
          <w:i/>
          <w:iCs/>
          <w:sz w:val="18"/>
          <w:szCs w:val="18"/>
        </w:rPr>
        <w:t xml:space="preserve">A History of Religious Ideas Vol. 2, </w:t>
      </w:r>
      <w:r w:rsidRPr="00BD1F38">
        <w:rPr>
          <w:rFonts w:ascii="Times New Roman" w:hAnsi="Times New Roman" w:cs="Times New Roman"/>
          <w:sz w:val="18"/>
          <w:szCs w:val="18"/>
        </w:rPr>
        <w:t xml:space="preserve">p. 240.  </w:t>
      </w:r>
    </w:p>
  </w:footnote>
  <w:footnote w:id="127">
    <w:p w14:paraId="30521AF1"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Rana P. B. Singh, ‘WATER SYMBOLISM AND SACRED LANDSCAPE IN HINDUISM: A STUDY OF BENARES (VARANASI)’, </w:t>
      </w:r>
      <w:r w:rsidRPr="00BD1F38">
        <w:rPr>
          <w:rFonts w:eastAsiaTheme="minorEastAsia"/>
          <w:i/>
          <w:iCs/>
          <w:sz w:val="18"/>
          <w:szCs w:val="18"/>
        </w:rPr>
        <w:t>Erdkunde: Archive For Scientific Geography</w:t>
      </w:r>
      <w:r w:rsidRPr="00BD1F38">
        <w:rPr>
          <w:rFonts w:eastAsiaTheme="minorEastAsia"/>
          <w:sz w:val="18"/>
          <w:szCs w:val="18"/>
        </w:rPr>
        <w:t>, 48.3 (1994), pp. 210-227 (210) &lt;</w:t>
      </w:r>
      <w:hyperlink r:id="rId21" w:history="1">
        <w:r w:rsidRPr="00BD1F38">
          <w:rPr>
            <w:rFonts w:eastAsiaTheme="minorEastAsia"/>
            <w:color w:val="DCA10D"/>
            <w:sz w:val="18"/>
            <w:szCs w:val="18"/>
          </w:rPr>
          <w:t>https://www.jstor.org/stable/25646594</w:t>
        </w:r>
      </w:hyperlink>
      <w:r w:rsidRPr="00BD1F38">
        <w:rPr>
          <w:rFonts w:eastAsiaTheme="minorEastAsia"/>
          <w:sz w:val="18"/>
          <w:szCs w:val="18"/>
        </w:rPr>
        <w:t>&gt; [accessed 25 October 2024].</w:t>
      </w:r>
    </w:p>
  </w:footnote>
  <w:footnote w:id="128">
    <w:p w14:paraId="58E05096" w14:textId="3271FBFD"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Singh, </w:t>
      </w:r>
      <w:r w:rsidR="005451D4" w:rsidRPr="00BD1F38">
        <w:rPr>
          <w:rFonts w:ascii="Times New Roman" w:hAnsi="Times New Roman" w:cs="Times New Roman"/>
          <w:sz w:val="18"/>
          <w:szCs w:val="18"/>
        </w:rPr>
        <w:t>‘WATER SYMBOLISM AND SACRED LANDSCAPE IN HINDUISM’,</w:t>
      </w:r>
      <w:r w:rsidR="005451D4"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 xml:space="preserve">p. 210. </w:t>
      </w:r>
    </w:p>
  </w:footnote>
  <w:footnote w:id="129">
    <w:p w14:paraId="30807DCF" w14:textId="46BD2EE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0D2956"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157 (10.108.2).</w:t>
      </w:r>
    </w:p>
  </w:footnote>
  <w:footnote w:id="130">
    <w:p w14:paraId="4C673694"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Exodus 24. 9-24. 10.</w:t>
      </w:r>
    </w:p>
  </w:footnote>
  <w:footnote w:id="131">
    <w:p w14:paraId="2EA5B770" w14:textId="3F7D9FD3"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0D2956"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xml:space="preserve">, p. 157 </w:t>
      </w:r>
      <w:r w:rsidRPr="00BD1F38">
        <w:rPr>
          <w:rFonts w:ascii="Times New Roman" w:hAnsi="Times New Roman" w:cs="Times New Roman"/>
          <w:sz w:val="18"/>
          <w:szCs w:val="18"/>
          <w:lang w:val="en-US"/>
        </w:rPr>
        <w:t>(10.108.2).</w:t>
      </w:r>
    </w:p>
  </w:footnote>
  <w:footnote w:id="132">
    <w:p w14:paraId="267B1E3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Exodus 24. 12.</w:t>
      </w:r>
    </w:p>
  </w:footnote>
  <w:footnote w:id="133">
    <w:p w14:paraId="5C42748D" w14:textId="2876B3E9"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Singh</w:t>
      </w:r>
      <w:r w:rsidRPr="00BD1F38">
        <w:rPr>
          <w:rFonts w:ascii="Times New Roman" w:hAnsi="Times New Roman" w:cs="Times New Roman"/>
          <w:sz w:val="18"/>
          <w:szCs w:val="18"/>
          <w:lang w:val="en-US"/>
        </w:rPr>
        <w:t>,</w:t>
      </w:r>
      <w:r w:rsidR="000D2956" w:rsidRPr="00BD1F38">
        <w:rPr>
          <w:rFonts w:ascii="Times New Roman" w:hAnsi="Times New Roman" w:cs="Times New Roman"/>
          <w:sz w:val="18"/>
          <w:szCs w:val="18"/>
        </w:rPr>
        <w:t xml:space="preserve"> ‘WATER SYMBOLISM AND SACRED LANDSCAPE IN HINDUISM’,</w:t>
      </w:r>
      <w:r w:rsidR="000D2956"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210.</w:t>
      </w:r>
    </w:p>
  </w:footnote>
  <w:footnote w:id="134">
    <w:p w14:paraId="7C7E1FE2" w14:textId="7711C30F"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Singh, </w:t>
      </w:r>
      <w:r w:rsidR="001F0C1F" w:rsidRPr="00BD1F38">
        <w:rPr>
          <w:rFonts w:ascii="Times New Roman" w:hAnsi="Times New Roman" w:cs="Times New Roman"/>
          <w:sz w:val="18"/>
          <w:szCs w:val="18"/>
        </w:rPr>
        <w:t>‘WATER SYMBOLISM AND SACRED LANDSCAPE IN HINDUISM’,</w:t>
      </w:r>
      <w:r w:rsidR="001F0C1F"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210.</w:t>
      </w:r>
    </w:p>
  </w:footnote>
  <w:footnote w:id="135">
    <w:p w14:paraId="0D9A1911"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lang w:val="en-US"/>
        </w:rPr>
        <w:t>Patterns In Comparative Religion</w:t>
      </w:r>
      <w:r w:rsidRPr="00BD1F38">
        <w:rPr>
          <w:rFonts w:ascii="Times New Roman" w:hAnsi="Times New Roman" w:cs="Times New Roman"/>
          <w:sz w:val="18"/>
          <w:szCs w:val="18"/>
          <w:lang w:val="en-US"/>
        </w:rPr>
        <w:t xml:space="preserve">, p. 200. </w:t>
      </w:r>
    </w:p>
  </w:footnote>
  <w:footnote w:id="136">
    <w:p w14:paraId="6BC04D4E"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Jung, </w:t>
      </w:r>
      <w:r w:rsidRPr="00BD1F38">
        <w:rPr>
          <w:rFonts w:ascii="Times New Roman" w:hAnsi="Times New Roman" w:cs="Times New Roman"/>
          <w:i/>
          <w:iCs/>
          <w:sz w:val="18"/>
          <w:szCs w:val="18"/>
          <w:lang w:val="en-US"/>
        </w:rPr>
        <w:t>The Symbolic Life</w:t>
      </w:r>
      <w:r w:rsidRPr="00BD1F38">
        <w:rPr>
          <w:rFonts w:ascii="Times New Roman" w:hAnsi="Times New Roman" w:cs="Times New Roman"/>
          <w:sz w:val="18"/>
          <w:szCs w:val="18"/>
          <w:lang w:val="en-US"/>
        </w:rPr>
        <w:t xml:space="preserve">, </w:t>
      </w:r>
      <w:r w:rsidRPr="00BD1F38">
        <w:rPr>
          <w:rFonts w:ascii="Times New Roman" w:hAnsi="Times New Roman" w:cs="Times New Roman"/>
          <w:color w:val="000000"/>
          <w:sz w:val="18"/>
          <w:szCs w:val="18"/>
        </w:rPr>
        <w:t>p. 30 (paragraph 20).</w:t>
      </w:r>
    </w:p>
  </w:footnote>
  <w:footnote w:id="137">
    <w:p w14:paraId="4B62A903" w14:textId="3708E373"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2D1AC1"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127 (4.58.8).</w:t>
      </w:r>
    </w:p>
  </w:footnote>
  <w:footnote w:id="138">
    <w:p w14:paraId="22FAC5B6" w14:textId="27168961"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Singh</w:t>
      </w:r>
      <w:r w:rsidRPr="00BD1F38">
        <w:rPr>
          <w:rFonts w:ascii="Times New Roman" w:hAnsi="Times New Roman" w:cs="Times New Roman"/>
          <w:i/>
          <w:iCs/>
          <w:sz w:val="18"/>
          <w:szCs w:val="18"/>
          <w:lang w:val="en-US"/>
        </w:rPr>
        <w:t>,</w:t>
      </w:r>
      <w:r w:rsidR="002D1AC1" w:rsidRPr="00BD1F38">
        <w:rPr>
          <w:rFonts w:ascii="Times New Roman" w:hAnsi="Times New Roman" w:cs="Times New Roman"/>
          <w:sz w:val="18"/>
          <w:szCs w:val="18"/>
        </w:rPr>
        <w:t xml:space="preserve"> ‘WATER SYMBOLISM AND SACRED LANDSCAPE IN HINDUISM’,</w:t>
      </w:r>
      <w:r w:rsidR="002D1AC1"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210.</w:t>
      </w:r>
    </w:p>
  </w:footnote>
  <w:footnote w:id="139">
    <w:p w14:paraId="097FA6FF" w14:textId="77777777" w:rsidR="0045403B" w:rsidRPr="00BD1F38" w:rsidRDefault="0045403B" w:rsidP="0045403B">
      <w:pPr>
        <w:rPr>
          <w:color w:val="000000"/>
          <w:sz w:val="18"/>
          <w:szCs w:val="18"/>
        </w:rPr>
      </w:pPr>
      <w:r w:rsidRPr="00BD1F38">
        <w:rPr>
          <w:rStyle w:val="FootnoteReference"/>
          <w:sz w:val="18"/>
          <w:szCs w:val="18"/>
        </w:rPr>
        <w:footnoteRef/>
      </w:r>
      <w:r w:rsidRPr="00BD1F38">
        <w:rPr>
          <w:sz w:val="18"/>
          <w:szCs w:val="18"/>
        </w:rPr>
        <w:t xml:space="preserve"> </w:t>
      </w:r>
      <w:r w:rsidRPr="00BD1F38">
        <w:rPr>
          <w:color w:val="000000"/>
          <w:sz w:val="18"/>
          <w:szCs w:val="18"/>
        </w:rPr>
        <w:t>Edwin Bernbaum, ‘Sacred Mountains: Themes and Teachings’,</w:t>
      </w:r>
      <w:r w:rsidRPr="00BD1F38">
        <w:rPr>
          <w:rStyle w:val="apple-converted-space"/>
          <w:color w:val="000000"/>
          <w:sz w:val="18"/>
          <w:szCs w:val="18"/>
        </w:rPr>
        <w:t> </w:t>
      </w:r>
      <w:r w:rsidRPr="00BD1F38">
        <w:rPr>
          <w:i/>
          <w:iCs/>
          <w:color w:val="000000"/>
          <w:sz w:val="18"/>
          <w:szCs w:val="18"/>
        </w:rPr>
        <w:t>Mountain Research and Development</w:t>
      </w:r>
      <w:r w:rsidRPr="00BD1F38">
        <w:rPr>
          <w:color w:val="000000"/>
          <w:sz w:val="18"/>
          <w:szCs w:val="18"/>
        </w:rPr>
        <w:t>, vol. 26.4 (2006), pp. 304–309 (304-305) &lt;</w:t>
      </w:r>
      <w:hyperlink r:id="rId22" w:history="1">
        <w:r w:rsidRPr="00BD1F38">
          <w:rPr>
            <w:rStyle w:val="Hyperlink"/>
            <w:sz w:val="18"/>
            <w:szCs w:val="18"/>
          </w:rPr>
          <w:t>http://www.jstor.org/stable/4540647</w:t>
        </w:r>
      </w:hyperlink>
      <w:r w:rsidRPr="00BD1F38">
        <w:rPr>
          <w:color w:val="000000"/>
          <w:sz w:val="18"/>
          <w:szCs w:val="18"/>
        </w:rPr>
        <w:t>&gt; [accessed 12 January 2025].</w:t>
      </w:r>
    </w:p>
  </w:footnote>
  <w:footnote w:id="140">
    <w:p w14:paraId="013629E1"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lang w:val="en-US"/>
        </w:rPr>
        <w:t>Patterns In Comparative Religion</w:t>
      </w:r>
      <w:r w:rsidRPr="00BD1F38">
        <w:rPr>
          <w:rFonts w:ascii="Times New Roman" w:hAnsi="Times New Roman" w:cs="Times New Roman"/>
          <w:sz w:val="18"/>
          <w:szCs w:val="18"/>
          <w:lang w:val="en-US"/>
        </w:rPr>
        <w:t>, p. 200.</w:t>
      </w:r>
    </w:p>
  </w:footnote>
  <w:footnote w:id="141">
    <w:p w14:paraId="15F15AC8" w14:textId="77777777" w:rsidR="0045403B" w:rsidRPr="00BD1F38" w:rsidRDefault="0045403B" w:rsidP="0045403B">
      <w:pPr>
        <w:autoSpaceDE w:val="0"/>
        <w:autoSpaceDN w:val="0"/>
        <w:adjustRightInd w:val="0"/>
        <w:rPr>
          <w:rFonts w:eastAsiaTheme="minorEastAsia"/>
          <w:sz w:val="18"/>
          <w:szCs w:val="18"/>
          <w:lang w:val="en-US"/>
        </w:rPr>
      </w:pPr>
      <w:r w:rsidRPr="00BD1F38">
        <w:rPr>
          <w:rStyle w:val="FootnoteReference"/>
          <w:sz w:val="18"/>
          <w:szCs w:val="18"/>
        </w:rPr>
        <w:footnoteRef/>
      </w:r>
      <w:r w:rsidRPr="00BD1F38">
        <w:rPr>
          <w:sz w:val="18"/>
          <w:szCs w:val="18"/>
        </w:rPr>
        <w:t xml:space="preserve"> </w:t>
      </w:r>
      <w:r w:rsidRPr="00BD1F38">
        <w:rPr>
          <w:rFonts w:eastAsiaTheme="minorEastAsia"/>
          <w:sz w:val="18"/>
          <w:szCs w:val="18"/>
          <w:lang w:val="en-US"/>
        </w:rPr>
        <w:t>Brhadcranyaka Upanisad 111.5.1; Chandogya Upanisad VIIJ.2.5 (Radhakrishnan 1992) c</w:t>
      </w:r>
      <w:r w:rsidRPr="00BD1F38">
        <w:rPr>
          <w:sz w:val="18"/>
          <w:szCs w:val="18"/>
          <w:lang w:val="en-US"/>
        </w:rPr>
        <w:t xml:space="preserve">ited by </w:t>
      </w:r>
      <w:r w:rsidRPr="00BD1F38">
        <w:rPr>
          <w:sz w:val="18"/>
          <w:szCs w:val="18"/>
        </w:rPr>
        <w:t>McDonald, p. S149.</w:t>
      </w:r>
    </w:p>
  </w:footnote>
  <w:footnote w:id="142">
    <w:p w14:paraId="67346D6B"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David Hume, </w:t>
      </w:r>
      <w:r w:rsidRPr="00BD1F38">
        <w:rPr>
          <w:rFonts w:ascii="Times New Roman" w:hAnsi="Times New Roman" w:cs="Times New Roman"/>
          <w:i/>
          <w:iCs/>
          <w:sz w:val="18"/>
          <w:szCs w:val="18"/>
          <w:lang w:val="en-US"/>
        </w:rPr>
        <w:t>The Natural History of Religion</w:t>
      </w:r>
      <w:r w:rsidRPr="00BD1F38">
        <w:rPr>
          <w:rFonts w:ascii="Times New Roman" w:hAnsi="Times New Roman" w:cs="Times New Roman"/>
          <w:sz w:val="18"/>
          <w:szCs w:val="18"/>
          <w:lang w:val="en-US"/>
        </w:rPr>
        <w:t xml:space="preserve">, reprint edition, ed. by H. E. Root (Stanford, California: Stanford University Press, 1957), p. 24. </w:t>
      </w:r>
    </w:p>
  </w:footnote>
  <w:footnote w:id="143">
    <w:p w14:paraId="61568124"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Edward C. Hayes, ‘The Evolution of Religion’, </w:t>
      </w:r>
      <w:r w:rsidRPr="00BD1F38">
        <w:rPr>
          <w:rFonts w:eastAsiaTheme="minorEastAsia"/>
          <w:i/>
          <w:iCs/>
          <w:sz w:val="18"/>
          <w:szCs w:val="18"/>
        </w:rPr>
        <w:t>American Journal of Sociology</w:t>
      </w:r>
      <w:r w:rsidRPr="00BD1F38">
        <w:rPr>
          <w:rFonts w:eastAsiaTheme="minorEastAsia"/>
          <w:sz w:val="18"/>
          <w:szCs w:val="18"/>
        </w:rPr>
        <w:t>, 21.1 (1915), pp. 45-64 (47)&lt;</w:t>
      </w:r>
      <w:hyperlink r:id="rId23" w:history="1">
        <w:r w:rsidRPr="00BD1F38">
          <w:rPr>
            <w:rStyle w:val="Hyperlink"/>
            <w:rFonts w:eastAsiaTheme="minorEastAsia"/>
            <w:sz w:val="18"/>
            <w:szCs w:val="18"/>
          </w:rPr>
          <w:t>https://www.jstor.org/stable/2763634</w:t>
        </w:r>
      </w:hyperlink>
      <w:r w:rsidRPr="00BD1F38">
        <w:rPr>
          <w:rFonts w:eastAsiaTheme="minorEastAsia"/>
          <w:sz w:val="18"/>
          <w:szCs w:val="18"/>
          <w:lang w:val="en-US"/>
        </w:rPr>
        <w:t xml:space="preserve">&gt; </w:t>
      </w:r>
      <w:r w:rsidRPr="00BD1F38">
        <w:rPr>
          <w:rFonts w:eastAsia="MS Gothic"/>
          <w:sz w:val="18"/>
          <w:szCs w:val="18"/>
        </w:rPr>
        <w:t>[</w:t>
      </w:r>
      <w:r w:rsidRPr="00BD1F38">
        <w:rPr>
          <w:rFonts w:eastAsiaTheme="minorEastAsia"/>
          <w:sz w:val="18"/>
          <w:szCs w:val="18"/>
        </w:rPr>
        <w:t>accessed: 10 October 2024].</w:t>
      </w:r>
    </w:p>
  </w:footnote>
  <w:footnote w:id="144">
    <w:p w14:paraId="4EA52D60" w14:textId="263D8154"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Hayes, </w:t>
      </w:r>
      <w:r w:rsidR="00223726" w:rsidRPr="00BD1F38">
        <w:rPr>
          <w:rFonts w:ascii="Times New Roman" w:hAnsi="Times New Roman" w:cs="Times New Roman"/>
          <w:sz w:val="18"/>
          <w:szCs w:val="18"/>
        </w:rPr>
        <w:t xml:space="preserve">‘The Evolution of Religion’, </w:t>
      </w:r>
      <w:r w:rsidRPr="00BD1F38">
        <w:rPr>
          <w:rFonts w:ascii="Times New Roman" w:hAnsi="Times New Roman" w:cs="Times New Roman"/>
          <w:sz w:val="18"/>
          <w:szCs w:val="18"/>
          <w:lang w:val="en-US"/>
        </w:rPr>
        <w:t>p. 47.</w:t>
      </w:r>
    </w:p>
  </w:footnote>
  <w:footnote w:id="145">
    <w:p w14:paraId="31CA99E9" w14:textId="2097432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Hayes, </w:t>
      </w:r>
      <w:r w:rsidR="00223726" w:rsidRPr="00BD1F38">
        <w:rPr>
          <w:rFonts w:ascii="Times New Roman" w:hAnsi="Times New Roman" w:cs="Times New Roman"/>
          <w:sz w:val="18"/>
          <w:szCs w:val="18"/>
        </w:rPr>
        <w:t xml:space="preserve">‘The Evolution of Religion’, </w:t>
      </w:r>
      <w:r w:rsidRPr="00BD1F38">
        <w:rPr>
          <w:rFonts w:ascii="Times New Roman" w:hAnsi="Times New Roman" w:cs="Times New Roman"/>
          <w:sz w:val="18"/>
          <w:szCs w:val="18"/>
          <w:lang w:val="en-US"/>
        </w:rPr>
        <w:t>p. 48.</w:t>
      </w:r>
    </w:p>
  </w:footnote>
  <w:footnote w:id="146">
    <w:p w14:paraId="447F57E9" w14:textId="4AABDA0F"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345A6F" w:rsidRPr="00BD1F38">
        <w:rPr>
          <w:rFonts w:ascii="Times New Roman" w:hAnsi="Times New Roman" w:cs="Times New Roman"/>
          <w:sz w:val="18"/>
          <w:szCs w:val="18"/>
        </w:rPr>
        <w:t>‘</w:t>
      </w:r>
      <w:r w:rsidRPr="00BD1F38">
        <w:rPr>
          <w:rFonts w:ascii="Times New Roman" w:hAnsi="Times New Roman" w:cs="Times New Roman"/>
          <w:sz w:val="18"/>
          <w:szCs w:val="18"/>
        </w:rPr>
        <w:t>Adbhuta Rasa: The Rasa of Wonder and Amazement’</w:t>
      </w:r>
    </w:p>
  </w:footnote>
  <w:footnote w:id="147">
    <w:p w14:paraId="645C5E6F"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Exodus 15. 25.</w:t>
      </w:r>
    </w:p>
  </w:footnote>
  <w:footnote w:id="148">
    <w:p w14:paraId="469FAB87" w14:textId="30D35EC6"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McDonald, </w:t>
      </w:r>
      <w:r w:rsidR="00304B6F" w:rsidRPr="00BD1F38">
        <w:rPr>
          <w:rFonts w:ascii="Times New Roman" w:hAnsi="Times New Roman" w:cs="Times New Roman"/>
          <w:sz w:val="18"/>
          <w:szCs w:val="18"/>
        </w:rPr>
        <w:t xml:space="preserve">‘A Botanical Perspective on the Identity of Soma’, </w:t>
      </w:r>
      <w:r w:rsidRPr="00BD1F38">
        <w:rPr>
          <w:rFonts w:ascii="Times New Roman" w:hAnsi="Times New Roman" w:cs="Times New Roman"/>
          <w:sz w:val="18"/>
          <w:szCs w:val="18"/>
        </w:rPr>
        <w:t xml:space="preserve">p. S149. </w:t>
      </w:r>
    </w:p>
  </w:footnote>
  <w:footnote w:id="149">
    <w:p w14:paraId="79FADB8A" w14:textId="253C4E0D" w:rsidR="00CC6448" w:rsidRPr="00BD1F38" w:rsidRDefault="00CC6448">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66276"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xml:space="preserve">, p. 125 </w:t>
      </w:r>
      <w:r w:rsidR="0031466B" w:rsidRPr="00BD1F38">
        <w:rPr>
          <w:rFonts w:ascii="Times New Roman" w:hAnsi="Times New Roman" w:cs="Times New Roman"/>
          <w:sz w:val="18"/>
          <w:szCs w:val="18"/>
        </w:rPr>
        <w:t>(</w:t>
      </w:r>
      <w:r w:rsidRPr="00BD1F38">
        <w:rPr>
          <w:rFonts w:ascii="Times New Roman" w:hAnsi="Times New Roman" w:cs="Times New Roman"/>
          <w:sz w:val="18"/>
          <w:szCs w:val="18"/>
        </w:rPr>
        <w:t>10.94.11</w:t>
      </w:r>
      <w:r w:rsidR="0031466B" w:rsidRPr="00BD1F38">
        <w:rPr>
          <w:rFonts w:ascii="Times New Roman" w:hAnsi="Times New Roman" w:cs="Times New Roman"/>
          <w:sz w:val="18"/>
          <w:szCs w:val="18"/>
        </w:rPr>
        <w:t>).</w:t>
      </w:r>
    </w:p>
  </w:footnote>
  <w:footnote w:id="150">
    <w:p w14:paraId="768446C3" w14:textId="3A79DA7D"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Hume, </w:t>
      </w:r>
      <w:r w:rsidR="00304B6F" w:rsidRPr="00BD1F38">
        <w:rPr>
          <w:rFonts w:ascii="Times New Roman" w:hAnsi="Times New Roman" w:cs="Times New Roman"/>
          <w:i/>
          <w:iCs/>
          <w:sz w:val="18"/>
          <w:szCs w:val="18"/>
          <w:lang w:val="en-US"/>
        </w:rPr>
        <w:t>The Natural History of Religion</w:t>
      </w:r>
      <w:r w:rsidR="00304B6F"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30-32.</w:t>
      </w:r>
    </w:p>
  </w:footnote>
  <w:footnote w:id="151">
    <w:p w14:paraId="4B9B962F"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Genesis 6. 13-6. 17.</w:t>
      </w:r>
    </w:p>
  </w:footnote>
  <w:footnote w:id="152">
    <w:p w14:paraId="2ADD5FEB" w14:textId="1BF707B8"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Rig Veda, </w:t>
      </w:r>
      <w:r w:rsidR="00A550F4" w:rsidRPr="00BD1F38">
        <w:rPr>
          <w:rFonts w:ascii="Times New Roman" w:hAnsi="Times New Roman" w:cs="Times New Roman"/>
          <w:sz w:val="18"/>
          <w:szCs w:val="18"/>
        </w:rPr>
        <w:t>p. 150 (</w:t>
      </w:r>
      <w:r w:rsidRPr="00BD1F38">
        <w:rPr>
          <w:rFonts w:ascii="Times New Roman" w:hAnsi="Times New Roman" w:cs="Times New Roman"/>
          <w:sz w:val="18"/>
          <w:szCs w:val="18"/>
        </w:rPr>
        <w:t>1.32.8-10</w:t>
      </w:r>
      <w:r w:rsidR="00A550F4" w:rsidRPr="00BD1F38">
        <w:rPr>
          <w:rFonts w:ascii="Times New Roman" w:hAnsi="Times New Roman" w:cs="Times New Roman"/>
          <w:sz w:val="18"/>
          <w:szCs w:val="18"/>
        </w:rPr>
        <w:t>)</w:t>
      </w:r>
      <w:r w:rsidRPr="00BD1F38">
        <w:rPr>
          <w:rFonts w:ascii="Times New Roman" w:hAnsi="Times New Roman" w:cs="Times New Roman"/>
          <w:sz w:val="18"/>
          <w:szCs w:val="18"/>
        </w:rPr>
        <w:t>.</w:t>
      </w:r>
    </w:p>
  </w:footnote>
  <w:footnote w:id="153">
    <w:p w14:paraId="09B581DB" w14:textId="736D0289"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Hume, </w:t>
      </w:r>
      <w:r w:rsidR="00304B6F" w:rsidRPr="00BD1F38">
        <w:rPr>
          <w:rFonts w:ascii="Times New Roman" w:hAnsi="Times New Roman" w:cs="Times New Roman"/>
          <w:i/>
          <w:iCs/>
          <w:sz w:val="18"/>
          <w:szCs w:val="18"/>
          <w:lang w:val="en-US"/>
        </w:rPr>
        <w:t>The Natural History of Religion</w:t>
      </w:r>
      <w:r w:rsidR="00304B6F"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30-32.</w:t>
      </w:r>
    </w:p>
  </w:footnote>
  <w:footnote w:id="154">
    <w:p w14:paraId="13436CFA" w14:textId="7FC2A82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Hume, </w:t>
      </w:r>
      <w:r w:rsidR="009512BD" w:rsidRPr="00BD1F38">
        <w:rPr>
          <w:rFonts w:ascii="Times New Roman" w:hAnsi="Times New Roman" w:cs="Times New Roman"/>
          <w:i/>
          <w:iCs/>
          <w:sz w:val="18"/>
          <w:szCs w:val="18"/>
          <w:lang w:val="en-US"/>
        </w:rPr>
        <w:t>The Natural History of Religion</w:t>
      </w:r>
      <w:r w:rsidR="009512BD"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30-32.</w:t>
      </w:r>
    </w:p>
  </w:footnote>
  <w:footnote w:id="155">
    <w:p w14:paraId="1CB87210" w14:textId="5B1F5E7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512BD"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150 (1.32.10).</w:t>
      </w:r>
    </w:p>
  </w:footnote>
  <w:footnote w:id="156">
    <w:p w14:paraId="6AFC8EFA"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Exodus 15. 26.</w:t>
      </w:r>
    </w:p>
  </w:footnote>
  <w:footnote w:id="157">
    <w:p w14:paraId="7605EB60" w14:textId="77777777" w:rsidR="0045403B" w:rsidRPr="00BD1F38" w:rsidRDefault="0045403B" w:rsidP="0045403B">
      <w:pPr>
        <w:autoSpaceDE w:val="0"/>
        <w:autoSpaceDN w:val="0"/>
        <w:adjustRightInd w:val="0"/>
        <w:rPr>
          <w:rFonts w:eastAsiaTheme="minorEastAsia"/>
          <w:sz w:val="18"/>
          <w:szCs w:val="18"/>
          <w:lang w:val="en-US"/>
        </w:rPr>
      </w:pPr>
      <w:r w:rsidRPr="00BD1F38">
        <w:rPr>
          <w:rStyle w:val="FootnoteReference"/>
          <w:sz w:val="18"/>
          <w:szCs w:val="18"/>
        </w:rPr>
        <w:footnoteRef/>
      </w:r>
      <w:r w:rsidRPr="00BD1F38">
        <w:rPr>
          <w:sz w:val="18"/>
          <w:szCs w:val="18"/>
        </w:rPr>
        <w:t xml:space="preserve"> </w:t>
      </w:r>
      <w:r w:rsidRPr="00BD1F38">
        <w:rPr>
          <w:rFonts w:eastAsiaTheme="minorEastAsia"/>
          <w:sz w:val="18"/>
          <w:szCs w:val="18"/>
          <w:lang w:val="en-US"/>
        </w:rPr>
        <w:t>Kenneth Hewitt, I</w:t>
      </w:r>
      <w:r w:rsidRPr="00BD1F38">
        <w:rPr>
          <w:rFonts w:eastAsiaTheme="minorEastAsia"/>
          <w:i/>
          <w:iCs/>
          <w:sz w:val="18"/>
          <w:szCs w:val="18"/>
          <w:lang w:val="en-US"/>
        </w:rPr>
        <w:t xml:space="preserve">nterpretations of Calamity: from the viewpoint of human ecology </w:t>
      </w:r>
      <w:r w:rsidRPr="00BD1F38">
        <w:rPr>
          <w:rFonts w:eastAsiaTheme="minorEastAsia"/>
          <w:sz w:val="18"/>
          <w:szCs w:val="18"/>
          <w:lang w:val="en-US"/>
        </w:rPr>
        <w:t xml:space="preserve">(Boston: Allen &amp; Unwin Inc., 1984), p. 13. </w:t>
      </w:r>
    </w:p>
  </w:footnote>
  <w:footnote w:id="158">
    <w:p w14:paraId="5C23CB11" w14:textId="59167C0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Hewitt, </w:t>
      </w:r>
      <w:r w:rsidR="009512BD" w:rsidRPr="00BD1F38">
        <w:rPr>
          <w:rFonts w:ascii="Times New Roman" w:hAnsi="Times New Roman" w:cs="Times New Roman"/>
          <w:sz w:val="18"/>
          <w:szCs w:val="18"/>
          <w:lang w:val="en-US"/>
        </w:rPr>
        <w:t>I</w:t>
      </w:r>
      <w:r w:rsidR="009512BD" w:rsidRPr="00BD1F38">
        <w:rPr>
          <w:rFonts w:ascii="Times New Roman" w:hAnsi="Times New Roman" w:cs="Times New Roman"/>
          <w:i/>
          <w:iCs/>
          <w:sz w:val="18"/>
          <w:szCs w:val="18"/>
          <w:lang w:val="en-US"/>
        </w:rPr>
        <w:t xml:space="preserve">nterpretations of Calamity, </w:t>
      </w:r>
      <w:r w:rsidRPr="00BD1F38">
        <w:rPr>
          <w:rFonts w:ascii="Times New Roman" w:hAnsi="Times New Roman" w:cs="Times New Roman"/>
          <w:sz w:val="18"/>
          <w:szCs w:val="18"/>
        </w:rPr>
        <w:t>p. 17.</w:t>
      </w:r>
    </w:p>
  </w:footnote>
  <w:footnote w:id="159">
    <w:p w14:paraId="64323B7E" w14:textId="788D07B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Hewitt, </w:t>
      </w:r>
      <w:r w:rsidR="009512BD" w:rsidRPr="00BD1F38">
        <w:rPr>
          <w:rFonts w:ascii="Times New Roman" w:hAnsi="Times New Roman" w:cs="Times New Roman"/>
          <w:sz w:val="18"/>
          <w:szCs w:val="18"/>
          <w:lang w:val="en-US"/>
        </w:rPr>
        <w:t>I</w:t>
      </w:r>
      <w:r w:rsidR="009512BD" w:rsidRPr="00BD1F38">
        <w:rPr>
          <w:rFonts w:ascii="Times New Roman" w:hAnsi="Times New Roman" w:cs="Times New Roman"/>
          <w:i/>
          <w:iCs/>
          <w:sz w:val="18"/>
          <w:szCs w:val="18"/>
          <w:lang w:val="en-US"/>
        </w:rPr>
        <w:t xml:space="preserve">nterpretations of Calamity, </w:t>
      </w:r>
      <w:r w:rsidRPr="00BD1F38">
        <w:rPr>
          <w:rFonts w:ascii="Times New Roman" w:hAnsi="Times New Roman" w:cs="Times New Roman"/>
          <w:sz w:val="18"/>
          <w:szCs w:val="18"/>
          <w:lang w:val="en-US"/>
        </w:rPr>
        <w:t>p. 17.</w:t>
      </w:r>
    </w:p>
  </w:footnote>
  <w:footnote w:id="160">
    <w:p w14:paraId="76213553" w14:textId="54DA5AFC"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Hewitt, </w:t>
      </w:r>
      <w:r w:rsidR="009512BD" w:rsidRPr="00BD1F38">
        <w:rPr>
          <w:rFonts w:ascii="Times New Roman" w:hAnsi="Times New Roman" w:cs="Times New Roman"/>
          <w:sz w:val="18"/>
          <w:szCs w:val="18"/>
          <w:lang w:val="en-US"/>
        </w:rPr>
        <w:t>I</w:t>
      </w:r>
      <w:r w:rsidR="009512BD" w:rsidRPr="00BD1F38">
        <w:rPr>
          <w:rFonts w:ascii="Times New Roman" w:hAnsi="Times New Roman" w:cs="Times New Roman"/>
          <w:i/>
          <w:iCs/>
          <w:sz w:val="18"/>
          <w:szCs w:val="18"/>
          <w:lang w:val="en-US"/>
        </w:rPr>
        <w:t xml:space="preserve">nterpretations of Calamity, </w:t>
      </w:r>
      <w:r w:rsidRPr="00BD1F38">
        <w:rPr>
          <w:rFonts w:ascii="Times New Roman" w:hAnsi="Times New Roman" w:cs="Times New Roman"/>
          <w:sz w:val="18"/>
          <w:szCs w:val="18"/>
          <w:lang w:val="en-US"/>
        </w:rPr>
        <w:t>p. 17.</w:t>
      </w:r>
    </w:p>
  </w:footnote>
  <w:footnote w:id="161">
    <w:p w14:paraId="7307A836"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Joshua C. Morganstein and Robert J. Ursano, ‘Ecological Disasters and Mental Health: Causes, Consequences, and Interventions’, </w:t>
      </w:r>
      <w:r w:rsidRPr="00BD1F38">
        <w:rPr>
          <w:i/>
          <w:iCs/>
          <w:sz w:val="18"/>
          <w:szCs w:val="18"/>
        </w:rPr>
        <w:t>frontiers in Psychiatry,</w:t>
      </w:r>
      <w:r w:rsidRPr="00BD1F38">
        <w:rPr>
          <w:sz w:val="18"/>
          <w:szCs w:val="18"/>
        </w:rPr>
        <w:t xml:space="preserve"> 11.1 (2020), pp. 1-15 (1) &lt;DOI: 10.3389/fpsyt.2020.00001&gt; [accessed 13 January 2025].</w:t>
      </w:r>
    </w:p>
  </w:footnote>
  <w:footnote w:id="162">
    <w:p w14:paraId="07CD1196"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134.</w:t>
      </w:r>
    </w:p>
  </w:footnote>
  <w:footnote w:id="163">
    <w:p w14:paraId="6128659B"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Genesis 7. 4-9. 29.</w:t>
      </w:r>
    </w:p>
  </w:footnote>
  <w:footnote w:id="164">
    <w:p w14:paraId="65CEDB66"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133-134.</w:t>
      </w:r>
    </w:p>
  </w:footnote>
  <w:footnote w:id="165">
    <w:p w14:paraId="4BC3CE11" w14:textId="77777777" w:rsidR="0045403B" w:rsidRPr="00BD1F38" w:rsidRDefault="0045403B" w:rsidP="0045403B">
      <w:pPr>
        <w:autoSpaceDE w:val="0"/>
        <w:autoSpaceDN w:val="0"/>
        <w:adjustRightInd w:val="0"/>
        <w:rPr>
          <w:sz w:val="18"/>
          <w:szCs w:val="18"/>
        </w:rPr>
      </w:pPr>
      <w:r w:rsidRPr="00BD1F38">
        <w:rPr>
          <w:rStyle w:val="FootnoteReference"/>
          <w:sz w:val="18"/>
          <w:szCs w:val="18"/>
        </w:rPr>
        <w:footnoteRef/>
      </w:r>
      <w:r w:rsidRPr="00BD1F38">
        <w:rPr>
          <w:sz w:val="18"/>
          <w:szCs w:val="18"/>
        </w:rPr>
        <w:t xml:space="preserve"> Adler, ‘On the Origins of Tevilah (Ritual Immersion)’.</w:t>
      </w:r>
    </w:p>
  </w:footnote>
  <w:footnote w:id="166">
    <w:p w14:paraId="31C53F3D"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134.</w:t>
      </w:r>
    </w:p>
  </w:footnote>
  <w:footnote w:id="167">
    <w:p w14:paraId="7717D190" w14:textId="495D4F34"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17544"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xml:space="preserve">. </w:t>
      </w:r>
    </w:p>
  </w:footnote>
  <w:footnote w:id="168">
    <w:p w14:paraId="67CF6950" w14:textId="2EA02D70"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Morganstein and Ursano, </w:t>
      </w:r>
      <w:r w:rsidR="00020293" w:rsidRPr="00BD1F38">
        <w:rPr>
          <w:rFonts w:ascii="Times New Roman" w:hAnsi="Times New Roman" w:cs="Times New Roman"/>
          <w:sz w:val="18"/>
          <w:szCs w:val="18"/>
        </w:rPr>
        <w:t xml:space="preserve">‘Ecological Disasters and Mental Health’, </w:t>
      </w:r>
      <w:r w:rsidRPr="00BD1F38">
        <w:rPr>
          <w:rFonts w:ascii="Times New Roman" w:hAnsi="Times New Roman" w:cs="Times New Roman"/>
          <w:sz w:val="18"/>
          <w:szCs w:val="18"/>
        </w:rPr>
        <w:t>p. 1.</w:t>
      </w:r>
    </w:p>
  </w:footnote>
  <w:footnote w:id="169">
    <w:p w14:paraId="1B080066"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Lynn White cited by Mary Evelyn Tucker, and John A. Grim, ‘Introduction: The Emerging Alliance of World Religions and Ecology’, </w:t>
      </w:r>
      <w:r w:rsidRPr="00BD1F38">
        <w:rPr>
          <w:rFonts w:ascii="Times New Roman" w:hAnsi="Times New Roman" w:cs="Times New Roman"/>
          <w:i/>
          <w:iCs/>
          <w:sz w:val="18"/>
          <w:szCs w:val="18"/>
        </w:rPr>
        <w:t>Daedalus,</w:t>
      </w:r>
      <w:r w:rsidRPr="00BD1F38">
        <w:rPr>
          <w:rFonts w:ascii="Times New Roman" w:hAnsi="Times New Roman" w:cs="Times New Roman"/>
          <w:sz w:val="18"/>
          <w:szCs w:val="18"/>
        </w:rPr>
        <w:t xml:space="preserve"> 130.4 Religion and Ecology: Can the Climate Change? (2001) pp. 1-22 (4) &lt;</w:t>
      </w:r>
      <w:hyperlink r:id="rId24" w:history="1">
        <w:r w:rsidRPr="00BD1F38">
          <w:rPr>
            <w:rStyle w:val="Hyperlink"/>
            <w:rFonts w:ascii="Times New Roman" w:hAnsi="Times New Roman" w:cs="Times New Roman"/>
            <w:sz w:val="18"/>
            <w:szCs w:val="18"/>
          </w:rPr>
          <w:t>https://www.jstor.org/stable/20027715</w:t>
        </w:r>
      </w:hyperlink>
      <w:r w:rsidRPr="00BD1F38">
        <w:rPr>
          <w:rFonts w:ascii="Times New Roman" w:hAnsi="Times New Roman" w:cs="Times New Roman"/>
          <w:sz w:val="18"/>
          <w:szCs w:val="18"/>
        </w:rPr>
        <w:t>&gt; [accessed 10 January 2025].</w:t>
      </w:r>
    </w:p>
  </w:footnote>
  <w:footnote w:id="170">
    <w:p w14:paraId="1D0416D5" w14:textId="14141AF4"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Hewitt, </w:t>
      </w:r>
      <w:r w:rsidR="006712D6" w:rsidRPr="00BD1F38">
        <w:rPr>
          <w:rFonts w:ascii="Times New Roman" w:hAnsi="Times New Roman" w:cs="Times New Roman"/>
          <w:sz w:val="18"/>
          <w:szCs w:val="18"/>
          <w:lang w:val="en-US"/>
        </w:rPr>
        <w:t>I</w:t>
      </w:r>
      <w:r w:rsidR="006712D6" w:rsidRPr="00BD1F38">
        <w:rPr>
          <w:rFonts w:ascii="Times New Roman" w:hAnsi="Times New Roman" w:cs="Times New Roman"/>
          <w:i/>
          <w:iCs/>
          <w:sz w:val="18"/>
          <w:szCs w:val="18"/>
          <w:lang w:val="en-US"/>
        </w:rPr>
        <w:t>nterpretations of Calamit</w:t>
      </w:r>
      <w:r w:rsidR="00CF02E3" w:rsidRPr="00BD1F38">
        <w:rPr>
          <w:rFonts w:ascii="Times New Roman" w:hAnsi="Times New Roman" w:cs="Times New Roman"/>
          <w:i/>
          <w:iCs/>
          <w:sz w:val="18"/>
          <w:szCs w:val="18"/>
          <w:lang w:val="en-US"/>
        </w:rPr>
        <w:t>y</w:t>
      </w:r>
      <w:r w:rsidR="006712D6" w:rsidRPr="00BD1F38">
        <w:rPr>
          <w:rFonts w:ascii="Times New Roman" w:hAnsi="Times New Roman" w:cs="Times New Roman"/>
          <w:i/>
          <w:iCs/>
          <w:sz w:val="18"/>
          <w:szCs w:val="18"/>
          <w:lang w:val="en-US"/>
        </w:rPr>
        <w:t xml:space="preserve">, </w:t>
      </w:r>
      <w:r w:rsidRPr="00BD1F38">
        <w:rPr>
          <w:rFonts w:ascii="Times New Roman" w:hAnsi="Times New Roman" w:cs="Times New Roman"/>
          <w:sz w:val="18"/>
          <w:szCs w:val="18"/>
          <w:lang w:val="en-US"/>
        </w:rPr>
        <w:t>p. 17.</w:t>
      </w:r>
    </w:p>
  </w:footnote>
  <w:footnote w:id="171">
    <w:p w14:paraId="40ECB1AF" w14:textId="62A8B151"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Tucker and Grim, </w:t>
      </w:r>
      <w:r w:rsidR="002B6389" w:rsidRPr="00BD1F38">
        <w:rPr>
          <w:rFonts w:ascii="Times New Roman" w:hAnsi="Times New Roman" w:cs="Times New Roman"/>
          <w:sz w:val="18"/>
          <w:szCs w:val="18"/>
        </w:rPr>
        <w:t xml:space="preserve">‘Introduction: The Emerging Alliance of World Religions and Ecology’, </w:t>
      </w:r>
      <w:r w:rsidRPr="00BD1F38">
        <w:rPr>
          <w:rFonts w:ascii="Times New Roman" w:hAnsi="Times New Roman" w:cs="Times New Roman"/>
          <w:sz w:val="18"/>
          <w:szCs w:val="18"/>
          <w:lang w:val="en-US"/>
        </w:rPr>
        <w:t>p. 4.</w:t>
      </w:r>
    </w:p>
  </w:footnote>
  <w:footnote w:id="172">
    <w:p w14:paraId="53696B47"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Joshua 24. 14. </w:t>
      </w:r>
    </w:p>
  </w:footnote>
  <w:footnote w:id="173">
    <w:p w14:paraId="0E45616E"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Robert Ficociello, </w:t>
      </w:r>
      <w:r w:rsidRPr="00BD1F38">
        <w:rPr>
          <w:rFonts w:ascii="Times New Roman" w:hAnsi="Times New Roman" w:cs="Times New Roman"/>
          <w:i/>
          <w:iCs/>
          <w:sz w:val="18"/>
          <w:szCs w:val="18"/>
        </w:rPr>
        <w:t>Eco Culture: Disaster, Narrative, Discourse</w:t>
      </w:r>
      <w:r w:rsidRPr="00BD1F38">
        <w:rPr>
          <w:rFonts w:ascii="Times New Roman" w:hAnsi="Times New Roman" w:cs="Times New Roman"/>
          <w:sz w:val="18"/>
          <w:szCs w:val="18"/>
        </w:rPr>
        <w:t xml:space="preserve"> (Maryland: Rowman &amp; Littlefield: Lexington Books Series: Ecocritical Theory and Practice, 2017).</w:t>
      </w:r>
    </w:p>
  </w:footnote>
  <w:footnote w:id="174">
    <w:p w14:paraId="16B77C40" w14:textId="4A4DDC7F"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Hewitt, I</w:t>
      </w:r>
      <w:r w:rsidRPr="00BD1F38">
        <w:rPr>
          <w:rFonts w:ascii="Times New Roman" w:hAnsi="Times New Roman" w:cs="Times New Roman"/>
          <w:i/>
          <w:iCs/>
          <w:sz w:val="18"/>
          <w:szCs w:val="18"/>
          <w:lang w:val="en-US"/>
        </w:rPr>
        <w:t>nterpretations of Calamity</w:t>
      </w:r>
      <w:r w:rsidR="00F57C2A" w:rsidRPr="00BD1F38">
        <w:rPr>
          <w:rFonts w:ascii="Times New Roman" w:hAnsi="Times New Roman" w:cs="Times New Roman"/>
          <w:i/>
          <w:iCs/>
          <w:sz w:val="18"/>
          <w:szCs w:val="18"/>
          <w:lang w:val="en-US"/>
        </w:rPr>
        <w:t>.</w:t>
      </w:r>
    </w:p>
  </w:footnote>
  <w:footnote w:id="175">
    <w:p w14:paraId="18265B13"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Marshall Sahlins, </w:t>
      </w:r>
      <w:r w:rsidRPr="00BD1F38">
        <w:rPr>
          <w:rFonts w:eastAsiaTheme="minorEastAsia"/>
          <w:i/>
          <w:iCs/>
          <w:sz w:val="18"/>
          <w:szCs w:val="18"/>
        </w:rPr>
        <w:t>Historical Metaphors and Mythical Realities</w:t>
      </w:r>
      <w:r w:rsidRPr="00BD1F38">
        <w:rPr>
          <w:rFonts w:eastAsiaTheme="minorEastAsia"/>
          <w:sz w:val="18"/>
          <w:szCs w:val="18"/>
        </w:rPr>
        <w:t xml:space="preserve">, (Ann Arbor, MI: University of Michigan Press, 1981), </w:t>
      </w:r>
      <w:r w:rsidRPr="00BD1F38">
        <w:rPr>
          <w:sz w:val="18"/>
          <w:szCs w:val="18"/>
        </w:rPr>
        <w:t>p. 6-7.</w:t>
      </w:r>
    </w:p>
  </w:footnote>
  <w:footnote w:id="176">
    <w:p w14:paraId="1280A7BF" w14:textId="5E2C6A31"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Tucker and Grim, </w:t>
      </w:r>
      <w:r w:rsidR="00016E8C" w:rsidRPr="00BD1F38">
        <w:rPr>
          <w:rFonts w:ascii="Times New Roman" w:hAnsi="Times New Roman" w:cs="Times New Roman"/>
          <w:sz w:val="18"/>
          <w:szCs w:val="18"/>
        </w:rPr>
        <w:t xml:space="preserve">‘Introduction: The Emerging Alliance of World Religions and Ecology’, </w:t>
      </w:r>
      <w:r w:rsidRPr="00BD1F38">
        <w:rPr>
          <w:rFonts w:ascii="Times New Roman" w:hAnsi="Times New Roman" w:cs="Times New Roman"/>
          <w:sz w:val="18"/>
          <w:szCs w:val="18"/>
          <w:lang w:val="en-US"/>
        </w:rPr>
        <w:t>p. 4.</w:t>
      </w:r>
    </w:p>
  </w:footnote>
  <w:footnote w:id="177">
    <w:p w14:paraId="6CAFF492" w14:textId="65B6AA1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Tucker and Grim, </w:t>
      </w:r>
      <w:r w:rsidR="00016E8C" w:rsidRPr="00BD1F38">
        <w:rPr>
          <w:rFonts w:ascii="Times New Roman" w:hAnsi="Times New Roman" w:cs="Times New Roman"/>
          <w:sz w:val="18"/>
          <w:szCs w:val="18"/>
        </w:rPr>
        <w:t xml:space="preserve">‘Introduction: The Emerging Alliance of World Religions and Ecology’, </w:t>
      </w:r>
      <w:r w:rsidRPr="00BD1F38">
        <w:rPr>
          <w:rFonts w:ascii="Times New Roman" w:hAnsi="Times New Roman" w:cs="Times New Roman"/>
          <w:sz w:val="18"/>
          <w:szCs w:val="18"/>
        </w:rPr>
        <w:t>p. 4.</w:t>
      </w:r>
    </w:p>
  </w:footnote>
  <w:footnote w:id="178">
    <w:p w14:paraId="354668FF" w14:textId="76527D51"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E11A7D"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74 (1.164.45).</w:t>
      </w:r>
    </w:p>
  </w:footnote>
  <w:footnote w:id="179">
    <w:p w14:paraId="6936BE19" w14:textId="39A204D1"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bookmarkStart w:id="2" w:name="OLE_LINK1"/>
      <w:bookmarkStart w:id="3" w:name="OLE_LINK2"/>
      <w:r w:rsidRPr="00BD1F38">
        <w:rPr>
          <w:rFonts w:ascii="Times New Roman" w:hAnsi="Times New Roman" w:cs="Times New Roman"/>
          <w:sz w:val="18"/>
          <w:szCs w:val="18"/>
        </w:rPr>
        <w:t xml:space="preserve">Morganstein and Ursano, </w:t>
      </w:r>
      <w:r w:rsidR="00805511" w:rsidRPr="00BD1F38">
        <w:rPr>
          <w:rFonts w:ascii="Times New Roman" w:hAnsi="Times New Roman" w:cs="Times New Roman"/>
          <w:sz w:val="18"/>
          <w:szCs w:val="18"/>
        </w:rPr>
        <w:t xml:space="preserve">‘Ecological Disasters and Mental Health’, </w:t>
      </w:r>
      <w:r w:rsidRPr="00BD1F38">
        <w:rPr>
          <w:rFonts w:ascii="Times New Roman" w:hAnsi="Times New Roman" w:cs="Times New Roman"/>
          <w:sz w:val="18"/>
          <w:szCs w:val="18"/>
        </w:rPr>
        <w:t>p. 6.</w:t>
      </w:r>
      <w:bookmarkEnd w:id="2"/>
      <w:bookmarkEnd w:id="3"/>
    </w:p>
  </w:footnote>
  <w:footnote w:id="180">
    <w:p w14:paraId="7427BF83" w14:textId="6CCAD23E"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Stokowski, </w:t>
      </w:r>
      <w:r w:rsidR="00EB3A68" w:rsidRPr="00BD1F38">
        <w:rPr>
          <w:rFonts w:ascii="Times New Roman" w:hAnsi="Times New Roman" w:cs="Times New Roman"/>
          <w:sz w:val="18"/>
          <w:szCs w:val="18"/>
        </w:rPr>
        <w:t xml:space="preserve">‘Symbolic Aspects of Water’, </w:t>
      </w:r>
      <w:r w:rsidRPr="00BD1F38">
        <w:rPr>
          <w:rFonts w:ascii="Times New Roman" w:hAnsi="Times New Roman" w:cs="Times New Roman"/>
          <w:sz w:val="18"/>
          <w:szCs w:val="18"/>
        </w:rPr>
        <w:t>p. 19.</w:t>
      </w:r>
    </w:p>
  </w:footnote>
  <w:footnote w:id="181">
    <w:p w14:paraId="33EAFD27"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Marieke Mur, Mirjam Meys, Jerzy Bodurka, Rainer Goebel, Peter A. Bandettini, Nikolaus Kriegerskorte, ’Human object-similarity judgments reflect and transcend the primate-IT object representation’, in </w:t>
      </w:r>
      <w:r w:rsidRPr="00BD1F38">
        <w:rPr>
          <w:rFonts w:ascii="Times New Roman" w:hAnsi="Times New Roman" w:cs="Times New Roman"/>
          <w:i/>
          <w:iCs/>
          <w:sz w:val="18"/>
          <w:szCs w:val="18"/>
          <w:lang w:val="en-US"/>
        </w:rPr>
        <w:t>Frontiers In Psychology</w:t>
      </w:r>
      <w:r w:rsidRPr="00BD1F38">
        <w:rPr>
          <w:rFonts w:ascii="Times New Roman" w:hAnsi="Times New Roman" w:cs="Times New Roman"/>
          <w:sz w:val="18"/>
          <w:szCs w:val="18"/>
          <w:lang w:val="en-US"/>
        </w:rPr>
        <w:t>,</w:t>
      </w:r>
      <w:r w:rsidRPr="00BD1F38">
        <w:rPr>
          <w:rFonts w:ascii="Times New Roman" w:hAnsi="Times New Roman" w:cs="Times New Roman"/>
          <w:b/>
          <w:bCs/>
          <w:sz w:val="18"/>
          <w:szCs w:val="18"/>
          <w:u w:val="single"/>
          <w:lang w:val="en-US"/>
        </w:rPr>
        <w:t xml:space="preserve"> </w:t>
      </w:r>
      <w:r w:rsidRPr="00BD1F38">
        <w:rPr>
          <w:rFonts w:ascii="Times New Roman" w:hAnsi="Times New Roman" w:cs="Times New Roman"/>
          <w:sz w:val="18"/>
          <w:szCs w:val="18"/>
          <w:lang w:val="en-US"/>
        </w:rPr>
        <w:t>4.128, ed. by Michael J. Tarr &lt;</w:t>
      </w:r>
      <w:hyperlink r:id="rId25" w:history="1">
        <w:r w:rsidRPr="00BD1F38">
          <w:rPr>
            <w:rFonts w:ascii="Times New Roman" w:hAnsi="Times New Roman" w:cs="Times New Roman"/>
            <w:color w:val="DCA10D"/>
            <w:sz w:val="18"/>
            <w:szCs w:val="18"/>
            <w:lang w:val="en-US"/>
          </w:rPr>
          <w:t>https://pmc.ncbi.nlm.nih.gov/articles/PMC3605517/</w:t>
        </w:r>
      </w:hyperlink>
      <w:r w:rsidRPr="00BD1F38">
        <w:rPr>
          <w:rFonts w:ascii="Times New Roman" w:hAnsi="Times New Roman" w:cs="Times New Roman"/>
          <w:sz w:val="18"/>
          <w:szCs w:val="18"/>
          <w:lang w:val="en-US"/>
        </w:rPr>
        <w:t>&gt; [accessed 02 October 2024].</w:t>
      </w:r>
    </w:p>
  </w:footnote>
  <w:footnote w:id="182">
    <w:p w14:paraId="58FE7EAF"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15.</w:t>
      </w:r>
    </w:p>
  </w:footnote>
  <w:footnote w:id="183">
    <w:p w14:paraId="364EDE49"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Alessandra DeVito, ‘Why We’re Drawn to People Who Are Similar to Us’, </w:t>
      </w:r>
      <w:r w:rsidRPr="00BD1F38">
        <w:rPr>
          <w:rFonts w:ascii="Times New Roman" w:hAnsi="Times New Roman" w:cs="Times New Roman"/>
          <w:i/>
          <w:iCs/>
          <w:sz w:val="18"/>
          <w:szCs w:val="18"/>
          <w:lang w:val="en-US"/>
        </w:rPr>
        <w:t>Applied Social Psychology (ASP) blog</w:t>
      </w:r>
      <w:r w:rsidRPr="00BD1F38">
        <w:rPr>
          <w:rFonts w:ascii="Times New Roman" w:hAnsi="Times New Roman" w:cs="Times New Roman"/>
          <w:sz w:val="18"/>
          <w:szCs w:val="18"/>
          <w:lang w:val="en-US"/>
        </w:rPr>
        <w:t>, 2024. &lt;</w:t>
      </w:r>
      <w:hyperlink r:id="rId26" w:history="1">
        <w:r w:rsidRPr="00BD1F38">
          <w:rPr>
            <w:rFonts w:ascii="Times New Roman" w:hAnsi="Times New Roman" w:cs="Times New Roman"/>
            <w:color w:val="DCA10D"/>
            <w:sz w:val="18"/>
            <w:szCs w:val="18"/>
            <w:lang w:val="en-US"/>
          </w:rPr>
          <w:t>https://sites.psu.edu/aspsy/2024/04/05/why-were-drawn-to-people-who-are-similar-to-us/</w:t>
        </w:r>
      </w:hyperlink>
      <w:r w:rsidRPr="00BD1F38">
        <w:rPr>
          <w:rFonts w:ascii="Times New Roman" w:hAnsi="Times New Roman" w:cs="Times New Roman"/>
          <w:sz w:val="18"/>
          <w:szCs w:val="18"/>
          <w:lang w:val="en-US"/>
        </w:rPr>
        <w:t>&gt;.</w:t>
      </w:r>
    </w:p>
  </w:footnote>
  <w:footnote w:id="184">
    <w:p w14:paraId="0AB260C7" w14:textId="540A49EA"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DeVito</w:t>
      </w:r>
      <w:r w:rsidR="00A956FE" w:rsidRPr="00BD1F38">
        <w:rPr>
          <w:rFonts w:ascii="Times New Roman" w:hAnsi="Times New Roman" w:cs="Times New Roman"/>
          <w:sz w:val="18"/>
          <w:szCs w:val="18"/>
        </w:rPr>
        <w:t>, ‘Why We’re Drawn to People Who Are Similar to Us’.</w:t>
      </w:r>
    </w:p>
  </w:footnote>
  <w:footnote w:id="185">
    <w:p w14:paraId="783765FE"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Anthony Giddens, </w:t>
      </w:r>
      <w:r w:rsidRPr="00BD1F38">
        <w:rPr>
          <w:rFonts w:ascii="Times New Roman" w:hAnsi="Times New Roman" w:cs="Times New Roman"/>
          <w:i/>
          <w:iCs/>
          <w:sz w:val="18"/>
          <w:szCs w:val="18"/>
        </w:rPr>
        <w:t>The Constitution of Society: Outline of the Theory of Structuration</w:t>
      </w:r>
      <w:r w:rsidRPr="00BD1F38">
        <w:rPr>
          <w:rFonts w:ascii="Times New Roman" w:hAnsi="Times New Roman" w:cs="Times New Roman"/>
          <w:sz w:val="18"/>
          <w:szCs w:val="18"/>
        </w:rPr>
        <w:t xml:space="preserve"> (Cambridge: Polity Press, 1984), p. 28.</w:t>
      </w:r>
    </w:p>
  </w:footnote>
  <w:footnote w:id="186">
    <w:p w14:paraId="0050A7DB" w14:textId="28A82CB3"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Bachelard cited by Stokowski, </w:t>
      </w:r>
      <w:r w:rsidR="00CD6791" w:rsidRPr="00BD1F38">
        <w:rPr>
          <w:rFonts w:ascii="Times New Roman" w:hAnsi="Times New Roman" w:cs="Times New Roman"/>
          <w:sz w:val="18"/>
          <w:szCs w:val="18"/>
        </w:rPr>
        <w:t xml:space="preserve">‘Symbolic Aspects of Water’, </w:t>
      </w:r>
      <w:r w:rsidRPr="00BD1F38">
        <w:rPr>
          <w:rFonts w:ascii="Times New Roman" w:hAnsi="Times New Roman" w:cs="Times New Roman"/>
          <w:sz w:val="18"/>
          <w:szCs w:val="18"/>
          <w:lang w:val="en-US"/>
        </w:rPr>
        <w:t>p. 19.</w:t>
      </w:r>
    </w:p>
  </w:footnote>
  <w:footnote w:id="187">
    <w:p w14:paraId="3144234C" w14:textId="78C16BA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637F37"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28 (10.121.7).</w:t>
      </w:r>
    </w:p>
  </w:footnote>
  <w:footnote w:id="188">
    <w:p w14:paraId="1E0AF0EE" w14:textId="11A7CD2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637F37"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28 (10.121.8).</w:t>
      </w:r>
    </w:p>
  </w:footnote>
  <w:footnote w:id="189">
    <w:p w14:paraId="24C9A5EA"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color w:val="000000" w:themeColor="text1"/>
          <w:sz w:val="18"/>
          <w:szCs w:val="18"/>
          <w:lang w:val="en-US"/>
        </w:rPr>
        <w:t>Ginsburg, p. 224.</w:t>
      </w:r>
    </w:p>
  </w:footnote>
  <w:footnote w:id="190">
    <w:p w14:paraId="66EED879"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Ronny Reich, ‘Archaeological Evidence of the Jewish Population at Hasmonean Gezer’, </w:t>
      </w:r>
      <w:r w:rsidRPr="00BD1F38">
        <w:rPr>
          <w:i/>
          <w:iCs/>
          <w:sz w:val="18"/>
          <w:szCs w:val="18"/>
        </w:rPr>
        <w:t>Israel Exploration Journal</w:t>
      </w:r>
      <w:r w:rsidRPr="00BD1F38">
        <w:rPr>
          <w:sz w:val="18"/>
          <w:szCs w:val="18"/>
        </w:rPr>
        <w:t>, 31 (1981), pp. 48-52.</w:t>
      </w:r>
    </w:p>
  </w:footnote>
  <w:footnote w:id="191">
    <w:p w14:paraId="73F38B52"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color w:val="000000" w:themeColor="text1"/>
          <w:sz w:val="18"/>
          <w:szCs w:val="18"/>
        </w:rPr>
        <w:t xml:space="preserve">Genesis 1. 27. </w:t>
      </w:r>
    </w:p>
  </w:footnote>
  <w:footnote w:id="192">
    <w:p w14:paraId="6134C22C" w14:textId="4A01447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637F37"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79 (1.164.30).</w:t>
      </w:r>
    </w:p>
  </w:footnote>
  <w:footnote w:id="193">
    <w:p w14:paraId="4009F5B7" w14:textId="2C918224"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Stokowski</w:t>
      </w:r>
      <w:r w:rsidR="00637F37" w:rsidRPr="00BD1F38">
        <w:rPr>
          <w:rFonts w:ascii="Times New Roman" w:hAnsi="Times New Roman" w:cs="Times New Roman"/>
          <w:sz w:val="18"/>
          <w:szCs w:val="18"/>
        </w:rPr>
        <w:t>, ‘Symbolic Aspects of Water’,</w:t>
      </w:r>
      <w:r w:rsidRPr="00BD1F38">
        <w:rPr>
          <w:rFonts w:ascii="Times New Roman" w:hAnsi="Times New Roman" w:cs="Times New Roman"/>
          <w:sz w:val="18"/>
          <w:szCs w:val="18"/>
        </w:rPr>
        <w:t xml:space="preserve"> p. 19.</w:t>
      </w:r>
    </w:p>
  </w:footnote>
  <w:footnote w:id="194">
    <w:p w14:paraId="59243E41"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Genesis 1. 2. </w:t>
      </w:r>
    </w:p>
  </w:footnote>
  <w:footnote w:id="195">
    <w:p w14:paraId="5E75161C"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color w:val="000000" w:themeColor="text1"/>
          <w:sz w:val="18"/>
          <w:szCs w:val="18"/>
        </w:rPr>
        <w:t xml:space="preserve">Genesis 1. 27. </w:t>
      </w:r>
    </w:p>
  </w:footnote>
  <w:footnote w:id="196">
    <w:p w14:paraId="4CDE097C" w14:textId="77777777" w:rsidR="0045403B" w:rsidRPr="00BD1F38" w:rsidRDefault="0045403B" w:rsidP="0045403B">
      <w:pPr>
        <w:rPr>
          <w:color w:val="000000"/>
          <w:sz w:val="18"/>
          <w:szCs w:val="18"/>
        </w:rPr>
      </w:pPr>
      <w:r w:rsidRPr="00BD1F38">
        <w:rPr>
          <w:rStyle w:val="FootnoteReference"/>
          <w:sz w:val="18"/>
          <w:szCs w:val="18"/>
        </w:rPr>
        <w:footnoteRef/>
      </w:r>
      <w:r w:rsidRPr="00BD1F38">
        <w:rPr>
          <w:color w:val="000000"/>
          <w:sz w:val="18"/>
          <w:szCs w:val="18"/>
        </w:rPr>
        <w:t xml:space="preserve"> Francesca Matteoni, ‘The Jew, the Blood and the Body in Late Medieval and Early Modern Europe’, </w:t>
      </w:r>
      <w:r w:rsidRPr="00BD1F38">
        <w:rPr>
          <w:i/>
          <w:iCs/>
          <w:color w:val="000000"/>
          <w:sz w:val="18"/>
          <w:szCs w:val="18"/>
        </w:rPr>
        <w:t>Folklore</w:t>
      </w:r>
      <w:r w:rsidRPr="00BD1F38">
        <w:rPr>
          <w:color w:val="000000"/>
          <w:sz w:val="18"/>
          <w:szCs w:val="18"/>
        </w:rPr>
        <w:t>, vol. 119, no. 2, 2008, pp. 182–200 (187) &lt;</w:t>
      </w:r>
      <w:hyperlink r:id="rId27" w:history="1">
        <w:r w:rsidRPr="00BD1F38">
          <w:rPr>
            <w:rStyle w:val="Hyperlink"/>
            <w:sz w:val="18"/>
            <w:szCs w:val="18"/>
          </w:rPr>
          <w:t>http://www.jstor.org/stable/40646449</w:t>
        </w:r>
      </w:hyperlink>
      <w:r w:rsidRPr="00BD1F38">
        <w:rPr>
          <w:color w:val="000000"/>
          <w:sz w:val="18"/>
          <w:szCs w:val="18"/>
        </w:rPr>
        <w:t>&gt;  [accessed 8th November 2024].</w:t>
      </w:r>
    </w:p>
  </w:footnote>
  <w:footnote w:id="197">
    <w:p w14:paraId="7D1EC7AA"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Exodus 7. 17-7. 18.</w:t>
      </w:r>
    </w:p>
  </w:footnote>
  <w:footnote w:id="198">
    <w:p w14:paraId="20DEBAFF" w14:textId="7D1BE973"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Matteoni, </w:t>
      </w:r>
      <w:r w:rsidR="00112F5B" w:rsidRPr="00BD1F38">
        <w:rPr>
          <w:rFonts w:ascii="Times New Roman" w:hAnsi="Times New Roman" w:cs="Times New Roman"/>
          <w:color w:val="000000"/>
          <w:sz w:val="18"/>
          <w:szCs w:val="18"/>
        </w:rPr>
        <w:t xml:space="preserve">, ‘The Jew, the Blood and the Body in Late Medieval and Early Modern Europe’, </w:t>
      </w:r>
      <w:r w:rsidRPr="00BD1F38">
        <w:rPr>
          <w:rFonts w:ascii="Times New Roman" w:hAnsi="Times New Roman" w:cs="Times New Roman"/>
          <w:sz w:val="18"/>
          <w:szCs w:val="18"/>
        </w:rPr>
        <w:t>p. 183, 184, 195.</w:t>
      </w:r>
    </w:p>
  </w:footnote>
  <w:footnote w:id="199">
    <w:p w14:paraId="1BB89464" w14:textId="77777777" w:rsidR="0045403B" w:rsidRPr="00BD1F38" w:rsidRDefault="0045403B" w:rsidP="0045403B">
      <w:pPr>
        <w:autoSpaceDE w:val="0"/>
        <w:autoSpaceDN w:val="0"/>
        <w:adjustRightInd w:val="0"/>
        <w:rPr>
          <w:rFonts w:eastAsiaTheme="minorEastAsia"/>
          <w:sz w:val="18"/>
          <w:szCs w:val="18"/>
          <w:lang w:val="en-US"/>
        </w:rPr>
      </w:pPr>
      <w:r w:rsidRPr="00BD1F38">
        <w:rPr>
          <w:rStyle w:val="FootnoteReference"/>
          <w:sz w:val="18"/>
          <w:szCs w:val="18"/>
        </w:rPr>
        <w:footnoteRef/>
      </w:r>
      <w:r w:rsidRPr="00BD1F38">
        <w:rPr>
          <w:sz w:val="18"/>
          <w:szCs w:val="18"/>
        </w:rPr>
        <w:t xml:space="preserve"> Nigel </w:t>
      </w:r>
      <w:r w:rsidRPr="00BD1F38">
        <w:rPr>
          <w:rFonts w:eastAsiaTheme="minorEastAsia"/>
          <w:sz w:val="18"/>
          <w:szCs w:val="18"/>
        </w:rPr>
        <w:t xml:space="preserve">Cooper, Emily Brady, Helen Steen, Rosalind Bryce, </w:t>
      </w:r>
      <w:r w:rsidRPr="00BD1F38">
        <w:rPr>
          <w:rFonts w:eastAsiaTheme="minorEastAsia"/>
          <w:sz w:val="18"/>
          <w:szCs w:val="18"/>
          <w:lang w:val="en-US"/>
        </w:rPr>
        <w:t xml:space="preserve">‘Aesthetic and spiritual values of ecosystems: Recognising the ontological and axiological plurality of cultural ecosystem ‘services’ ’, </w:t>
      </w:r>
      <w:r w:rsidRPr="00BD1F38">
        <w:rPr>
          <w:rFonts w:eastAsiaTheme="minorEastAsia"/>
          <w:i/>
          <w:iCs/>
          <w:sz w:val="18"/>
          <w:szCs w:val="18"/>
          <w:lang w:val="en-US"/>
        </w:rPr>
        <w:t>Ecosystem Services</w:t>
      </w:r>
      <w:r w:rsidRPr="00BD1F38">
        <w:rPr>
          <w:rFonts w:eastAsiaTheme="minorEastAsia"/>
          <w:sz w:val="18"/>
          <w:szCs w:val="18"/>
          <w:lang w:val="en-US"/>
        </w:rPr>
        <w:t>, 21 Part B (2016), pp. 218-229, &lt;</w:t>
      </w:r>
      <w:hyperlink r:id="rId28" w:history="1">
        <w:r w:rsidRPr="00BD1F38">
          <w:rPr>
            <w:rStyle w:val="Hyperlink"/>
            <w:rFonts w:eastAsiaTheme="minorEastAsia"/>
            <w:sz w:val="18"/>
            <w:szCs w:val="18"/>
            <w:lang w:val="en-US"/>
          </w:rPr>
          <w:t>https://www.sciencedirect.com/science/article/pii/S2212041616301942</w:t>
        </w:r>
      </w:hyperlink>
      <w:r w:rsidRPr="00BD1F38">
        <w:rPr>
          <w:rFonts w:eastAsiaTheme="minorEastAsia"/>
          <w:sz w:val="18"/>
          <w:szCs w:val="18"/>
          <w:lang w:val="en-US"/>
        </w:rPr>
        <w:t xml:space="preserve">&gt; [accessed 17 January 2025]. </w:t>
      </w:r>
    </w:p>
  </w:footnote>
  <w:footnote w:id="200">
    <w:p w14:paraId="13218C4F" w14:textId="0116218C"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Leopold cited by Cooper et al.</w:t>
      </w:r>
      <w:r w:rsidR="001C4A6A" w:rsidRPr="00BD1F38">
        <w:rPr>
          <w:rFonts w:ascii="Times New Roman" w:hAnsi="Times New Roman" w:cs="Times New Roman"/>
          <w:sz w:val="18"/>
          <w:szCs w:val="18"/>
        </w:rPr>
        <w:t xml:space="preserve">, </w:t>
      </w:r>
      <w:r w:rsidR="001C4A6A" w:rsidRPr="00BD1F38">
        <w:rPr>
          <w:rFonts w:ascii="Times New Roman" w:hAnsi="Times New Roman" w:cs="Times New Roman"/>
          <w:sz w:val="18"/>
          <w:szCs w:val="18"/>
          <w:lang w:val="en-US"/>
        </w:rPr>
        <w:t>‘Aesthetic and spiritual values of ecosystems’.</w:t>
      </w:r>
      <w:r w:rsidR="001C4A6A" w:rsidRPr="00BD1F38">
        <w:rPr>
          <w:rFonts w:ascii="Times New Roman" w:hAnsi="Times New Roman" w:cs="Times New Roman"/>
          <w:sz w:val="18"/>
          <w:szCs w:val="18"/>
        </w:rPr>
        <w:t xml:space="preserve"> </w:t>
      </w:r>
    </w:p>
  </w:footnote>
  <w:footnote w:id="201">
    <w:p w14:paraId="09106D39" w14:textId="3F59DE80" w:rsidR="0045403B" w:rsidRPr="00BD1F38" w:rsidRDefault="0045403B" w:rsidP="0045403B">
      <w:pPr>
        <w:autoSpaceDE w:val="0"/>
        <w:autoSpaceDN w:val="0"/>
        <w:adjustRightInd w:val="0"/>
        <w:rPr>
          <w:rFonts w:eastAsiaTheme="minorEastAsia"/>
          <w:sz w:val="18"/>
          <w:szCs w:val="18"/>
          <w:lang w:val="en-US"/>
        </w:rPr>
      </w:pPr>
      <w:r w:rsidRPr="00BD1F38">
        <w:rPr>
          <w:rStyle w:val="FootnoteReference"/>
          <w:sz w:val="18"/>
          <w:szCs w:val="18"/>
        </w:rPr>
        <w:footnoteRef/>
      </w:r>
      <w:r w:rsidRPr="00BD1F38">
        <w:rPr>
          <w:sz w:val="18"/>
          <w:szCs w:val="18"/>
        </w:rPr>
        <w:t xml:space="preserve"> Cooper et al.</w:t>
      </w:r>
      <w:r w:rsidR="001C4A6A" w:rsidRPr="00BD1F38">
        <w:rPr>
          <w:sz w:val="18"/>
          <w:szCs w:val="18"/>
        </w:rPr>
        <w:t xml:space="preserve">, </w:t>
      </w:r>
      <w:r w:rsidR="001C4A6A" w:rsidRPr="00BD1F38">
        <w:rPr>
          <w:rFonts w:eastAsiaTheme="minorEastAsia"/>
          <w:sz w:val="18"/>
          <w:szCs w:val="18"/>
          <w:lang w:val="en-US"/>
        </w:rPr>
        <w:t>‘Aesthetic and spiritual values of ecosystems’.</w:t>
      </w:r>
      <w:r w:rsidRPr="00BD1F38">
        <w:rPr>
          <w:sz w:val="18"/>
          <w:szCs w:val="18"/>
        </w:rPr>
        <w:t xml:space="preserve"> </w:t>
      </w:r>
      <w:r w:rsidRPr="00BD1F38">
        <w:rPr>
          <w:rFonts w:eastAsiaTheme="minorEastAsia"/>
          <w:sz w:val="18"/>
          <w:szCs w:val="18"/>
          <w:lang w:val="en-US"/>
        </w:rPr>
        <w:t xml:space="preserve"> </w:t>
      </w:r>
    </w:p>
  </w:footnote>
  <w:footnote w:id="202">
    <w:p w14:paraId="563AD1DD" w14:textId="3F0188F4"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A History of Religious Ideas Volume 2, </w:t>
      </w:r>
      <w:r w:rsidR="000E6006" w:rsidRPr="00BD1F38">
        <w:rPr>
          <w:rFonts w:ascii="Times New Roman" w:hAnsi="Times New Roman" w:cs="Times New Roman"/>
          <w:sz w:val="18"/>
          <w:szCs w:val="18"/>
        </w:rPr>
        <w:t>SECTI</w:t>
      </w:r>
      <w:r w:rsidR="00D6301F" w:rsidRPr="00BD1F38">
        <w:rPr>
          <w:rFonts w:ascii="Times New Roman" w:hAnsi="Times New Roman" w:cs="Times New Roman"/>
          <w:sz w:val="18"/>
          <w:szCs w:val="18"/>
        </w:rPr>
        <w:t>O</w:t>
      </w:r>
      <w:r w:rsidR="000E6006" w:rsidRPr="00BD1F38">
        <w:rPr>
          <w:rFonts w:ascii="Times New Roman" w:hAnsi="Times New Roman" w:cs="Times New Roman"/>
          <w:sz w:val="18"/>
          <w:szCs w:val="18"/>
        </w:rPr>
        <w:t>N 1</w:t>
      </w:r>
      <w:r w:rsidRPr="00BD1F38">
        <w:rPr>
          <w:rFonts w:ascii="Times New Roman" w:hAnsi="Times New Roman" w:cs="Times New Roman"/>
          <w:sz w:val="18"/>
          <w:szCs w:val="18"/>
        </w:rPr>
        <w:t xml:space="preserve">40.  </w:t>
      </w:r>
    </w:p>
  </w:footnote>
  <w:footnote w:id="203">
    <w:p w14:paraId="2991E0EE"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Exodus 15. 26.</w:t>
      </w:r>
    </w:p>
  </w:footnote>
  <w:footnote w:id="204">
    <w:p w14:paraId="5C6ED58A"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Roesler, </w:t>
      </w:r>
      <w:r w:rsidRPr="00BD1F38">
        <w:rPr>
          <w:rFonts w:ascii="Times New Roman" w:hAnsi="Times New Roman" w:cs="Times New Roman"/>
          <w:i/>
          <w:iCs/>
          <w:sz w:val="18"/>
          <w:szCs w:val="18"/>
          <w:lang w:val="en-US"/>
        </w:rPr>
        <w:t>Development of a Reconceptualization of Archetype Theory</w:t>
      </w:r>
      <w:r w:rsidRPr="00BD1F38">
        <w:rPr>
          <w:rFonts w:ascii="Times New Roman" w:hAnsi="Times New Roman" w:cs="Times New Roman"/>
          <w:sz w:val="18"/>
          <w:szCs w:val="18"/>
          <w:lang w:val="en-US"/>
        </w:rPr>
        <w:t>, p. 243.</w:t>
      </w:r>
    </w:p>
  </w:footnote>
  <w:footnote w:id="205">
    <w:p w14:paraId="2302E920" w14:textId="2749357A"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Pejathaya and Pradeep, </w:t>
      </w:r>
      <w:r w:rsidR="00CF67DA" w:rsidRPr="00BD1F38">
        <w:rPr>
          <w:rFonts w:ascii="Times New Roman" w:hAnsi="Times New Roman" w:cs="Times New Roman"/>
          <w:sz w:val="18"/>
          <w:szCs w:val="18"/>
        </w:rPr>
        <w:t xml:space="preserve">‘Sahṛdaya’, </w:t>
      </w:r>
      <w:r w:rsidRPr="00BD1F38">
        <w:rPr>
          <w:rFonts w:ascii="Times New Roman" w:hAnsi="Times New Roman" w:cs="Times New Roman"/>
          <w:sz w:val="18"/>
          <w:szCs w:val="18"/>
        </w:rPr>
        <w:t>p. 258.</w:t>
      </w:r>
    </w:p>
  </w:footnote>
  <w:footnote w:id="206">
    <w:p w14:paraId="41B629DF" w14:textId="1C56854D"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Leopold cited by Cooper et al.</w:t>
      </w:r>
      <w:r w:rsidR="00D03556" w:rsidRPr="00BD1F38">
        <w:rPr>
          <w:rFonts w:ascii="Times New Roman" w:hAnsi="Times New Roman" w:cs="Times New Roman"/>
          <w:sz w:val="18"/>
          <w:szCs w:val="18"/>
        </w:rPr>
        <w:t xml:space="preserve">, </w:t>
      </w:r>
      <w:r w:rsidR="00D03556" w:rsidRPr="00BD1F38">
        <w:rPr>
          <w:rFonts w:ascii="Times New Roman" w:hAnsi="Times New Roman" w:cs="Times New Roman"/>
          <w:sz w:val="18"/>
          <w:szCs w:val="18"/>
          <w:lang w:val="en-US"/>
        </w:rPr>
        <w:t>‘Aesthetic and spiritual values of ecosystems’.</w:t>
      </w:r>
      <w:r w:rsidRPr="00BD1F38">
        <w:rPr>
          <w:rFonts w:ascii="Times New Roman" w:hAnsi="Times New Roman" w:cs="Times New Roman"/>
          <w:sz w:val="18"/>
          <w:szCs w:val="18"/>
        </w:rPr>
        <w:t xml:space="preserve"> </w:t>
      </w:r>
    </w:p>
  </w:footnote>
  <w:footnote w:id="207">
    <w:p w14:paraId="0471212A" w14:textId="01CFD259"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Cooper et al.</w:t>
      </w:r>
      <w:r w:rsidR="00CD0E93" w:rsidRPr="00BD1F38">
        <w:rPr>
          <w:rFonts w:ascii="Times New Roman" w:hAnsi="Times New Roman" w:cs="Times New Roman"/>
          <w:sz w:val="18"/>
          <w:szCs w:val="18"/>
        </w:rPr>
        <w:t xml:space="preserve">, </w:t>
      </w:r>
      <w:r w:rsidR="00CD0E93" w:rsidRPr="00BD1F38">
        <w:rPr>
          <w:rFonts w:ascii="Times New Roman" w:hAnsi="Times New Roman" w:cs="Times New Roman"/>
          <w:sz w:val="18"/>
          <w:szCs w:val="18"/>
          <w:lang w:val="en-US"/>
        </w:rPr>
        <w:t>‘Aesthetic and spiritual values of ecosystems’.</w:t>
      </w:r>
      <w:r w:rsidR="00CD0E93" w:rsidRPr="00BD1F38">
        <w:rPr>
          <w:rFonts w:ascii="Times New Roman" w:hAnsi="Times New Roman" w:cs="Times New Roman"/>
          <w:sz w:val="18"/>
          <w:szCs w:val="18"/>
        </w:rPr>
        <w:t xml:space="preserve"> </w:t>
      </w:r>
      <w:r w:rsidR="00CD0E93"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rPr>
        <w:t xml:space="preserve"> </w:t>
      </w:r>
    </w:p>
  </w:footnote>
  <w:footnote w:id="208">
    <w:p w14:paraId="0311F0DF"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Cailin O’Connor, Sanford Goldberg, and Alvin Goldman, ‘Social Epistemology’, </w:t>
      </w:r>
      <w:r w:rsidRPr="00BD1F38">
        <w:rPr>
          <w:rFonts w:ascii="Times New Roman" w:hAnsi="Times New Roman" w:cs="Times New Roman"/>
          <w:i/>
          <w:iCs/>
          <w:sz w:val="18"/>
          <w:szCs w:val="18"/>
        </w:rPr>
        <w:t>The Stanford Encyclopedia of Philosophy</w:t>
      </w:r>
      <w:r w:rsidRPr="00BD1F38">
        <w:rPr>
          <w:rFonts w:ascii="Times New Roman" w:hAnsi="Times New Roman" w:cs="Times New Roman"/>
          <w:sz w:val="18"/>
          <w:szCs w:val="18"/>
        </w:rPr>
        <w:t xml:space="preserve"> (Summer 2024 Edition), ed. by Edward N. Zalta &amp; Uri Nodelman &lt;</w:t>
      </w:r>
      <w:hyperlink r:id="rId29" w:history="1">
        <w:r w:rsidRPr="00BD1F38">
          <w:rPr>
            <w:rFonts w:ascii="Times New Roman" w:hAnsi="Times New Roman" w:cs="Times New Roman"/>
            <w:color w:val="DCA10D"/>
            <w:sz w:val="18"/>
            <w:szCs w:val="18"/>
          </w:rPr>
          <w:t>https://plato.stanford.edu/archives/sum2024/entries/epistemology-social/</w:t>
        </w:r>
      </w:hyperlink>
      <w:r w:rsidRPr="00BD1F38">
        <w:rPr>
          <w:rFonts w:ascii="Times New Roman" w:hAnsi="Times New Roman" w:cs="Times New Roman"/>
          <w:sz w:val="18"/>
          <w:szCs w:val="18"/>
        </w:rPr>
        <w:t>&gt; [accessed 07 June 2024].</w:t>
      </w:r>
    </w:p>
  </w:footnote>
  <w:footnote w:id="209">
    <w:p w14:paraId="62525FB8" w14:textId="5C29352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Hewitt, </w:t>
      </w:r>
      <w:r w:rsidR="004A7B74" w:rsidRPr="00BD1F38">
        <w:rPr>
          <w:rFonts w:ascii="Times New Roman" w:hAnsi="Times New Roman" w:cs="Times New Roman"/>
          <w:i/>
          <w:iCs/>
          <w:sz w:val="18"/>
          <w:szCs w:val="18"/>
          <w:lang w:val="en-US"/>
        </w:rPr>
        <w:t>Interpretations of Calamity,</w:t>
      </w:r>
      <w:r w:rsidR="004A7B74" w:rsidRPr="00BD1F38">
        <w:rPr>
          <w:rFonts w:ascii="Times New Roman" w:hAnsi="Times New Roman" w:cs="Times New Roman"/>
          <w:sz w:val="18"/>
          <w:szCs w:val="18"/>
        </w:rPr>
        <w:t xml:space="preserve"> </w:t>
      </w:r>
      <w:r w:rsidRPr="00BD1F38">
        <w:rPr>
          <w:rFonts w:ascii="Times New Roman" w:hAnsi="Times New Roman" w:cs="Times New Roman"/>
          <w:sz w:val="18"/>
          <w:szCs w:val="18"/>
        </w:rPr>
        <w:t xml:space="preserve">p. 13. </w:t>
      </w:r>
    </w:p>
  </w:footnote>
  <w:footnote w:id="210">
    <w:p w14:paraId="0D2F0558" w14:textId="2384DB9A"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Leopold cited by Cooper et al.</w:t>
      </w:r>
      <w:r w:rsidR="00D42652" w:rsidRPr="00BD1F38">
        <w:rPr>
          <w:rFonts w:ascii="Times New Roman" w:hAnsi="Times New Roman" w:cs="Times New Roman"/>
          <w:sz w:val="18"/>
          <w:szCs w:val="18"/>
        </w:rPr>
        <w:t xml:space="preserve">, </w:t>
      </w:r>
      <w:r w:rsidR="00D42652" w:rsidRPr="00BD1F38">
        <w:rPr>
          <w:rFonts w:ascii="Times New Roman" w:hAnsi="Times New Roman" w:cs="Times New Roman"/>
          <w:sz w:val="18"/>
          <w:szCs w:val="18"/>
          <w:lang w:val="en-US"/>
        </w:rPr>
        <w:t>‘Aesthetic and spiritual values of ecosystems’.</w:t>
      </w:r>
      <w:r w:rsidR="00D42652" w:rsidRPr="00BD1F38">
        <w:rPr>
          <w:rFonts w:ascii="Times New Roman" w:hAnsi="Times New Roman" w:cs="Times New Roman"/>
          <w:sz w:val="18"/>
          <w:szCs w:val="18"/>
        </w:rPr>
        <w:t xml:space="preserve"> </w:t>
      </w:r>
      <w:r w:rsidR="00D42652" w:rsidRPr="00BD1F38">
        <w:rPr>
          <w:rFonts w:ascii="Times New Roman" w:hAnsi="Times New Roman" w:cs="Times New Roman"/>
          <w:sz w:val="18"/>
          <w:szCs w:val="18"/>
          <w:lang w:val="en-US"/>
        </w:rPr>
        <w:t xml:space="preserve"> </w:t>
      </w:r>
    </w:p>
  </w:footnote>
  <w:footnote w:id="211">
    <w:p w14:paraId="5FECAFDF"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34, 45, 57, 63, 97.</w:t>
      </w:r>
    </w:p>
  </w:footnote>
  <w:footnote w:id="212">
    <w:p w14:paraId="1623F2FA" w14:textId="435F94CB"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Sibley cited by Cooper et al.</w:t>
      </w:r>
      <w:r w:rsidR="00B44937" w:rsidRPr="00BD1F38">
        <w:rPr>
          <w:rFonts w:ascii="Times New Roman" w:hAnsi="Times New Roman" w:cs="Times New Roman"/>
          <w:sz w:val="18"/>
          <w:szCs w:val="18"/>
        </w:rPr>
        <w:t xml:space="preserve">, </w:t>
      </w:r>
      <w:r w:rsidR="00B44937" w:rsidRPr="00BD1F38">
        <w:rPr>
          <w:rFonts w:ascii="Times New Roman" w:hAnsi="Times New Roman" w:cs="Times New Roman"/>
          <w:sz w:val="18"/>
          <w:szCs w:val="18"/>
          <w:lang w:val="en-US"/>
        </w:rPr>
        <w:t>‘Aesthetic and spiritual values of ecosystems’.</w:t>
      </w:r>
      <w:r w:rsidR="00B44937" w:rsidRPr="00BD1F38">
        <w:rPr>
          <w:rFonts w:ascii="Times New Roman" w:hAnsi="Times New Roman" w:cs="Times New Roman"/>
          <w:sz w:val="18"/>
          <w:szCs w:val="18"/>
        </w:rPr>
        <w:t xml:space="preserve"> </w:t>
      </w:r>
      <w:r w:rsidR="00B44937" w:rsidRPr="00BD1F38">
        <w:rPr>
          <w:rFonts w:ascii="Times New Roman" w:hAnsi="Times New Roman" w:cs="Times New Roman"/>
          <w:sz w:val="18"/>
          <w:szCs w:val="18"/>
          <w:lang w:val="en-US"/>
        </w:rPr>
        <w:t xml:space="preserve"> </w:t>
      </w:r>
    </w:p>
  </w:footnote>
  <w:footnote w:id="213">
    <w:p w14:paraId="7C2D290C"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Exodus 15. 26.</w:t>
      </w:r>
    </w:p>
  </w:footnote>
  <w:footnote w:id="214">
    <w:p w14:paraId="6B8CB575" w14:textId="723912A9"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Giddens, </w:t>
      </w:r>
      <w:r w:rsidR="008B6874" w:rsidRPr="00BD1F38">
        <w:rPr>
          <w:rFonts w:ascii="Times New Roman" w:hAnsi="Times New Roman" w:cs="Times New Roman"/>
          <w:i/>
          <w:iCs/>
          <w:sz w:val="18"/>
          <w:szCs w:val="18"/>
        </w:rPr>
        <w:t>The Constitution of Society,</w:t>
      </w:r>
      <w:r w:rsidR="008B6874" w:rsidRPr="00BD1F38">
        <w:rPr>
          <w:rFonts w:ascii="Times New Roman" w:hAnsi="Times New Roman" w:cs="Times New Roman"/>
          <w:sz w:val="18"/>
          <w:szCs w:val="18"/>
        </w:rPr>
        <w:t xml:space="preserve"> </w:t>
      </w:r>
      <w:r w:rsidRPr="00BD1F38">
        <w:rPr>
          <w:rFonts w:ascii="Times New Roman" w:hAnsi="Times New Roman" w:cs="Times New Roman"/>
          <w:sz w:val="18"/>
          <w:szCs w:val="18"/>
        </w:rPr>
        <w:t>p, 18.</w:t>
      </w:r>
    </w:p>
  </w:footnote>
  <w:footnote w:id="215">
    <w:p w14:paraId="101A2C56"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Mark Bradley, Victoria Leonard, Laurence Totelin, ‘Introduction’ in </w:t>
      </w:r>
      <w:r w:rsidRPr="00BD1F38">
        <w:rPr>
          <w:rFonts w:eastAsiaTheme="minorEastAsia"/>
          <w:i/>
          <w:iCs/>
          <w:sz w:val="18"/>
          <w:szCs w:val="18"/>
        </w:rPr>
        <w:t xml:space="preserve">Bodily Fluids In Antiquity, </w:t>
      </w:r>
      <w:r w:rsidRPr="00BD1F38">
        <w:rPr>
          <w:rFonts w:eastAsiaTheme="minorEastAsia"/>
          <w:sz w:val="18"/>
          <w:szCs w:val="18"/>
        </w:rPr>
        <w:t>ed. by Mark Bradley, Victoria Leonard, Laurence Totelin (London &amp; New York: Routledge: Taylor &amp; Francis Group, 2021), pp. 1-15 (4)</w:t>
      </w:r>
      <w:r w:rsidRPr="00BD1F38">
        <w:rPr>
          <w:sz w:val="18"/>
          <w:szCs w:val="18"/>
          <w:lang w:val="en-US"/>
        </w:rPr>
        <w:t>.</w:t>
      </w:r>
    </w:p>
  </w:footnote>
  <w:footnote w:id="216">
    <w:p w14:paraId="5723A932" w14:textId="7620C406"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Bradley et al., </w:t>
      </w:r>
      <w:r w:rsidR="00072B60" w:rsidRPr="00BD1F38">
        <w:rPr>
          <w:rFonts w:ascii="Times New Roman" w:hAnsi="Times New Roman" w:cs="Times New Roman"/>
          <w:sz w:val="18"/>
          <w:szCs w:val="18"/>
        </w:rPr>
        <w:t xml:space="preserve">‘Introduction’, </w:t>
      </w:r>
      <w:r w:rsidRPr="00BD1F38">
        <w:rPr>
          <w:rFonts w:ascii="Times New Roman" w:hAnsi="Times New Roman" w:cs="Times New Roman"/>
          <w:sz w:val="18"/>
          <w:szCs w:val="18"/>
        </w:rPr>
        <w:t>p. 4.</w:t>
      </w:r>
    </w:p>
  </w:footnote>
  <w:footnote w:id="217">
    <w:p w14:paraId="0E1EC7B9"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Melissa L. Meyer, </w:t>
      </w:r>
      <w:r w:rsidRPr="00BD1F38">
        <w:rPr>
          <w:rFonts w:eastAsiaTheme="minorEastAsia"/>
          <w:i/>
          <w:iCs/>
          <w:sz w:val="18"/>
          <w:szCs w:val="18"/>
        </w:rPr>
        <w:t xml:space="preserve">Thicker Than Water: The Origins of Blood as Symbol and Ritual </w:t>
      </w:r>
      <w:r w:rsidRPr="00BD1F38">
        <w:rPr>
          <w:rFonts w:eastAsiaTheme="minorEastAsia"/>
          <w:sz w:val="18"/>
          <w:szCs w:val="18"/>
        </w:rPr>
        <w:t>(New York: Routledge, 2005), p. 2.</w:t>
      </w:r>
    </w:p>
  </w:footnote>
  <w:footnote w:id="218">
    <w:p w14:paraId="4DE0AE8A" w14:textId="149C85F8"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Meyer, </w:t>
      </w:r>
      <w:r w:rsidR="00072B60" w:rsidRPr="00BD1F38">
        <w:rPr>
          <w:rFonts w:ascii="Times New Roman" w:hAnsi="Times New Roman" w:cs="Times New Roman"/>
          <w:i/>
          <w:iCs/>
          <w:sz w:val="18"/>
          <w:szCs w:val="18"/>
        </w:rPr>
        <w:t>Thicker Than Water,</w:t>
      </w:r>
      <w:r w:rsidR="00072B60" w:rsidRPr="00BD1F38">
        <w:rPr>
          <w:rFonts w:ascii="Times New Roman" w:hAnsi="Times New Roman" w:cs="Times New Roman"/>
          <w:sz w:val="18"/>
          <w:szCs w:val="18"/>
        </w:rPr>
        <w:t xml:space="preserve"> </w:t>
      </w:r>
      <w:r w:rsidRPr="00BD1F38">
        <w:rPr>
          <w:rFonts w:ascii="Times New Roman" w:hAnsi="Times New Roman" w:cs="Times New Roman"/>
          <w:sz w:val="18"/>
          <w:szCs w:val="18"/>
        </w:rPr>
        <w:t xml:space="preserve">p. 2. </w:t>
      </w:r>
    </w:p>
  </w:footnote>
  <w:footnote w:id="219">
    <w:p w14:paraId="3F94D606" w14:textId="44422C5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Bradley et al., </w:t>
      </w:r>
      <w:r w:rsidR="00072B60" w:rsidRPr="00BD1F38">
        <w:rPr>
          <w:rFonts w:ascii="Times New Roman" w:hAnsi="Times New Roman" w:cs="Times New Roman"/>
          <w:sz w:val="18"/>
          <w:szCs w:val="18"/>
        </w:rPr>
        <w:t xml:space="preserve">‘Introduction’, </w:t>
      </w:r>
      <w:r w:rsidRPr="00BD1F38">
        <w:rPr>
          <w:rFonts w:ascii="Times New Roman" w:hAnsi="Times New Roman" w:cs="Times New Roman"/>
          <w:sz w:val="18"/>
          <w:szCs w:val="18"/>
        </w:rPr>
        <w:t>p. 4.</w:t>
      </w:r>
    </w:p>
  </w:footnote>
  <w:footnote w:id="220">
    <w:p w14:paraId="4BE3819D" w14:textId="77777777" w:rsidR="0045403B" w:rsidRPr="00BD1F38" w:rsidRDefault="0045403B" w:rsidP="0045403B">
      <w:pPr>
        <w:autoSpaceDE w:val="0"/>
        <w:autoSpaceDN w:val="0"/>
        <w:adjustRightInd w:val="0"/>
        <w:rPr>
          <w:rFonts w:eastAsiaTheme="minorEastAsia"/>
          <w:sz w:val="18"/>
          <w:szCs w:val="18"/>
        </w:rPr>
      </w:pPr>
      <w:r w:rsidRPr="00BD1F38">
        <w:rPr>
          <w:rStyle w:val="FootnoteReference"/>
          <w:sz w:val="18"/>
          <w:szCs w:val="18"/>
        </w:rPr>
        <w:footnoteRef/>
      </w:r>
      <w:r w:rsidRPr="00BD1F38">
        <w:rPr>
          <w:sz w:val="18"/>
          <w:szCs w:val="18"/>
        </w:rPr>
        <w:t xml:space="preserve"> </w:t>
      </w:r>
      <w:r w:rsidRPr="00BD1F38">
        <w:rPr>
          <w:rFonts w:eastAsiaTheme="minorEastAsia"/>
          <w:sz w:val="18"/>
          <w:szCs w:val="18"/>
        </w:rPr>
        <w:t xml:space="preserve">Salvo, Irene, ‘Uterine bleeding, knowledge, and emotion in ancient Greek medical and magical representations’, in </w:t>
      </w:r>
      <w:r w:rsidRPr="00BD1F38">
        <w:rPr>
          <w:rFonts w:eastAsiaTheme="minorEastAsia"/>
          <w:i/>
          <w:iCs/>
          <w:sz w:val="18"/>
          <w:szCs w:val="18"/>
        </w:rPr>
        <w:t xml:space="preserve">Bodily Fluids In Antiquity, </w:t>
      </w:r>
      <w:r w:rsidRPr="00BD1F38">
        <w:rPr>
          <w:rFonts w:eastAsiaTheme="minorEastAsia"/>
          <w:sz w:val="18"/>
          <w:szCs w:val="18"/>
        </w:rPr>
        <w:t xml:space="preserve">ed. by Mark Bradley, Victoria Leonard, Laurence Totelin (London &amp; New York: Routledge: Taylor &amp; Francis Group, 2021), pp. 57-75 (61). </w:t>
      </w:r>
    </w:p>
  </w:footnote>
  <w:footnote w:id="221">
    <w:p w14:paraId="71F05147" w14:textId="6FB98CBB"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Meyer, </w:t>
      </w:r>
      <w:r w:rsidR="00072B60" w:rsidRPr="00BD1F38">
        <w:rPr>
          <w:rFonts w:ascii="Times New Roman" w:hAnsi="Times New Roman" w:cs="Times New Roman"/>
          <w:i/>
          <w:iCs/>
          <w:sz w:val="18"/>
          <w:szCs w:val="18"/>
        </w:rPr>
        <w:t>Thicker Than Water,</w:t>
      </w:r>
      <w:r w:rsidR="00072B60" w:rsidRPr="00BD1F38">
        <w:rPr>
          <w:rFonts w:ascii="Times New Roman" w:hAnsi="Times New Roman" w:cs="Times New Roman"/>
          <w:sz w:val="18"/>
          <w:szCs w:val="18"/>
        </w:rPr>
        <w:t xml:space="preserve"> </w:t>
      </w:r>
      <w:r w:rsidRPr="00BD1F38">
        <w:rPr>
          <w:rFonts w:ascii="Times New Roman" w:hAnsi="Times New Roman" w:cs="Times New Roman"/>
          <w:sz w:val="18"/>
          <w:szCs w:val="18"/>
        </w:rPr>
        <w:t>p. 4.</w:t>
      </w:r>
    </w:p>
  </w:footnote>
  <w:footnote w:id="222">
    <w:p w14:paraId="2B6B0A8E" w14:textId="5C72E4E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McDonald, </w:t>
      </w:r>
      <w:r w:rsidR="00B024A0" w:rsidRPr="00BD1F38">
        <w:rPr>
          <w:rFonts w:ascii="Times New Roman" w:hAnsi="Times New Roman" w:cs="Times New Roman"/>
          <w:sz w:val="18"/>
          <w:szCs w:val="18"/>
        </w:rPr>
        <w:t xml:space="preserve">‘A Botanical Perspective on the Identity of Soma’, </w:t>
      </w:r>
      <w:r w:rsidRPr="00BD1F38">
        <w:rPr>
          <w:rFonts w:ascii="Times New Roman" w:hAnsi="Times New Roman" w:cs="Times New Roman"/>
          <w:sz w:val="18"/>
          <w:szCs w:val="18"/>
        </w:rPr>
        <w:t>p. S168.</w:t>
      </w:r>
    </w:p>
  </w:footnote>
  <w:footnote w:id="223">
    <w:p w14:paraId="4480A381" w14:textId="0438CC80"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66B1A"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135 (8.48.2).</w:t>
      </w:r>
    </w:p>
  </w:footnote>
  <w:footnote w:id="224">
    <w:p w14:paraId="160D755D" w14:textId="581F8EB8"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66B1A"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135 (8.48.9).</w:t>
      </w:r>
    </w:p>
  </w:footnote>
  <w:footnote w:id="225">
    <w:p w14:paraId="1D5C4109" w14:textId="405566DC"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66B1A"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135 (8.48.5).</w:t>
      </w:r>
    </w:p>
  </w:footnote>
  <w:footnote w:id="226">
    <w:p w14:paraId="7737BE59" w14:textId="6D24522C"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Ginsburg, </w:t>
      </w:r>
      <w:r w:rsidR="00966B1A" w:rsidRPr="00BD1F38">
        <w:rPr>
          <w:rFonts w:ascii="Times New Roman" w:hAnsi="Times New Roman" w:cs="Times New Roman"/>
          <w:i/>
          <w:iCs/>
          <w:color w:val="000000"/>
          <w:sz w:val="18"/>
          <w:szCs w:val="18"/>
        </w:rPr>
        <w:t>The Sabbath in the Classical Kabbalah,</w:t>
      </w:r>
      <w:r w:rsidR="00966B1A" w:rsidRPr="00BD1F38">
        <w:rPr>
          <w:rFonts w:ascii="Times New Roman" w:hAnsi="Times New Roman" w:cs="Times New Roman"/>
          <w:sz w:val="18"/>
          <w:szCs w:val="18"/>
        </w:rPr>
        <w:t xml:space="preserve"> </w:t>
      </w:r>
      <w:r w:rsidRPr="00BD1F38">
        <w:rPr>
          <w:rFonts w:ascii="Times New Roman" w:hAnsi="Times New Roman" w:cs="Times New Roman"/>
          <w:sz w:val="18"/>
          <w:szCs w:val="18"/>
        </w:rPr>
        <w:t>p. 224.</w:t>
      </w:r>
    </w:p>
  </w:footnote>
  <w:footnote w:id="227">
    <w:p w14:paraId="308E527F" w14:textId="49D4E53B"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Meyer, </w:t>
      </w:r>
      <w:r w:rsidR="00966B1A" w:rsidRPr="00BD1F38">
        <w:rPr>
          <w:rFonts w:ascii="Times New Roman" w:hAnsi="Times New Roman" w:cs="Times New Roman"/>
          <w:i/>
          <w:iCs/>
          <w:sz w:val="18"/>
          <w:szCs w:val="18"/>
        </w:rPr>
        <w:t>Thicker Than Water</w:t>
      </w:r>
      <w:r w:rsidR="00966B1A" w:rsidRPr="00BD1F38">
        <w:rPr>
          <w:rFonts w:ascii="Times New Roman" w:hAnsi="Times New Roman" w:cs="Times New Roman"/>
          <w:sz w:val="18"/>
          <w:szCs w:val="18"/>
        </w:rPr>
        <w:t xml:space="preserve">, </w:t>
      </w:r>
      <w:r w:rsidRPr="00BD1F38">
        <w:rPr>
          <w:rFonts w:ascii="Times New Roman" w:hAnsi="Times New Roman" w:cs="Times New Roman"/>
          <w:sz w:val="18"/>
          <w:szCs w:val="18"/>
        </w:rPr>
        <w:t>p. 42.</w:t>
      </w:r>
    </w:p>
  </w:footnote>
  <w:footnote w:id="228">
    <w:p w14:paraId="5EFF96D8" w14:textId="76D6623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Salvo, </w:t>
      </w:r>
      <w:r w:rsidR="00F06057" w:rsidRPr="00BD1F38">
        <w:rPr>
          <w:rFonts w:ascii="Times New Roman" w:hAnsi="Times New Roman" w:cs="Times New Roman"/>
          <w:sz w:val="18"/>
          <w:szCs w:val="18"/>
        </w:rPr>
        <w:t xml:space="preserve">‘Uterine bleeding’, </w:t>
      </w:r>
      <w:r w:rsidRPr="00BD1F38">
        <w:rPr>
          <w:rFonts w:ascii="Times New Roman" w:hAnsi="Times New Roman" w:cs="Times New Roman"/>
          <w:sz w:val="18"/>
          <w:szCs w:val="18"/>
        </w:rPr>
        <w:t>p. 61.</w:t>
      </w:r>
    </w:p>
  </w:footnote>
  <w:footnote w:id="229">
    <w:p w14:paraId="0E4ACBF7" w14:textId="6C466EF0"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66B1A"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134 (8.48.2).</w:t>
      </w:r>
    </w:p>
  </w:footnote>
  <w:footnote w:id="230">
    <w:p w14:paraId="667F80FE" w14:textId="51CD673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color w:val="000000" w:themeColor="text1"/>
          <w:sz w:val="18"/>
          <w:szCs w:val="18"/>
        </w:rPr>
        <w:t xml:space="preserve">M. Cordovero cited by </w:t>
      </w:r>
      <w:r w:rsidRPr="00BD1F38">
        <w:rPr>
          <w:rFonts w:ascii="Times New Roman" w:hAnsi="Times New Roman" w:cs="Times New Roman"/>
          <w:sz w:val="18"/>
          <w:szCs w:val="18"/>
          <w:lang w:val="en-US"/>
        </w:rPr>
        <w:t xml:space="preserve">Ginsburg, </w:t>
      </w:r>
      <w:r w:rsidR="00966B1A" w:rsidRPr="00BD1F38">
        <w:rPr>
          <w:rFonts w:ascii="Times New Roman" w:hAnsi="Times New Roman" w:cs="Times New Roman"/>
          <w:i/>
          <w:iCs/>
          <w:color w:val="000000"/>
          <w:sz w:val="18"/>
          <w:szCs w:val="18"/>
        </w:rPr>
        <w:t>The Sabbath in the Classical Kabbalah,</w:t>
      </w:r>
      <w:r w:rsidR="00966B1A"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224.</w:t>
      </w:r>
    </w:p>
  </w:footnote>
  <w:footnote w:id="231">
    <w:p w14:paraId="44848E4E" w14:textId="2E5A5069"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Ginsburg, </w:t>
      </w:r>
      <w:r w:rsidR="00E67F3F" w:rsidRPr="00BD1F38">
        <w:rPr>
          <w:rFonts w:ascii="Times New Roman" w:hAnsi="Times New Roman" w:cs="Times New Roman"/>
          <w:i/>
          <w:iCs/>
          <w:color w:val="000000"/>
          <w:sz w:val="18"/>
          <w:szCs w:val="18"/>
        </w:rPr>
        <w:t>The Sabbath in the Classical Kabbalah,</w:t>
      </w:r>
      <w:r w:rsidR="00E67F3F" w:rsidRPr="00BD1F38">
        <w:rPr>
          <w:rFonts w:ascii="Times New Roman" w:hAnsi="Times New Roman" w:cs="Times New Roman"/>
          <w:sz w:val="18"/>
          <w:szCs w:val="18"/>
        </w:rPr>
        <w:t xml:space="preserve"> </w:t>
      </w:r>
      <w:r w:rsidRPr="00BD1F38">
        <w:rPr>
          <w:rFonts w:ascii="Times New Roman" w:hAnsi="Times New Roman" w:cs="Times New Roman"/>
          <w:sz w:val="18"/>
          <w:szCs w:val="18"/>
        </w:rPr>
        <w:t>p. 224.</w:t>
      </w:r>
    </w:p>
  </w:footnote>
  <w:footnote w:id="232">
    <w:p w14:paraId="2C540DBE" w14:textId="01D04B41"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Ginsburg, </w:t>
      </w:r>
      <w:r w:rsidR="00E67F3F" w:rsidRPr="00BD1F38">
        <w:rPr>
          <w:rFonts w:ascii="Times New Roman" w:hAnsi="Times New Roman" w:cs="Times New Roman"/>
          <w:i/>
          <w:iCs/>
          <w:color w:val="000000"/>
          <w:sz w:val="18"/>
          <w:szCs w:val="18"/>
        </w:rPr>
        <w:t>The Sabbath in the Classical Kabbalah,</w:t>
      </w:r>
      <w:r w:rsidR="00E67F3F" w:rsidRPr="00BD1F38">
        <w:rPr>
          <w:rFonts w:ascii="Times New Roman" w:hAnsi="Times New Roman" w:cs="Times New Roman"/>
          <w:sz w:val="18"/>
          <w:szCs w:val="18"/>
        </w:rPr>
        <w:t xml:space="preserve"> </w:t>
      </w:r>
      <w:r w:rsidRPr="00BD1F38">
        <w:rPr>
          <w:rFonts w:ascii="Times New Roman" w:hAnsi="Times New Roman" w:cs="Times New Roman"/>
          <w:sz w:val="18"/>
          <w:szCs w:val="18"/>
        </w:rPr>
        <w:t>p. 224.</w:t>
      </w:r>
    </w:p>
  </w:footnote>
  <w:footnote w:id="233">
    <w:p w14:paraId="2FA00FD6" w14:textId="64156EC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Ginsburg, </w:t>
      </w:r>
      <w:r w:rsidR="00525F1A" w:rsidRPr="00BD1F38">
        <w:rPr>
          <w:rFonts w:ascii="Times New Roman" w:hAnsi="Times New Roman" w:cs="Times New Roman"/>
          <w:i/>
          <w:iCs/>
          <w:color w:val="000000"/>
          <w:sz w:val="18"/>
          <w:szCs w:val="18"/>
        </w:rPr>
        <w:t>The Sabbath in the Classical Kabbalah,</w:t>
      </w:r>
      <w:r w:rsidR="00525F1A"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p. 224.</w:t>
      </w:r>
    </w:p>
  </w:footnote>
  <w:footnote w:id="234">
    <w:p w14:paraId="2A8C481B" w14:textId="25485D4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Ginsburg, </w:t>
      </w:r>
      <w:r w:rsidR="00525F1A" w:rsidRPr="00BD1F38">
        <w:rPr>
          <w:rFonts w:ascii="Times New Roman" w:hAnsi="Times New Roman" w:cs="Times New Roman"/>
          <w:i/>
          <w:iCs/>
          <w:color w:val="000000"/>
          <w:sz w:val="18"/>
          <w:szCs w:val="18"/>
        </w:rPr>
        <w:t>The Sabbath in the Classical Kabbalah,</w:t>
      </w:r>
      <w:r w:rsidR="00525F1A"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p. 224.</w:t>
      </w:r>
    </w:p>
  </w:footnote>
  <w:footnote w:id="235">
    <w:p w14:paraId="62B6F299" w14:textId="77777777" w:rsidR="0045403B" w:rsidRPr="00BD1F38" w:rsidRDefault="0045403B" w:rsidP="0045403B">
      <w:pPr>
        <w:autoSpaceDE w:val="0"/>
        <w:autoSpaceDN w:val="0"/>
        <w:adjustRightInd w:val="0"/>
        <w:rPr>
          <w:sz w:val="18"/>
          <w:szCs w:val="18"/>
        </w:rPr>
      </w:pPr>
      <w:r w:rsidRPr="00BD1F38">
        <w:rPr>
          <w:rStyle w:val="FootnoteReference"/>
          <w:sz w:val="18"/>
          <w:szCs w:val="18"/>
        </w:rPr>
        <w:footnoteRef/>
      </w:r>
      <w:r w:rsidRPr="00BD1F38">
        <w:rPr>
          <w:sz w:val="18"/>
          <w:szCs w:val="18"/>
        </w:rPr>
        <w:t xml:space="preserve"> Jung, </w:t>
      </w:r>
      <w:r w:rsidRPr="00BD1F38">
        <w:rPr>
          <w:i/>
          <w:iCs/>
          <w:sz w:val="18"/>
          <w:szCs w:val="18"/>
        </w:rPr>
        <w:t>Civilisation in Transition</w:t>
      </w:r>
      <w:r w:rsidRPr="00BD1F38">
        <w:rPr>
          <w:sz w:val="18"/>
          <w:szCs w:val="18"/>
        </w:rPr>
        <w:t>, p. 278.</w:t>
      </w:r>
    </w:p>
  </w:footnote>
  <w:footnote w:id="236">
    <w:p w14:paraId="1F85B9AA" w14:textId="071FE9D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Sahlins, </w:t>
      </w:r>
      <w:r w:rsidR="00110089" w:rsidRPr="00BD1F38">
        <w:rPr>
          <w:rFonts w:ascii="Times New Roman" w:hAnsi="Times New Roman" w:cs="Times New Roman"/>
          <w:i/>
          <w:iCs/>
          <w:sz w:val="18"/>
          <w:szCs w:val="18"/>
        </w:rPr>
        <w:t>Historical Metaphors and Mythical Realities,</w:t>
      </w:r>
      <w:r w:rsidR="00110089" w:rsidRPr="00BD1F38">
        <w:rPr>
          <w:rFonts w:ascii="Times New Roman" w:hAnsi="Times New Roman" w:cs="Times New Roman"/>
          <w:sz w:val="18"/>
          <w:szCs w:val="18"/>
        </w:rPr>
        <w:t xml:space="preserve"> </w:t>
      </w:r>
      <w:r w:rsidRPr="00BD1F38">
        <w:rPr>
          <w:rFonts w:ascii="Times New Roman" w:hAnsi="Times New Roman" w:cs="Times New Roman"/>
          <w:sz w:val="18"/>
          <w:szCs w:val="18"/>
        </w:rPr>
        <w:t>p. 6-7.</w:t>
      </w:r>
    </w:p>
  </w:footnote>
  <w:footnote w:id="237">
    <w:p w14:paraId="68307FAE"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Biale, </w:t>
      </w:r>
      <w:r w:rsidRPr="00BD1F38">
        <w:rPr>
          <w:rFonts w:ascii="Times New Roman" w:hAnsi="Times New Roman" w:cs="Times New Roman"/>
          <w:sz w:val="18"/>
          <w:szCs w:val="18"/>
          <w:lang w:val="en-US"/>
        </w:rPr>
        <w:t>‘Blood as a Central Symbol in Jewish Culture’.</w:t>
      </w:r>
    </w:p>
  </w:footnote>
  <w:footnote w:id="238">
    <w:p w14:paraId="279F16A5"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Leviticus 20. 18.</w:t>
      </w:r>
    </w:p>
  </w:footnote>
  <w:footnote w:id="239">
    <w:p w14:paraId="1D348904"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Genesis 17. 8.</w:t>
      </w:r>
    </w:p>
  </w:footnote>
  <w:footnote w:id="240">
    <w:p w14:paraId="03792677" w14:textId="51F3852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330A93" w:rsidRPr="00BD1F38">
        <w:rPr>
          <w:rFonts w:ascii="Times New Roman" w:hAnsi="Times New Roman" w:cs="Times New Roman"/>
          <w:sz w:val="18"/>
          <w:szCs w:val="18"/>
        </w:rPr>
        <w:t>Epstein</w:t>
      </w:r>
      <w:r w:rsidR="007836FE" w:rsidRPr="00BD1F38">
        <w:rPr>
          <w:rFonts w:ascii="Times New Roman" w:hAnsi="Times New Roman" w:cs="Times New Roman"/>
          <w:sz w:val="18"/>
          <w:szCs w:val="18"/>
        </w:rPr>
        <w:t>, ‘Social Ontology’</w:t>
      </w:r>
      <w:r w:rsidR="00330A93" w:rsidRPr="00BD1F38">
        <w:rPr>
          <w:rFonts w:ascii="Times New Roman" w:hAnsi="Times New Roman" w:cs="Times New Roman"/>
          <w:sz w:val="18"/>
          <w:szCs w:val="18"/>
        </w:rPr>
        <w:t>.</w:t>
      </w:r>
    </w:p>
  </w:footnote>
  <w:footnote w:id="241">
    <w:p w14:paraId="59C545B2" w14:textId="4A62E9A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Epstein</w:t>
      </w:r>
      <w:r w:rsidR="007836FE" w:rsidRPr="00BD1F38">
        <w:rPr>
          <w:rFonts w:ascii="Times New Roman" w:hAnsi="Times New Roman" w:cs="Times New Roman"/>
          <w:sz w:val="18"/>
          <w:szCs w:val="18"/>
          <w:lang w:val="en-US"/>
        </w:rPr>
        <w:t>, ‘</w:t>
      </w:r>
      <w:r w:rsidR="007836FE" w:rsidRPr="00BD1F38">
        <w:rPr>
          <w:rFonts w:ascii="Times New Roman" w:hAnsi="Times New Roman" w:cs="Times New Roman"/>
          <w:sz w:val="18"/>
          <w:szCs w:val="18"/>
        </w:rPr>
        <w:t>Social Ontology’.</w:t>
      </w:r>
    </w:p>
  </w:footnote>
  <w:footnote w:id="242">
    <w:p w14:paraId="000FACC9"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Genesis 3. 6.</w:t>
      </w:r>
    </w:p>
  </w:footnote>
  <w:footnote w:id="243">
    <w:p w14:paraId="74645CCE" w14:textId="452193E3"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Meyer, </w:t>
      </w:r>
      <w:r w:rsidR="00305212" w:rsidRPr="00BD1F38">
        <w:rPr>
          <w:rFonts w:ascii="Times New Roman" w:hAnsi="Times New Roman" w:cs="Times New Roman"/>
          <w:i/>
          <w:iCs/>
          <w:sz w:val="18"/>
          <w:szCs w:val="18"/>
        </w:rPr>
        <w:t>Thicker Than Water</w:t>
      </w:r>
      <w:r w:rsidR="00305212" w:rsidRPr="00BD1F38">
        <w:rPr>
          <w:rFonts w:ascii="Times New Roman" w:hAnsi="Times New Roman" w:cs="Times New Roman"/>
          <w:sz w:val="18"/>
          <w:szCs w:val="18"/>
        </w:rPr>
        <w:t xml:space="preserve">, </w:t>
      </w:r>
      <w:r w:rsidRPr="00BD1F38">
        <w:rPr>
          <w:rFonts w:ascii="Times New Roman" w:hAnsi="Times New Roman" w:cs="Times New Roman"/>
          <w:sz w:val="18"/>
          <w:szCs w:val="18"/>
        </w:rPr>
        <w:t>p. 42.</w:t>
      </w:r>
    </w:p>
  </w:footnote>
  <w:footnote w:id="244">
    <w:p w14:paraId="4949371C" w14:textId="6FE22892"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Giddens, </w:t>
      </w:r>
      <w:r w:rsidR="008D6BC6" w:rsidRPr="00BD1F38">
        <w:rPr>
          <w:rFonts w:ascii="Times New Roman" w:hAnsi="Times New Roman" w:cs="Times New Roman"/>
          <w:i/>
          <w:iCs/>
          <w:sz w:val="18"/>
          <w:szCs w:val="18"/>
        </w:rPr>
        <w:t>The Constitution of Society,</w:t>
      </w:r>
      <w:r w:rsidR="008D6BC6" w:rsidRPr="00BD1F38">
        <w:rPr>
          <w:rFonts w:ascii="Times New Roman" w:hAnsi="Times New Roman" w:cs="Times New Roman"/>
          <w:sz w:val="18"/>
          <w:szCs w:val="18"/>
        </w:rPr>
        <w:t xml:space="preserve"> </w:t>
      </w:r>
      <w:r w:rsidRPr="00BD1F38">
        <w:rPr>
          <w:rFonts w:ascii="Times New Roman" w:hAnsi="Times New Roman" w:cs="Times New Roman"/>
          <w:sz w:val="18"/>
          <w:szCs w:val="18"/>
        </w:rPr>
        <w:t>p. 25.</w:t>
      </w:r>
    </w:p>
  </w:footnote>
  <w:footnote w:id="245">
    <w:p w14:paraId="18D4006C" w14:textId="15685DD9"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5B7C7C" w:rsidRPr="00BD1F38">
        <w:rPr>
          <w:rFonts w:ascii="Times New Roman" w:hAnsi="Times New Roman" w:cs="Times New Roman"/>
          <w:sz w:val="18"/>
          <w:szCs w:val="18"/>
        </w:rPr>
        <w:t>Leviticus 15.</w:t>
      </w:r>
      <w:r w:rsidR="00A42B66" w:rsidRPr="00BD1F38">
        <w:rPr>
          <w:rFonts w:ascii="Times New Roman" w:hAnsi="Times New Roman" w:cs="Times New Roman"/>
          <w:sz w:val="18"/>
          <w:szCs w:val="18"/>
        </w:rPr>
        <w:t>16-15. 18.</w:t>
      </w:r>
    </w:p>
  </w:footnote>
  <w:footnote w:id="246">
    <w:p w14:paraId="1820DB25" w14:textId="4356786A"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9557A6" w:rsidRPr="00BD1F38">
        <w:rPr>
          <w:rFonts w:ascii="Times New Roman" w:hAnsi="Times New Roman" w:cs="Times New Roman"/>
          <w:sz w:val="18"/>
          <w:szCs w:val="18"/>
        </w:rPr>
        <w:t>Leviticus 15. 13.</w:t>
      </w:r>
    </w:p>
  </w:footnote>
  <w:footnote w:id="247">
    <w:p w14:paraId="410924D1" w14:textId="5453753E"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C9522B" w:rsidRPr="00BD1F38">
        <w:rPr>
          <w:rFonts w:ascii="Times New Roman" w:hAnsi="Times New Roman" w:cs="Times New Roman"/>
          <w:sz w:val="18"/>
          <w:szCs w:val="18"/>
        </w:rPr>
        <w:t>Genesis 2. 3.</w:t>
      </w:r>
    </w:p>
  </w:footnote>
  <w:footnote w:id="248">
    <w:p w14:paraId="16D634AE"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Biale, </w:t>
      </w:r>
      <w:r w:rsidRPr="00BD1F38">
        <w:rPr>
          <w:rFonts w:ascii="Times New Roman" w:hAnsi="Times New Roman" w:cs="Times New Roman"/>
          <w:sz w:val="18"/>
          <w:szCs w:val="18"/>
          <w:lang w:val="en-US"/>
        </w:rPr>
        <w:t>‘Blood as a Central Symbol in Jewish Culture’.</w:t>
      </w:r>
    </w:p>
  </w:footnote>
  <w:footnote w:id="249">
    <w:p w14:paraId="17A719F3" w14:textId="13925CFC"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Mroczek, </w:t>
      </w:r>
      <w:r w:rsidR="001920C1" w:rsidRPr="00BD1F38">
        <w:rPr>
          <w:rFonts w:ascii="Times New Roman" w:hAnsi="Times New Roman" w:cs="Times New Roman"/>
          <w:color w:val="000000"/>
          <w:sz w:val="18"/>
          <w:szCs w:val="18"/>
        </w:rPr>
        <w:t xml:space="preserve">‘“WITHOUT TORAH AND SCRIPTURE”’, </w:t>
      </w:r>
      <w:r w:rsidRPr="00BD1F38">
        <w:rPr>
          <w:rFonts w:ascii="Times New Roman" w:hAnsi="Times New Roman" w:cs="Times New Roman"/>
          <w:sz w:val="18"/>
          <w:szCs w:val="18"/>
          <w:lang w:val="en-US"/>
        </w:rPr>
        <w:t>p. 98.</w:t>
      </w:r>
    </w:p>
  </w:footnote>
  <w:footnote w:id="250">
    <w:p w14:paraId="009B3C6C"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Ezekiel 16</w:t>
      </w:r>
    </w:p>
  </w:footnote>
  <w:footnote w:id="251">
    <w:p w14:paraId="5E69B71A"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Leviticus 17. 11.</w:t>
      </w:r>
    </w:p>
  </w:footnote>
  <w:footnote w:id="252">
    <w:p w14:paraId="18A23F4F"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Exodus 3. 14.</w:t>
      </w:r>
    </w:p>
  </w:footnote>
  <w:footnote w:id="253">
    <w:p w14:paraId="236376FE"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211-212.</w:t>
      </w:r>
    </w:p>
  </w:footnote>
  <w:footnote w:id="254">
    <w:p w14:paraId="39D8B814" w14:textId="4FDA381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xml:space="preserve">, p. 211-212. </w:t>
      </w:r>
    </w:p>
  </w:footnote>
  <w:footnote w:id="255">
    <w:p w14:paraId="2B79608B" w14:textId="40779ECA" w:rsidR="002E04BA" w:rsidRPr="00BD1F38" w:rsidRDefault="002E04BA">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Ginsburg, </w:t>
      </w:r>
      <w:r w:rsidR="00FE2052" w:rsidRPr="00BD1F38">
        <w:rPr>
          <w:rFonts w:ascii="Times New Roman" w:hAnsi="Times New Roman" w:cs="Times New Roman"/>
          <w:i/>
          <w:iCs/>
          <w:color w:val="000000"/>
          <w:sz w:val="18"/>
          <w:szCs w:val="18"/>
        </w:rPr>
        <w:t>The Sabbath in the Classical Kabbalah,</w:t>
      </w:r>
      <w:r w:rsidR="00FE2052"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224.</w:t>
      </w:r>
    </w:p>
  </w:footnote>
  <w:footnote w:id="256">
    <w:p w14:paraId="4A1AADE2" w14:textId="0438D0A3"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Ginsburg, </w:t>
      </w:r>
      <w:r w:rsidR="00FE2052" w:rsidRPr="00BD1F38">
        <w:rPr>
          <w:rFonts w:ascii="Times New Roman" w:hAnsi="Times New Roman" w:cs="Times New Roman"/>
          <w:i/>
          <w:iCs/>
          <w:color w:val="000000"/>
          <w:sz w:val="18"/>
          <w:szCs w:val="18"/>
        </w:rPr>
        <w:t>The Sabbath in the Classical Kabbalah,</w:t>
      </w:r>
      <w:r w:rsidR="00FE2052" w:rsidRPr="00BD1F38">
        <w:rPr>
          <w:rFonts w:ascii="Times New Roman" w:hAnsi="Times New Roman" w:cs="Times New Roman"/>
          <w:sz w:val="18"/>
          <w:szCs w:val="18"/>
        </w:rPr>
        <w:t xml:space="preserve"> </w:t>
      </w:r>
      <w:r w:rsidRPr="00BD1F38">
        <w:rPr>
          <w:rFonts w:ascii="Times New Roman" w:hAnsi="Times New Roman" w:cs="Times New Roman"/>
          <w:sz w:val="18"/>
          <w:szCs w:val="18"/>
        </w:rPr>
        <w:t xml:space="preserve">p. 227. </w:t>
      </w:r>
    </w:p>
  </w:footnote>
  <w:footnote w:id="257">
    <w:p w14:paraId="7C8D900A"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Amy Coker, ‘Fluid Vocabulary: Flux in the lexicon of bodily emissions’ in </w:t>
      </w:r>
      <w:r w:rsidRPr="00BD1F38">
        <w:rPr>
          <w:rFonts w:ascii="Times New Roman" w:hAnsi="Times New Roman" w:cs="Times New Roman"/>
          <w:i/>
          <w:iCs/>
          <w:sz w:val="18"/>
          <w:szCs w:val="18"/>
          <w:lang w:val="en-US"/>
        </w:rPr>
        <w:t xml:space="preserve">Bodily Fluids In Antiquity, </w:t>
      </w:r>
      <w:r w:rsidRPr="00BD1F38">
        <w:rPr>
          <w:rFonts w:ascii="Times New Roman" w:hAnsi="Times New Roman" w:cs="Times New Roman"/>
          <w:sz w:val="18"/>
          <w:szCs w:val="18"/>
          <w:lang w:val="en-US"/>
        </w:rPr>
        <w:t>ed. by Mark Bradley, Victoria Leonard, Laurence Totelin (London &amp; New York: Routledge: Taylor &amp; Francis Group, 2021), pp. 17-41.</w:t>
      </w:r>
    </w:p>
  </w:footnote>
  <w:footnote w:id="258">
    <w:p w14:paraId="5DDBC0C6" w14:textId="543C647B"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AB220E"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122 (translator’s note).</w:t>
      </w:r>
    </w:p>
  </w:footnote>
  <w:footnote w:id="259">
    <w:p w14:paraId="527F508F" w14:textId="3FF6E55D"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AB220E"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122 (9.74.4).</w:t>
      </w:r>
    </w:p>
  </w:footnote>
  <w:footnote w:id="260">
    <w:p w14:paraId="7942559D" w14:textId="21095AB3"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AB220E"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122 (translator’s note).</w:t>
      </w:r>
    </w:p>
  </w:footnote>
  <w:footnote w:id="261">
    <w:p w14:paraId="00DB55CF" w14:textId="654710B8"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AB220E"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122 (translator’s note).</w:t>
      </w:r>
    </w:p>
  </w:footnote>
  <w:footnote w:id="262">
    <w:p w14:paraId="79779DB8" w14:textId="05331E76"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AB220E"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88 (translator’s note).</w:t>
      </w:r>
    </w:p>
  </w:footnote>
  <w:footnote w:id="263">
    <w:p w14:paraId="7CEA8C89" w14:textId="52A3B02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AB220E"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 xml:space="preserve">Rig </w:t>
      </w:r>
      <w:r w:rsidR="00AB220E" w:rsidRPr="00BD1F38">
        <w:rPr>
          <w:rFonts w:ascii="Times New Roman" w:hAnsi="Times New Roman" w:cs="Times New Roman"/>
          <w:i/>
          <w:iCs/>
          <w:sz w:val="18"/>
          <w:szCs w:val="18"/>
          <w:lang w:val="en-US"/>
        </w:rPr>
        <w:t>V</w:t>
      </w:r>
      <w:r w:rsidRPr="00BD1F38">
        <w:rPr>
          <w:rFonts w:ascii="Times New Roman" w:hAnsi="Times New Roman" w:cs="Times New Roman"/>
          <w:i/>
          <w:iCs/>
          <w:sz w:val="18"/>
          <w:szCs w:val="18"/>
          <w:lang w:val="en-US"/>
        </w:rPr>
        <w:t>eda</w:t>
      </w:r>
      <w:r w:rsidRPr="00BD1F38">
        <w:rPr>
          <w:rFonts w:ascii="Times New Roman" w:hAnsi="Times New Roman" w:cs="Times New Roman"/>
          <w:sz w:val="18"/>
          <w:szCs w:val="18"/>
          <w:lang w:val="en-US"/>
        </w:rPr>
        <w:t>, p. 39 (10.72.6).</w:t>
      </w:r>
    </w:p>
  </w:footnote>
  <w:footnote w:id="264">
    <w:p w14:paraId="4D1E5057" w14:textId="4BED4C94"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25 (10.129.4).</w:t>
      </w:r>
    </w:p>
  </w:footnote>
  <w:footnote w:id="265">
    <w:p w14:paraId="1EFCFB17" w14:textId="53EDB82C"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97 (translator’s note).</w:t>
      </w:r>
    </w:p>
  </w:footnote>
  <w:footnote w:id="266">
    <w:p w14:paraId="6A3960E4" w14:textId="4CEA031B"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25 (10.129.5).</w:t>
      </w:r>
    </w:p>
  </w:footnote>
  <w:footnote w:id="267">
    <w:p w14:paraId="36470C3B" w14:textId="18FCF55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p. 25 (10.129.5).</w:t>
      </w:r>
    </w:p>
  </w:footnote>
  <w:footnote w:id="268">
    <w:p w14:paraId="5EAD0182" w14:textId="7FCF2536"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97 (translator’s note).</w:t>
      </w:r>
    </w:p>
  </w:footnote>
  <w:footnote w:id="269">
    <w:p w14:paraId="2E1FBC68" w14:textId="33243EE3"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123 (9.74.7).</w:t>
      </w:r>
    </w:p>
  </w:footnote>
  <w:footnote w:id="270">
    <w:p w14:paraId="128BB601" w14:textId="3C388F3C"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rPr>
        <w:t>Rig Veda</w:t>
      </w:r>
      <w:r w:rsidRPr="00BD1F38">
        <w:rPr>
          <w:rFonts w:ascii="Times New Roman" w:hAnsi="Times New Roman" w:cs="Times New Roman"/>
          <w:sz w:val="18"/>
          <w:szCs w:val="18"/>
        </w:rPr>
        <w:t>, p. 123 (9.74).</w:t>
      </w:r>
    </w:p>
  </w:footnote>
  <w:footnote w:id="271">
    <w:p w14:paraId="14D1FE23" w14:textId="51EF5E34"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1D41CB" w:rsidRPr="00BD1F38">
        <w:rPr>
          <w:rFonts w:ascii="Times New Roman" w:hAnsi="Times New Roman" w:cs="Times New Roman"/>
          <w:sz w:val="18"/>
          <w:szCs w:val="18"/>
        </w:rPr>
        <w:t xml:space="preserve">Doniger, </w:t>
      </w:r>
      <w:r w:rsidRPr="00BD1F38">
        <w:rPr>
          <w:rFonts w:ascii="Times New Roman" w:hAnsi="Times New Roman" w:cs="Times New Roman"/>
          <w:i/>
          <w:iCs/>
          <w:sz w:val="18"/>
          <w:szCs w:val="18"/>
          <w:lang w:val="en-US"/>
        </w:rPr>
        <w:t>Rig Veda</w:t>
      </w:r>
      <w:r w:rsidRPr="00BD1F38">
        <w:rPr>
          <w:rFonts w:ascii="Times New Roman" w:hAnsi="Times New Roman" w:cs="Times New Roman"/>
          <w:sz w:val="18"/>
          <w:szCs w:val="18"/>
          <w:lang w:val="en-US"/>
        </w:rPr>
        <w:t xml:space="preserve">, p. 123 (9.74.6). </w:t>
      </w:r>
    </w:p>
  </w:footnote>
  <w:footnote w:id="272">
    <w:p w14:paraId="570F39EA" w14:textId="1F48B44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Ginsburg, </w:t>
      </w:r>
      <w:r w:rsidR="001D41CB" w:rsidRPr="00BD1F38">
        <w:rPr>
          <w:rFonts w:ascii="Times New Roman" w:hAnsi="Times New Roman" w:cs="Times New Roman"/>
          <w:i/>
          <w:iCs/>
          <w:color w:val="000000"/>
          <w:sz w:val="18"/>
          <w:szCs w:val="18"/>
        </w:rPr>
        <w:t>The Sabbath in the Classical Kabbalah,</w:t>
      </w:r>
      <w:r w:rsidR="001D41CB" w:rsidRPr="00BD1F38">
        <w:rPr>
          <w:rFonts w:ascii="Times New Roman" w:hAnsi="Times New Roman" w:cs="Times New Roman"/>
          <w:sz w:val="18"/>
          <w:szCs w:val="18"/>
        </w:rPr>
        <w:t xml:space="preserve"> </w:t>
      </w:r>
      <w:r w:rsidRPr="00BD1F38">
        <w:rPr>
          <w:rFonts w:ascii="Times New Roman" w:hAnsi="Times New Roman" w:cs="Times New Roman"/>
          <w:sz w:val="18"/>
          <w:szCs w:val="18"/>
        </w:rPr>
        <w:t>p. 37.</w:t>
      </w:r>
    </w:p>
  </w:footnote>
  <w:footnote w:id="273">
    <w:p w14:paraId="7E2D9E7F"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Deuteronomy 8. 9.</w:t>
      </w:r>
    </w:p>
  </w:footnote>
  <w:footnote w:id="274">
    <w:p w14:paraId="37265BD5" w14:textId="2691A330"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Singh, </w:t>
      </w:r>
      <w:r w:rsidR="00D22BA3" w:rsidRPr="00BD1F38">
        <w:rPr>
          <w:rFonts w:ascii="Times New Roman" w:hAnsi="Times New Roman" w:cs="Times New Roman"/>
          <w:sz w:val="18"/>
          <w:szCs w:val="18"/>
        </w:rPr>
        <w:t>‘WATER SYMBOLISM AND SACRED LANDSCAPE IN HINDUISM’,</w:t>
      </w:r>
      <w:r w:rsidR="00D22BA3"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lang w:val="en-US"/>
        </w:rPr>
        <w:t>p. 210.</w:t>
      </w:r>
    </w:p>
  </w:footnote>
  <w:footnote w:id="275">
    <w:p w14:paraId="559DD138"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276">
    <w:p w14:paraId="22703F31"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277">
    <w:p w14:paraId="4734F937" w14:textId="4C70BB2A"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Singh, </w:t>
      </w:r>
      <w:r w:rsidR="007332FA" w:rsidRPr="00BD1F38">
        <w:rPr>
          <w:rFonts w:ascii="Times New Roman" w:hAnsi="Times New Roman" w:cs="Times New Roman"/>
          <w:sz w:val="18"/>
          <w:szCs w:val="18"/>
        </w:rPr>
        <w:t>‘WATER SYMBOLISM AND SACRED LANDSCAPE IN HINDUISM’,</w:t>
      </w:r>
      <w:r w:rsidR="007332FA"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rPr>
        <w:t>p. 210.</w:t>
      </w:r>
    </w:p>
  </w:footnote>
  <w:footnote w:id="278">
    <w:p w14:paraId="56499895"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Roesler, </w:t>
      </w:r>
      <w:r w:rsidRPr="00BD1F38">
        <w:rPr>
          <w:rFonts w:ascii="Times New Roman" w:hAnsi="Times New Roman" w:cs="Times New Roman"/>
          <w:i/>
          <w:iCs/>
          <w:sz w:val="18"/>
          <w:szCs w:val="18"/>
        </w:rPr>
        <w:t>Development of a Reconceptualization of Archetype Theory,</w:t>
      </w:r>
      <w:r w:rsidRPr="00BD1F38">
        <w:rPr>
          <w:rFonts w:ascii="Times New Roman" w:hAnsi="Times New Roman" w:cs="Times New Roman"/>
          <w:sz w:val="18"/>
          <w:szCs w:val="18"/>
        </w:rPr>
        <w:t xml:space="preserve"> p. 243.</w:t>
      </w:r>
    </w:p>
  </w:footnote>
  <w:footnote w:id="279">
    <w:p w14:paraId="606F71A8"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xml:space="preserve">, p. 63. </w:t>
      </w:r>
    </w:p>
  </w:footnote>
  <w:footnote w:id="280">
    <w:p w14:paraId="2E681898" w14:textId="05E40955"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Cooper et al.</w:t>
      </w:r>
      <w:r w:rsidR="008F4FAC" w:rsidRPr="00BD1F38">
        <w:rPr>
          <w:rFonts w:ascii="Times New Roman" w:hAnsi="Times New Roman" w:cs="Times New Roman"/>
          <w:sz w:val="18"/>
          <w:szCs w:val="18"/>
          <w:lang w:val="en-US"/>
        </w:rPr>
        <w:t>, ‘Aesthetic and spiritual values of ecosystems’.</w:t>
      </w:r>
      <w:r w:rsidRPr="00BD1F38">
        <w:rPr>
          <w:rFonts w:ascii="Times New Roman" w:hAnsi="Times New Roman" w:cs="Times New Roman"/>
          <w:sz w:val="18"/>
          <w:szCs w:val="18"/>
          <w:lang w:val="en-US"/>
        </w:rPr>
        <w:t xml:space="preserve"> </w:t>
      </w:r>
    </w:p>
  </w:footnote>
  <w:footnote w:id="281">
    <w:p w14:paraId="6A843B89" w14:textId="6EA380A6" w:rsidR="0045403B" w:rsidRPr="00BD1F38" w:rsidRDefault="0045403B" w:rsidP="0045403B">
      <w:pPr>
        <w:autoSpaceDE w:val="0"/>
        <w:autoSpaceDN w:val="0"/>
        <w:adjustRightInd w:val="0"/>
        <w:rPr>
          <w:sz w:val="18"/>
          <w:szCs w:val="18"/>
        </w:rPr>
      </w:pPr>
      <w:r w:rsidRPr="00BD1F38">
        <w:rPr>
          <w:rStyle w:val="FootnoteReference"/>
          <w:sz w:val="18"/>
          <w:szCs w:val="18"/>
        </w:rPr>
        <w:footnoteRef/>
      </w:r>
      <w:r w:rsidRPr="00BD1F38">
        <w:rPr>
          <w:sz w:val="18"/>
          <w:szCs w:val="18"/>
        </w:rPr>
        <w:t xml:space="preserve"> O’Connor et al.</w:t>
      </w:r>
      <w:r w:rsidR="00AA40C7" w:rsidRPr="00BD1F38">
        <w:rPr>
          <w:sz w:val="18"/>
          <w:szCs w:val="18"/>
        </w:rPr>
        <w:t>,</w:t>
      </w:r>
      <w:r w:rsidRPr="00BD1F38">
        <w:rPr>
          <w:rFonts w:eastAsiaTheme="minorEastAsia"/>
          <w:sz w:val="18"/>
          <w:szCs w:val="18"/>
        </w:rPr>
        <w:t xml:space="preserve"> ‘Social Epistemology’.</w:t>
      </w:r>
    </w:p>
  </w:footnote>
  <w:footnote w:id="282">
    <w:p w14:paraId="6DECD913"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w:t>
      </w:r>
      <w:r w:rsidRPr="00BD1F38">
        <w:rPr>
          <w:rFonts w:ascii="Times New Roman" w:hAnsi="Times New Roman" w:cs="Times New Roman"/>
          <w:i/>
          <w:iCs/>
          <w:sz w:val="18"/>
          <w:szCs w:val="18"/>
        </w:rPr>
        <w:t>Civilisation in Transition</w:t>
      </w:r>
      <w:r w:rsidRPr="00BD1F38">
        <w:rPr>
          <w:rFonts w:ascii="Times New Roman" w:hAnsi="Times New Roman" w:cs="Times New Roman"/>
          <w:sz w:val="18"/>
          <w:szCs w:val="18"/>
        </w:rPr>
        <w:t>, p. 278.</w:t>
      </w:r>
    </w:p>
  </w:footnote>
  <w:footnote w:id="283">
    <w:p w14:paraId="325093BB"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w:t>
      </w:r>
      <w:r w:rsidRPr="00BD1F38">
        <w:rPr>
          <w:rFonts w:ascii="Times New Roman" w:hAnsi="Times New Roman" w:cs="Times New Roman"/>
          <w:i/>
          <w:iCs/>
          <w:sz w:val="18"/>
          <w:szCs w:val="18"/>
        </w:rPr>
        <w:t>Civilisation in Transition</w:t>
      </w:r>
      <w:r w:rsidRPr="00BD1F38">
        <w:rPr>
          <w:rFonts w:ascii="Times New Roman" w:hAnsi="Times New Roman" w:cs="Times New Roman"/>
          <w:sz w:val="18"/>
          <w:szCs w:val="18"/>
        </w:rPr>
        <w:t>, p. 278.</w:t>
      </w:r>
    </w:p>
  </w:footnote>
  <w:footnote w:id="284">
    <w:p w14:paraId="5840411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21.</w:t>
      </w:r>
    </w:p>
  </w:footnote>
  <w:footnote w:id="285">
    <w:p w14:paraId="340D756E" w14:textId="619DFA26"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w:t>
      </w:r>
      <w:r w:rsidRPr="00BD1F38">
        <w:rPr>
          <w:rStyle w:val="Emphasis"/>
          <w:rFonts w:ascii="Times New Roman" w:hAnsi="Times New Roman" w:cs="Times New Roman"/>
          <w:color w:val="000000"/>
          <w:sz w:val="18"/>
          <w:szCs w:val="18"/>
        </w:rPr>
        <w:t xml:space="preserve">Civilisation in Transition, </w:t>
      </w:r>
      <w:r w:rsidRPr="00BD1F38">
        <w:rPr>
          <w:rStyle w:val="Emphasis"/>
          <w:rFonts w:ascii="Times New Roman" w:hAnsi="Times New Roman" w:cs="Times New Roman"/>
          <w:i w:val="0"/>
          <w:iCs w:val="0"/>
          <w:color w:val="000000"/>
          <w:sz w:val="18"/>
          <w:szCs w:val="18"/>
        </w:rPr>
        <w:t>p. 29.</w:t>
      </w:r>
    </w:p>
  </w:footnote>
  <w:footnote w:id="286">
    <w:p w14:paraId="035EDCA6" w14:textId="192AD3FE"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Jung, </w:t>
      </w:r>
      <w:r w:rsidRPr="00BD1F38">
        <w:rPr>
          <w:rFonts w:ascii="Times New Roman" w:hAnsi="Times New Roman" w:cs="Times New Roman"/>
          <w:i/>
          <w:iCs/>
          <w:sz w:val="18"/>
          <w:szCs w:val="18"/>
          <w:lang w:val="en-US"/>
        </w:rPr>
        <w:t>The Symbolic Life</w:t>
      </w:r>
      <w:r w:rsidRPr="00BD1F38">
        <w:rPr>
          <w:rFonts w:ascii="Times New Roman" w:hAnsi="Times New Roman" w:cs="Times New Roman"/>
          <w:sz w:val="18"/>
          <w:szCs w:val="18"/>
          <w:lang w:val="en-US"/>
        </w:rPr>
        <w:t xml:space="preserve">: </w:t>
      </w:r>
      <w:r w:rsidRPr="00BD1F38">
        <w:rPr>
          <w:rFonts w:ascii="Times New Roman" w:hAnsi="Times New Roman" w:cs="Times New Roman"/>
          <w:i/>
          <w:iCs/>
          <w:sz w:val="18"/>
          <w:szCs w:val="18"/>
          <w:lang w:val="en-US"/>
        </w:rPr>
        <w:t>Miscellaneous Writings</w:t>
      </w:r>
      <w:r w:rsidRPr="00BD1F38">
        <w:rPr>
          <w:rFonts w:ascii="Times New Roman" w:hAnsi="Times New Roman" w:cs="Times New Roman"/>
          <w:sz w:val="18"/>
          <w:szCs w:val="18"/>
          <w:lang w:val="en-US"/>
        </w:rPr>
        <w:t xml:space="preserve">, </w:t>
      </w:r>
      <w:r w:rsidR="00F50F91" w:rsidRPr="00BD1F38">
        <w:rPr>
          <w:rFonts w:ascii="Times New Roman" w:hAnsi="Times New Roman" w:cs="Times New Roman"/>
          <w:color w:val="000000"/>
          <w:sz w:val="18"/>
          <w:szCs w:val="18"/>
        </w:rPr>
        <w:t>page 30 (</w:t>
      </w:r>
      <w:r w:rsidRPr="00BD1F38">
        <w:rPr>
          <w:rFonts w:ascii="Times New Roman" w:hAnsi="Times New Roman" w:cs="Times New Roman"/>
          <w:color w:val="000000"/>
          <w:sz w:val="18"/>
          <w:szCs w:val="18"/>
        </w:rPr>
        <w:t>paragraph 20</w:t>
      </w:r>
      <w:r w:rsidR="00F50F91" w:rsidRPr="00BD1F38">
        <w:rPr>
          <w:rFonts w:ascii="Times New Roman" w:hAnsi="Times New Roman" w:cs="Times New Roman"/>
          <w:color w:val="000000"/>
          <w:sz w:val="18"/>
          <w:szCs w:val="18"/>
        </w:rPr>
        <w:t>)</w:t>
      </w:r>
      <w:r w:rsidRPr="00BD1F38">
        <w:rPr>
          <w:rFonts w:ascii="Times New Roman" w:hAnsi="Times New Roman" w:cs="Times New Roman"/>
          <w:color w:val="000000"/>
          <w:sz w:val="18"/>
          <w:szCs w:val="18"/>
        </w:rPr>
        <w:t>.</w:t>
      </w:r>
    </w:p>
  </w:footnote>
  <w:footnote w:id="287">
    <w:p w14:paraId="69437E0E" w14:textId="25553F04"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Hewitt, </w:t>
      </w:r>
      <w:r w:rsidR="003602B2" w:rsidRPr="00BD1F38">
        <w:rPr>
          <w:rFonts w:ascii="Times New Roman" w:hAnsi="Times New Roman" w:cs="Times New Roman"/>
          <w:sz w:val="18"/>
          <w:szCs w:val="18"/>
          <w:lang w:val="en-US"/>
        </w:rPr>
        <w:t>I</w:t>
      </w:r>
      <w:r w:rsidR="003602B2" w:rsidRPr="00BD1F38">
        <w:rPr>
          <w:rFonts w:ascii="Times New Roman" w:hAnsi="Times New Roman" w:cs="Times New Roman"/>
          <w:i/>
          <w:iCs/>
          <w:sz w:val="18"/>
          <w:szCs w:val="18"/>
          <w:lang w:val="en-US"/>
        </w:rPr>
        <w:t>nterpretations of Calamity,</w:t>
      </w:r>
      <w:r w:rsidR="003602B2" w:rsidRPr="00BD1F38">
        <w:rPr>
          <w:rFonts w:ascii="Times New Roman" w:hAnsi="Times New Roman" w:cs="Times New Roman"/>
          <w:sz w:val="18"/>
          <w:szCs w:val="18"/>
        </w:rPr>
        <w:t xml:space="preserve"> </w:t>
      </w:r>
      <w:r w:rsidRPr="00BD1F38">
        <w:rPr>
          <w:rFonts w:ascii="Times New Roman" w:hAnsi="Times New Roman" w:cs="Times New Roman"/>
          <w:sz w:val="18"/>
          <w:szCs w:val="18"/>
        </w:rPr>
        <w:t>p. 17.</w:t>
      </w:r>
    </w:p>
  </w:footnote>
  <w:footnote w:id="288">
    <w:p w14:paraId="5D47D04D" w14:textId="2A6CD382"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Joshua 24</w:t>
      </w:r>
      <w:r w:rsidR="000F2A31" w:rsidRPr="00BD1F38">
        <w:rPr>
          <w:rFonts w:ascii="Times New Roman" w:hAnsi="Times New Roman" w:cs="Times New Roman"/>
          <w:sz w:val="18"/>
          <w:szCs w:val="18"/>
        </w:rPr>
        <w:t xml:space="preserve">. </w:t>
      </w:r>
      <w:r w:rsidRPr="00BD1F38">
        <w:rPr>
          <w:rFonts w:ascii="Times New Roman" w:hAnsi="Times New Roman" w:cs="Times New Roman"/>
          <w:sz w:val="18"/>
          <w:szCs w:val="18"/>
        </w:rPr>
        <w:t xml:space="preserve">14. </w:t>
      </w:r>
    </w:p>
  </w:footnote>
  <w:footnote w:id="289">
    <w:p w14:paraId="0D48A8D6" w14:textId="112BF457" w:rsidR="00A0733B" w:rsidRPr="00BD1F38" w:rsidRDefault="00A073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Tucker, and Grim, ‘Introduction: The Emerging Alliance of World Religions and Ecology’, p. 4.</w:t>
      </w:r>
    </w:p>
  </w:footnote>
  <w:footnote w:id="290">
    <w:p w14:paraId="09D32613" w14:textId="32FB45ED" w:rsidR="00E6699D" w:rsidRPr="00BD1F38" w:rsidRDefault="00E6699D">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A History of Religious Ideas Volume 2, </w:t>
      </w:r>
      <w:r w:rsidRPr="00BD1F38">
        <w:rPr>
          <w:rFonts w:ascii="Times New Roman" w:hAnsi="Times New Roman" w:cs="Times New Roman"/>
          <w:sz w:val="18"/>
          <w:szCs w:val="18"/>
        </w:rPr>
        <w:t>SECTION 140.</w:t>
      </w:r>
    </w:p>
  </w:footnote>
  <w:footnote w:id="291">
    <w:p w14:paraId="3D65BF7E" w14:textId="2D90FB73" w:rsidR="0045403B" w:rsidRPr="00BD1F38" w:rsidRDefault="0045403B" w:rsidP="0045403B">
      <w:pPr>
        <w:autoSpaceDE w:val="0"/>
        <w:autoSpaceDN w:val="0"/>
        <w:adjustRightInd w:val="0"/>
        <w:rPr>
          <w:rFonts w:eastAsiaTheme="minorEastAsia"/>
          <w:sz w:val="18"/>
          <w:szCs w:val="18"/>
          <w:lang w:val="en-US"/>
        </w:rPr>
      </w:pPr>
      <w:r w:rsidRPr="00BD1F38">
        <w:rPr>
          <w:rStyle w:val="FootnoteReference"/>
          <w:sz w:val="18"/>
          <w:szCs w:val="18"/>
        </w:rPr>
        <w:footnoteRef/>
      </w:r>
      <w:r w:rsidRPr="00BD1F38">
        <w:rPr>
          <w:sz w:val="18"/>
          <w:szCs w:val="18"/>
        </w:rPr>
        <w:t xml:space="preserve"> McCool et al., </w:t>
      </w:r>
      <w:r w:rsidR="004778DB" w:rsidRPr="00BD1F38">
        <w:rPr>
          <w:sz w:val="18"/>
          <w:szCs w:val="18"/>
        </w:rPr>
        <w:t>‘</w:t>
      </w:r>
      <w:r w:rsidR="004778DB" w:rsidRPr="00BD1F38">
        <w:rPr>
          <w:rFonts w:eastAsiaTheme="minorEastAsia"/>
          <w:sz w:val="18"/>
          <w:szCs w:val="18"/>
        </w:rPr>
        <w:t>Water, Recreation, and Society’,</w:t>
      </w:r>
      <w:r w:rsidR="004778DB" w:rsidRPr="00BD1F38">
        <w:rPr>
          <w:rFonts w:eastAsiaTheme="minorEastAsia"/>
          <w:sz w:val="18"/>
          <w:szCs w:val="18"/>
          <w:lang w:val="en-US"/>
        </w:rPr>
        <w:t xml:space="preserve"> </w:t>
      </w:r>
      <w:r w:rsidRPr="00BD1F38">
        <w:rPr>
          <w:rFonts w:eastAsiaTheme="minorEastAsia"/>
          <w:sz w:val="18"/>
          <w:szCs w:val="18"/>
          <w:lang w:val="en-US"/>
        </w:rPr>
        <w:t>p.9.</w:t>
      </w:r>
    </w:p>
  </w:footnote>
  <w:footnote w:id="292">
    <w:p w14:paraId="03701E51" w14:textId="4A5C3711"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Sahlins, </w:t>
      </w:r>
      <w:r w:rsidR="00D22483" w:rsidRPr="00BD1F38">
        <w:rPr>
          <w:rFonts w:ascii="Times New Roman" w:hAnsi="Times New Roman" w:cs="Times New Roman"/>
          <w:i/>
          <w:iCs/>
          <w:sz w:val="18"/>
          <w:szCs w:val="18"/>
        </w:rPr>
        <w:t>Historical Metaphors and Mythical Realities,</w:t>
      </w:r>
      <w:r w:rsidR="00D22483" w:rsidRPr="00BD1F38">
        <w:rPr>
          <w:rFonts w:ascii="Times New Roman" w:hAnsi="Times New Roman" w:cs="Times New Roman"/>
          <w:sz w:val="18"/>
          <w:szCs w:val="18"/>
        </w:rPr>
        <w:t xml:space="preserve"> </w:t>
      </w:r>
      <w:r w:rsidRPr="00BD1F38">
        <w:rPr>
          <w:rFonts w:ascii="Times New Roman" w:hAnsi="Times New Roman" w:cs="Times New Roman"/>
          <w:sz w:val="18"/>
          <w:szCs w:val="18"/>
        </w:rPr>
        <w:t>p. 6-7.</w:t>
      </w:r>
    </w:p>
  </w:footnote>
  <w:footnote w:id="293">
    <w:p w14:paraId="7F47BF39" w14:textId="50320032"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Sahlins, </w:t>
      </w:r>
      <w:r w:rsidR="00D22483" w:rsidRPr="00BD1F38">
        <w:rPr>
          <w:rFonts w:ascii="Times New Roman" w:hAnsi="Times New Roman" w:cs="Times New Roman"/>
          <w:i/>
          <w:iCs/>
          <w:sz w:val="18"/>
          <w:szCs w:val="18"/>
        </w:rPr>
        <w:t>Historical Metaphors and Mythical Realities,</w:t>
      </w:r>
      <w:r w:rsidR="00D22483" w:rsidRPr="00BD1F38">
        <w:rPr>
          <w:rFonts w:ascii="Times New Roman" w:hAnsi="Times New Roman" w:cs="Times New Roman"/>
          <w:sz w:val="18"/>
          <w:szCs w:val="18"/>
        </w:rPr>
        <w:t xml:space="preserve"> </w:t>
      </w:r>
      <w:r w:rsidRPr="00BD1F38">
        <w:rPr>
          <w:rFonts w:ascii="Times New Roman" w:hAnsi="Times New Roman" w:cs="Times New Roman"/>
          <w:sz w:val="18"/>
          <w:szCs w:val="18"/>
        </w:rPr>
        <w:t>p. 6-7.</w:t>
      </w:r>
    </w:p>
  </w:footnote>
  <w:footnote w:id="294">
    <w:p w14:paraId="7E7FD79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183.</w:t>
      </w:r>
    </w:p>
  </w:footnote>
  <w:footnote w:id="295">
    <w:p w14:paraId="097E3BEF" w14:textId="13FDC872"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BC5D00" w:rsidRPr="00BD1F38">
        <w:rPr>
          <w:rFonts w:ascii="Times New Roman" w:hAnsi="Times New Roman" w:cs="Times New Roman"/>
          <w:sz w:val="18"/>
          <w:szCs w:val="18"/>
          <w:lang w:val="en-US"/>
        </w:rPr>
        <w:t>Isaiah 55. 1.</w:t>
      </w:r>
    </w:p>
  </w:footnote>
  <w:footnote w:id="296">
    <w:p w14:paraId="4ACDFA58" w14:textId="1D9A71D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070697" w:rsidRPr="00BD1F38">
        <w:rPr>
          <w:rFonts w:ascii="Times New Roman" w:hAnsi="Times New Roman" w:cs="Times New Roman"/>
          <w:sz w:val="18"/>
          <w:szCs w:val="18"/>
        </w:rPr>
        <w:t xml:space="preserve">McDonald, </w:t>
      </w:r>
      <w:r w:rsidR="00AF17B5" w:rsidRPr="00BD1F38">
        <w:rPr>
          <w:rFonts w:ascii="Times New Roman" w:hAnsi="Times New Roman" w:cs="Times New Roman"/>
          <w:sz w:val="18"/>
          <w:szCs w:val="18"/>
        </w:rPr>
        <w:t xml:space="preserve">‘A Botanical Perspective on the Identity of Soma’, </w:t>
      </w:r>
      <w:r w:rsidR="00070697" w:rsidRPr="00BD1F38">
        <w:rPr>
          <w:rFonts w:ascii="Times New Roman" w:hAnsi="Times New Roman" w:cs="Times New Roman"/>
          <w:sz w:val="18"/>
          <w:szCs w:val="18"/>
        </w:rPr>
        <w:t>p. S148.</w:t>
      </w:r>
    </w:p>
  </w:footnote>
  <w:footnote w:id="297">
    <w:p w14:paraId="5B09D67D" w14:textId="06338F00"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Cooper et al.</w:t>
      </w:r>
      <w:r w:rsidR="001600FF" w:rsidRPr="00BD1F38">
        <w:rPr>
          <w:rFonts w:ascii="Times New Roman" w:hAnsi="Times New Roman" w:cs="Times New Roman"/>
          <w:sz w:val="18"/>
          <w:szCs w:val="18"/>
        </w:rPr>
        <w:t>, ‘Water, Recreation, and Society’.</w:t>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 </w:t>
      </w:r>
    </w:p>
  </w:footnote>
  <w:footnote w:id="298">
    <w:p w14:paraId="23764F0E" w14:textId="610747ED"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Leopold cited by Cooper et al.</w:t>
      </w:r>
      <w:r w:rsidR="00171378" w:rsidRPr="00BD1F38">
        <w:rPr>
          <w:rFonts w:ascii="Times New Roman" w:hAnsi="Times New Roman" w:cs="Times New Roman"/>
          <w:sz w:val="18"/>
          <w:szCs w:val="18"/>
        </w:rPr>
        <w:t xml:space="preserve">, ‘Water, Recreation, and Society’. </w:t>
      </w:r>
      <w:r w:rsidR="00171378" w:rsidRPr="00BD1F38">
        <w:rPr>
          <w:rFonts w:ascii="Times New Roman" w:hAnsi="Times New Roman" w:cs="Times New Roman"/>
          <w:sz w:val="18"/>
          <w:szCs w:val="18"/>
          <w:lang w:val="en-US"/>
        </w:rPr>
        <w:t xml:space="preserve"> </w:t>
      </w:r>
      <w:r w:rsidRPr="00BD1F38">
        <w:rPr>
          <w:rFonts w:ascii="Times New Roman" w:hAnsi="Times New Roman" w:cs="Times New Roman"/>
          <w:sz w:val="18"/>
          <w:szCs w:val="18"/>
        </w:rPr>
        <w:t xml:space="preserve"> </w:t>
      </w:r>
    </w:p>
  </w:footnote>
  <w:footnote w:id="299">
    <w:p w14:paraId="0CC3972B" w14:textId="7F721960"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Cooper et al.</w:t>
      </w:r>
      <w:r w:rsidR="007E085C" w:rsidRPr="00BD1F38">
        <w:rPr>
          <w:rFonts w:ascii="Times New Roman" w:hAnsi="Times New Roman" w:cs="Times New Roman"/>
          <w:sz w:val="18"/>
          <w:szCs w:val="18"/>
        </w:rPr>
        <w:t>, ‘Water, Recreation, and Society’.</w:t>
      </w:r>
      <w:r w:rsidRPr="00BD1F38">
        <w:rPr>
          <w:rFonts w:ascii="Times New Roman" w:hAnsi="Times New Roman" w:cs="Times New Roman"/>
          <w:sz w:val="18"/>
          <w:szCs w:val="18"/>
        </w:rPr>
        <w:t xml:space="preserve"> </w:t>
      </w:r>
    </w:p>
  </w:footnote>
  <w:footnote w:id="300">
    <w:p w14:paraId="468B003F" w14:textId="2EB0C614"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Pejathaya and Pradeep,</w:t>
      </w:r>
      <w:r w:rsidR="0077643E" w:rsidRPr="00BD1F38">
        <w:rPr>
          <w:rFonts w:ascii="Times New Roman" w:hAnsi="Times New Roman" w:cs="Times New Roman"/>
          <w:sz w:val="18"/>
          <w:szCs w:val="18"/>
        </w:rPr>
        <w:t xml:space="preserve"> ‘Sahṛdaya’,</w:t>
      </w:r>
      <w:r w:rsidRPr="00BD1F38">
        <w:rPr>
          <w:rFonts w:ascii="Times New Roman" w:hAnsi="Times New Roman" w:cs="Times New Roman"/>
          <w:sz w:val="18"/>
          <w:szCs w:val="18"/>
        </w:rPr>
        <w:t xml:space="preserve"> p. 258.</w:t>
      </w:r>
    </w:p>
  </w:footnote>
  <w:footnote w:id="301">
    <w:p w14:paraId="5D95507E" w14:textId="5B941DB6"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Tucker and Grim, </w:t>
      </w:r>
      <w:r w:rsidR="00FF7AF0" w:rsidRPr="00BD1F38">
        <w:rPr>
          <w:rFonts w:ascii="Times New Roman" w:hAnsi="Times New Roman" w:cs="Times New Roman"/>
          <w:sz w:val="18"/>
          <w:szCs w:val="18"/>
        </w:rPr>
        <w:t xml:space="preserve">‘Introduction: The Emerging Alliance of World Religions and Ecology’, </w:t>
      </w:r>
      <w:r w:rsidRPr="00BD1F38">
        <w:rPr>
          <w:rFonts w:ascii="Times New Roman" w:hAnsi="Times New Roman" w:cs="Times New Roman"/>
          <w:sz w:val="18"/>
          <w:szCs w:val="18"/>
          <w:lang w:val="en-US"/>
        </w:rPr>
        <w:t>p. 4.</w:t>
      </w:r>
    </w:p>
  </w:footnote>
  <w:footnote w:id="302">
    <w:p w14:paraId="443DE949" w14:textId="130E5B9E"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Sahlins, </w:t>
      </w:r>
      <w:r w:rsidR="00FC04FD" w:rsidRPr="00BD1F38">
        <w:rPr>
          <w:rFonts w:ascii="Times New Roman" w:hAnsi="Times New Roman" w:cs="Times New Roman"/>
          <w:i/>
          <w:iCs/>
          <w:sz w:val="18"/>
          <w:szCs w:val="18"/>
        </w:rPr>
        <w:t>Historical Metaphors and Mythical Realities,</w:t>
      </w:r>
      <w:r w:rsidR="00FC04FD" w:rsidRPr="00BD1F38">
        <w:rPr>
          <w:rFonts w:ascii="Times New Roman" w:hAnsi="Times New Roman" w:cs="Times New Roman"/>
          <w:sz w:val="18"/>
          <w:szCs w:val="18"/>
        </w:rPr>
        <w:t xml:space="preserve"> </w:t>
      </w:r>
      <w:r w:rsidRPr="00BD1F38">
        <w:rPr>
          <w:rFonts w:ascii="Times New Roman" w:hAnsi="Times New Roman" w:cs="Times New Roman"/>
          <w:sz w:val="18"/>
          <w:szCs w:val="18"/>
        </w:rPr>
        <w:t>p. 6-7.</w:t>
      </w:r>
    </w:p>
  </w:footnote>
  <w:footnote w:id="303">
    <w:p w14:paraId="162B647F" w14:textId="7BED8142"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w:t>
      </w:r>
      <w:r w:rsidRPr="00BD1F38">
        <w:rPr>
          <w:rStyle w:val="Emphasis"/>
          <w:rFonts w:ascii="Times New Roman" w:hAnsi="Times New Roman" w:cs="Times New Roman"/>
          <w:color w:val="000000"/>
          <w:sz w:val="18"/>
          <w:szCs w:val="18"/>
        </w:rPr>
        <w:t xml:space="preserve">Civilisation in Transition, </w:t>
      </w:r>
      <w:r w:rsidRPr="00BD1F38">
        <w:rPr>
          <w:rStyle w:val="Emphasis"/>
          <w:rFonts w:ascii="Times New Roman" w:hAnsi="Times New Roman" w:cs="Times New Roman"/>
          <w:i w:val="0"/>
          <w:iCs w:val="0"/>
          <w:color w:val="000000"/>
          <w:sz w:val="18"/>
          <w:szCs w:val="18"/>
        </w:rPr>
        <w:t>p. 29.</w:t>
      </w:r>
    </w:p>
  </w:footnote>
  <w:footnote w:id="304">
    <w:p w14:paraId="19BB20D9" w14:textId="6184C393"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w:t>
      </w:r>
      <w:r w:rsidRPr="00BD1F38">
        <w:rPr>
          <w:rStyle w:val="Emphasis"/>
          <w:rFonts w:ascii="Times New Roman" w:hAnsi="Times New Roman" w:cs="Times New Roman"/>
          <w:color w:val="000000"/>
          <w:sz w:val="18"/>
          <w:szCs w:val="18"/>
        </w:rPr>
        <w:t xml:space="preserve">Civilisation in Transition, </w:t>
      </w:r>
      <w:r w:rsidRPr="00BD1F38">
        <w:rPr>
          <w:rStyle w:val="Emphasis"/>
          <w:rFonts w:ascii="Times New Roman" w:hAnsi="Times New Roman" w:cs="Times New Roman"/>
          <w:i w:val="0"/>
          <w:iCs w:val="0"/>
          <w:color w:val="000000"/>
          <w:sz w:val="18"/>
          <w:szCs w:val="18"/>
        </w:rPr>
        <w:t>p. 29.</w:t>
      </w:r>
    </w:p>
  </w:footnote>
  <w:footnote w:id="305">
    <w:p w14:paraId="3AE7EDF6"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lang w:val="en-US"/>
        </w:rPr>
        <w:t>The Sacred &amp; The Profane</w:t>
      </w:r>
      <w:r w:rsidRPr="00BD1F38">
        <w:rPr>
          <w:rFonts w:ascii="Times New Roman" w:hAnsi="Times New Roman" w:cs="Times New Roman"/>
          <w:sz w:val="18"/>
          <w:szCs w:val="18"/>
          <w:lang w:val="en-US"/>
        </w:rPr>
        <w:t>, p. 15.</w:t>
      </w:r>
    </w:p>
  </w:footnote>
  <w:footnote w:id="306">
    <w:p w14:paraId="6EA0DAFE" w14:textId="68A182AF"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Sahlins, </w:t>
      </w:r>
      <w:r w:rsidR="006D70AF" w:rsidRPr="00BD1F38">
        <w:rPr>
          <w:rFonts w:ascii="Times New Roman" w:hAnsi="Times New Roman" w:cs="Times New Roman"/>
          <w:i/>
          <w:iCs/>
          <w:sz w:val="18"/>
          <w:szCs w:val="18"/>
        </w:rPr>
        <w:t>Historical Metaphors and Mythical Realities</w:t>
      </w:r>
      <w:r w:rsidR="006D70AF" w:rsidRPr="00BD1F38">
        <w:rPr>
          <w:rFonts w:ascii="Times New Roman" w:hAnsi="Times New Roman" w:cs="Times New Roman"/>
          <w:sz w:val="18"/>
          <w:szCs w:val="18"/>
        </w:rPr>
        <w:t xml:space="preserve">, </w:t>
      </w:r>
      <w:r w:rsidRPr="00BD1F38">
        <w:rPr>
          <w:rFonts w:ascii="Times New Roman" w:hAnsi="Times New Roman" w:cs="Times New Roman"/>
          <w:sz w:val="18"/>
          <w:szCs w:val="18"/>
        </w:rPr>
        <w:t>p. 7.</w:t>
      </w:r>
    </w:p>
  </w:footnote>
  <w:footnote w:id="307">
    <w:p w14:paraId="2BFE404E"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 xml:space="preserve">The </w:t>
      </w:r>
      <w:r w:rsidRPr="00BD1F38">
        <w:rPr>
          <w:rFonts w:ascii="Times New Roman" w:hAnsi="Times New Roman" w:cs="Times New Roman"/>
          <w:i/>
          <w:iCs/>
          <w:sz w:val="18"/>
          <w:szCs w:val="18"/>
          <w:lang w:val="en-US"/>
        </w:rPr>
        <w:t>Sacred &amp; The Profane</w:t>
      </w:r>
      <w:r w:rsidRPr="00BD1F38">
        <w:rPr>
          <w:rFonts w:ascii="Times New Roman" w:hAnsi="Times New Roman" w:cs="Times New Roman"/>
          <w:sz w:val="18"/>
          <w:szCs w:val="18"/>
          <w:lang w:val="en-US"/>
        </w:rPr>
        <w:t>, p. 56.</w:t>
      </w:r>
    </w:p>
  </w:footnote>
  <w:footnote w:id="308">
    <w:p w14:paraId="53F5B7E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79.</w:t>
      </w:r>
    </w:p>
  </w:footnote>
  <w:footnote w:id="309">
    <w:p w14:paraId="149C9194"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183.</w:t>
      </w:r>
    </w:p>
  </w:footnote>
  <w:footnote w:id="310">
    <w:p w14:paraId="558995E2"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15.</w:t>
      </w:r>
    </w:p>
  </w:footnote>
  <w:footnote w:id="311">
    <w:p w14:paraId="53293266" w14:textId="24EA9EA2"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Mur et al.</w:t>
      </w:r>
      <w:r w:rsidR="0009662D" w:rsidRPr="00BD1F38">
        <w:rPr>
          <w:rFonts w:ascii="Times New Roman" w:hAnsi="Times New Roman" w:cs="Times New Roman"/>
          <w:sz w:val="18"/>
          <w:szCs w:val="18"/>
          <w:lang w:val="en-US"/>
        </w:rPr>
        <w:t xml:space="preserve">, </w:t>
      </w:r>
      <w:r w:rsidR="0009662D" w:rsidRPr="00BD1F38">
        <w:rPr>
          <w:rFonts w:ascii="Times New Roman" w:hAnsi="Times New Roman" w:cs="Times New Roman"/>
          <w:sz w:val="18"/>
          <w:szCs w:val="18"/>
        </w:rPr>
        <w:t>’Human object-similarity judgments reflect and transcend the primate-IT object representation’.</w:t>
      </w:r>
      <w:r w:rsidRPr="00BD1F38">
        <w:rPr>
          <w:rFonts w:ascii="Times New Roman" w:hAnsi="Times New Roman" w:cs="Times New Roman"/>
          <w:sz w:val="18"/>
          <w:szCs w:val="18"/>
          <w:lang w:val="en-US"/>
        </w:rPr>
        <w:t xml:space="preserve"> </w:t>
      </w:r>
    </w:p>
  </w:footnote>
  <w:footnote w:id="312">
    <w:p w14:paraId="6E7F677E" w14:textId="5724C060"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DeVito.</w:t>
      </w:r>
      <w:r w:rsidR="0016087D" w:rsidRPr="00BD1F38">
        <w:rPr>
          <w:rFonts w:ascii="Times New Roman" w:hAnsi="Times New Roman" w:cs="Times New Roman"/>
          <w:sz w:val="18"/>
          <w:szCs w:val="18"/>
          <w:lang w:val="en-US"/>
        </w:rPr>
        <w:t xml:space="preserve">, </w:t>
      </w:r>
      <w:r w:rsidR="0016087D" w:rsidRPr="00BD1F38">
        <w:rPr>
          <w:rFonts w:ascii="Times New Roman" w:hAnsi="Times New Roman" w:cs="Times New Roman"/>
          <w:sz w:val="18"/>
          <w:szCs w:val="18"/>
        </w:rPr>
        <w:t>‘Why We’re Drawn to People Who Are Similar to Us’.</w:t>
      </w:r>
      <w:r w:rsidRPr="00BD1F38">
        <w:rPr>
          <w:rFonts w:ascii="Times New Roman" w:hAnsi="Times New Roman" w:cs="Times New Roman"/>
          <w:sz w:val="18"/>
          <w:szCs w:val="18"/>
          <w:lang w:val="en-US"/>
        </w:rPr>
        <w:t xml:space="preserve"> </w:t>
      </w:r>
    </w:p>
  </w:footnote>
  <w:footnote w:id="313">
    <w:p w14:paraId="28B230F4" w14:textId="3058576B"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Mur et al.</w:t>
      </w:r>
      <w:r w:rsidR="0009662D" w:rsidRPr="00BD1F38">
        <w:rPr>
          <w:rFonts w:ascii="Times New Roman" w:hAnsi="Times New Roman" w:cs="Times New Roman"/>
          <w:sz w:val="18"/>
          <w:szCs w:val="18"/>
        </w:rPr>
        <w:t>, ’Human object-similarity judgments reflect and transcend the primate-IT object representation’.</w:t>
      </w:r>
    </w:p>
  </w:footnote>
  <w:footnote w:id="314">
    <w:p w14:paraId="570CD4EF" w14:textId="48D8AF39"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DeVito.</w:t>
      </w:r>
      <w:r w:rsidR="00330603" w:rsidRPr="00BD1F38">
        <w:rPr>
          <w:rFonts w:ascii="Times New Roman" w:hAnsi="Times New Roman" w:cs="Times New Roman"/>
          <w:sz w:val="18"/>
          <w:szCs w:val="18"/>
        </w:rPr>
        <w:t>, ‘Why We’re Drawn to People Who Are Similar to Us’.</w:t>
      </w:r>
      <w:r w:rsidRPr="00BD1F38">
        <w:rPr>
          <w:rFonts w:ascii="Times New Roman" w:hAnsi="Times New Roman" w:cs="Times New Roman"/>
          <w:sz w:val="18"/>
          <w:szCs w:val="18"/>
        </w:rPr>
        <w:t xml:space="preserve"> </w:t>
      </w:r>
    </w:p>
  </w:footnote>
  <w:footnote w:id="315">
    <w:p w14:paraId="2251BBED"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 xml:space="preserve">Eliade, </w:t>
      </w:r>
      <w:r w:rsidRPr="00BD1F38">
        <w:rPr>
          <w:rFonts w:ascii="Times New Roman" w:hAnsi="Times New Roman" w:cs="Times New Roman"/>
          <w:i/>
          <w:iCs/>
          <w:sz w:val="18"/>
          <w:szCs w:val="18"/>
          <w:lang w:val="en-US"/>
        </w:rPr>
        <w:t>A History of Religious Ideas Vol. 2</w:t>
      </w:r>
      <w:r w:rsidRPr="00BD1F38">
        <w:rPr>
          <w:rFonts w:ascii="Times New Roman" w:hAnsi="Times New Roman" w:cs="Times New Roman"/>
          <w:sz w:val="18"/>
          <w:szCs w:val="18"/>
          <w:lang w:val="en-US"/>
        </w:rPr>
        <w:t>, Section 140.</w:t>
      </w:r>
    </w:p>
  </w:footnote>
  <w:footnote w:id="316">
    <w:p w14:paraId="34A34A8A" w14:textId="77777777"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Jung, </w:t>
      </w:r>
      <w:r w:rsidRPr="00BD1F38">
        <w:rPr>
          <w:rFonts w:ascii="Times New Roman" w:hAnsi="Times New Roman" w:cs="Times New Roman"/>
          <w:i/>
          <w:iCs/>
          <w:sz w:val="18"/>
          <w:szCs w:val="18"/>
        </w:rPr>
        <w:t>Civilisation in Transition</w:t>
      </w:r>
      <w:r w:rsidRPr="00BD1F38">
        <w:rPr>
          <w:rFonts w:ascii="Times New Roman" w:hAnsi="Times New Roman" w:cs="Times New Roman"/>
          <w:sz w:val="18"/>
          <w:szCs w:val="18"/>
        </w:rPr>
        <w:t>, p. 278.</w:t>
      </w:r>
    </w:p>
  </w:footnote>
  <w:footnote w:id="317">
    <w:p w14:paraId="776F68FF" w14:textId="3E8957C6"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Meyer</w:t>
      </w:r>
      <w:r w:rsidR="003269CB" w:rsidRPr="00BD1F38">
        <w:rPr>
          <w:rFonts w:ascii="Times New Roman" w:hAnsi="Times New Roman" w:cs="Times New Roman"/>
          <w:sz w:val="18"/>
          <w:szCs w:val="18"/>
        </w:rPr>
        <w:t xml:space="preserve">, </w:t>
      </w:r>
      <w:r w:rsidR="003269CB" w:rsidRPr="00BD1F38">
        <w:rPr>
          <w:rFonts w:ascii="Times New Roman" w:hAnsi="Times New Roman" w:cs="Times New Roman"/>
          <w:i/>
          <w:iCs/>
          <w:sz w:val="18"/>
          <w:szCs w:val="18"/>
        </w:rPr>
        <w:t>Thicker Than Water</w:t>
      </w:r>
      <w:r w:rsidR="003269CB" w:rsidRPr="00BD1F38">
        <w:rPr>
          <w:rFonts w:ascii="Times New Roman" w:hAnsi="Times New Roman" w:cs="Times New Roman"/>
          <w:sz w:val="18"/>
          <w:szCs w:val="18"/>
        </w:rPr>
        <w:t>.</w:t>
      </w:r>
    </w:p>
  </w:footnote>
  <w:footnote w:id="318">
    <w:p w14:paraId="081BE8D0"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xml:space="preserve">, p. 63. </w:t>
      </w:r>
    </w:p>
  </w:footnote>
  <w:footnote w:id="319">
    <w:p w14:paraId="31BF35E0" w14:textId="1C83A9F5"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8D0820" w:rsidRPr="00BD1F38">
        <w:rPr>
          <w:rFonts w:ascii="Times New Roman" w:hAnsi="Times New Roman" w:cs="Times New Roman"/>
          <w:sz w:val="18"/>
          <w:szCs w:val="18"/>
        </w:rPr>
        <w:t xml:space="preserve">Meyer, </w:t>
      </w:r>
      <w:r w:rsidR="008D0820" w:rsidRPr="00BD1F38">
        <w:rPr>
          <w:rFonts w:ascii="Times New Roman" w:hAnsi="Times New Roman" w:cs="Times New Roman"/>
          <w:i/>
          <w:iCs/>
          <w:sz w:val="18"/>
          <w:szCs w:val="18"/>
        </w:rPr>
        <w:t>Thicker Than Water</w:t>
      </w:r>
      <w:r w:rsidR="008D0820" w:rsidRPr="00BD1F38">
        <w:rPr>
          <w:rFonts w:ascii="Times New Roman" w:hAnsi="Times New Roman" w:cs="Times New Roman"/>
          <w:sz w:val="18"/>
          <w:szCs w:val="18"/>
        </w:rPr>
        <w:t>.</w:t>
      </w:r>
    </w:p>
  </w:footnote>
  <w:footnote w:id="320">
    <w:p w14:paraId="0F82A2B4" w14:textId="75578E94"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Pr="00BD1F38">
        <w:rPr>
          <w:rFonts w:ascii="Times New Roman" w:hAnsi="Times New Roman" w:cs="Times New Roman"/>
          <w:sz w:val="18"/>
          <w:szCs w:val="18"/>
          <w:lang w:val="en-US"/>
        </w:rPr>
        <w:t>Epstein.</w:t>
      </w:r>
      <w:r w:rsidR="0004213C" w:rsidRPr="00BD1F38">
        <w:rPr>
          <w:rFonts w:ascii="Times New Roman" w:hAnsi="Times New Roman" w:cs="Times New Roman"/>
          <w:sz w:val="18"/>
          <w:szCs w:val="18"/>
          <w:lang w:val="en-US"/>
        </w:rPr>
        <w:t>, ‘Social Ontology’.</w:t>
      </w:r>
    </w:p>
  </w:footnote>
  <w:footnote w:id="321">
    <w:p w14:paraId="21A87C14" w14:textId="31D542A1"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w:t>
      </w:r>
      <w:r w:rsidR="003409D0" w:rsidRPr="00BD1F38">
        <w:rPr>
          <w:rFonts w:ascii="Times New Roman" w:hAnsi="Times New Roman" w:cs="Times New Roman"/>
          <w:sz w:val="18"/>
          <w:szCs w:val="18"/>
        </w:rPr>
        <w:t xml:space="preserve">Biale, </w:t>
      </w:r>
      <w:r w:rsidR="003409D0" w:rsidRPr="00BD1F38">
        <w:rPr>
          <w:rFonts w:ascii="Times New Roman" w:hAnsi="Times New Roman" w:cs="Times New Roman"/>
          <w:sz w:val="18"/>
          <w:szCs w:val="18"/>
          <w:lang w:val="en-US"/>
        </w:rPr>
        <w:t>‘Blood as a Central Symbol in Jewish Culture’.</w:t>
      </w:r>
    </w:p>
  </w:footnote>
  <w:footnote w:id="322">
    <w:p w14:paraId="57ACD6F1" w14:textId="0BD2E5C1"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Stokowski.</w:t>
      </w:r>
      <w:r w:rsidR="00E366B5" w:rsidRPr="00BD1F38">
        <w:rPr>
          <w:rFonts w:ascii="Times New Roman" w:hAnsi="Times New Roman" w:cs="Times New Roman"/>
          <w:sz w:val="18"/>
          <w:szCs w:val="18"/>
        </w:rPr>
        <w:t>, ‘Symbolic Aspects of Water’.</w:t>
      </w:r>
    </w:p>
  </w:footnote>
  <w:footnote w:id="323">
    <w:p w14:paraId="1CBEC6ED" w14:textId="7445BF51"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Bernbaum, </w:t>
      </w:r>
      <w:r w:rsidR="000E6151" w:rsidRPr="00BD1F38">
        <w:rPr>
          <w:rFonts w:ascii="Times New Roman" w:hAnsi="Times New Roman" w:cs="Times New Roman"/>
          <w:sz w:val="18"/>
          <w:szCs w:val="18"/>
        </w:rPr>
        <w:t>‘</w:t>
      </w:r>
      <w:r w:rsidR="000E6151" w:rsidRPr="00BD1F38">
        <w:rPr>
          <w:rFonts w:ascii="Times New Roman" w:hAnsi="Times New Roman" w:cs="Times New Roman"/>
          <w:color w:val="000000"/>
          <w:sz w:val="18"/>
          <w:szCs w:val="18"/>
        </w:rPr>
        <w:t>Sacred Mountains: Themes and Teachings’,</w:t>
      </w:r>
      <w:r w:rsidR="000E6151" w:rsidRPr="00BD1F38">
        <w:rPr>
          <w:rStyle w:val="apple-converted-space"/>
          <w:rFonts w:ascii="Times New Roman" w:hAnsi="Times New Roman" w:cs="Times New Roman"/>
          <w:color w:val="000000"/>
          <w:sz w:val="18"/>
          <w:szCs w:val="18"/>
        </w:rPr>
        <w:t> </w:t>
      </w:r>
      <w:r w:rsidRPr="00BD1F38">
        <w:rPr>
          <w:rFonts w:ascii="Times New Roman" w:hAnsi="Times New Roman" w:cs="Times New Roman"/>
          <w:sz w:val="18"/>
          <w:szCs w:val="18"/>
        </w:rPr>
        <w:t>p. 304-305.</w:t>
      </w:r>
    </w:p>
  </w:footnote>
  <w:footnote w:id="324">
    <w:p w14:paraId="5DE230BC"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Roesler, </w:t>
      </w:r>
      <w:r w:rsidRPr="00BD1F38">
        <w:rPr>
          <w:rFonts w:ascii="Times New Roman" w:hAnsi="Times New Roman" w:cs="Times New Roman"/>
          <w:i/>
          <w:iCs/>
          <w:sz w:val="18"/>
          <w:szCs w:val="18"/>
        </w:rPr>
        <w:t>Development of a Reconceptualization of Archetype Theory,</w:t>
      </w:r>
      <w:r w:rsidRPr="00BD1F38">
        <w:rPr>
          <w:rFonts w:ascii="Times New Roman" w:hAnsi="Times New Roman" w:cs="Times New Roman"/>
          <w:sz w:val="18"/>
          <w:szCs w:val="18"/>
        </w:rPr>
        <w:t xml:space="preserve"> p. 261.</w:t>
      </w:r>
    </w:p>
  </w:footnote>
  <w:footnote w:id="325">
    <w:p w14:paraId="497496CE" w14:textId="0DD2831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00566E1D" w:rsidRPr="00BD1F38">
        <w:rPr>
          <w:rFonts w:ascii="Times New Roman" w:hAnsi="Times New Roman" w:cs="Times New Roman"/>
          <w:sz w:val="18"/>
          <w:szCs w:val="18"/>
        </w:rPr>
        <w:t xml:space="preserve"> </w:t>
      </w:r>
      <w:r w:rsidRPr="00BD1F38">
        <w:rPr>
          <w:rFonts w:ascii="Times New Roman" w:hAnsi="Times New Roman" w:cs="Times New Roman"/>
          <w:sz w:val="18"/>
          <w:szCs w:val="18"/>
        </w:rPr>
        <w:t xml:space="preserve">Roesler, </w:t>
      </w:r>
      <w:r w:rsidRPr="00BD1F38">
        <w:rPr>
          <w:rFonts w:ascii="Times New Roman" w:hAnsi="Times New Roman" w:cs="Times New Roman"/>
          <w:i/>
          <w:iCs/>
          <w:sz w:val="18"/>
          <w:szCs w:val="18"/>
        </w:rPr>
        <w:t>Development of a Reconceptualization of Archetype Theory,</w:t>
      </w:r>
      <w:r w:rsidRPr="00BD1F38">
        <w:rPr>
          <w:rFonts w:ascii="Times New Roman" w:hAnsi="Times New Roman" w:cs="Times New Roman"/>
          <w:sz w:val="18"/>
          <w:szCs w:val="18"/>
        </w:rPr>
        <w:t xml:space="preserve"> p. 261.</w:t>
      </w:r>
    </w:p>
  </w:footnote>
  <w:footnote w:id="326">
    <w:p w14:paraId="18CA3601" w14:textId="3C416DBE" w:rsidR="0045403B" w:rsidRPr="00BD1F38" w:rsidRDefault="0045403B" w:rsidP="0045403B">
      <w:pPr>
        <w:autoSpaceDE w:val="0"/>
        <w:autoSpaceDN w:val="0"/>
        <w:adjustRightInd w:val="0"/>
        <w:rPr>
          <w:color w:val="1A1A1A"/>
          <w:sz w:val="18"/>
          <w:szCs w:val="18"/>
        </w:rPr>
      </w:pPr>
      <w:r w:rsidRPr="00BD1F38">
        <w:rPr>
          <w:rStyle w:val="FootnoteReference"/>
          <w:sz w:val="18"/>
          <w:szCs w:val="18"/>
        </w:rPr>
        <w:footnoteRef/>
      </w:r>
      <w:r w:rsidRPr="00BD1F38">
        <w:rPr>
          <w:sz w:val="18"/>
          <w:szCs w:val="18"/>
        </w:rPr>
        <w:t xml:space="preserve"> </w:t>
      </w:r>
      <w:r w:rsidRPr="00BD1F38">
        <w:rPr>
          <w:color w:val="1A1A1A"/>
          <w:sz w:val="18"/>
          <w:szCs w:val="18"/>
        </w:rPr>
        <w:t xml:space="preserve">Wheeler, </w:t>
      </w:r>
      <w:r w:rsidRPr="00BD1F38">
        <w:rPr>
          <w:i/>
          <w:iCs/>
          <w:color w:val="1A1A1A"/>
          <w:sz w:val="18"/>
          <w:szCs w:val="18"/>
        </w:rPr>
        <w:t>Ecospirituality</w:t>
      </w:r>
      <w:r w:rsidRPr="00BD1F38">
        <w:rPr>
          <w:color w:val="1A1A1A"/>
          <w:sz w:val="18"/>
          <w:szCs w:val="18"/>
        </w:rPr>
        <w:t>, p. 1.</w:t>
      </w:r>
    </w:p>
  </w:footnote>
  <w:footnote w:id="327">
    <w:p w14:paraId="20867DB0" w14:textId="77777777" w:rsidR="0045403B" w:rsidRPr="00BD1F38" w:rsidRDefault="0045403B" w:rsidP="0045403B">
      <w:pPr>
        <w:pStyle w:val="FootnoteText"/>
        <w:rPr>
          <w:rFonts w:ascii="Times New Roman" w:hAnsi="Times New Roman" w:cs="Times New Roman"/>
          <w:sz w:val="18"/>
          <w:szCs w:val="18"/>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Eliade, </w:t>
      </w:r>
      <w:r w:rsidRPr="00BD1F38">
        <w:rPr>
          <w:rFonts w:ascii="Times New Roman" w:hAnsi="Times New Roman" w:cs="Times New Roman"/>
          <w:i/>
          <w:iCs/>
          <w:sz w:val="18"/>
          <w:szCs w:val="18"/>
        </w:rPr>
        <w:t>The Sacred &amp; The Profane</w:t>
      </w:r>
      <w:r w:rsidRPr="00BD1F38">
        <w:rPr>
          <w:rFonts w:ascii="Times New Roman" w:hAnsi="Times New Roman" w:cs="Times New Roman"/>
          <w:sz w:val="18"/>
          <w:szCs w:val="18"/>
        </w:rPr>
        <w:t>, p. 15.</w:t>
      </w:r>
    </w:p>
  </w:footnote>
  <w:footnote w:id="328">
    <w:p w14:paraId="62907AB0" w14:textId="381E8EDF" w:rsidR="0045403B" w:rsidRPr="00BD1F38" w:rsidRDefault="0045403B" w:rsidP="0045403B">
      <w:pPr>
        <w:pStyle w:val="FootnoteText"/>
        <w:rPr>
          <w:rFonts w:ascii="Times New Roman" w:hAnsi="Times New Roman" w:cs="Times New Roman"/>
          <w:sz w:val="18"/>
          <w:szCs w:val="18"/>
          <w:lang w:val="en-US"/>
        </w:rPr>
      </w:pPr>
      <w:r w:rsidRPr="00BD1F38">
        <w:rPr>
          <w:rStyle w:val="FootnoteReference"/>
          <w:rFonts w:ascii="Times New Roman" w:hAnsi="Times New Roman" w:cs="Times New Roman"/>
          <w:sz w:val="18"/>
          <w:szCs w:val="18"/>
        </w:rPr>
        <w:footnoteRef/>
      </w:r>
      <w:r w:rsidRPr="00BD1F38">
        <w:rPr>
          <w:rFonts w:ascii="Times New Roman" w:hAnsi="Times New Roman" w:cs="Times New Roman"/>
          <w:sz w:val="18"/>
          <w:szCs w:val="18"/>
        </w:rPr>
        <w:t xml:space="preserve"> Leopold cited by Cooper et al.</w:t>
      </w:r>
      <w:r w:rsidR="000461F9" w:rsidRPr="00BD1F38">
        <w:rPr>
          <w:rFonts w:ascii="Times New Roman" w:hAnsi="Times New Roman" w:cs="Times New Roman"/>
          <w:sz w:val="18"/>
          <w:szCs w:val="18"/>
        </w:rPr>
        <w:t xml:space="preserve">, </w:t>
      </w:r>
      <w:r w:rsidR="000461F9" w:rsidRPr="00BD1F38">
        <w:rPr>
          <w:rFonts w:ascii="Times New Roman" w:hAnsi="Times New Roman" w:cs="Times New Roman"/>
          <w:sz w:val="18"/>
          <w:szCs w:val="18"/>
          <w:lang w:val="en-US"/>
        </w:rPr>
        <w:t>‘Aesthetic and spiritual values of ecosystems’.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00000130">
      <w:start w:val="1"/>
      <w:numFmt w:val="bullet"/>
      <w:lvlText w:val="⁃"/>
      <w:lvlJc w:val="left"/>
      <w:pPr>
        <w:ind w:left="2880" w:hanging="360"/>
      </w:pPr>
    </w:lvl>
    <w:lvl w:ilvl="4" w:tplc="00000131">
      <w:start w:val="1"/>
      <w:numFmt w:val="bullet"/>
      <w:lvlText w:val="⁃"/>
      <w:lvlJc w:val="left"/>
      <w:pPr>
        <w:ind w:left="3600" w:hanging="360"/>
      </w:pPr>
    </w:lvl>
    <w:lvl w:ilvl="5" w:tplc="00000132">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000001F9">
      <w:start w:val="1"/>
      <w:numFmt w:val="bullet"/>
      <w:lvlText w:val="⁃"/>
      <w:lvlJc w:val="left"/>
      <w:pPr>
        <w:ind w:left="3600" w:hanging="360"/>
      </w:pPr>
    </w:lvl>
    <w:lvl w:ilvl="5" w:tplc="000001FA">
      <w:start w:val="1"/>
      <w:numFmt w:val="bullet"/>
      <w:lvlText w:val="⁃"/>
      <w:lvlJc w:val="left"/>
      <w:pPr>
        <w:ind w:left="4320" w:hanging="360"/>
      </w:pPr>
    </w:lvl>
    <w:lvl w:ilvl="6" w:tplc="000001FB">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6" w15:restartNumberingAfterBreak="0">
    <w:nsid w:val="1A0021AB"/>
    <w:multiLevelType w:val="hybridMultilevel"/>
    <w:tmpl w:val="4EFEE808"/>
    <w:lvl w:ilvl="0" w:tplc="EAC8C3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616E4D"/>
    <w:multiLevelType w:val="multilevel"/>
    <w:tmpl w:val="BF86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96E90"/>
    <w:multiLevelType w:val="multilevel"/>
    <w:tmpl w:val="C186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C1445"/>
    <w:multiLevelType w:val="multilevel"/>
    <w:tmpl w:val="9B9C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23B60"/>
    <w:multiLevelType w:val="hybridMultilevel"/>
    <w:tmpl w:val="FD2AFC8C"/>
    <w:lvl w:ilvl="0" w:tplc="C8F87A02">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17781A"/>
    <w:multiLevelType w:val="hybridMultilevel"/>
    <w:tmpl w:val="C574A508"/>
    <w:lvl w:ilvl="0" w:tplc="81D43F5A">
      <w:start w:val="2"/>
      <w:numFmt w:val="bullet"/>
      <w:lvlText w:val="-"/>
      <w:lvlJc w:val="left"/>
      <w:pPr>
        <w:ind w:left="720" w:hanging="360"/>
      </w:pPr>
      <w:rPr>
        <w:rFonts w:ascii="AppleSystemUIFont" w:eastAsiaTheme="minorEastAsia"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900A9A"/>
    <w:multiLevelType w:val="hybridMultilevel"/>
    <w:tmpl w:val="9B06CDEA"/>
    <w:lvl w:ilvl="0" w:tplc="A7641CE4">
      <w:numFmt w:val="bullet"/>
      <w:lvlText w:val="-"/>
      <w:lvlJc w:val="left"/>
      <w:pPr>
        <w:ind w:left="720" w:hanging="360"/>
      </w:pPr>
      <w:rPr>
        <w:rFonts w:ascii="Cochin" w:eastAsiaTheme="minorEastAsia" w:hAnsi="Cochin"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C069CA"/>
    <w:multiLevelType w:val="hybridMultilevel"/>
    <w:tmpl w:val="4956D4B6"/>
    <w:lvl w:ilvl="0" w:tplc="2E6EA1A8">
      <w:numFmt w:val="bullet"/>
      <w:lvlText w:val="-"/>
      <w:lvlJc w:val="left"/>
      <w:pPr>
        <w:ind w:left="720" w:hanging="360"/>
      </w:pPr>
      <w:rPr>
        <w:rFonts w:ascii="Georgia" w:eastAsia="Times New Roman" w:hAnsi="Georgia" w:cs="Times New Roman" w:hint="default"/>
        <w:b/>
        <w:i/>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F16E14"/>
    <w:multiLevelType w:val="multilevel"/>
    <w:tmpl w:val="A24CD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551E01"/>
    <w:multiLevelType w:val="hybridMultilevel"/>
    <w:tmpl w:val="1F508D8A"/>
    <w:lvl w:ilvl="0" w:tplc="CCAEB032">
      <w:start w:val="1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2E7762"/>
    <w:multiLevelType w:val="hybridMultilevel"/>
    <w:tmpl w:val="9572B9AC"/>
    <w:lvl w:ilvl="0" w:tplc="1A2A33DA">
      <w:numFmt w:val="bullet"/>
      <w:lvlText w:val="-"/>
      <w:lvlJc w:val="left"/>
      <w:pPr>
        <w:ind w:left="720" w:hanging="360"/>
      </w:pPr>
      <w:rPr>
        <w:rFonts w:ascii="AppleSystemUIFont" w:eastAsia="Times New Roman" w:hAnsi="AppleSystemUIFont" w:cs="AppleSystemUIFon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247C4F"/>
    <w:multiLevelType w:val="multilevel"/>
    <w:tmpl w:val="7A8A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C93A5C"/>
    <w:multiLevelType w:val="hybridMultilevel"/>
    <w:tmpl w:val="68505EC2"/>
    <w:lvl w:ilvl="0" w:tplc="06729B68">
      <w:start w:val="16"/>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737E79"/>
    <w:multiLevelType w:val="hybridMultilevel"/>
    <w:tmpl w:val="837239D2"/>
    <w:lvl w:ilvl="0" w:tplc="F8904EB2">
      <w:numFmt w:val="bullet"/>
      <w:lvlText w:val="-"/>
      <w:lvlJc w:val="left"/>
      <w:pPr>
        <w:ind w:left="720" w:hanging="360"/>
      </w:pPr>
      <w:rPr>
        <w:rFonts w:ascii="Cochin" w:eastAsia="PingFang TC" w:hAnsi="Cochin" w:cs="PingFang T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2B48DC"/>
    <w:multiLevelType w:val="hybridMultilevel"/>
    <w:tmpl w:val="0F30F5DA"/>
    <w:lvl w:ilvl="0" w:tplc="FA08B876">
      <w:start w:val="1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330B20"/>
    <w:multiLevelType w:val="multilevel"/>
    <w:tmpl w:val="0F429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481B69"/>
    <w:multiLevelType w:val="multilevel"/>
    <w:tmpl w:val="61B8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4F3E05"/>
    <w:multiLevelType w:val="multilevel"/>
    <w:tmpl w:val="059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7150507">
    <w:abstractNumId w:val="0"/>
  </w:num>
  <w:num w:numId="2" w16cid:durableId="1886217966">
    <w:abstractNumId w:val="1"/>
  </w:num>
  <w:num w:numId="3" w16cid:durableId="87043243">
    <w:abstractNumId w:val="2"/>
  </w:num>
  <w:num w:numId="4" w16cid:durableId="1213542348">
    <w:abstractNumId w:val="3"/>
  </w:num>
  <w:num w:numId="5" w16cid:durableId="1663193947">
    <w:abstractNumId w:val="4"/>
  </w:num>
  <w:num w:numId="6" w16cid:durableId="471797735">
    <w:abstractNumId w:val="5"/>
  </w:num>
  <w:num w:numId="7" w16cid:durableId="1425955192">
    <w:abstractNumId w:val="20"/>
  </w:num>
  <w:num w:numId="8" w16cid:durableId="503983867">
    <w:abstractNumId w:val="18"/>
  </w:num>
  <w:num w:numId="9" w16cid:durableId="483393995">
    <w:abstractNumId w:val="15"/>
  </w:num>
  <w:num w:numId="10" w16cid:durableId="2100131650">
    <w:abstractNumId w:val="11"/>
  </w:num>
  <w:num w:numId="11" w16cid:durableId="2063018457">
    <w:abstractNumId w:val="13"/>
  </w:num>
  <w:num w:numId="12" w16cid:durableId="467744118">
    <w:abstractNumId w:val="21"/>
  </w:num>
  <w:num w:numId="13" w16cid:durableId="1015427375">
    <w:abstractNumId w:val="16"/>
  </w:num>
  <w:num w:numId="14" w16cid:durableId="455418437">
    <w:abstractNumId w:val="22"/>
  </w:num>
  <w:num w:numId="15" w16cid:durableId="1776486938">
    <w:abstractNumId w:val="14"/>
  </w:num>
  <w:num w:numId="16" w16cid:durableId="850149490">
    <w:abstractNumId w:val="9"/>
  </w:num>
  <w:num w:numId="17" w16cid:durableId="334959809">
    <w:abstractNumId w:val="10"/>
  </w:num>
  <w:num w:numId="18" w16cid:durableId="291596641">
    <w:abstractNumId w:val="6"/>
  </w:num>
  <w:num w:numId="19" w16cid:durableId="210578319">
    <w:abstractNumId w:val="23"/>
  </w:num>
  <w:num w:numId="20" w16cid:durableId="1266156235">
    <w:abstractNumId w:val="8"/>
  </w:num>
  <w:num w:numId="21" w16cid:durableId="1226992283">
    <w:abstractNumId w:val="7"/>
  </w:num>
  <w:num w:numId="22" w16cid:durableId="1249316421">
    <w:abstractNumId w:val="17"/>
  </w:num>
  <w:num w:numId="23" w16cid:durableId="1315405075">
    <w:abstractNumId w:val="19"/>
  </w:num>
  <w:num w:numId="24" w16cid:durableId="10067070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05A"/>
    <w:rsid w:val="000003EF"/>
    <w:rsid w:val="00000E35"/>
    <w:rsid w:val="00002237"/>
    <w:rsid w:val="00002F41"/>
    <w:rsid w:val="00003DF6"/>
    <w:rsid w:val="00004D4C"/>
    <w:rsid w:val="0000504B"/>
    <w:rsid w:val="00005639"/>
    <w:rsid w:val="00005823"/>
    <w:rsid w:val="000063AC"/>
    <w:rsid w:val="000072A2"/>
    <w:rsid w:val="00007F5D"/>
    <w:rsid w:val="00010004"/>
    <w:rsid w:val="000106D9"/>
    <w:rsid w:val="00010823"/>
    <w:rsid w:val="00010DF6"/>
    <w:rsid w:val="00010E50"/>
    <w:rsid w:val="00010EA3"/>
    <w:rsid w:val="000116A9"/>
    <w:rsid w:val="00011AD2"/>
    <w:rsid w:val="000124FB"/>
    <w:rsid w:val="000126A9"/>
    <w:rsid w:val="0001345C"/>
    <w:rsid w:val="00014036"/>
    <w:rsid w:val="0001468B"/>
    <w:rsid w:val="000158A0"/>
    <w:rsid w:val="000166A6"/>
    <w:rsid w:val="00016E8C"/>
    <w:rsid w:val="00016EC5"/>
    <w:rsid w:val="000173B8"/>
    <w:rsid w:val="00017D8C"/>
    <w:rsid w:val="00020293"/>
    <w:rsid w:val="0002030F"/>
    <w:rsid w:val="00020803"/>
    <w:rsid w:val="00020DFB"/>
    <w:rsid w:val="00022022"/>
    <w:rsid w:val="0002411F"/>
    <w:rsid w:val="000244DC"/>
    <w:rsid w:val="000260E4"/>
    <w:rsid w:val="000262F3"/>
    <w:rsid w:val="000264EA"/>
    <w:rsid w:val="0002686B"/>
    <w:rsid w:val="00026DE7"/>
    <w:rsid w:val="0002712A"/>
    <w:rsid w:val="000274BA"/>
    <w:rsid w:val="00027CB9"/>
    <w:rsid w:val="000300A8"/>
    <w:rsid w:val="00030734"/>
    <w:rsid w:val="00030BE4"/>
    <w:rsid w:val="00030DF7"/>
    <w:rsid w:val="00030EF2"/>
    <w:rsid w:val="00031109"/>
    <w:rsid w:val="00031194"/>
    <w:rsid w:val="00031816"/>
    <w:rsid w:val="00031E47"/>
    <w:rsid w:val="00031E95"/>
    <w:rsid w:val="00032679"/>
    <w:rsid w:val="0003278E"/>
    <w:rsid w:val="0003357C"/>
    <w:rsid w:val="000336BE"/>
    <w:rsid w:val="00033B4D"/>
    <w:rsid w:val="00034040"/>
    <w:rsid w:val="0003543D"/>
    <w:rsid w:val="00035897"/>
    <w:rsid w:val="00036156"/>
    <w:rsid w:val="00036D01"/>
    <w:rsid w:val="00036D09"/>
    <w:rsid w:val="00036DC4"/>
    <w:rsid w:val="00036F02"/>
    <w:rsid w:val="000371BD"/>
    <w:rsid w:val="000379C7"/>
    <w:rsid w:val="000404A3"/>
    <w:rsid w:val="000404FE"/>
    <w:rsid w:val="00040B00"/>
    <w:rsid w:val="0004131F"/>
    <w:rsid w:val="0004213C"/>
    <w:rsid w:val="000421D3"/>
    <w:rsid w:val="000422DD"/>
    <w:rsid w:val="00043665"/>
    <w:rsid w:val="000438B5"/>
    <w:rsid w:val="00043A0C"/>
    <w:rsid w:val="00045368"/>
    <w:rsid w:val="0004568F"/>
    <w:rsid w:val="000458B7"/>
    <w:rsid w:val="00045ACE"/>
    <w:rsid w:val="00045C9C"/>
    <w:rsid w:val="000461F9"/>
    <w:rsid w:val="00046C8F"/>
    <w:rsid w:val="00046F6E"/>
    <w:rsid w:val="00047278"/>
    <w:rsid w:val="0004733B"/>
    <w:rsid w:val="00047F19"/>
    <w:rsid w:val="00050FCC"/>
    <w:rsid w:val="0005175C"/>
    <w:rsid w:val="00051E5E"/>
    <w:rsid w:val="00052456"/>
    <w:rsid w:val="00052493"/>
    <w:rsid w:val="000527B9"/>
    <w:rsid w:val="00052DC5"/>
    <w:rsid w:val="000546FF"/>
    <w:rsid w:val="00054B02"/>
    <w:rsid w:val="00054E1F"/>
    <w:rsid w:val="00055013"/>
    <w:rsid w:val="0005507D"/>
    <w:rsid w:val="00056366"/>
    <w:rsid w:val="00056D81"/>
    <w:rsid w:val="0005704D"/>
    <w:rsid w:val="00057390"/>
    <w:rsid w:val="00057A60"/>
    <w:rsid w:val="000604A5"/>
    <w:rsid w:val="00060C6C"/>
    <w:rsid w:val="00061091"/>
    <w:rsid w:val="00061B09"/>
    <w:rsid w:val="00061FC5"/>
    <w:rsid w:val="0006236D"/>
    <w:rsid w:val="000626D6"/>
    <w:rsid w:val="00062895"/>
    <w:rsid w:val="0006364D"/>
    <w:rsid w:val="000651E2"/>
    <w:rsid w:val="00065892"/>
    <w:rsid w:val="000661B1"/>
    <w:rsid w:val="00066D8E"/>
    <w:rsid w:val="00066E9B"/>
    <w:rsid w:val="0006754B"/>
    <w:rsid w:val="00067B5F"/>
    <w:rsid w:val="00067BC8"/>
    <w:rsid w:val="000702F2"/>
    <w:rsid w:val="00070697"/>
    <w:rsid w:val="0007096C"/>
    <w:rsid w:val="00070E93"/>
    <w:rsid w:val="00071170"/>
    <w:rsid w:val="00071CE0"/>
    <w:rsid w:val="00071D59"/>
    <w:rsid w:val="000723C9"/>
    <w:rsid w:val="00072AE9"/>
    <w:rsid w:val="00072B60"/>
    <w:rsid w:val="0007342E"/>
    <w:rsid w:val="00074027"/>
    <w:rsid w:val="000743D0"/>
    <w:rsid w:val="0007492E"/>
    <w:rsid w:val="00074CEA"/>
    <w:rsid w:val="00074D49"/>
    <w:rsid w:val="00076676"/>
    <w:rsid w:val="00076A62"/>
    <w:rsid w:val="00076B79"/>
    <w:rsid w:val="00077F68"/>
    <w:rsid w:val="00080673"/>
    <w:rsid w:val="00080A7C"/>
    <w:rsid w:val="000814B8"/>
    <w:rsid w:val="00081F0B"/>
    <w:rsid w:val="000820C6"/>
    <w:rsid w:val="000826A4"/>
    <w:rsid w:val="000830C9"/>
    <w:rsid w:val="0008426F"/>
    <w:rsid w:val="000842E5"/>
    <w:rsid w:val="00084AE8"/>
    <w:rsid w:val="00085F3C"/>
    <w:rsid w:val="00086833"/>
    <w:rsid w:val="00086C17"/>
    <w:rsid w:val="0008724E"/>
    <w:rsid w:val="000914D6"/>
    <w:rsid w:val="000933A8"/>
    <w:rsid w:val="00093529"/>
    <w:rsid w:val="00093746"/>
    <w:rsid w:val="0009382B"/>
    <w:rsid w:val="000938FB"/>
    <w:rsid w:val="00093D31"/>
    <w:rsid w:val="00093E28"/>
    <w:rsid w:val="00094C6B"/>
    <w:rsid w:val="00095049"/>
    <w:rsid w:val="000953FE"/>
    <w:rsid w:val="000958E8"/>
    <w:rsid w:val="00096135"/>
    <w:rsid w:val="0009662D"/>
    <w:rsid w:val="0009683A"/>
    <w:rsid w:val="00096957"/>
    <w:rsid w:val="000969DC"/>
    <w:rsid w:val="00096C49"/>
    <w:rsid w:val="00096FDF"/>
    <w:rsid w:val="000973F6"/>
    <w:rsid w:val="00097419"/>
    <w:rsid w:val="000974B7"/>
    <w:rsid w:val="0009791D"/>
    <w:rsid w:val="00097B71"/>
    <w:rsid w:val="00097BD6"/>
    <w:rsid w:val="000A005E"/>
    <w:rsid w:val="000A018A"/>
    <w:rsid w:val="000A2899"/>
    <w:rsid w:val="000A2B0A"/>
    <w:rsid w:val="000A2C2E"/>
    <w:rsid w:val="000A2CCE"/>
    <w:rsid w:val="000A2DF5"/>
    <w:rsid w:val="000A300A"/>
    <w:rsid w:val="000A3F4C"/>
    <w:rsid w:val="000A438E"/>
    <w:rsid w:val="000A4754"/>
    <w:rsid w:val="000A625D"/>
    <w:rsid w:val="000A6B91"/>
    <w:rsid w:val="000A6F2B"/>
    <w:rsid w:val="000A7B04"/>
    <w:rsid w:val="000B0234"/>
    <w:rsid w:val="000B06B4"/>
    <w:rsid w:val="000B0832"/>
    <w:rsid w:val="000B0833"/>
    <w:rsid w:val="000B127D"/>
    <w:rsid w:val="000B12CA"/>
    <w:rsid w:val="000B16DA"/>
    <w:rsid w:val="000B2F86"/>
    <w:rsid w:val="000B3172"/>
    <w:rsid w:val="000B3C8E"/>
    <w:rsid w:val="000B3DD8"/>
    <w:rsid w:val="000B41F9"/>
    <w:rsid w:val="000B4976"/>
    <w:rsid w:val="000B50B4"/>
    <w:rsid w:val="000B52AB"/>
    <w:rsid w:val="000B55FB"/>
    <w:rsid w:val="000B5724"/>
    <w:rsid w:val="000B573F"/>
    <w:rsid w:val="000B6010"/>
    <w:rsid w:val="000B66EE"/>
    <w:rsid w:val="000B6982"/>
    <w:rsid w:val="000B7207"/>
    <w:rsid w:val="000B734E"/>
    <w:rsid w:val="000B7479"/>
    <w:rsid w:val="000B7540"/>
    <w:rsid w:val="000B7B90"/>
    <w:rsid w:val="000B7EF3"/>
    <w:rsid w:val="000C0304"/>
    <w:rsid w:val="000C0562"/>
    <w:rsid w:val="000C0B06"/>
    <w:rsid w:val="000C126D"/>
    <w:rsid w:val="000C1B02"/>
    <w:rsid w:val="000C1B9A"/>
    <w:rsid w:val="000C2596"/>
    <w:rsid w:val="000C28B0"/>
    <w:rsid w:val="000C2F5D"/>
    <w:rsid w:val="000C32F5"/>
    <w:rsid w:val="000C37C6"/>
    <w:rsid w:val="000C3903"/>
    <w:rsid w:val="000C3F2C"/>
    <w:rsid w:val="000C3F4E"/>
    <w:rsid w:val="000C3FAE"/>
    <w:rsid w:val="000C48B7"/>
    <w:rsid w:val="000C51A8"/>
    <w:rsid w:val="000C59FC"/>
    <w:rsid w:val="000C5FB8"/>
    <w:rsid w:val="000C62BD"/>
    <w:rsid w:val="000C66DA"/>
    <w:rsid w:val="000C6E36"/>
    <w:rsid w:val="000C73A1"/>
    <w:rsid w:val="000C7ABD"/>
    <w:rsid w:val="000C7B7A"/>
    <w:rsid w:val="000C7C80"/>
    <w:rsid w:val="000C7E15"/>
    <w:rsid w:val="000D00BC"/>
    <w:rsid w:val="000D07EA"/>
    <w:rsid w:val="000D0C05"/>
    <w:rsid w:val="000D0ECB"/>
    <w:rsid w:val="000D139B"/>
    <w:rsid w:val="000D14E4"/>
    <w:rsid w:val="000D18F3"/>
    <w:rsid w:val="000D1943"/>
    <w:rsid w:val="000D2373"/>
    <w:rsid w:val="000D2956"/>
    <w:rsid w:val="000D47FB"/>
    <w:rsid w:val="000D5297"/>
    <w:rsid w:val="000D5AD9"/>
    <w:rsid w:val="000D5F22"/>
    <w:rsid w:val="000D65D3"/>
    <w:rsid w:val="000D6804"/>
    <w:rsid w:val="000D6C1E"/>
    <w:rsid w:val="000D76E5"/>
    <w:rsid w:val="000D7A78"/>
    <w:rsid w:val="000E04A5"/>
    <w:rsid w:val="000E0BEC"/>
    <w:rsid w:val="000E0EB8"/>
    <w:rsid w:val="000E12BB"/>
    <w:rsid w:val="000E1A62"/>
    <w:rsid w:val="000E277C"/>
    <w:rsid w:val="000E2935"/>
    <w:rsid w:val="000E39EE"/>
    <w:rsid w:val="000E3CEC"/>
    <w:rsid w:val="000E4BC6"/>
    <w:rsid w:val="000E5196"/>
    <w:rsid w:val="000E51F7"/>
    <w:rsid w:val="000E6006"/>
    <w:rsid w:val="000E610A"/>
    <w:rsid w:val="000E6151"/>
    <w:rsid w:val="000E6750"/>
    <w:rsid w:val="000E68A5"/>
    <w:rsid w:val="000E6DD0"/>
    <w:rsid w:val="000E7B37"/>
    <w:rsid w:val="000F0104"/>
    <w:rsid w:val="000F045F"/>
    <w:rsid w:val="000F0EC3"/>
    <w:rsid w:val="000F1A7B"/>
    <w:rsid w:val="000F23F3"/>
    <w:rsid w:val="000F25D7"/>
    <w:rsid w:val="000F2A31"/>
    <w:rsid w:val="000F3D00"/>
    <w:rsid w:val="000F448E"/>
    <w:rsid w:val="000F5041"/>
    <w:rsid w:val="000F510D"/>
    <w:rsid w:val="000F525A"/>
    <w:rsid w:val="000F53FD"/>
    <w:rsid w:val="000F5562"/>
    <w:rsid w:val="000F7A3A"/>
    <w:rsid w:val="000F7B4D"/>
    <w:rsid w:val="000F7E3E"/>
    <w:rsid w:val="00100670"/>
    <w:rsid w:val="00100ECA"/>
    <w:rsid w:val="001012F3"/>
    <w:rsid w:val="00101627"/>
    <w:rsid w:val="001023B9"/>
    <w:rsid w:val="00102744"/>
    <w:rsid w:val="00103080"/>
    <w:rsid w:val="00103597"/>
    <w:rsid w:val="00103D86"/>
    <w:rsid w:val="00104D84"/>
    <w:rsid w:val="001062F5"/>
    <w:rsid w:val="0010643A"/>
    <w:rsid w:val="00106FBF"/>
    <w:rsid w:val="00107CF0"/>
    <w:rsid w:val="00110089"/>
    <w:rsid w:val="0011023A"/>
    <w:rsid w:val="00110BC1"/>
    <w:rsid w:val="00110F70"/>
    <w:rsid w:val="00111669"/>
    <w:rsid w:val="00111A90"/>
    <w:rsid w:val="00112F5B"/>
    <w:rsid w:val="0011351A"/>
    <w:rsid w:val="001144EE"/>
    <w:rsid w:val="00115276"/>
    <w:rsid w:val="001157D4"/>
    <w:rsid w:val="0011619F"/>
    <w:rsid w:val="001176B5"/>
    <w:rsid w:val="001201B4"/>
    <w:rsid w:val="001208B5"/>
    <w:rsid w:val="00120BF9"/>
    <w:rsid w:val="00121B72"/>
    <w:rsid w:val="00121D8E"/>
    <w:rsid w:val="001226EB"/>
    <w:rsid w:val="0012293B"/>
    <w:rsid w:val="00122A5A"/>
    <w:rsid w:val="00122E48"/>
    <w:rsid w:val="001231CF"/>
    <w:rsid w:val="001235D3"/>
    <w:rsid w:val="00125EDD"/>
    <w:rsid w:val="00125FA9"/>
    <w:rsid w:val="001273AF"/>
    <w:rsid w:val="00127702"/>
    <w:rsid w:val="0013014F"/>
    <w:rsid w:val="0013036F"/>
    <w:rsid w:val="001305EF"/>
    <w:rsid w:val="001319F3"/>
    <w:rsid w:val="00131E57"/>
    <w:rsid w:val="00132185"/>
    <w:rsid w:val="00133381"/>
    <w:rsid w:val="00134291"/>
    <w:rsid w:val="00134692"/>
    <w:rsid w:val="00134957"/>
    <w:rsid w:val="00136040"/>
    <w:rsid w:val="00136210"/>
    <w:rsid w:val="0013684D"/>
    <w:rsid w:val="001400E0"/>
    <w:rsid w:val="00140D4F"/>
    <w:rsid w:val="00140DFF"/>
    <w:rsid w:val="0014116A"/>
    <w:rsid w:val="0014165F"/>
    <w:rsid w:val="001417AC"/>
    <w:rsid w:val="00141C84"/>
    <w:rsid w:val="001436E6"/>
    <w:rsid w:val="0014386B"/>
    <w:rsid w:val="00143D74"/>
    <w:rsid w:val="0014406D"/>
    <w:rsid w:val="00144AED"/>
    <w:rsid w:val="00144F83"/>
    <w:rsid w:val="00146DA1"/>
    <w:rsid w:val="00146F9C"/>
    <w:rsid w:val="001475EC"/>
    <w:rsid w:val="00147DC7"/>
    <w:rsid w:val="001506D4"/>
    <w:rsid w:val="00151107"/>
    <w:rsid w:val="00151247"/>
    <w:rsid w:val="00151364"/>
    <w:rsid w:val="001517EF"/>
    <w:rsid w:val="001522CF"/>
    <w:rsid w:val="001524AE"/>
    <w:rsid w:val="001525DF"/>
    <w:rsid w:val="00152B54"/>
    <w:rsid w:val="00152F3F"/>
    <w:rsid w:val="0015314C"/>
    <w:rsid w:val="00153751"/>
    <w:rsid w:val="00153FF9"/>
    <w:rsid w:val="0015416A"/>
    <w:rsid w:val="001543E6"/>
    <w:rsid w:val="0015459F"/>
    <w:rsid w:val="00155115"/>
    <w:rsid w:val="001554A2"/>
    <w:rsid w:val="0015678C"/>
    <w:rsid w:val="001578FB"/>
    <w:rsid w:val="00157E1F"/>
    <w:rsid w:val="001600FF"/>
    <w:rsid w:val="00160327"/>
    <w:rsid w:val="0016087D"/>
    <w:rsid w:val="00161454"/>
    <w:rsid w:val="00161BE3"/>
    <w:rsid w:val="00162884"/>
    <w:rsid w:val="001629AA"/>
    <w:rsid w:val="00162E07"/>
    <w:rsid w:val="00163126"/>
    <w:rsid w:val="0016342D"/>
    <w:rsid w:val="001639CB"/>
    <w:rsid w:val="001647BC"/>
    <w:rsid w:val="001653B6"/>
    <w:rsid w:val="00165CE9"/>
    <w:rsid w:val="00166476"/>
    <w:rsid w:val="00166CAA"/>
    <w:rsid w:val="00167587"/>
    <w:rsid w:val="00167CC0"/>
    <w:rsid w:val="00167F06"/>
    <w:rsid w:val="00170EC3"/>
    <w:rsid w:val="00170F99"/>
    <w:rsid w:val="00171378"/>
    <w:rsid w:val="00171D96"/>
    <w:rsid w:val="001729FC"/>
    <w:rsid w:val="00172CAA"/>
    <w:rsid w:val="001730DB"/>
    <w:rsid w:val="001730FF"/>
    <w:rsid w:val="00173B00"/>
    <w:rsid w:val="00174432"/>
    <w:rsid w:val="00174BD4"/>
    <w:rsid w:val="00175A8F"/>
    <w:rsid w:val="00175E20"/>
    <w:rsid w:val="0017670C"/>
    <w:rsid w:val="00177180"/>
    <w:rsid w:val="0017752A"/>
    <w:rsid w:val="00177543"/>
    <w:rsid w:val="001778E1"/>
    <w:rsid w:val="00180425"/>
    <w:rsid w:val="00180715"/>
    <w:rsid w:val="00180C6D"/>
    <w:rsid w:val="0018120A"/>
    <w:rsid w:val="00181821"/>
    <w:rsid w:val="001830CF"/>
    <w:rsid w:val="0018398A"/>
    <w:rsid w:val="00184A27"/>
    <w:rsid w:val="001853D6"/>
    <w:rsid w:val="00186D31"/>
    <w:rsid w:val="00187260"/>
    <w:rsid w:val="00187359"/>
    <w:rsid w:val="001874EF"/>
    <w:rsid w:val="00187C72"/>
    <w:rsid w:val="00187CDC"/>
    <w:rsid w:val="00190289"/>
    <w:rsid w:val="00190C18"/>
    <w:rsid w:val="00190C1B"/>
    <w:rsid w:val="00191484"/>
    <w:rsid w:val="001915BA"/>
    <w:rsid w:val="001916E8"/>
    <w:rsid w:val="00191AB1"/>
    <w:rsid w:val="001920C1"/>
    <w:rsid w:val="00192880"/>
    <w:rsid w:val="00193E4B"/>
    <w:rsid w:val="0019406E"/>
    <w:rsid w:val="001965EC"/>
    <w:rsid w:val="00196F4C"/>
    <w:rsid w:val="00197040"/>
    <w:rsid w:val="00197314"/>
    <w:rsid w:val="00197912"/>
    <w:rsid w:val="001A006F"/>
    <w:rsid w:val="001A0585"/>
    <w:rsid w:val="001A0D29"/>
    <w:rsid w:val="001A1352"/>
    <w:rsid w:val="001A1D33"/>
    <w:rsid w:val="001A36DC"/>
    <w:rsid w:val="001A3896"/>
    <w:rsid w:val="001A3DB7"/>
    <w:rsid w:val="001A49FA"/>
    <w:rsid w:val="001A4A3C"/>
    <w:rsid w:val="001A4F4F"/>
    <w:rsid w:val="001A5045"/>
    <w:rsid w:val="001A5C1E"/>
    <w:rsid w:val="001A5CDB"/>
    <w:rsid w:val="001A5E33"/>
    <w:rsid w:val="001A659F"/>
    <w:rsid w:val="001A6B71"/>
    <w:rsid w:val="001A7141"/>
    <w:rsid w:val="001A7517"/>
    <w:rsid w:val="001B0733"/>
    <w:rsid w:val="001B0D22"/>
    <w:rsid w:val="001B0D97"/>
    <w:rsid w:val="001B1E58"/>
    <w:rsid w:val="001B212F"/>
    <w:rsid w:val="001B297C"/>
    <w:rsid w:val="001B3009"/>
    <w:rsid w:val="001B508B"/>
    <w:rsid w:val="001B51EB"/>
    <w:rsid w:val="001B53CF"/>
    <w:rsid w:val="001B5C28"/>
    <w:rsid w:val="001B6170"/>
    <w:rsid w:val="001B6F44"/>
    <w:rsid w:val="001B7851"/>
    <w:rsid w:val="001C071E"/>
    <w:rsid w:val="001C0C58"/>
    <w:rsid w:val="001C0FDC"/>
    <w:rsid w:val="001C1BF0"/>
    <w:rsid w:val="001C2730"/>
    <w:rsid w:val="001C27E4"/>
    <w:rsid w:val="001C2E33"/>
    <w:rsid w:val="001C3830"/>
    <w:rsid w:val="001C4099"/>
    <w:rsid w:val="001C4139"/>
    <w:rsid w:val="001C4440"/>
    <w:rsid w:val="001C4A6A"/>
    <w:rsid w:val="001C4BC6"/>
    <w:rsid w:val="001C4CDB"/>
    <w:rsid w:val="001C51BB"/>
    <w:rsid w:val="001C58F3"/>
    <w:rsid w:val="001C64FB"/>
    <w:rsid w:val="001C65D7"/>
    <w:rsid w:val="001C78F0"/>
    <w:rsid w:val="001C7AEE"/>
    <w:rsid w:val="001C7C4E"/>
    <w:rsid w:val="001D052B"/>
    <w:rsid w:val="001D0560"/>
    <w:rsid w:val="001D0A4A"/>
    <w:rsid w:val="001D0F56"/>
    <w:rsid w:val="001D146D"/>
    <w:rsid w:val="001D1637"/>
    <w:rsid w:val="001D1911"/>
    <w:rsid w:val="001D2E41"/>
    <w:rsid w:val="001D2E46"/>
    <w:rsid w:val="001D32EB"/>
    <w:rsid w:val="001D33F7"/>
    <w:rsid w:val="001D41CB"/>
    <w:rsid w:val="001D4F56"/>
    <w:rsid w:val="001D4FCE"/>
    <w:rsid w:val="001D57FC"/>
    <w:rsid w:val="001D5984"/>
    <w:rsid w:val="001D5CD5"/>
    <w:rsid w:val="001D5D45"/>
    <w:rsid w:val="001D69FE"/>
    <w:rsid w:val="001D6A93"/>
    <w:rsid w:val="001D7482"/>
    <w:rsid w:val="001D7503"/>
    <w:rsid w:val="001E000D"/>
    <w:rsid w:val="001E029B"/>
    <w:rsid w:val="001E0332"/>
    <w:rsid w:val="001E09F3"/>
    <w:rsid w:val="001E0DF9"/>
    <w:rsid w:val="001E1445"/>
    <w:rsid w:val="001E1C17"/>
    <w:rsid w:val="001E1C4B"/>
    <w:rsid w:val="001E22FF"/>
    <w:rsid w:val="001E2596"/>
    <w:rsid w:val="001E2D67"/>
    <w:rsid w:val="001E2E8E"/>
    <w:rsid w:val="001E347F"/>
    <w:rsid w:val="001E3BA6"/>
    <w:rsid w:val="001E4A97"/>
    <w:rsid w:val="001E4C0B"/>
    <w:rsid w:val="001E4E94"/>
    <w:rsid w:val="001E514C"/>
    <w:rsid w:val="001E5674"/>
    <w:rsid w:val="001E628A"/>
    <w:rsid w:val="001E6EBA"/>
    <w:rsid w:val="001E6F6D"/>
    <w:rsid w:val="001E70D9"/>
    <w:rsid w:val="001E7138"/>
    <w:rsid w:val="001E7284"/>
    <w:rsid w:val="001F00B7"/>
    <w:rsid w:val="001F08F6"/>
    <w:rsid w:val="001F0A53"/>
    <w:rsid w:val="001F0C1F"/>
    <w:rsid w:val="001F0C47"/>
    <w:rsid w:val="001F11C1"/>
    <w:rsid w:val="001F1801"/>
    <w:rsid w:val="001F20AC"/>
    <w:rsid w:val="001F2683"/>
    <w:rsid w:val="001F270E"/>
    <w:rsid w:val="001F2E86"/>
    <w:rsid w:val="001F2F4D"/>
    <w:rsid w:val="001F311C"/>
    <w:rsid w:val="001F33C8"/>
    <w:rsid w:val="001F37BC"/>
    <w:rsid w:val="001F493E"/>
    <w:rsid w:val="001F4CDB"/>
    <w:rsid w:val="001F61B1"/>
    <w:rsid w:val="001F6208"/>
    <w:rsid w:val="001F665C"/>
    <w:rsid w:val="001F66EE"/>
    <w:rsid w:val="001F6962"/>
    <w:rsid w:val="001F6F59"/>
    <w:rsid w:val="001F70D0"/>
    <w:rsid w:val="001F71EF"/>
    <w:rsid w:val="001F79D3"/>
    <w:rsid w:val="001F7DF1"/>
    <w:rsid w:val="002001A7"/>
    <w:rsid w:val="00200D29"/>
    <w:rsid w:val="0020111E"/>
    <w:rsid w:val="002011B9"/>
    <w:rsid w:val="0020122B"/>
    <w:rsid w:val="0020143F"/>
    <w:rsid w:val="00201516"/>
    <w:rsid w:val="002016AD"/>
    <w:rsid w:val="002026FE"/>
    <w:rsid w:val="00203329"/>
    <w:rsid w:val="00204DB7"/>
    <w:rsid w:val="002054F0"/>
    <w:rsid w:val="002057EA"/>
    <w:rsid w:val="00205C80"/>
    <w:rsid w:val="0020729D"/>
    <w:rsid w:val="00207828"/>
    <w:rsid w:val="00210338"/>
    <w:rsid w:val="00210E0E"/>
    <w:rsid w:val="0021112E"/>
    <w:rsid w:val="00211960"/>
    <w:rsid w:val="00211C4C"/>
    <w:rsid w:val="002121E4"/>
    <w:rsid w:val="00212260"/>
    <w:rsid w:val="002126F6"/>
    <w:rsid w:val="00212EC4"/>
    <w:rsid w:val="002141B5"/>
    <w:rsid w:val="00214A7A"/>
    <w:rsid w:val="00214B86"/>
    <w:rsid w:val="00214C03"/>
    <w:rsid w:val="002159E0"/>
    <w:rsid w:val="0021695E"/>
    <w:rsid w:val="00216F9A"/>
    <w:rsid w:val="00217120"/>
    <w:rsid w:val="0021734F"/>
    <w:rsid w:val="002173B6"/>
    <w:rsid w:val="002173C1"/>
    <w:rsid w:val="00217546"/>
    <w:rsid w:val="002176A5"/>
    <w:rsid w:val="0022118E"/>
    <w:rsid w:val="00221301"/>
    <w:rsid w:val="00221F3B"/>
    <w:rsid w:val="002220F4"/>
    <w:rsid w:val="00222A14"/>
    <w:rsid w:val="00223726"/>
    <w:rsid w:val="002240F3"/>
    <w:rsid w:val="002241EB"/>
    <w:rsid w:val="00225C70"/>
    <w:rsid w:val="00225D05"/>
    <w:rsid w:val="00226F92"/>
    <w:rsid w:val="0022763E"/>
    <w:rsid w:val="00227885"/>
    <w:rsid w:val="00227E75"/>
    <w:rsid w:val="002303D2"/>
    <w:rsid w:val="0023089C"/>
    <w:rsid w:val="00230B25"/>
    <w:rsid w:val="00230DEE"/>
    <w:rsid w:val="002310A6"/>
    <w:rsid w:val="002311C0"/>
    <w:rsid w:val="00231764"/>
    <w:rsid w:val="00231EDE"/>
    <w:rsid w:val="0023237D"/>
    <w:rsid w:val="0023289D"/>
    <w:rsid w:val="00232D8C"/>
    <w:rsid w:val="0023330A"/>
    <w:rsid w:val="00233409"/>
    <w:rsid w:val="002335B6"/>
    <w:rsid w:val="00233AE4"/>
    <w:rsid w:val="00233B6E"/>
    <w:rsid w:val="002347BB"/>
    <w:rsid w:val="0023520A"/>
    <w:rsid w:val="00235DE6"/>
    <w:rsid w:val="0023600B"/>
    <w:rsid w:val="00236D1A"/>
    <w:rsid w:val="00237814"/>
    <w:rsid w:val="00237DF4"/>
    <w:rsid w:val="00240980"/>
    <w:rsid w:val="00240D2F"/>
    <w:rsid w:val="00241006"/>
    <w:rsid w:val="00241673"/>
    <w:rsid w:val="00241960"/>
    <w:rsid w:val="00242CB0"/>
    <w:rsid w:val="0024381E"/>
    <w:rsid w:val="00243AAD"/>
    <w:rsid w:val="00243D62"/>
    <w:rsid w:val="0024417B"/>
    <w:rsid w:val="00244366"/>
    <w:rsid w:val="002444C2"/>
    <w:rsid w:val="00244835"/>
    <w:rsid w:val="00245144"/>
    <w:rsid w:val="002453CC"/>
    <w:rsid w:val="0024587C"/>
    <w:rsid w:val="00246B8D"/>
    <w:rsid w:val="00246E2D"/>
    <w:rsid w:val="0024705B"/>
    <w:rsid w:val="00247787"/>
    <w:rsid w:val="002503F8"/>
    <w:rsid w:val="002505FE"/>
    <w:rsid w:val="00251C24"/>
    <w:rsid w:val="00251D51"/>
    <w:rsid w:val="00252365"/>
    <w:rsid w:val="0025386C"/>
    <w:rsid w:val="00253DAE"/>
    <w:rsid w:val="002540DD"/>
    <w:rsid w:val="002541DB"/>
    <w:rsid w:val="00254BCC"/>
    <w:rsid w:val="00255683"/>
    <w:rsid w:val="00255A76"/>
    <w:rsid w:val="00255E2D"/>
    <w:rsid w:val="00256CC5"/>
    <w:rsid w:val="002574A0"/>
    <w:rsid w:val="00257848"/>
    <w:rsid w:val="00257C7B"/>
    <w:rsid w:val="0026020D"/>
    <w:rsid w:val="00260F76"/>
    <w:rsid w:val="00261595"/>
    <w:rsid w:val="002632FF"/>
    <w:rsid w:val="00263A07"/>
    <w:rsid w:val="00263DB5"/>
    <w:rsid w:val="0026465C"/>
    <w:rsid w:val="002657C7"/>
    <w:rsid w:val="00265C91"/>
    <w:rsid w:val="00267C7B"/>
    <w:rsid w:val="00267F78"/>
    <w:rsid w:val="002703BD"/>
    <w:rsid w:val="00270667"/>
    <w:rsid w:val="002706FB"/>
    <w:rsid w:val="00270D8F"/>
    <w:rsid w:val="00270E72"/>
    <w:rsid w:val="00271357"/>
    <w:rsid w:val="002713FB"/>
    <w:rsid w:val="002714AC"/>
    <w:rsid w:val="00272DF9"/>
    <w:rsid w:val="00272F26"/>
    <w:rsid w:val="0027305A"/>
    <w:rsid w:val="00273124"/>
    <w:rsid w:val="0027322C"/>
    <w:rsid w:val="00274C43"/>
    <w:rsid w:val="00274D10"/>
    <w:rsid w:val="0027541E"/>
    <w:rsid w:val="00275FBA"/>
    <w:rsid w:val="00276371"/>
    <w:rsid w:val="00276422"/>
    <w:rsid w:val="00277017"/>
    <w:rsid w:val="00277097"/>
    <w:rsid w:val="0027714F"/>
    <w:rsid w:val="00280AD5"/>
    <w:rsid w:val="00282019"/>
    <w:rsid w:val="002821BF"/>
    <w:rsid w:val="00282ED0"/>
    <w:rsid w:val="00282F45"/>
    <w:rsid w:val="0028326C"/>
    <w:rsid w:val="00283A53"/>
    <w:rsid w:val="002848A6"/>
    <w:rsid w:val="00284A82"/>
    <w:rsid w:val="00285400"/>
    <w:rsid w:val="002854D7"/>
    <w:rsid w:val="00285DF3"/>
    <w:rsid w:val="00285E8F"/>
    <w:rsid w:val="00286461"/>
    <w:rsid w:val="00287F25"/>
    <w:rsid w:val="00290683"/>
    <w:rsid w:val="00290CCD"/>
    <w:rsid w:val="00291434"/>
    <w:rsid w:val="002924A6"/>
    <w:rsid w:val="00292A1E"/>
    <w:rsid w:val="00292C2B"/>
    <w:rsid w:val="00293248"/>
    <w:rsid w:val="0029392F"/>
    <w:rsid w:val="002944E1"/>
    <w:rsid w:val="00294917"/>
    <w:rsid w:val="00294AAD"/>
    <w:rsid w:val="00295BC5"/>
    <w:rsid w:val="00295C31"/>
    <w:rsid w:val="00296053"/>
    <w:rsid w:val="00296266"/>
    <w:rsid w:val="00296F66"/>
    <w:rsid w:val="00297035"/>
    <w:rsid w:val="00297955"/>
    <w:rsid w:val="002A0390"/>
    <w:rsid w:val="002A084F"/>
    <w:rsid w:val="002A0AFE"/>
    <w:rsid w:val="002A0B95"/>
    <w:rsid w:val="002A18DD"/>
    <w:rsid w:val="002A1EA3"/>
    <w:rsid w:val="002A23B8"/>
    <w:rsid w:val="002A3906"/>
    <w:rsid w:val="002A3BFE"/>
    <w:rsid w:val="002A3D4F"/>
    <w:rsid w:val="002A3F01"/>
    <w:rsid w:val="002A576C"/>
    <w:rsid w:val="002A577B"/>
    <w:rsid w:val="002A59B5"/>
    <w:rsid w:val="002A61A8"/>
    <w:rsid w:val="002A6847"/>
    <w:rsid w:val="002A735A"/>
    <w:rsid w:val="002A7736"/>
    <w:rsid w:val="002A7777"/>
    <w:rsid w:val="002A790E"/>
    <w:rsid w:val="002A7C40"/>
    <w:rsid w:val="002B02EE"/>
    <w:rsid w:val="002B0884"/>
    <w:rsid w:val="002B0B59"/>
    <w:rsid w:val="002B0F05"/>
    <w:rsid w:val="002B14AC"/>
    <w:rsid w:val="002B2B30"/>
    <w:rsid w:val="002B2D3E"/>
    <w:rsid w:val="002B3255"/>
    <w:rsid w:val="002B4568"/>
    <w:rsid w:val="002B497E"/>
    <w:rsid w:val="002B51F1"/>
    <w:rsid w:val="002B54D8"/>
    <w:rsid w:val="002B55EB"/>
    <w:rsid w:val="002B5DD2"/>
    <w:rsid w:val="002B62E5"/>
    <w:rsid w:val="002B6389"/>
    <w:rsid w:val="002B64BD"/>
    <w:rsid w:val="002B684F"/>
    <w:rsid w:val="002B74FB"/>
    <w:rsid w:val="002B7643"/>
    <w:rsid w:val="002B78A2"/>
    <w:rsid w:val="002B7925"/>
    <w:rsid w:val="002C039A"/>
    <w:rsid w:val="002C0D54"/>
    <w:rsid w:val="002C1586"/>
    <w:rsid w:val="002C29E7"/>
    <w:rsid w:val="002C3127"/>
    <w:rsid w:val="002C3451"/>
    <w:rsid w:val="002C4082"/>
    <w:rsid w:val="002C40F8"/>
    <w:rsid w:val="002C4674"/>
    <w:rsid w:val="002C47A2"/>
    <w:rsid w:val="002C4EBF"/>
    <w:rsid w:val="002C5756"/>
    <w:rsid w:val="002C5E0A"/>
    <w:rsid w:val="002C6234"/>
    <w:rsid w:val="002C65C1"/>
    <w:rsid w:val="002C663D"/>
    <w:rsid w:val="002C6CA1"/>
    <w:rsid w:val="002C7864"/>
    <w:rsid w:val="002D0444"/>
    <w:rsid w:val="002D04A3"/>
    <w:rsid w:val="002D1AC1"/>
    <w:rsid w:val="002D2492"/>
    <w:rsid w:val="002D29E3"/>
    <w:rsid w:val="002D3839"/>
    <w:rsid w:val="002D4464"/>
    <w:rsid w:val="002D4492"/>
    <w:rsid w:val="002D4E04"/>
    <w:rsid w:val="002D56C2"/>
    <w:rsid w:val="002D5C30"/>
    <w:rsid w:val="002D62B6"/>
    <w:rsid w:val="002D6C58"/>
    <w:rsid w:val="002D72EC"/>
    <w:rsid w:val="002D75FC"/>
    <w:rsid w:val="002D768C"/>
    <w:rsid w:val="002E01BF"/>
    <w:rsid w:val="002E04BA"/>
    <w:rsid w:val="002E1423"/>
    <w:rsid w:val="002E1799"/>
    <w:rsid w:val="002E1CBC"/>
    <w:rsid w:val="002E243F"/>
    <w:rsid w:val="002E2814"/>
    <w:rsid w:val="002E2BB4"/>
    <w:rsid w:val="002E32A8"/>
    <w:rsid w:val="002E38CC"/>
    <w:rsid w:val="002E39B0"/>
    <w:rsid w:val="002E52CB"/>
    <w:rsid w:val="002E5B94"/>
    <w:rsid w:val="002E6179"/>
    <w:rsid w:val="002E6431"/>
    <w:rsid w:val="002E6B7D"/>
    <w:rsid w:val="002E75FB"/>
    <w:rsid w:val="002E7F40"/>
    <w:rsid w:val="002F03B3"/>
    <w:rsid w:val="002F0CC2"/>
    <w:rsid w:val="002F1DD7"/>
    <w:rsid w:val="002F28C1"/>
    <w:rsid w:val="002F2A95"/>
    <w:rsid w:val="002F4627"/>
    <w:rsid w:val="002F4C33"/>
    <w:rsid w:val="002F51D5"/>
    <w:rsid w:val="002F5C84"/>
    <w:rsid w:val="002F6048"/>
    <w:rsid w:val="002F7965"/>
    <w:rsid w:val="00300013"/>
    <w:rsid w:val="003003F1"/>
    <w:rsid w:val="00300A79"/>
    <w:rsid w:val="0030183B"/>
    <w:rsid w:val="00301E07"/>
    <w:rsid w:val="003023D3"/>
    <w:rsid w:val="00302597"/>
    <w:rsid w:val="00302A22"/>
    <w:rsid w:val="00302B6A"/>
    <w:rsid w:val="00302F8C"/>
    <w:rsid w:val="0030316D"/>
    <w:rsid w:val="00303226"/>
    <w:rsid w:val="00303CDD"/>
    <w:rsid w:val="0030499B"/>
    <w:rsid w:val="00304B6F"/>
    <w:rsid w:val="00305212"/>
    <w:rsid w:val="0030525D"/>
    <w:rsid w:val="00305668"/>
    <w:rsid w:val="003056E5"/>
    <w:rsid w:val="00307AE1"/>
    <w:rsid w:val="00310148"/>
    <w:rsid w:val="00310281"/>
    <w:rsid w:val="00311055"/>
    <w:rsid w:val="003119A8"/>
    <w:rsid w:val="00311DF7"/>
    <w:rsid w:val="0031246A"/>
    <w:rsid w:val="00312725"/>
    <w:rsid w:val="0031322D"/>
    <w:rsid w:val="0031327B"/>
    <w:rsid w:val="0031466B"/>
    <w:rsid w:val="0031474D"/>
    <w:rsid w:val="00314E46"/>
    <w:rsid w:val="00315C04"/>
    <w:rsid w:val="00316066"/>
    <w:rsid w:val="00316383"/>
    <w:rsid w:val="00316759"/>
    <w:rsid w:val="00316B76"/>
    <w:rsid w:val="0031708A"/>
    <w:rsid w:val="003174C9"/>
    <w:rsid w:val="00317654"/>
    <w:rsid w:val="00317B23"/>
    <w:rsid w:val="00322184"/>
    <w:rsid w:val="0032286A"/>
    <w:rsid w:val="00324A0E"/>
    <w:rsid w:val="0032564D"/>
    <w:rsid w:val="00325B5E"/>
    <w:rsid w:val="003269CB"/>
    <w:rsid w:val="003270BE"/>
    <w:rsid w:val="00330191"/>
    <w:rsid w:val="00330603"/>
    <w:rsid w:val="00330A93"/>
    <w:rsid w:val="00331645"/>
    <w:rsid w:val="0033167E"/>
    <w:rsid w:val="00333861"/>
    <w:rsid w:val="0033400E"/>
    <w:rsid w:val="00334166"/>
    <w:rsid w:val="003345AF"/>
    <w:rsid w:val="003353CE"/>
    <w:rsid w:val="003354F5"/>
    <w:rsid w:val="00335DD7"/>
    <w:rsid w:val="00337805"/>
    <w:rsid w:val="00337965"/>
    <w:rsid w:val="00337A58"/>
    <w:rsid w:val="00337BD2"/>
    <w:rsid w:val="00340064"/>
    <w:rsid w:val="003409D0"/>
    <w:rsid w:val="00340AEE"/>
    <w:rsid w:val="00340C48"/>
    <w:rsid w:val="003413EB"/>
    <w:rsid w:val="003417EB"/>
    <w:rsid w:val="003419B0"/>
    <w:rsid w:val="00341A98"/>
    <w:rsid w:val="00341ABE"/>
    <w:rsid w:val="0034225A"/>
    <w:rsid w:val="0034266A"/>
    <w:rsid w:val="0034285A"/>
    <w:rsid w:val="003438C3"/>
    <w:rsid w:val="00343C55"/>
    <w:rsid w:val="00344837"/>
    <w:rsid w:val="003453AB"/>
    <w:rsid w:val="00345A6F"/>
    <w:rsid w:val="00346550"/>
    <w:rsid w:val="003465C2"/>
    <w:rsid w:val="00346A82"/>
    <w:rsid w:val="0034795C"/>
    <w:rsid w:val="0035028E"/>
    <w:rsid w:val="003507D0"/>
    <w:rsid w:val="00350BB7"/>
    <w:rsid w:val="0035295A"/>
    <w:rsid w:val="0035296F"/>
    <w:rsid w:val="00353147"/>
    <w:rsid w:val="00353245"/>
    <w:rsid w:val="003537FC"/>
    <w:rsid w:val="00353BBA"/>
    <w:rsid w:val="00354CC0"/>
    <w:rsid w:val="003550D0"/>
    <w:rsid w:val="00355B33"/>
    <w:rsid w:val="00355C28"/>
    <w:rsid w:val="00356348"/>
    <w:rsid w:val="003571DC"/>
    <w:rsid w:val="003571E6"/>
    <w:rsid w:val="003601DF"/>
    <w:rsid w:val="003602B2"/>
    <w:rsid w:val="003609FA"/>
    <w:rsid w:val="00361A35"/>
    <w:rsid w:val="0036220C"/>
    <w:rsid w:val="00363122"/>
    <w:rsid w:val="0036444B"/>
    <w:rsid w:val="003649E5"/>
    <w:rsid w:val="00365607"/>
    <w:rsid w:val="00365EE5"/>
    <w:rsid w:val="0036604F"/>
    <w:rsid w:val="00366372"/>
    <w:rsid w:val="00366F68"/>
    <w:rsid w:val="003674D4"/>
    <w:rsid w:val="003675AC"/>
    <w:rsid w:val="0037010F"/>
    <w:rsid w:val="0037015A"/>
    <w:rsid w:val="00370213"/>
    <w:rsid w:val="003708E9"/>
    <w:rsid w:val="00370D70"/>
    <w:rsid w:val="0037120B"/>
    <w:rsid w:val="0037192E"/>
    <w:rsid w:val="0037237C"/>
    <w:rsid w:val="003723E5"/>
    <w:rsid w:val="003726E1"/>
    <w:rsid w:val="0037318F"/>
    <w:rsid w:val="0037360B"/>
    <w:rsid w:val="0037380C"/>
    <w:rsid w:val="00373F92"/>
    <w:rsid w:val="00374CF2"/>
    <w:rsid w:val="0037509D"/>
    <w:rsid w:val="0037516C"/>
    <w:rsid w:val="003753D5"/>
    <w:rsid w:val="00375C43"/>
    <w:rsid w:val="00376671"/>
    <w:rsid w:val="00376947"/>
    <w:rsid w:val="003774B0"/>
    <w:rsid w:val="003774E9"/>
    <w:rsid w:val="00377528"/>
    <w:rsid w:val="00377981"/>
    <w:rsid w:val="00377998"/>
    <w:rsid w:val="003800EC"/>
    <w:rsid w:val="00380445"/>
    <w:rsid w:val="00380818"/>
    <w:rsid w:val="00381097"/>
    <w:rsid w:val="00381A9B"/>
    <w:rsid w:val="00381F36"/>
    <w:rsid w:val="003825CF"/>
    <w:rsid w:val="00382C34"/>
    <w:rsid w:val="0038339A"/>
    <w:rsid w:val="003838EE"/>
    <w:rsid w:val="003843AF"/>
    <w:rsid w:val="00384549"/>
    <w:rsid w:val="003848E6"/>
    <w:rsid w:val="003850E1"/>
    <w:rsid w:val="00385213"/>
    <w:rsid w:val="00385267"/>
    <w:rsid w:val="00385790"/>
    <w:rsid w:val="00386896"/>
    <w:rsid w:val="003869CB"/>
    <w:rsid w:val="003869E0"/>
    <w:rsid w:val="00386F28"/>
    <w:rsid w:val="0038728A"/>
    <w:rsid w:val="00387918"/>
    <w:rsid w:val="00387C6A"/>
    <w:rsid w:val="0039065A"/>
    <w:rsid w:val="0039095E"/>
    <w:rsid w:val="00390D31"/>
    <w:rsid w:val="00390EA0"/>
    <w:rsid w:val="00391C3D"/>
    <w:rsid w:val="00391FAB"/>
    <w:rsid w:val="00392995"/>
    <w:rsid w:val="00392E65"/>
    <w:rsid w:val="0039384D"/>
    <w:rsid w:val="00393D30"/>
    <w:rsid w:val="003956B5"/>
    <w:rsid w:val="00395B6F"/>
    <w:rsid w:val="003961DD"/>
    <w:rsid w:val="0039670C"/>
    <w:rsid w:val="0039693C"/>
    <w:rsid w:val="003974F0"/>
    <w:rsid w:val="00397BC6"/>
    <w:rsid w:val="003A0587"/>
    <w:rsid w:val="003A085E"/>
    <w:rsid w:val="003A10AF"/>
    <w:rsid w:val="003A1F88"/>
    <w:rsid w:val="003A25A3"/>
    <w:rsid w:val="003A3097"/>
    <w:rsid w:val="003A3224"/>
    <w:rsid w:val="003A3603"/>
    <w:rsid w:val="003A3A44"/>
    <w:rsid w:val="003A3EF0"/>
    <w:rsid w:val="003A41EA"/>
    <w:rsid w:val="003A4B71"/>
    <w:rsid w:val="003A4E09"/>
    <w:rsid w:val="003A60AC"/>
    <w:rsid w:val="003A624B"/>
    <w:rsid w:val="003A6273"/>
    <w:rsid w:val="003A6BAE"/>
    <w:rsid w:val="003A6C5A"/>
    <w:rsid w:val="003A6E21"/>
    <w:rsid w:val="003A743B"/>
    <w:rsid w:val="003A7706"/>
    <w:rsid w:val="003A7C6C"/>
    <w:rsid w:val="003A7F7B"/>
    <w:rsid w:val="003B0734"/>
    <w:rsid w:val="003B14A5"/>
    <w:rsid w:val="003B27BD"/>
    <w:rsid w:val="003B2D20"/>
    <w:rsid w:val="003B2F6B"/>
    <w:rsid w:val="003B3203"/>
    <w:rsid w:val="003B32C2"/>
    <w:rsid w:val="003B4DE1"/>
    <w:rsid w:val="003B5293"/>
    <w:rsid w:val="003B5458"/>
    <w:rsid w:val="003B56F9"/>
    <w:rsid w:val="003B5D7B"/>
    <w:rsid w:val="003B63C6"/>
    <w:rsid w:val="003B664C"/>
    <w:rsid w:val="003B685D"/>
    <w:rsid w:val="003B75DC"/>
    <w:rsid w:val="003B78FE"/>
    <w:rsid w:val="003C0024"/>
    <w:rsid w:val="003C003F"/>
    <w:rsid w:val="003C05D5"/>
    <w:rsid w:val="003C0AA7"/>
    <w:rsid w:val="003C1341"/>
    <w:rsid w:val="003C137B"/>
    <w:rsid w:val="003C1442"/>
    <w:rsid w:val="003C18F7"/>
    <w:rsid w:val="003C2564"/>
    <w:rsid w:val="003C2BDD"/>
    <w:rsid w:val="003C39D6"/>
    <w:rsid w:val="003C3C8D"/>
    <w:rsid w:val="003C4917"/>
    <w:rsid w:val="003C4D47"/>
    <w:rsid w:val="003C5A17"/>
    <w:rsid w:val="003C5FB7"/>
    <w:rsid w:val="003C6021"/>
    <w:rsid w:val="003C6782"/>
    <w:rsid w:val="003C756F"/>
    <w:rsid w:val="003C7585"/>
    <w:rsid w:val="003C7607"/>
    <w:rsid w:val="003D036F"/>
    <w:rsid w:val="003D1813"/>
    <w:rsid w:val="003D1C84"/>
    <w:rsid w:val="003D1F6E"/>
    <w:rsid w:val="003D2CF0"/>
    <w:rsid w:val="003D3576"/>
    <w:rsid w:val="003D3899"/>
    <w:rsid w:val="003D3F26"/>
    <w:rsid w:val="003D427C"/>
    <w:rsid w:val="003D4930"/>
    <w:rsid w:val="003D5607"/>
    <w:rsid w:val="003D56D5"/>
    <w:rsid w:val="003D5CDE"/>
    <w:rsid w:val="003D5E3D"/>
    <w:rsid w:val="003D6582"/>
    <w:rsid w:val="003D6E26"/>
    <w:rsid w:val="003D7019"/>
    <w:rsid w:val="003D7039"/>
    <w:rsid w:val="003D7270"/>
    <w:rsid w:val="003D727D"/>
    <w:rsid w:val="003D73D9"/>
    <w:rsid w:val="003D7778"/>
    <w:rsid w:val="003D7980"/>
    <w:rsid w:val="003E031C"/>
    <w:rsid w:val="003E0567"/>
    <w:rsid w:val="003E2437"/>
    <w:rsid w:val="003E261E"/>
    <w:rsid w:val="003E2A7F"/>
    <w:rsid w:val="003E2F4A"/>
    <w:rsid w:val="003E3182"/>
    <w:rsid w:val="003E3232"/>
    <w:rsid w:val="003E3F03"/>
    <w:rsid w:val="003E3F57"/>
    <w:rsid w:val="003E52BA"/>
    <w:rsid w:val="003E5EFB"/>
    <w:rsid w:val="003E65E5"/>
    <w:rsid w:val="003E6A6E"/>
    <w:rsid w:val="003E7765"/>
    <w:rsid w:val="003E7792"/>
    <w:rsid w:val="003E77C4"/>
    <w:rsid w:val="003E7AAE"/>
    <w:rsid w:val="003E7AB2"/>
    <w:rsid w:val="003F03E5"/>
    <w:rsid w:val="003F0A0E"/>
    <w:rsid w:val="003F1777"/>
    <w:rsid w:val="003F2222"/>
    <w:rsid w:val="003F3266"/>
    <w:rsid w:val="003F570C"/>
    <w:rsid w:val="003F5AF4"/>
    <w:rsid w:val="003F6568"/>
    <w:rsid w:val="003F6664"/>
    <w:rsid w:val="003F6A6D"/>
    <w:rsid w:val="003F6BAE"/>
    <w:rsid w:val="003F7E53"/>
    <w:rsid w:val="00400233"/>
    <w:rsid w:val="00400329"/>
    <w:rsid w:val="00400C54"/>
    <w:rsid w:val="0040243C"/>
    <w:rsid w:val="004024F8"/>
    <w:rsid w:val="004026B5"/>
    <w:rsid w:val="00402A15"/>
    <w:rsid w:val="00402FA7"/>
    <w:rsid w:val="0040308A"/>
    <w:rsid w:val="004033FA"/>
    <w:rsid w:val="00403C9B"/>
    <w:rsid w:val="0040468F"/>
    <w:rsid w:val="0040479C"/>
    <w:rsid w:val="00405688"/>
    <w:rsid w:val="004057FC"/>
    <w:rsid w:val="00405D61"/>
    <w:rsid w:val="00405F1B"/>
    <w:rsid w:val="004069C1"/>
    <w:rsid w:val="0040779C"/>
    <w:rsid w:val="0041176D"/>
    <w:rsid w:val="00411E1F"/>
    <w:rsid w:val="00411FDC"/>
    <w:rsid w:val="0041356B"/>
    <w:rsid w:val="0041408F"/>
    <w:rsid w:val="00414CA4"/>
    <w:rsid w:val="004151E3"/>
    <w:rsid w:val="004153DE"/>
    <w:rsid w:val="004155F2"/>
    <w:rsid w:val="004158CC"/>
    <w:rsid w:val="00415912"/>
    <w:rsid w:val="00415922"/>
    <w:rsid w:val="004166B1"/>
    <w:rsid w:val="00416B70"/>
    <w:rsid w:val="00416C34"/>
    <w:rsid w:val="00416C7A"/>
    <w:rsid w:val="00417740"/>
    <w:rsid w:val="004179B3"/>
    <w:rsid w:val="00417C06"/>
    <w:rsid w:val="00417EFF"/>
    <w:rsid w:val="0042035E"/>
    <w:rsid w:val="0042060C"/>
    <w:rsid w:val="004211A4"/>
    <w:rsid w:val="004217A6"/>
    <w:rsid w:val="0042185F"/>
    <w:rsid w:val="00421F86"/>
    <w:rsid w:val="00421FFE"/>
    <w:rsid w:val="00422124"/>
    <w:rsid w:val="00422AE3"/>
    <w:rsid w:val="0042381F"/>
    <w:rsid w:val="00424F81"/>
    <w:rsid w:val="004257F1"/>
    <w:rsid w:val="004260C4"/>
    <w:rsid w:val="004267D0"/>
    <w:rsid w:val="00426C1B"/>
    <w:rsid w:val="00427D19"/>
    <w:rsid w:val="004300CB"/>
    <w:rsid w:val="004300ED"/>
    <w:rsid w:val="00431944"/>
    <w:rsid w:val="00431D40"/>
    <w:rsid w:val="00432733"/>
    <w:rsid w:val="00433047"/>
    <w:rsid w:val="004333F5"/>
    <w:rsid w:val="0043356A"/>
    <w:rsid w:val="004337E0"/>
    <w:rsid w:val="00434088"/>
    <w:rsid w:val="00434483"/>
    <w:rsid w:val="00435151"/>
    <w:rsid w:val="004357D2"/>
    <w:rsid w:val="00435C1E"/>
    <w:rsid w:val="00436788"/>
    <w:rsid w:val="004371E8"/>
    <w:rsid w:val="004375BE"/>
    <w:rsid w:val="0044027B"/>
    <w:rsid w:val="00440519"/>
    <w:rsid w:val="00440A39"/>
    <w:rsid w:val="00440B64"/>
    <w:rsid w:val="004413A2"/>
    <w:rsid w:val="0044176E"/>
    <w:rsid w:val="00441F5A"/>
    <w:rsid w:val="00442468"/>
    <w:rsid w:val="00442546"/>
    <w:rsid w:val="00442B0A"/>
    <w:rsid w:val="00442FF5"/>
    <w:rsid w:val="00445280"/>
    <w:rsid w:val="00445E8C"/>
    <w:rsid w:val="00447723"/>
    <w:rsid w:val="00447B88"/>
    <w:rsid w:val="00447FCA"/>
    <w:rsid w:val="004504BD"/>
    <w:rsid w:val="004504D0"/>
    <w:rsid w:val="00450521"/>
    <w:rsid w:val="00451682"/>
    <w:rsid w:val="00451A2E"/>
    <w:rsid w:val="00451C27"/>
    <w:rsid w:val="00451CF9"/>
    <w:rsid w:val="0045218C"/>
    <w:rsid w:val="004525A8"/>
    <w:rsid w:val="004527E0"/>
    <w:rsid w:val="00452FD4"/>
    <w:rsid w:val="004535B3"/>
    <w:rsid w:val="00453A59"/>
    <w:rsid w:val="0045403B"/>
    <w:rsid w:val="004546AF"/>
    <w:rsid w:val="0045568F"/>
    <w:rsid w:val="00456573"/>
    <w:rsid w:val="00457280"/>
    <w:rsid w:val="00460B3E"/>
    <w:rsid w:val="00460D3E"/>
    <w:rsid w:val="00460E0B"/>
    <w:rsid w:val="0046108F"/>
    <w:rsid w:val="004613A4"/>
    <w:rsid w:val="0046187F"/>
    <w:rsid w:val="0046225E"/>
    <w:rsid w:val="00462B47"/>
    <w:rsid w:val="00462CC3"/>
    <w:rsid w:val="00462FA8"/>
    <w:rsid w:val="00463412"/>
    <w:rsid w:val="004635B2"/>
    <w:rsid w:val="004648AD"/>
    <w:rsid w:val="00464A23"/>
    <w:rsid w:val="00464B3D"/>
    <w:rsid w:val="004650E9"/>
    <w:rsid w:val="004653A1"/>
    <w:rsid w:val="00465A1B"/>
    <w:rsid w:val="00466796"/>
    <w:rsid w:val="00466917"/>
    <w:rsid w:val="00466E44"/>
    <w:rsid w:val="00467B77"/>
    <w:rsid w:val="00470095"/>
    <w:rsid w:val="00470210"/>
    <w:rsid w:val="0047021B"/>
    <w:rsid w:val="00470385"/>
    <w:rsid w:val="0047040C"/>
    <w:rsid w:val="0047098D"/>
    <w:rsid w:val="004710C4"/>
    <w:rsid w:val="00471506"/>
    <w:rsid w:val="0047188F"/>
    <w:rsid w:val="00471DAA"/>
    <w:rsid w:val="00471FE5"/>
    <w:rsid w:val="0047244B"/>
    <w:rsid w:val="00472DB2"/>
    <w:rsid w:val="00473D0C"/>
    <w:rsid w:val="00473F0B"/>
    <w:rsid w:val="0047447E"/>
    <w:rsid w:val="0047462D"/>
    <w:rsid w:val="00474AC4"/>
    <w:rsid w:val="00474B6B"/>
    <w:rsid w:val="00474EB8"/>
    <w:rsid w:val="00475D17"/>
    <w:rsid w:val="0047666B"/>
    <w:rsid w:val="004778DB"/>
    <w:rsid w:val="00481287"/>
    <w:rsid w:val="004817FE"/>
    <w:rsid w:val="00481E87"/>
    <w:rsid w:val="0048258B"/>
    <w:rsid w:val="00482669"/>
    <w:rsid w:val="00482D96"/>
    <w:rsid w:val="004849E9"/>
    <w:rsid w:val="0048592B"/>
    <w:rsid w:val="00485D22"/>
    <w:rsid w:val="004861B8"/>
    <w:rsid w:val="0048635F"/>
    <w:rsid w:val="004868B2"/>
    <w:rsid w:val="00487152"/>
    <w:rsid w:val="004878D7"/>
    <w:rsid w:val="00490C69"/>
    <w:rsid w:val="00491318"/>
    <w:rsid w:val="0049168B"/>
    <w:rsid w:val="00491ADC"/>
    <w:rsid w:val="0049239D"/>
    <w:rsid w:val="00492DBB"/>
    <w:rsid w:val="00493736"/>
    <w:rsid w:val="0049397A"/>
    <w:rsid w:val="00494692"/>
    <w:rsid w:val="0049472F"/>
    <w:rsid w:val="00494ADF"/>
    <w:rsid w:val="00494B8A"/>
    <w:rsid w:val="00494BEF"/>
    <w:rsid w:val="00494E2C"/>
    <w:rsid w:val="00495697"/>
    <w:rsid w:val="004968CF"/>
    <w:rsid w:val="00496B42"/>
    <w:rsid w:val="00497350"/>
    <w:rsid w:val="00497B44"/>
    <w:rsid w:val="004A0211"/>
    <w:rsid w:val="004A036B"/>
    <w:rsid w:val="004A0A2C"/>
    <w:rsid w:val="004A1029"/>
    <w:rsid w:val="004A275F"/>
    <w:rsid w:val="004A3995"/>
    <w:rsid w:val="004A455C"/>
    <w:rsid w:val="004A571E"/>
    <w:rsid w:val="004A5961"/>
    <w:rsid w:val="004A7B74"/>
    <w:rsid w:val="004B0BDA"/>
    <w:rsid w:val="004B0D3F"/>
    <w:rsid w:val="004B0EBF"/>
    <w:rsid w:val="004B1D58"/>
    <w:rsid w:val="004B1FFC"/>
    <w:rsid w:val="004B2178"/>
    <w:rsid w:val="004B278F"/>
    <w:rsid w:val="004B2E16"/>
    <w:rsid w:val="004B40C3"/>
    <w:rsid w:val="004B44E2"/>
    <w:rsid w:val="004B4D0F"/>
    <w:rsid w:val="004B4F4A"/>
    <w:rsid w:val="004B580E"/>
    <w:rsid w:val="004B5C61"/>
    <w:rsid w:val="004B6121"/>
    <w:rsid w:val="004B6230"/>
    <w:rsid w:val="004B6C7D"/>
    <w:rsid w:val="004B7479"/>
    <w:rsid w:val="004B7D14"/>
    <w:rsid w:val="004C0890"/>
    <w:rsid w:val="004C0991"/>
    <w:rsid w:val="004C0E4F"/>
    <w:rsid w:val="004C1EF8"/>
    <w:rsid w:val="004C36E8"/>
    <w:rsid w:val="004C373E"/>
    <w:rsid w:val="004C3B59"/>
    <w:rsid w:val="004C3D9F"/>
    <w:rsid w:val="004C4043"/>
    <w:rsid w:val="004C47F2"/>
    <w:rsid w:val="004C4913"/>
    <w:rsid w:val="004C503D"/>
    <w:rsid w:val="004C532D"/>
    <w:rsid w:val="004C6F7F"/>
    <w:rsid w:val="004C713A"/>
    <w:rsid w:val="004C75EB"/>
    <w:rsid w:val="004C77FF"/>
    <w:rsid w:val="004C7892"/>
    <w:rsid w:val="004D1342"/>
    <w:rsid w:val="004D1B06"/>
    <w:rsid w:val="004D1BDE"/>
    <w:rsid w:val="004D247F"/>
    <w:rsid w:val="004D26E8"/>
    <w:rsid w:val="004D2CA8"/>
    <w:rsid w:val="004D2F31"/>
    <w:rsid w:val="004D367D"/>
    <w:rsid w:val="004D370B"/>
    <w:rsid w:val="004D403D"/>
    <w:rsid w:val="004D43D4"/>
    <w:rsid w:val="004D4916"/>
    <w:rsid w:val="004D498C"/>
    <w:rsid w:val="004D4C89"/>
    <w:rsid w:val="004D4D16"/>
    <w:rsid w:val="004D5B83"/>
    <w:rsid w:val="004D5DBD"/>
    <w:rsid w:val="004D6776"/>
    <w:rsid w:val="004D6C80"/>
    <w:rsid w:val="004D7122"/>
    <w:rsid w:val="004D76AD"/>
    <w:rsid w:val="004D7A51"/>
    <w:rsid w:val="004E092E"/>
    <w:rsid w:val="004E0B33"/>
    <w:rsid w:val="004E0E55"/>
    <w:rsid w:val="004E1C95"/>
    <w:rsid w:val="004E21BA"/>
    <w:rsid w:val="004E25CB"/>
    <w:rsid w:val="004E40DB"/>
    <w:rsid w:val="004E43D8"/>
    <w:rsid w:val="004E4CE7"/>
    <w:rsid w:val="004E5144"/>
    <w:rsid w:val="004E5C53"/>
    <w:rsid w:val="004E68C5"/>
    <w:rsid w:val="004E7015"/>
    <w:rsid w:val="004E7423"/>
    <w:rsid w:val="004E7B45"/>
    <w:rsid w:val="004E7E99"/>
    <w:rsid w:val="004F01DF"/>
    <w:rsid w:val="004F0C89"/>
    <w:rsid w:val="004F1F82"/>
    <w:rsid w:val="004F2892"/>
    <w:rsid w:val="004F2BE8"/>
    <w:rsid w:val="004F38BA"/>
    <w:rsid w:val="004F39B5"/>
    <w:rsid w:val="004F3E6D"/>
    <w:rsid w:val="004F44DF"/>
    <w:rsid w:val="004F49C7"/>
    <w:rsid w:val="004F4B6F"/>
    <w:rsid w:val="004F5417"/>
    <w:rsid w:val="004F5C85"/>
    <w:rsid w:val="004F5CFA"/>
    <w:rsid w:val="004F66E3"/>
    <w:rsid w:val="004F68DA"/>
    <w:rsid w:val="004F6DDD"/>
    <w:rsid w:val="005006EA"/>
    <w:rsid w:val="005009AD"/>
    <w:rsid w:val="00500D3E"/>
    <w:rsid w:val="00500F72"/>
    <w:rsid w:val="005017FB"/>
    <w:rsid w:val="00501A3B"/>
    <w:rsid w:val="005022E6"/>
    <w:rsid w:val="00502F14"/>
    <w:rsid w:val="0050348A"/>
    <w:rsid w:val="0050366A"/>
    <w:rsid w:val="00503751"/>
    <w:rsid w:val="00503968"/>
    <w:rsid w:val="00503B12"/>
    <w:rsid w:val="0050444A"/>
    <w:rsid w:val="00504DDF"/>
    <w:rsid w:val="005054B8"/>
    <w:rsid w:val="005058D9"/>
    <w:rsid w:val="00506D4F"/>
    <w:rsid w:val="00506DDF"/>
    <w:rsid w:val="00506E65"/>
    <w:rsid w:val="0050750E"/>
    <w:rsid w:val="00507962"/>
    <w:rsid w:val="00507F1F"/>
    <w:rsid w:val="0051023C"/>
    <w:rsid w:val="00510999"/>
    <w:rsid w:val="00510F73"/>
    <w:rsid w:val="00512592"/>
    <w:rsid w:val="0051280D"/>
    <w:rsid w:val="00512E18"/>
    <w:rsid w:val="00513714"/>
    <w:rsid w:val="005138C2"/>
    <w:rsid w:val="00513B57"/>
    <w:rsid w:val="00513CFD"/>
    <w:rsid w:val="00513D8C"/>
    <w:rsid w:val="00514336"/>
    <w:rsid w:val="005152C9"/>
    <w:rsid w:val="005153FE"/>
    <w:rsid w:val="00515FB9"/>
    <w:rsid w:val="00516821"/>
    <w:rsid w:val="0051690E"/>
    <w:rsid w:val="00516987"/>
    <w:rsid w:val="005177E2"/>
    <w:rsid w:val="00517F3F"/>
    <w:rsid w:val="005206B2"/>
    <w:rsid w:val="0052081C"/>
    <w:rsid w:val="00520ECC"/>
    <w:rsid w:val="0052119F"/>
    <w:rsid w:val="00521319"/>
    <w:rsid w:val="005215E5"/>
    <w:rsid w:val="005228E0"/>
    <w:rsid w:val="00522C9A"/>
    <w:rsid w:val="00523145"/>
    <w:rsid w:val="00523151"/>
    <w:rsid w:val="005234EF"/>
    <w:rsid w:val="005241AE"/>
    <w:rsid w:val="00524663"/>
    <w:rsid w:val="005253C4"/>
    <w:rsid w:val="00525583"/>
    <w:rsid w:val="005256C8"/>
    <w:rsid w:val="00525F1A"/>
    <w:rsid w:val="00527AC8"/>
    <w:rsid w:val="00527FE3"/>
    <w:rsid w:val="005306F3"/>
    <w:rsid w:val="00530EF4"/>
    <w:rsid w:val="00530F83"/>
    <w:rsid w:val="00530F89"/>
    <w:rsid w:val="0053249E"/>
    <w:rsid w:val="00532653"/>
    <w:rsid w:val="00532B8F"/>
    <w:rsid w:val="00532BC5"/>
    <w:rsid w:val="00532E70"/>
    <w:rsid w:val="0053389E"/>
    <w:rsid w:val="00534241"/>
    <w:rsid w:val="00534AE0"/>
    <w:rsid w:val="00534CB8"/>
    <w:rsid w:val="0053534C"/>
    <w:rsid w:val="00535652"/>
    <w:rsid w:val="00535BFB"/>
    <w:rsid w:val="00535D4E"/>
    <w:rsid w:val="00535E41"/>
    <w:rsid w:val="00536273"/>
    <w:rsid w:val="00536A16"/>
    <w:rsid w:val="00536A95"/>
    <w:rsid w:val="005377D4"/>
    <w:rsid w:val="0053781D"/>
    <w:rsid w:val="0053783B"/>
    <w:rsid w:val="00537B72"/>
    <w:rsid w:val="0054004C"/>
    <w:rsid w:val="005401EE"/>
    <w:rsid w:val="00540436"/>
    <w:rsid w:val="00542121"/>
    <w:rsid w:val="00542258"/>
    <w:rsid w:val="00543131"/>
    <w:rsid w:val="0054314A"/>
    <w:rsid w:val="00543157"/>
    <w:rsid w:val="0054329A"/>
    <w:rsid w:val="005437D6"/>
    <w:rsid w:val="00543B86"/>
    <w:rsid w:val="0054477C"/>
    <w:rsid w:val="005451D4"/>
    <w:rsid w:val="00545320"/>
    <w:rsid w:val="00546043"/>
    <w:rsid w:val="0054741A"/>
    <w:rsid w:val="00551169"/>
    <w:rsid w:val="005511BD"/>
    <w:rsid w:val="005520ED"/>
    <w:rsid w:val="00552438"/>
    <w:rsid w:val="0055246D"/>
    <w:rsid w:val="0055293B"/>
    <w:rsid w:val="00552A29"/>
    <w:rsid w:val="0055306F"/>
    <w:rsid w:val="00553F37"/>
    <w:rsid w:val="0055537C"/>
    <w:rsid w:val="00555CCA"/>
    <w:rsid w:val="00556874"/>
    <w:rsid w:val="00557BC3"/>
    <w:rsid w:val="00560069"/>
    <w:rsid w:val="00560452"/>
    <w:rsid w:val="0056045F"/>
    <w:rsid w:val="00560E0C"/>
    <w:rsid w:val="0056100C"/>
    <w:rsid w:val="005612ED"/>
    <w:rsid w:val="005618D1"/>
    <w:rsid w:val="00561F68"/>
    <w:rsid w:val="00561FDD"/>
    <w:rsid w:val="005623BE"/>
    <w:rsid w:val="00562473"/>
    <w:rsid w:val="00562D9C"/>
    <w:rsid w:val="00562DBE"/>
    <w:rsid w:val="00562E35"/>
    <w:rsid w:val="005630F2"/>
    <w:rsid w:val="00563446"/>
    <w:rsid w:val="0056379F"/>
    <w:rsid w:val="00563813"/>
    <w:rsid w:val="00563D8B"/>
    <w:rsid w:val="005660A3"/>
    <w:rsid w:val="0056668E"/>
    <w:rsid w:val="0056691C"/>
    <w:rsid w:val="00566961"/>
    <w:rsid w:val="00566B44"/>
    <w:rsid w:val="00566D7A"/>
    <w:rsid w:val="00566E1D"/>
    <w:rsid w:val="00566E9F"/>
    <w:rsid w:val="00567543"/>
    <w:rsid w:val="00567850"/>
    <w:rsid w:val="00567B28"/>
    <w:rsid w:val="00570022"/>
    <w:rsid w:val="00571440"/>
    <w:rsid w:val="005718C1"/>
    <w:rsid w:val="00573977"/>
    <w:rsid w:val="0057426D"/>
    <w:rsid w:val="00574545"/>
    <w:rsid w:val="005746AA"/>
    <w:rsid w:val="005766A4"/>
    <w:rsid w:val="00577AD6"/>
    <w:rsid w:val="00580774"/>
    <w:rsid w:val="00580DB2"/>
    <w:rsid w:val="005816EE"/>
    <w:rsid w:val="00582007"/>
    <w:rsid w:val="00583E03"/>
    <w:rsid w:val="00583F7D"/>
    <w:rsid w:val="00584043"/>
    <w:rsid w:val="0058427F"/>
    <w:rsid w:val="00584CFB"/>
    <w:rsid w:val="00586A28"/>
    <w:rsid w:val="005872DC"/>
    <w:rsid w:val="005874CC"/>
    <w:rsid w:val="005874DB"/>
    <w:rsid w:val="00587583"/>
    <w:rsid w:val="00590B0A"/>
    <w:rsid w:val="00591367"/>
    <w:rsid w:val="00591538"/>
    <w:rsid w:val="0059160C"/>
    <w:rsid w:val="00591C14"/>
    <w:rsid w:val="00591D56"/>
    <w:rsid w:val="00592C4C"/>
    <w:rsid w:val="00592E5D"/>
    <w:rsid w:val="0059347E"/>
    <w:rsid w:val="00593A61"/>
    <w:rsid w:val="005953FA"/>
    <w:rsid w:val="00595D51"/>
    <w:rsid w:val="00596138"/>
    <w:rsid w:val="005A077A"/>
    <w:rsid w:val="005A0E8F"/>
    <w:rsid w:val="005A1970"/>
    <w:rsid w:val="005A1B49"/>
    <w:rsid w:val="005A279D"/>
    <w:rsid w:val="005A2DED"/>
    <w:rsid w:val="005A34BA"/>
    <w:rsid w:val="005A36B8"/>
    <w:rsid w:val="005A36DC"/>
    <w:rsid w:val="005A384D"/>
    <w:rsid w:val="005A536F"/>
    <w:rsid w:val="005A5579"/>
    <w:rsid w:val="005A5CA5"/>
    <w:rsid w:val="005A7499"/>
    <w:rsid w:val="005A790B"/>
    <w:rsid w:val="005B07B7"/>
    <w:rsid w:val="005B0CCA"/>
    <w:rsid w:val="005B0F17"/>
    <w:rsid w:val="005B1236"/>
    <w:rsid w:val="005B1CAB"/>
    <w:rsid w:val="005B2141"/>
    <w:rsid w:val="005B2487"/>
    <w:rsid w:val="005B34A7"/>
    <w:rsid w:val="005B35ED"/>
    <w:rsid w:val="005B41A8"/>
    <w:rsid w:val="005B4328"/>
    <w:rsid w:val="005B49EC"/>
    <w:rsid w:val="005B4F0A"/>
    <w:rsid w:val="005B5EE1"/>
    <w:rsid w:val="005B670D"/>
    <w:rsid w:val="005B76F8"/>
    <w:rsid w:val="005B7791"/>
    <w:rsid w:val="005B7986"/>
    <w:rsid w:val="005B7AF9"/>
    <w:rsid w:val="005B7C7C"/>
    <w:rsid w:val="005C02D1"/>
    <w:rsid w:val="005C0947"/>
    <w:rsid w:val="005C0A59"/>
    <w:rsid w:val="005C1428"/>
    <w:rsid w:val="005C147A"/>
    <w:rsid w:val="005C148D"/>
    <w:rsid w:val="005C2EEA"/>
    <w:rsid w:val="005C2F9F"/>
    <w:rsid w:val="005C4067"/>
    <w:rsid w:val="005C4074"/>
    <w:rsid w:val="005C4FA6"/>
    <w:rsid w:val="005C50A7"/>
    <w:rsid w:val="005C57D6"/>
    <w:rsid w:val="005C59D3"/>
    <w:rsid w:val="005C6341"/>
    <w:rsid w:val="005C6FF6"/>
    <w:rsid w:val="005C7141"/>
    <w:rsid w:val="005C71D1"/>
    <w:rsid w:val="005C7888"/>
    <w:rsid w:val="005C7B35"/>
    <w:rsid w:val="005D0060"/>
    <w:rsid w:val="005D023A"/>
    <w:rsid w:val="005D0C75"/>
    <w:rsid w:val="005D116E"/>
    <w:rsid w:val="005D3FD5"/>
    <w:rsid w:val="005D42C8"/>
    <w:rsid w:val="005D4F28"/>
    <w:rsid w:val="005D4FE5"/>
    <w:rsid w:val="005D5F74"/>
    <w:rsid w:val="005D6ABD"/>
    <w:rsid w:val="005D6DB7"/>
    <w:rsid w:val="005D7139"/>
    <w:rsid w:val="005D7203"/>
    <w:rsid w:val="005D7865"/>
    <w:rsid w:val="005E0D78"/>
    <w:rsid w:val="005E0EEA"/>
    <w:rsid w:val="005E10C8"/>
    <w:rsid w:val="005E15F5"/>
    <w:rsid w:val="005E1979"/>
    <w:rsid w:val="005E1B23"/>
    <w:rsid w:val="005E2009"/>
    <w:rsid w:val="005E2C8C"/>
    <w:rsid w:val="005E2E13"/>
    <w:rsid w:val="005E325E"/>
    <w:rsid w:val="005E553C"/>
    <w:rsid w:val="005E788F"/>
    <w:rsid w:val="005F0BA7"/>
    <w:rsid w:val="005F0C68"/>
    <w:rsid w:val="005F2331"/>
    <w:rsid w:val="005F29E3"/>
    <w:rsid w:val="005F2ADF"/>
    <w:rsid w:val="005F333B"/>
    <w:rsid w:val="005F342B"/>
    <w:rsid w:val="005F3CE8"/>
    <w:rsid w:val="005F4518"/>
    <w:rsid w:val="005F50DA"/>
    <w:rsid w:val="005F5BD4"/>
    <w:rsid w:val="005F5E28"/>
    <w:rsid w:val="005F615B"/>
    <w:rsid w:val="005F64D5"/>
    <w:rsid w:val="005F7138"/>
    <w:rsid w:val="00600DFA"/>
    <w:rsid w:val="0060143C"/>
    <w:rsid w:val="00601DE6"/>
    <w:rsid w:val="006023C5"/>
    <w:rsid w:val="006027AA"/>
    <w:rsid w:val="00603174"/>
    <w:rsid w:val="00603984"/>
    <w:rsid w:val="00603A0B"/>
    <w:rsid w:val="006040DD"/>
    <w:rsid w:val="006047C8"/>
    <w:rsid w:val="006048D6"/>
    <w:rsid w:val="00605211"/>
    <w:rsid w:val="00605787"/>
    <w:rsid w:val="00605F45"/>
    <w:rsid w:val="006065C1"/>
    <w:rsid w:val="00606AB6"/>
    <w:rsid w:val="006078AE"/>
    <w:rsid w:val="006078DB"/>
    <w:rsid w:val="00607FD4"/>
    <w:rsid w:val="00610D11"/>
    <w:rsid w:val="00612514"/>
    <w:rsid w:val="00612E9A"/>
    <w:rsid w:val="0061354E"/>
    <w:rsid w:val="006135CF"/>
    <w:rsid w:val="0061392E"/>
    <w:rsid w:val="00613987"/>
    <w:rsid w:val="0061472B"/>
    <w:rsid w:val="006150B3"/>
    <w:rsid w:val="00615C6D"/>
    <w:rsid w:val="006161AB"/>
    <w:rsid w:val="006163A5"/>
    <w:rsid w:val="006173B2"/>
    <w:rsid w:val="006206BE"/>
    <w:rsid w:val="006207C2"/>
    <w:rsid w:val="006210E6"/>
    <w:rsid w:val="006219C8"/>
    <w:rsid w:val="0062201B"/>
    <w:rsid w:val="00622A14"/>
    <w:rsid w:val="00623A45"/>
    <w:rsid w:val="00623A76"/>
    <w:rsid w:val="00623E94"/>
    <w:rsid w:val="0062457A"/>
    <w:rsid w:val="00624DD2"/>
    <w:rsid w:val="006252E9"/>
    <w:rsid w:val="006254D6"/>
    <w:rsid w:val="00625B93"/>
    <w:rsid w:val="00626396"/>
    <w:rsid w:val="00626F27"/>
    <w:rsid w:val="0062714A"/>
    <w:rsid w:val="0063011E"/>
    <w:rsid w:val="00630DDB"/>
    <w:rsid w:val="00630E90"/>
    <w:rsid w:val="00630EDB"/>
    <w:rsid w:val="00631344"/>
    <w:rsid w:val="00632B4B"/>
    <w:rsid w:val="00633196"/>
    <w:rsid w:val="00633222"/>
    <w:rsid w:val="00633B88"/>
    <w:rsid w:val="00633BDA"/>
    <w:rsid w:val="00634144"/>
    <w:rsid w:val="00634598"/>
    <w:rsid w:val="0063548D"/>
    <w:rsid w:val="006365D9"/>
    <w:rsid w:val="00636679"/>
    <w:rsid w:val="006367F9"/>
    <w:rsid w:val="00636AA6"/>
    <w:rsid w:val="00636D3D"/>
    <w:rsid w:val="006371CA"/>
    <w:rsid w:val="006379A6"/>
    <w:rsid w:val="00637CC0"/>
    <w:rsid w:val="00637F37"/>
    <w:rsid w:val="00640355"/>
    <w:rsid w:val="00640E8A"/>
    <w:rsid w:val="0064109A"/>
    <w:rsid w:val="00641101"/>
    <w:rsid w:val="00641BA6"/>
    <w:rsid w:val="006427E0"/>
    <w:rsid w:val="00642BD4"/>
    <w:rsid w:val="00642C0A"/>
    <w:rsid w:val="006436EA"/>
    <w:rsid w:val="0064420C"/>
    <w:rsid w:val="006445D1"/>
    <w:rsid w:val="00644C13"/>
    <w:rsid w:val="00645322"/>
    <w:rsid w:val="00645323"/>
    <w:rsid w:val="00645ECF"/>
    <w:rsid w:val="00645F74"/>
    <w:rsid w:val="0064622C"/>
    <w:rsid w:val="00646873"/>
    <w:rsid w:val="00646946"/>
    <w:rsid w:val="00646C9E"/>
    <w:rsid w:val="00647009"/>
    <w:rsid w:val="00647F34"/>
    <w:rsid w:val="00650BBA"/>
    <w:rsid w:val="00651B88"/>
    <w:rsid w:val="00651E60"/>
    <w:rsid w:val="006529B1"/>
    <w:rsid w:val="00653005"/>
    <w:rsid w:val="00653DDB"/>
    <w:rsid w:val="00653E7D"/>
    <w:rsid w:val="0065471A"/>
    <w:rsid w:val="006556C5"/>
    <w:rsid w:val="006557F9"/>
    <w:rsid w:val="00655A63"/>
    <w:rsid w:val="0065602D"/>
    <w:rsid w:val="00656298"/>
    <w:rsid w:val="00657DA6"/>
    <w:rsid w:val="00660306"/>
    <w:rsid w:val="00660E7F"/>
    <w:rsid w:val="00661209"/>
    <w:rsid w:val="00662572"/>
    <w:rsid w:val="00662EC9"/>
    <w:rsid w:val="0066399E"/>
    <w:rsid w:val="00663DEF"/>
    <w:rsid w:val="00664307"/>
    <w:rsid w:val="006648F9"/>
    <w:rsid w:val="00664CD3"/>
    <w:rsid w:val="00664ED8"/>
    <w:rsid w:val="006654B2"/>
    <w:rsid w:val="006655FE"/>
    <w:rsid w:val="006658B8"/>
    <w:rsid w:val="00665FC9"/>
    <w:rsid w:val="006661D6"/>
    <w:rsid w:val="0066683E"/>
    <w:rsid w:val="00666E29"/>
    <w:rsid w:val="00666FD2"/>
    <w:rsid w:val="00667849"/>
    <w:rsid w:val="0067044B"/>
    <w:rsid w:val="00670FF3"/>
    <w:rsid w:val="0067112B"/>
    <w:rsid w:val="006712D6"/>
    <w:rsid w:val="00671645"/>
    <w:rsid w:val="00671704"/>
    <w:rsid w:val="006730F9"/>
    <w:rsid w:val="00674289"/>
    <w:rsid w:val="00675616"/>
    <w:rsid w:val="00675A86"/>
    <w:rsid w:val="006763A2"/>
    <w:rsid w:val="006763C3"/>
    <w:rsid w:val="006764A7"/>
    <w:rsid w:val="00676DF4"/>
    <w:rsid w:val="00677B04"/>
    <w:rsid w:val="00677BE1"/>
    <w:rsid w:val="0068008F"/>
    <w:rsid w:val="006804DF"/>
    <w:rsid w:val="00680754"/>
    <w:rsid w:val="006809D7"/>
    <w:rsid w:val="00680CB4"/>
    <w:rsid w:val="00681B74"/>
    <w:rsid w:val="00681BA3"/>
    <w:rsid w:val="00682B80"/>
    <w:rsid w:val="0068311E"/>
    <w:rsid w:val="006832CA"/>
    <w:rsid w:val="00683446"/>
    <w:rsid w:val="00683635"/>
    <w:rsid w:val="006837B2"/>
    <w:rsid w:val="00683862"/>
    <w:rsid w:val="00683B5E"/>
    <w:rsid w:val="00684BF5"/>
    <w:rsid w:val="00684E7A"/>
    <w:rsid w:val="00686029"/>
    <w:rsid w:val="00686C4E"/>
    <w:rsid w:val="00686E17"/>
    <w:rsid w:val="006873CA"/>
    <w:rsid w:val="00687F4F"/>
    <w:rsid w:val="00691116"/>
    <w:rsid w:val="00691301"/>
    <w:rsid w:val="00691E6D"/>
    <w:rsid w:val="00692AFE"/>
    <w:rsid w:val="00692FB7"/>
    <w:rsid w:val="00693708"/>
    <w:rsid w:val="0069374D"/>
    <w:rsid w:val="006937C4"/>
    <w:rsid w:val="0069393F"/>
    <w:rsid w:val="00693ABB"/>
    <w:rsid w:val="00693B89"/>
    <w:rsid w:val="00694124"/>
    <w:rsid w:val="00694601"/>
    <w:rsid w:val="00695A30"/>
    <w:rsid w:val="00695C05"/>
    <w:rsid w:val="00695F57"/>
    <w:rsid w:val="006963B3"/>
    <w:rsid w:val="00696481"/>
    <w:rsid w:val="00696575"/>
    <w:rsid w:val="006969D0"/>
    <w:rsid w:val="006974A8"/>
    <w:rsid w:val="00697552"/>
    <w:rsid w:val="00697CA1"/>
    <w:rsid w:val="00697F87"/>
    <w:rsid w:val="006A00A7"/>
    <w:rsid w:val="006A0CBF"/>
    <w:rsid w:val="006A192C"/>
    <w:rsid w:val="006A3527"/>
    <w:rsid w:val="006A3A09"/>
    <w:rsid w:val="006A3E26"/>
    <w:rsid w:val="006A3E55"/>
    <w:rsid w:val="006A4092"/>
    <w:rsid w:val="006A4F36"/>
    <w:rsid w:val="006A5B07"/>
    <w:rsid w:val="006A5CDC"/>
    <w:rsid w:val="006A6E0C"/>
    <w:rsid w:val="006A7752"/>
    <w:rsid w:val="006A7AC8"/>
    <w:rsid w:val="006A7BB4"/>
    <w:rsid w:val="006A7C48"/>
    <w:rsid w:val="006A7DA7"/>
    <w:rsid w:val="006B0297"/>
    <w:rsid w:val="006B0613"/>
    <w:rsid w:val="006B0665"/>
    <w:rsid w:val="006B1652"/>
    <w:rsid w:val="006B1718"/>
    <w:rsid w:val="006B1D94"/>
    <w:rsid w:val="006B1DA5"/>
    <w:rsid w:val="006B21AA"/>
    <w:rsid w:val="006B28EB"/>
    <w:rsid w:val="006B2ED3"/>
    <w:rsid w:val="006B3636"/>
    <w:rsid w:val="006B45D8"/>
    <w:rsid w:val="006B4AD0"/>
    <w:rsid w:val="006B505B"/>
    <w:rsid w:val="006B5671"/>
    <w:rsid w:val="006B57A2"/>
    <w:rsid w:val="006B5CED"/>
    <w:rsid w:val="006B6E07"/>
    <w:rsid w:val="006B7D86"/>
    <w:rsid w:val="006C09B8"/>
    <w:rsid w:val="006C0AB1"/>
    <w:rsid w:val="006C0D0E"/>
    <w:rsid w:val="006C0D3F"/>
    <w:rsid w:val="006C1CCA"/>
    <w:rsid w:val="006C20FA"/>
    <w:rsid w:val="006C2185"/>
    <w:rsid w:val="006C27BF"/>
    <w:rsid w:val="006C28D1"/>
    <w:rsid w:val="006C30EE"/>
    <w:rsid w:val="006C359B"/>
    <w:rsid w:val="006C3E08"/>
    <w:rsid w:val="006C46F1"/>
    <w:rsid w:val="006C4E8D"/>
    <w:rsid w:val="006C54F4"/>
    <w:rsid w:val="006C55E6"/>
    <w:rsid w:val="006C5DA4"/>
    <w:rsid w:val="006C5F05"/>
    <w:rsid w:val="006C634A"/>
    <w:rsid w:val="006C717A"/>
    <w:rsid w:val="006C77D6"/>
    <w:rsid w:val="006D0718"/>
    <w:rsid w:val="006D07A9"/>
    <w:rsid w:val="006D0E78"/>
    <w:rsid w:val="006D0ECB"/>
    <w:rsid w:val="006D0F0A"/>
    <w:rsid w:val="006D1B66"/>
    <w:rsid w:val="006D21E0"/>
    <w:rsid w:val="006D2F13"/>
    <w:rsid w:val="006D324F"/>
    <w:rsid w:val="006D3A2E"/>
    <w:rsid w:val="006D3A53"/>
    <w:rsid w:val="006D5715"/>
    <w:rsid w:val="006D5CB9"/>
    <w:rsid w:val="006D6CD1"/>
    <w:rsid w:val="006D6D38"/>
    <w:rsid w:val="006D6ECA"/>
    <w:rsid w:val="006D7025"/>
    <w:rsid w:val="006D7062"/>
    <w:rsid w:val="006D70AF"/>
    <w:rsid w:val="006D798E"/>
    <w:rsid w:val="006D7BAC"/>
    <w:rsid w:val="006D7CAF"/>
    <w:rsid w:val="006D7D57"/>
    <w:rsid w:val="006E1F4A"/>
    <w:rsid w:val="006E2470"/>
    <w:rsid w:val="006E2664"/>
    <w:rsid w:val="006E290D"/>
    <w:rsid w:val="006E3CFF"/>
    <w:rsid w:val="006E596F"/>
    <w:rsid w:val="006E5B08"/>
    <w:rsid w:val="006E5EFD"/>
    <w:rsid w:val="006E616E"/>
    <w:rsid w:val="006E6A6E"/>
    <w:rsid w:val="006E6B76"/>
    <w:rsid w:val="006E6D1E"/>
    <w:rsid w:val="006E70CB"/>
    <w:rsid w:val="006E7172"/>
    <w:rsid w:val="006E7761"/>
    <w:rsid w:val="006F046A"/>
    <w:rsid w:val="006F064F"/>
    <w:rsid w:val="006F128E"/>
    <w:rsid w:val="006F136D"/>
    <w:rsid w:val="006F1A39"/>
    <w:rsid w:val="006F20D5"/>
    <w:rsid w:val="006F238D"/>
    <w:rsid w:val="006F239B"/>
    <w:rsid w:val="006F266E"/>
    <w:rsid w:val="006F27D7"/>
    <w:rsid w:val="006F28EE"/>
    <w:rsid w:val="006F2AB1"/>
    <w:rsid w:val="006F2B5E"/>
    <w:rsid w:val="006F374B"/>
    <w:rsid w:val="006F4FD3"/>
    <w:rsid w:val="006F54E5"/>
    <w:rsid w:val="006F5959"/>
    <w:rsid w:val="006F652E"/>
    <w:rsid w:val="006F66F4"/>
    <w:rsid w:val="006F69C5"/>
    <w:rsid w:val="006F6BD5"/>
    <w:rsid w:val="006F70F4"/>
    <w:rsid w:val="006F763F"/>
    <w:rsid w:val="006F7877"/>
    <w:rsid w:val="006F7CC6"/>
    <w:rsid w:val="007005DB"/>
    <w:rsid w:val="00700A7D"/>
    <w:rsid w:val="00700C33"/>
    <w:rsid w:val="00701242"/>
    <w:rsid w:val="00701C01"/>
    <w:rsid w:val="00702863"/>
    <w:rsid w:val="00702CB8"/>
    <w:rsid w:val="00703070"/>
    <w:rsid w:val="0070322D"/>
    <w:rsid w:val="0070334D"/>
    <w:rsid w:val="007037B2"/>
    <w:rsid w:val="00703A3E"/>
    <w:rsid w:val="00704633"/>
    <w:rsid w:val="00705178"/>
    <w:rsid w:val="00705C04"/>
    <w:rsid w:val="007061B8"/>
    <w:rsid w:val="007062F7"/>
    <w:rsid w:val="0070672D"/>
    <w:rsid w:val="00706B54"/>
    <w:rsid w:val="007071D0"/>
    <w:rsid w:val="00707EF3"/>
    <w:rsid w:val="007101D1"/>
    <w:rsid w:val="00710839"/>
    <w:rsid w:val="00710B70"/>
    <w:rsid w:val="00710C1D"/>
    <w:rsid w:val="00711261"/>
    <w:rsid w:val="00711677"/>
    <w:rsid w:val="00711DE9"/>
    <w:rsid w:val="00711FA3"/>
    <w:rsid w:val="007138F7"/>
    <w:rsid w:val="007144BB"/>
    <w:rsid w:val="00714671"/>
    <w:rsid w:val="007146A1"/>
    <w:rsid w:val="007148A2"/>
    <w:rsid w:val="0071549F"/>
    <w:rsid w:val="007157AC"/>
    <w:rsid w:val="00715EB6"/>
    <w:rsid w:val="0071636F"/>
    <w:rsid w:val="00716660"/>
    <w:rsid w:val="0071707D"/>
    <w:rsid w:val="007172D9"/>
    <w:rsid w:val="00717C81"/>
    <w:rsid w:val="00720288"/>
    <w:rsid w:val="00720F91"/>
    <w:rsid w:val="007217A3"/>
    <w:rsid w:val="007218EA"/>
    <w:rsid w:val="0072191A"/>
    <w:rsid w:val="0072201E"/>
    <w:rsid w:val="0072240F"/>
    <w:rsid w:val="00722B73"/>
    <w:rsid w:val="00723214"/>
    <w:rsid w:val="007248B4"/>
    <w:rsid w:val="007249A1"/>
    <w:rsid w:val="00725015"/>
    <w:rsid w:val="00725B42"/>
    <w:rsid w:val="00725C8C"/>
    <w:rsid w:val="007268C2"/>
    <w:rsid w:val="00726E26"/>
    <w:rsid w:val="00726FAD"/>
    <w:rsid w:val="007271AF"/>
    <w:rsid w:val="0072757B"/>
    <w:rsid w:val="00727DC3"/>
    <w:rsid w:val="007301C8"/>
    <w:rsid w:val="00730CE8"/>
    <w:rsid w:val="0073118E"/>
    <w:rsid w:val="00731861"/>
    <w:rsid w:val="00732907"/>
    <w:rsid w:val="00733075"/>
    <w:rsid w:val="007330A4"/>
    <w:rsid w:val="007332FA"/>
    <w:rsid w:val="0073337E"/>
    <w:rsid w:val="0073359E"/>
    <w:rsid w:val="0073494C"/>
    <w:rsid w:val="00734C7D"/>
    <w:rsid w:val="00734CE3"/>
    <w:rsid w:val="00734F86"/>
    <w:rsid w:val="00735B2B"/>
    <w:rsid w:val="00735BAF"/>
    <w:rsid w:val="007362C0"/>
    <w:rsid w:val="007365E4"/>
    <w:rsid w:val="00736BB2"/>
    <w:rsid w:val="0073764C"/>
    <w:rsid w:val="007377AA"/>
    <w:rsid w:val="00737B0D"/>
    <w:rsid w:val="0074007F"/>
    <w:rsid w:val="00740E97"/>
    <w:rsid w:val="00740EA9"/>
    <w:rsid w:val="00740F95"/>
    <w:rsid w:val="0074124E"/>
    <w:rsid w:val="00741E41"/>
    <w:rsid w:val="0074215A"/>
    <w:rsid w:val="00743E03"/>
    <w:rsid w:val="00743F48"/>
    <w:rsid w:val="0074417A"/>
    <w:rsid w:val="007443D9"/>
    <w:rsid w:val="0074450E"/>
    <w:rsid w:val="00744A4B"/>
    <w:rsid w:val="007459E3"/>
    <w:rsid w:val="0074664D"/>
    <w:rsid w:val="0074796B"/>
    <w:rsid w:val="00747B4C"/>
    <w:rsid w:val="00747D8E"/>
    <w:rsid w:val="0075113E"/>
    <w:rsid w:val="00751A35"/>
    <w:rsid w:val="00751F37"/>
    <w:rsid w:val="007520AB"/>
    <w:rsid w:val="00752D12"/>
    <w:rsid w:val="00752D70"/>
    <w:rsid w:val="00753710"/>
    <w:rsid w:val="007538C9"/>
    <w:rsid w:val="00753A54"/>
    <w:rsid w:val="00753AEB"/>
    <w:rsid w:val="00753C35"/>
    <w:rsid w:val="00753CFB"/>
    <w:rsid w:val="00754080"/>
    <w:rsid w:val="007543BF"/>
    <w:rsid w:val="0075445F"/>
    <w:rsid w:val="007548FC"/>
    <w:rsid w:val="00754AA8"/>
    <w:rsid w:val="00755BD6"/>
    <w:rsid w:val="00757357"/>
    <w:rsid w:val="00757AB5"/>
    <w:rsid w:val="0076001E"/>
    <w:rsid w:val="00762643"/>
    <w:rsid w:val="007626C9"/>
    <w:rsid w:val="00762E9D"/>
    <w:rsid w:val="0076345B"/>
    <w:rsid w:val="007638DF"/>
    <w:rsid w:val="00763CC0"/>
    <w:rsid w:val="00763DBC"/>
    <w:rsid w:val="00763F44"/>
    <w:rsid w:val="00764E56"/>
    <w:rsid w:val="007660D8"/>
    <w:rsid w:val="007667FF"/>
    <w:rsid w:val="00766824"/>
    <w:rsid w:val="00766E9A"/>
    <w:rsid w:val="007679B7"/>
    <w:rsid w:val="00767D0E"/>
    <w:rsid w:val="00767D1A"/>
    <w:rsid w:val="00767FB2"/>
    <w:rsid w:val="00770595"/>
    <w:rsid w:val="007708BA"/>
    <w:rsid w:val="00770C90"/>
    <w:rsid w:val="00771418"/>
    <w:rsid w:val="00772113"/>
    <w:rsid w:val="007728CC"/>
    <w:rsid w:val="00773ACF"/>
    <w:rsid w:val="00774714"/>
    <w:rsid w:val="00774741"/>
    <w:rsid w:val="0077643E"/>
    <w:rsid w:val="00777730"/>
    <w:rsid w:val="00777B59"/>
    <w:rsid w:val="00777F48"/>
    <w:rsid w:val="0078037D"/>
    <w:rsid w:val="00780451"/>
    <w:rsid w:val="00780777"/>
    <w:rsid w:val="00781D6A"/>
    <w:rsid w:val="00781E77"/>
    <w:rsid w:val="00782770"/>
    <w:rsid w:val="00782C88"/>
    <w:rsid w:val="00782EB4"/>
    <w:rsid w:val="007831F0"/>
    <w:rsid w:val="007836FE"/>
    <w:rsid w:val="00785A54"/>
    <w:rsid w:val="00785AC1"/>
    <w:rsid w:val="00785DCF"/>
    <w:rsid w:val="00785F27"/>
    <w:rsid w:val="00785F35"/>
    <w:rsid w:val="0078659B"/>
    <w:rsid w:val="007865B5"/>
    <w:rsid w:val="00786C61"/>
    <w:rsid w:val="00787636"/>
    <w:rsid w:val="00787D18"/>
    <w:rsid w:val="0079007E"/>
    <w:rsid w:val="007905AE"/>
    <w:rsid w:val="00791AA8"/>
    <w:rsid w:val="00791C7B"/>
    <w:rsid w:val="00791F1F"/>
    <w:rsid w:val="0079248C"/>
    <w:rsid w:val="00793C34"/>
    <w:rsid w:val="0079411F"/>
    <w:rsid w:val="00794479"/>
    <w:rsid w:val="00795269"/>
    <w:rsid w:val="007954EC"/>
    <w:rsid w:val="00795664"/>
    <w:rsid w:val="00795888"/>
    <w:rsid w:val="00795FB6"/>
    <w:rsid w:val="00796A10"/>
    <w:rsid w:val="00796E5C"/>
    <w:rsid w:val="00797140"/>
    <w:rsid w:val="00797298"/>
    <w:rsid w:val="00797490"/>
    <w:rsid w:val="00797648"/>
    <w:rsid w:val="00797AC5"/>
    <w:rsid w:val="00797F7E"/>
    <w:rsid w:val="007A099E"/>
    <w:rsid w:val="007A0BDA"/>
    <w:rsid w:val="007A102C"/>
    <w:rsid w:val="007A12B7"/>
    <w:rsid w:val="007A16C6"/>
    <w:rsid w:val="007A1B99"/>
    <w:rsid w:val="007A354B"/>
    <w:rsid w:val="007A3AB6"/>
    <w:rsid w:val="007A4976"/>
    <w:rsid w:val="007A4F14"/>
    <w:rsid w:val="007A51D4"/>
    <w:rsid w:val="007A573E"/>
    <w:rsid w:val="007A5A04"/>
    <w:rsid w:val="007A6108"/>
    <w:rsid w:val="007A6D85"/>
    <w:rsid w:val="007A6DD0"/>
    <w:rsid w:val="007A7283"/>
    <w:rsid w:val="007A7AAF"/>
    <w:rsid w:val="007A7E0A"/>
    <w:rsid w:val="007B1296"/>
    <w:rsid w:val="007B1C07"/>
    <w:rsid w:val="007B1C76"/>
    <w:rsid w:val="007B2719"/>
    <w:rsid w:val="007B2A79"/>
    <w:rsid w:val="007B32CE"/>
    <w:rsid w:val="007B3B6C"/>
    <w:rsid w:val="007B4184"/>
    <w:rsid w:val="007B45B4"/>
    <w:rsid w:val="007B4A1E"/>
    <w:rsid w:val="007B69B6"/>
    <w:rsid w:val="007B6AD7"/>
    <w:rsid w:val="007B6EB3"/>
    <w:rsid w:val="007B709A"/>
    <w:rsid w:val="007B7E8B"/>
    <w:rsid w:val="007C0646"/>
    <w:rsid w:val="007C08BB"/>
    <w:rsid w:val="007C1D7A"/>
    <w:rsid w:val="007C1DD5"/>
    <w:rsid w:val="007C20DF"/>
    <w:rsid w:val="007C232C"/>
    <w:rsid w:val="007C301B"/>
    <w:rsid w:val="007C3176"/>
    <w:rsid w:val="007C3180"/>
    <w:rsid w:val="007C35BD"/>
    <w:rsid w:val="007C3C31"/>
    <w:rsid w:val="007C3E3B"/>
    <w:rsid w:val="007C52BD"/>
    <w:rsid w:val="007C5682"/>
    <w:rsid w:val="007C65BC"/>
    <w:rsid w:val="007C7443"/>
    <w:rsid w:val="007D09C0"/>
    <w:rsid w:val="007D0A55"/>
    <w:rsid w:val="007D0C90"/>
    <w:rsid w:val="007D0E04"/>
    <w:rsid w:val="007D1BA7"/>
    <w:rsid w:val="007D2D92"/>
    <w:rsid w:val="007D2E04"/>
    <w:rsid w:val="007D30EB"/>
    <w:rsid w:val="007D31CA"/>
    <w:rsid w:val="007D34C0"/>
    <w:rsid w:val="007D3A7A"/>
    <w:rsid w:val="007D3A82"/>
    <w:rsid w:val="007D3D5E"/>
    <w:rsid w:val="007D4051"/>
    <w:rsid w:val="007D4A1C"/>
    <w:rsid w:val="007D4DB9"/>
    <w:rsid w:val="007D5699"/>
    <w:rsid w:val="007D77F1"/>
    <w:rsid w:val="007D7F46"/>
    <w:rsid w:val="007E0072"/>
    <w:rsid w:val="007E085C"/>
    <w:rsid w:val="007E09C7"/>
    <w:rsid w:val="007E11B7"/>
    <w:rsid w:val="007E127D"/>
    <w:rsid w:val="007E1B54"/>
    <w:rsid w:val="007E1BE0"/>
    <w:rsid w:val="007E1F05"/>
    <w:rsid w:val="007E2249"/>
    <w:rsid w:val="007E2813"/>
    <w:rsid w:val="007E4111"/>
    <w:rsid w:val="007E469A"/>
    <w:rsid w:val="007E4834"/>
    <w:rsid w:val="007E4D4B"/>
    <w:rsid w:val="007E4E4A"/>
    <w:rsid w:val="007E5A36"/>
    <w:rsid w:val="007E6077"/>
    <w:rsid w:val="007E62A3"/>
    <w:rsid w:val="007E72BE"/>
    <w:rsid w:val="007E769F"/>
    <w:rsid w:val="007F13C1"/>
    <w:rsid w:val="007F1969"/>
    <w:rsid w:val="007F1973"/>
    <w:rsid w:val="007F1D12"/>
    <w:rsid w:val="007F374A"/>
    <w:rsid w:val="007F407F"/>
    <w:rsid w:val="007F4897"/>
    <w:rsid w:val="007F675D"/>
    <w:rsid w:val="007F6805"/>
    <w:rsid w:val="007F713B"/>
    <w:rsid w:val="007F765A"/>
    <w:rsid w:val="007F7956"/>
    <w:rsid w:val="007F7BB9"/>
    <w:rsid w:val="007F7E96"/>
    <w:rsid w:val="0080002C"/>
    <w:rsid w:val="00800153"/>
    <w:rsid w:val="00800477"/>
    <w:rsid w:val="00800675"/>
    <w:rsid w:val="008006AD"/>
    <w:rsid w:val="00800830"/>
    <w:rsid w:val="00800A7D"/>
    <w:rsid w:val="008012FA"/>
    <w:rsid w:val="0080165F"/>
    <w:rsid w:val="00801968"/>
    <w:rsid w:val="00801F2E"/>
    <w:rsid w:val="0080250F"/>
    <w:rsid w:val="0080256B"/>
    <w:rsid w:val="00803F2A"/>
    <w:rsid w:val="00805511"/>
    <w:rsid w:val="008057F1"/>
    <w:rsid w:val="00805990"/>
    <w:rsid w:val="00806D13"/>
    <w:rsid w:val="008072D8"/>
    <w:rsid w:val="0081106E"/>
    <w:rsid w:val="008115F9"/>
    <w:rsid w:val="008124EA"/>
    <w:rsid w:val="00812548"/>
    <w:rsid w:val="008149FC"/>
    <w:rsid w:val="00815780"/>
    <w:rsid w:val="008157F3"/>
    <w:rsid w:val="00815BEB"/>
    <w:rsid w:val="008161AD"/>
    <w:rsid w:val="00816A60"/>
    <w:rsid w:val="00816AB3"/>
    <w:rsid w:val="00820DC3"/>
    <w:rsid w:val="00820DD4"/>
    <w:rsid w:val="008214E4"/>
    <w:rsid w:val="0082224E"/>
    <w:rsid w:val="0082275F"/>
    <w:rsid w:val="00822C2F"/>
    <w:rsid w:val="00823C3E"/>
    <w:rsid w:val="00824552"/>
    <w:rsid w:val="00825884"/>
    <w:rsid w:val="0082653F"/>
    <w:rsid w:val="00826CF6"/>
    <w:rsid w:val="00827014"/>
    <w:rsid w:val="008277F3"/>
    <w:rsid w:val="00827D75"/>
    <w:rsid w:val="008306E9"/>
    <w:rsid w:val="008306F6"/>
    <w:rsid w:val="00830812"/>
    <w:rsid w:val="00830821"/>
    <w:rsid w:val="00830F7B"/>
    <w:rsid w:val="00831712"/>
    <w:rsid w:val="00832150"/>
    <w:rsid w:val="008325C1"/>
    <w:rsid w:val="00832D6D"/>
    <w:rsid w:val="00832DA3"/>
    <w:rsid w:val="0083422F"/>
    <w:rsid w:val="00834418"/>
    <w:rsid w:val="0083466B"/>
    <w:rsid w:val="00834AF7"/>
    <w:rsid w:val="00835585"/>
    <w:rsid w:val="00835D71"/>
    <w:rsid w:val="00835DCD"/>
    <w:rsid w:val="00836527"/>
    <w:rsid w:val="00837085"/>
    <w:rsid w:val="0083724F"/>
    <w:rsid w:val="00840A45"/>
    <w:rsid w:val="00840F0D"/>
    <w:rsid w:val="00842D2D"/>
    <w:rsid w:val="00844447"/>
    <w:rsid w:val="0084470E"/>
    <w:rsid w:val="00845581"/>
    <w:rsid w:val="0084700D"/>
    <w:rsid w:val="008470DF"/>
    <w:rsid w:val="00847956"/>
    <w:rsid w:val="00847CB8"/>
    <w:rsid w:val="00850532"/>
    <w:rsid w:val="008516BF"/>
    <w:rsid w:val="0085184E"/>
    <w:rsid w:val="008518DE"/>
    <w:rsid w:val="00851A09"/>
    <w:rsid w:val="00851C89"/>
    <w:rsid w:val="00851D36"/>
    <w:rsid w:val="00851E59"/>
    <w:rsid w:val="0085261B"/>
    <w:rsid w:val="00852C8C"/>
    <w:rsid w:val="00853733"/>
    <w:rsid w:val="00853B5B"/>
    <w:rsid w:val="00853C62"/>
    <w:rsid w:val="00853FBC"/>
    <w:rsid w:val="00854238"/>
    <w:rsid w:val="00854B86"/>
    <w:rsid w:val="00854D56"/>
    <w:rsid w:val="00854D8A"/>
    <w:rsid w:val="00855858"/>
    <w:rsid w:val="00855BBA"/>
    <w:rsid w:val="00855EA8"/>
    <w:rsid w:val="00856247"/>
    <w:rsid w:val="00856A30"/>
    <w:rsid w:val="00856B24"/>
    <w:rsid w:val="00856E52"/>
    <w:rsid w:val="00856EA8"/>
    <w:rsid w:val="008571F7"/>
    <w:rsid w:val="0086015B"/>
    <w:rsid w:val="008602BD"/>
    <w:rsid w:val="00860EFE"/>
    <w:rsid w:val="00861389"/>
    <w:rsid w:val="00861ED2"/>
    <w:rsid w:val="0086305A"/>
    <w:rsid w:val="00863869"/>
    <w:rsid w:val="00863A66"/>
    <w:rsid w:val="00863E1C"/>
    <w:rsid w:val="0086404C"/>
    <w:rsid w:val="0086432A"/>
    <w:rsid w:val="008646F3"/>
    <w:rsid w:val="008649F1"/>
    <w:rsid w:val="00865260"/>
    <w:rsid w:val="00865285"/>
    <w:rsid w:val="00865A1B"/>
    <w:rsid w:val="00866984"/>
    <w:rsid w:val="00866D52"/>
    <w:rsid w:val="00866E36"/>
    <w:rsid w:val="008676E4"/>
    <w:rsid w:val="00870842"/>
    <w:rsid w:val="008709BC"/>
    <w:rsid w:val="00870B52"/>
    <w:rsid w:val="00870BD2"/>
    <w:rsid w:val="00871005"/>
    <w:rsid w:val="00871AAC"/>
    <w:rsid w:val="008739A2"/>
    <w:rsid w:val="00874342"/>
    <w:rsid w:val="008755F2"/>
    <w:rsid w:val="00875A97"/>
    <w:rsid w:val="00876128"/>
    <w:rsid w:val="008761D7"/>
    <w:rsid w:val="0087696A"/>
    <w:rsid w:val="00880818"/>
    <w:rsid w:val="00880D4C"/>
    <w:rsid w:val="00880DCF"/>
    <w:rsid w:val="00882ACA"/>
    <w:rsid w:val="00883188"/>
    <w:rsid w:val="00883507"/>
    <w:rsid w:val="008835D6"/>
    <w:rsid w:val="0088499D"/>
    <w:rsid w:val="008851A5"/>
    <w:rsid w:val="008865BF"/>
    <w:rsid w:val="00886CE1"/>
    <w:rsid w:val="0088745B"/>
    <w:rsid w:val="008878E1"/>
    <w:rsid w:val="00887F9D"/>
    <w:rsid w:val="0089053A"/>
    <w:rsid w:val="0089056B"/>
    <w:rsid w:val="0089061D"/>
    <w:rsid w:val="00891BD4"/>
    <w:rsid w:val="00891C1B"/>
    <w:rsid w:val="00891FD4"/>
    <w:rsid w:val="00892B56"/>
    <w:rsid w:val="00892FB6"/>
    <w:rsid w:val="00893166"/>
    <w:rsid w:val="008934B1"/>
    <w:rsid w:val="00893826"/>
    <w:rsid w:val="00893B86"/>
    <w:rsid w:val="00894597"/>
    <w:rsid w:val="0089579E"/>
    <w:rsid w:val="00895BDE"/>
    <w:rsid w:val="00895C6C"/>
    <w:rsid w:val="00895CB1"/>
    <w:rsid w:val="00895E74"/>
    <w:rsid w:val="008961E9"/>
    <w:rsid w:val="0089624F"/>
    <w:rsid w:val="0089625C"/>
    <w:rsid w:val="008964B6"/>
    <w:rsid w:val="00896C8D"/>
    <w:rsid w:val="00896D14"/>
    <w:rsid w:val="00896FD1"/>
    <w:rsid w:val="00897174"/>
    <w:rsid w:val="008A01FD"/>
    <w:rsid w:val="008A11F0"/>
    <w:rsid w:val="008A1522"/>
    <w:rsid w:val="008A2802"/>
    <w:rsid w:val="008A28BE"/>
    <w:rsid w:val="008A2E8B"/>
    <w:rsid w:val="008A3164"/>
    <w:rsid w:val="008A3418"/>
    <w:rsid w:val="008A3421"/>
    <w:rsid w:val="008A44B0"/>
    <w:rsid w:val="008A44C8"/>
    <w:rsid w:val="008A44DD"/>
    <w:rsid w:val="008A58DE"/>
    <w:rsid w:val="008A5A01"/>
    <w:rsid w:val="008A61D9"/>
    <w:rsid w:val="008A7955"/>
    <w:rsid w:val="008A7C4D"/>
    <w:rsid w:val="008B0120"/>
    <w:rsid w:val="008B043C"/>
    <w:rsid w:val="008B05B5"/>
    <w:rsid w:val="008B0B6C"/>
    <w:rsid w:val="008B0F65"/>
    <w:rsid w:val="008B17D4"/>
    <w:rsid w:val="008B1B5E"/>
    <w:rsid w:val="008B2E88"/>
    <w:rsid w:val="008B3595"/>
    <w:rsid w:val="008B4EAA"/>
    <w:rsid w:val="008B5F55"/>
    <w:rsid w:val="008B6583"/>
    <w:rsid w:val="008B659B"/>
    <w:rsid w:val="008B67BE"/>
    <w:rsid w:val="008B6874"/>
    <w:rsid w:val="008B6E83"/>
    <w:rsid w:val="008B714E"/>
    <w:rsid w:val="008B7180"/>
    <w:rsid w:val="008B72F7"/>
    <w:rsid w:val="008B7DD9"/>
    <w:rsid w:val="008C0564"/>
    <w:rsid w:val="008C090A"/>
    <w:rsid w:val="008C097C"/>
    <w:rsid w:val="008C0CD4"/>
    <w:rsid w:val="008C1202"/>
    <w:rsid w:val="008C14DE"/>
    <w:rsid w:val="008C17E0"/>
    <w:rsid w:val="008C1F9B"/>
    <w:rsid w:val="008C2141"/>
    <w:rsid w:val="008C2335"/>
    <w:rsid w:val="008C2479"/>
    <w:rsid w:val="008C274A"/>
    <w:rsid w:val="008C3434"/>
    <w:rsid w:val="008C36EB"/>
    <w:rsid w:val="008C3862"/>
    <w:rsid w:val="008C4083"/>
    <w:rsid w:val="008C4801"/>
    <w:rsid w:val="008C4B41"/>
    <w:rsid w:val="008C5861"/>
    <w:rsid w:val="008C5A68"/>
    <w:rsid w:val="008C6B22"/>
    <w:rsid w:val="008C76D3"/>
    <w:rsid w:val="008C770A"/>
    <w:rsid w:val="008C7B4A"/>
    <w:rsid w:val="008D0820"/>
    <w:rsid w:val="008D0C4B"/>
    <w:rsid w:val="008D0D68"/>
    <w:rsid w:val="008D11B8"/>
    <w:rsid w:val="008D1D79"/>
    <w:rsid w:val="008D2079"/>
    <w:rsid w:val="008D258D"/>
    <w:rsid w:val="008D3881"/>
    <w:rsid w:val="008D39C5"/>
    <w:rsid w:val="008D40E0"/>
    <w:rsid w:val="008D4C42"/>
    <w:rsid w:val="008D4FED"/>
    <w:rsid w:val="008D5118"/>
    <w:rsid w:val="008D5850"/>
    <w:rsid w:val="008D6028"/>
    <w:rsid w:val="008D6154"/>
    <w:rsid w:val="008D6BC6"/>
    <w:rsid w:val="008D73F2"/>
    <w:rsid w:val="008D7F0E"/>
    <w:rsid w:val="008E010D"/>
    <w:rsid w:val="008E016F"/>
    <w:rsid w:val="008E02BE"/>
    <w:rsid w:val="008E0441"/>
    <w:rsid w:val="008E0D36"/>
    <w:rsid w:val="008E18AE"/>
    <w:rsid w:val="008E1DFC"/>
    <w:rsid w:val="008E1FD2"/>
    <w:rsid w:val="008E20F1"/>
    <w:rsid w:val="008E22F3"/>
    <w:rsid w:val="008E25F6"/>
    <w:rsid w:val="008E2CFC"/>
    <w:rsid w:val="008E32D9"/>
    <w:rsid w:val="008E3310"/>
    <w:rsid w:val="008E3A33"/>
    <w:rsid w:val="008E3A41"/>
    <w:rsid w:val="008E3D02"/>
    <w:rsid w:val="008E4147"/>
    <w:rsid w:val="008E4295"/>
    <w:rsid w:val="008E4625"/>
    <w:rsid w:val="008E46A5"/>
    <w:rsid w:val="008E7225"/>
    <w:rsid w:val="008E7993"/>
    <w:rsid w:val="008E7AF0"/>
    <w:rsid w:val="008F0497"/>
    <w:rsid w:val="008F049B"/>
    <w:rsid w:val="008F2171"/>
    <w:rsid w:val="008F25DC"/>
    <w:rsid w:val="008F26F0"/>
    <w:rsid w:val="008F30D2"/>
    <w:rsid w:val="008F3BA8"/>
    <w:rsid w:val="008F41D1"/>
    <w:rsid w:val="008F46D3"/>
    <w:rsid w:val="008F4FAC"/>
    <w:rsid w:val="008F68E0"/>
    <w:rsid w:val="008F691A"/>
    <w:rsid w:val="008F7E98"/>
    <w:rsid w:val="009002D5"/>
    <w:rsid w:val="009005CF"/>
    <w:rsid w:val="00900A9D"/>
    <w:rsid w:val="009018A3"/>
    <w:rsid w:val="00901D09"/>
    <w:rsid w:val="00901FA6"/>
    <w:rsid w:val="00902200"/>
    <w:rsid w:val="00902431"/>
    <w:rsid w:val="00903518"/>
    <w:rsid w:val="00903F45"/>
    <w:rsid w:val="009041F2"/>
    <w:rsid w:val="00904727"/>
    <w:rsid w:val="0090498B"/>
    <w:rsid w:val="009051F0"/>
    <w:rsid w:val="009058C7"/>
    <w:rsid w:val="0090718C"/>
    <w:rsid w:val="0090754E"/>
    <w:rsid w:val="00907C3B"/>
    <w:rsid w:val="00910250"/>
    <w:rsid w:val="00911195"/>
    <w:rsid w:val="00911255"/>
    <w:rsid w:val="009112C1"/>
    <w:rsid w:val="00911CCF"/>
    <w:rsid w:val="009120E7"/>
    <w:rsid w:val="009129FD"/>
    <w:rsid w:val="00913436"/>
    <w:rsid w:val="00913A81"/>
    <w:rsid w:val="00913F5F"/>
    <w:rsid w:val="00914138"/>
    <w:rsid w:val="00914C99"/>
    <w:rsid w:val="009168C4"/>
    <w:rsid w:val="0091690E"/>
    <w:rsid w:val="00916E55"/>
    <w:rsid w:val="0091741A"/>
    <w:rsid w:val="00917544"/>
    <w:rsid w:val="00920670"/>
    <w:rsid w:val="00920CEF"/>
    <w:rsid w:val="00920CF3"/>
    <w:rsid w:val="00921510"/>
    <w:rsid w:val="009215DF"/>
    <w:rsid w:val="00922FB7"/>
    <w:rsid w:val="00923365"/>
    <w:rsid w:val="00924061"/>
    <w:rsid w:val="00924B3D"/>
    <w:rsid w:val="00926B9E"/>
    <w:rsid w:val="00927292"/>
    <w:rsid w:val="009300C8"/>
    <w:rsid w:val="00930C13"/>
    <w:rsid w:val="00931848"/>
    <w:rsid w:val="00931B49"/>
    <w:rsid w:val="00932A9C"/>
    <w:rsid w:val="009333E1"/>
    <w:rsid w:val="009355D2"/>
    <w:rsid w:val="009356B0"/>
    <w:rsid w:val="00935AD7"/>
    <w:rsid w:val="00935B9A"/>
    <w:rsid w:val="0093776F"/>
    <w:rsid w:val="00937914"/>
    <w:rsid w:val="00937B5D"/>
    <w:rsid w:val="009401EA"/>
    <w:rsid w:val="009405FA"/>
    <w:rsid w:val="00941B5B"/>
    <w:rsid w:val="00941B73"/>
    <w:rsid w:val="00941C8B"/>
    <w:rsid w:val="00942573"/>
    <w:rsid w:val="00942B36"/>
    <w:rsid w:val="00942CB4"/>
    <w:rsid w:val="00942F81"/>
    <w:rsid w:val="0094335D"/>
    <w:rsid w:val="00943914"/>
    <w:rsid w:val="00943E84"/>
    <w:rsid w:val="00943EEE"/>
    <w:rsid w:val="00943F66"/>
    <w:rsid w:val="009443CA"/>
    <w:rsid w:val="0094497A"/>
    <w:rsid w:val="00945166"/>
    <w:rsid w:val="009456C3"/>
    <w:rsid w:val="00945C4A"/>
    <w:rsid w:val="00945CA9"/>
    <w:rsid w:val="009464A5"/>
    <w:rsid w:val="00947751"/>
    <w:rsid w:val="00950BBB"/>
    <w:rsid w:val="009512BD"/>
    <w:rsid w:val="0095157C"/>
    <w:rsid w:val="00951963"/>
    <w:rsid w:val="00951A4E"/>
    <w:rsid w:val="00951E1D"/>
    <w:rsid w:val="00952236"/>
    <w:rsid w:val="00953326"/>
    <w:rsid w:val="00953802"/>
    <w:rsid w:val="00953CBE"/>
    <w:rsid w:val="00954EF7"/>
    <w:rsid w:val="009551F4"/>
    <w:rsid w:val="0095575C"/>
    <w:rsid w:val="009557A6"/>
    <w:rsid w:val="00955BDB"/>
    <w:rsid w:val="009579C5"/>
    <w:rsid w:val="0096056D"/>
    <w:rsid w:val="00960914"/>
    <w:rsid w:val="00960D90"/>
    <w:rsid w:val="00962321"/>
    <w:rsid w:val="00963A24"/>
    <w:rsid w:val="00964FD5"/>
    <w:rsid w:val="00965947"/>
    <w:rsid w:val="00966276"/>
    <w:rsid w:val="0096657B"/>
    <w:rsid w:val="009667AD"/>
    <w:rsid w:val="00966B1A"/>
    <w:rsid w:val="009672E4"/>
    <w:rsid w:val="009675C6"/>
    <w:rsid w:val="00970389"/>
    <w:rsid w:val="00970BAB"/>
    <w:rsid w:val="00971894"/>
    <w:rsid w:val="00973488"/>
    <w:rsid w:val="009734E2"/>
    <w:rsid w:val="00973719"/>
    <w:rsid w:val="00973FC8"/>
    <w:rsid w:val="00974650"/>
    <w:rsid w:val="00974AC1"/>
    <w:rsid w:val="00974BF3"/>
    <w:rsid w:val="00974CDA"/>
    <w:rsid w:val="0097501F"/>
    <w:rsid w:val="0097687F"/>
    <w:rsid w:val="00976A52"/>
    <w:rsid w:val="00976FC1"/>
    <w:rsid w:val="00977CB0"/>
    <w:rsid w:val="00977DE6"/>
    <w:rsid w:val="00981F01"/>
    <w:rsid w:val="00981F1E"/>
    <w:rsid w:val="009820B0"/>
    <w:rsid w:val="00982B05"/>
    <w:rsid w:val="0098363E"/>
    <w:rsid w:val="0098368F"/>
    <w:rsid w:val="00985E96"/>
    <w:rsid w:val="00986111"/>
    <w:rsid w:val="0098629E"/>
    <w:rsid w:val="00986528"/>
    <w:rsid w:val="009865B1"/>
    <w:rsid w:val="009866AE"/>
    <w:rsid w:val="00986719"/>
    <w:rsid w:val="00986D85"/>
    <w:rsid w:val="00986F3E"/>
    <w:rsid w:val="00987441"/>
    <w:rsid w:val="00987870"/>
    <w:rsid w:val="00987DF1"/>
    <w:rsid w:val="00990183"/>
    <w:rsid w:val="009901FA"/>
    <w:rsid w:val="0099025A"/>
    <w:rsid w:val="0099035F"/>
    <w:rsid w:val="00990CC7"/>
    <w:rsid w:val="00991423"/>
    <w:rsid w:val="00992268"/>
    <w:rsid w:val="00992C08"/>
    <w:rsid w:val="00992EAF"/>
    <w:rsid w:val="00993670"/>
    <w:rsid w:val="009948AE"/>
    <w:rsid w:val="00994DB9"/>
    <w:rsid w:val="0099513A"/>
    <w:rsid w:val="0099520C"/>
    <w:rsid w:val="0099550E"/>
    <w:rsid w:val="0099593E"/>
    <w:rsid w:val="00995EA7"/>
    <w:rsid w:val="00995F7F"/>
    <w:rsid w:val="00996015"/>
    <w:rsid w:val="009963AE"/>
    <w:rsid w:val="00996ACF"/>
    <w:rsid w:val="00996B9D"/>
    <w:rsid w:val="009972D4"/>
    <w:rsid w:val="00997BC7"/>
    <w:rsid w:val="00997FE1"/>
    <w:rsid w:val="009A18CB"/>
    <w:rsid w:val="009A2C3B"/>
    <w:rsid w:val="009A3DA3"/>
    <w:rsid w:val="009A3EAD"/>
    <w:rsid w:val="009A4242"/>
    <w:rsid w:val="009A49C2"/>
    <w:rsid w:val="009A4D95"/>
    <w:rsid w:val="009A5A25"/>
    <w:rsid w:val="009A5C14"/>
    <w:rsid w:val="009A7AE2"/>
    <w:rsid w:val="009A7DBA"/>
    <w:rsid w:val="009B0D80"/>
    <w:rsid w:val="009B15C0"/>
    <w:rsid w:val="009B1780"/>
    <w:rsid w:val="009B1AFA"/>
    <w:rsid w:val="009B1C60"/>
    <w:rsid w:val="009B29EF"/>
    <w:rsid w:val="009B2CF3"/>
    <w:rsid w:val="009B3DC0"/>
    <w:rsid w:val="009B42AB"/>
    <w:rsid w:val="009B43AD"/>
    <w:rsid w:val="009B47C3"/>
    <w:rsid w:val="009B4DA5"/>
    <w:rsid w:val="009B4DDA"/>
    <w:rsid w:val="009B6CC0"/>
    <w:rsid w:val="009B7667"/>
    <w:rsid w:val="009C0A26"/>
    <w:rsid w:val="009C0BE2"/>
    <w:rsid w:val="009C0C6B"/>
    <w:rsid w:val="009C0E7F"/>
    <w:rsid w:val="009C140D"/>
    <w:rsid w:val="009C15DD"/>
    <w:rsid w:val="009C1896"/>
    <w:rsid w:val="009C199A"/>
    <w:rsid w:val="009C23CA"/>
    <w:rsid w:val="009C300A"/>
    <w:rsid w:val="009C3632"/>
    <w:rsid w:val="009C38C2"/>
    <w:rsid w:val="009C4E21"/>
    <w:rsid w:val="009C5574"/>
    <w:rsid w:val="009C55CD"/>
    <w:rsid w:val="009C59C2"/>
    <w:rsid w:val="009C67A9"/>
    <w:rsid w:val="009C6EFA"/>
    <w:rsid w:val="009C77C1"/>
    <w:rsid w:val="009C7BB5"/>
    <w:rsid w:val="009C7BE4"/>
    <w:rsid w:val="009D12FC"/>
    <w:rsid w:val="009D2860"/>
    <w:rsid w:val="009D2E05"/>
    <w:rsid w:val="009D3602"/>
    <w:rsid w:val="009D3605"/>
    <w:rsid w:val="009D4042"/>
    <w:rsid w:val="009D4285"/>
    <w:rsid w:val="009D4F22"/>
    <w:rsid w:val="009D52A2"/>
    <w:rsid w:val="009D545F"/>
    <w:rsid w:val="009D63EA"/>
    <w:rsid w:val="009D652F"/>
    <w:rsid w:val="009D682A"/>
    <w:rsid w:val="009D6EA8"/>
    <w:rsid w:val="009D7415"/>
    <w:rsid w:val="009D7964"/>
    <w:rsid w:val="009E1702"/>
    <w:rsid w:val="009E2E01"/>
    <w:rsid w:val="009E329B"/>
    <w:rsid w:val="009E3C7A"/>
    <w:rsid w:val="009E53A2"/>
    <w:rsid w:val="009E61E7"/>
    <w:rsid w:val="009E626B"/>
    <w:rsid w:val="009E69E0"/>
    <w:rsid w:val="009E6AC0"/>
    <w:rsid w:val="009E7390"/>
    <w:rsid w:val="009E796E"/>
    <w:rsid w:val="009E7B84"/>
    <w:rsid w:val="009E7B90"/>
    <w:rsid w:val="009F0237"/>
    <w:rsid w:val="009F0AD8"/>
    <w:rsid w:val="009F0BF8"/>
    <w:rsid w:val="009F0D30"/>
    <w:rsid w:val="009F1020"/>
    <w:rsid w:val="009F1259"/>
    <w:rsid w:val="009F1BC2"/>
    <w:rsid w:val="009F36E4"/>
    <w:rsid w:val="009F3794"/>
    <w:rsid w:val="009F3BB5"/>
    <w:rsid w:val="009F4652"/>
    <w:rsid w:val="009F4A77"/>
    <w:rsid w:val="009F4F81"/>
    <w:rsid w:val="009F50FC"/>
    <w:rsid w:val="009F555D"/>
    <w:rsid w:val="009F55EE"/>
    <w:rsid w:val="009F747C"/>
    <w:rsid w:val="009F7ABA"/>
    <w:rsid w:val="00A0076B"/>
    <w:rsid w:val="00A00C06"/>
    <w:rsid w:val="00A00F3F"/>
    <w:rsid w:val="00A0169C"/>
    <w:rsid w:val="00A01B58"/>
    <w:rsid w:val="00A01C33"/>
    <w:rsid w:val="00A02295"/>
    <w:rsid w:val="00A02982"/>
    <w:rsid w:val="00A02B04"/>
    <w:rsid w:val="00A02DF7"/>
    <w:rsid w:val="00A0355E"/>
    <w:rsid w:val="00A04433"/>
    <w:rsid w:val="00A04623"/>
    <w:rsid w:val="00A04EBD"/>
    <w:rsid w:val="00A05450"/>
    <w:rsid w:val="00A057C1"/>
    <w:rsid w:val="00A05FAD"/>
    <w:rsid w:val="00A05FED"/>
    <w:rsid w:val="00A061FD"/>
    <w:rsid w:val="00A070A3"/>
    <w:rsid w:val="00A0733B"/>
    <w:rsid w:val="00A07391"/>
    <w:rsid w:val="00A0773A"/>
    <w:rsid w:val="00A078FF"/>
    <w:rsid w:val="00A07A2B"/>
    <w:rsid w:val="00A07C8D"/>
    <w:rsid w:val="00A07E48"/>
    <w:rsid w:val="00A11A29"/>
    <w:rsid w:val="00A11CF7"/>
    <w:rsid w:val="00A126C2"/>
    <w:rsid w:val="00A12BB8"/>
    <w:rsid w:val="00A134A7"/>
    <w:rsid w:val="00A144F7"/>
    <w:rsid w:val="00A14523"/>
    <w:rsid w:val="00A14883"/>
    <w:rsid w:val="00A15ED2"/>
    <w:rsid w:val="00A1655D"/>
    <w:rsid w:val="00A16B9F"/>
    <w:rsid w:val="00A171FB"/>
    <w:rsid w:val="00A177F7"/>
    <w:rsid w:val="00A17A1A"/>
    <w:rsid w:val="00A20372"/>
    <w:rsid w:val="00A20A77"/>
    <w:rsid w:val="00A21893"/>
    <w:rsid w:val="00A237EA"/>
    <w:rsid w:val="00A23887"/>
    <w:rsid w:val="00A240F4"/>
    <w:rsid w:val="00A24C06"/>
    <w:rsid w:val="00A25130"/>
    <w:rsid w:val="00A2516F"/>
    <w:rsid w:val="00A26391"/>
    <w:rsid w:val="00A26418"/>
    <w:rsid w:val="00A273F6"/>
    <w:rsid w:val="00A275F2"/>
    <w:rsid w:val="00A27825"/>
    <w:rsid w:val="00A27DA5"/>
    <w:rsid w:val="00A30875"/>
    <w:rsid w:val="00A30F89"/>
    <w:rsid w:val="00A3135B"/>
    <w:rsid w:val="00A31451"/>
    <w:rsid w:val="00A314C4"/>
    <w:rsid w:val="00A3214A"/>
    <w:rsid w:val="00A32B95"/>
    <w:rsid w:val="00A3314F"/>
    <w:rsid w:val="00A33465"/>
    <w:rsid w:val="00A33E96"/>
    <w:rsid w:val="00A343EB"/>
    <w:rsid w:val="00A348C5"/>
    <w:rsid w:val="00A353CA"/>
    <w:rsid w:val="00A37493"/>
    <w:rsid w:val="00A37650"/>
    <w:rsid w:val="00A400B2"/>
    <w:rsid w:val="00A4031D"/>
    <w:rsid w:val="00A41D2A"/>
    <w:rsid w:val="00A422EE"/>
    <w:rsid w:val="00A42B66"/>
    <w:rsid w:val="00A42CE9"/>
    <w:rsid w:val="00A42F50"/>
    <w:rsid w:val="00A44156"/>
    <w:rsid w:val="00A447DA"/>
    <w:rsid w:val="00A44CF5"/>
    <w:rsid w:val="00A45667"/>
    <w:rsid w:val="00A46240"/>
    <w:rsid w:val="00A463C3"/>
    <w:rsid w:val="00A47761"/>
    <w:rsid w:val="00A47E23"/>
    <w:rsid w:val="00A47F68"/>
    <w:rsid w:val="00A502DA"/>
    <w:rsid w:val="00A5058D"/>
    <w:rsid w:val="00A50E47"/>
    <w:rsid w:val="00A5116C"/>
    <w:rsid w:val="00A5155A"/>
    <w:rsid w:val="00A5182F"/>
    <w:rsid w:val="00A51B70"/>
    <w:rsid w:val="00A52622"/>
    <w:rsid w:val="00A5337A"/>
    <w:rsid w:val="00A5348F"/>
    <w:rsid w:val="00A53E1C"/>
    <w:rsid w:val="00A550F4"/>
    <w:rsid w:val="00A5553A"/>
    <w:rsid w:val="00A55616"/>
    <w:rsid w:val="00A55C2A"/>
    <w:rsid w:val="00A55C63"/>
    <w:rsid w:val="00A55E7F"/>
    <w:rsid w:val="00A57E2D"/>
    <w:rsid w:val="00A6062A"/>
    <w:rsid w:val="00A62D1E"/>
    <w:rsid w:val="00A62D44"/>
    <w:rsid w:val="00A63A34"/>
    <w:rsid w:val="00A64183"/>
    <w:rsid w:val="00A64B51"/>
    <w:rsid w:val="00A64F4D"/>
    <w:rsid w:val="00A650CC"/>
    <w:rsid w:val="00A654F5"/>
    <w:rsid w:val="00A65554"/>
    <w:rsid w:val="00A65569"/>
    <w:rsid w:val="00A656D9"/>
    <w:rsid w:val="00A659B3"/>
    <w:rsid w:val="00A6690B"/>
    <w:rsid w:val="00A66C90"/>
    <w:rsid w:val="00A66E74"/>
    <w:rsid w:val="00A66E87"/>
    <w:rsid w:val="00A703C4"/>
    <w:rsid w:val="00A706FE"/>
    <w:rsid w:val="00A70BD3"/>
    <w:rsid w:val="00A71BDE"/>
    <w:rsid w:val="00A71CD3"/>
    <w:rsid w:val="00A724F2"/>
    <w:rsid w:val="00A7256C"/>
    <w:rsid w:val="00A72E3B"/>
    <w:rsid w:val="00A730E6"/>
    <w:rsid w:val="00A7324C"/>
    <w:rsid w:val="00A73833"/>
    <w:rsid w:val="00A73A04"/>
    <w:rsid w:val="00A73B78"/>
    <w:rsid w:val="00A73BD0"/>
    <w:rsid w:val="00A74761"/>
    <w:rsid w:val="00A74B71"/>
    <w:rsid w:val="00A74CA5"/>
    <w:rsid w:val="00A74D64"/>
    <w:rsid w:val="00A74E9B"/>
    <w:rsid w:val="00A74F4C"/>
    <w:rsid w:val="00A75092"/>
    <w:rsid w:val="00A75272"/>
    <w:rsid w:val="00A75B54"/>
    <w:rsid w:val="00A76277"/>
    <w:rsid w:val="00A76436"/>
    <w:rsid w:val="00A7660B"/>
    <w:rsid w:val="00A76838"/>
    <w:rsid w:val="00A76B84"/>
    <w:rsid w:val="00A7772E"/>
    <w:rsid w:val="00A77956"/>
    <w:rsid w:val="00A77B4F"/>
    <w:rsid w:val="00A808BF"/>
    <w:rsid w:val="00A80D6E"/>
    <w:rsid w:val="00A8253C"/>
    <w:rsid w:val="00A8278E"/>
    <w:rsid w:val="00A83736"/>
    <w:rsid w:val="00A83E79"/>
    <w:rsid w:val="00A85D70"/>
    <w:rsid w:val="00A862F8"/>
    <w:rsid w:val="00A86520"/>
    <w:rsid w:val="00A86763"/>
    <w:rsid w:val="00A86AAC"/>
    <w:rsid w:val="00A87397"/>
    <w:rsid w:val="00A87BE6"/>
    <w:rsid w:val="00A87E18"/>
    <w:rsid w:val="00A906BA"/>
    <w:rsid w:val="00A90C74"/>
    <w:rsid w:val="00A91311"/>
    <w:rsid w:val="00A9149E"/>
    <w:rsid w:val="00A91756"/>
    <w:rsid w:val="00A9179E"/>
    <w:rsid w:val="00A9199A"/>
    <w:rsid w:val="00A91C5D"/>
    <w:rsid w:val="00A9236F"/>
    <w:rsid w:val="00A924FE"/>
    <w:rsid w:val="00A93171"/>
    <w:rsid w:val="00A933E4"/>
    <w:rsid w:val="00A933E9"/>
    <w:rsid w:val="00A93A6E"/>
    <w:rsid w:val="00A93CA6"/>
    <w:rsid w:val="00A93FDC"/>
    <w:rsid w:val="00A94371"/>
    <w:rsid w:val="00A94E07"/>
    <w:rsid w:val="00A950BE"/>
    <w:rsid w:val="00A951B0"/>
    <w:rsid w:val="00A956FE"/>
    <w:rsid w:val="00A96814"/>
    <w:rsid w:val="00A97307"/>
    <w:rsid w:val="00A97A6A"/>
    <w:rsid w:val="00AA01B3"/>
    <w:rsid w:val="00AA04CD"/>
    <w:rsid w:val="00AA09F6"/>
    <w:rsid w:val="00AA0CC8"/>
    <w:rsid w:val="00AA1A7E"/>
    <w:rsid w:val="00AA2130"/>
    <w:rsid w:val="00AA2176"/>
    <w:rsid w:val="00AA2841"/>
    <w:rsid w:val="00AA2D3C"/>
    <w:rsid w:val="00AA341C"/>
    <w:rsid w:val="00AA3478"/>
    <w:rsid w:val="00AA40C7"/>
    <w:rsid w:val="00AA4354"/>
    <w:rsid w:val="00AA45AE"/>
    <w:rsid w:val="00AA4ED3"/>
    <w:rsid w:val="00AA5208"/>
    <w:rsid w:val="00AA6D23"/>
    <w:rsid w:val="00AA72ED"/>
    <w:rsid w:val="00AA7B0B"/>
    <w:rsid w:val="00AB13E3"/>
    <w:rsid w:val="00AB220E"/>
    <w:rsid w:val="00AB25E8"/>
    <w:rsid w:val="00AB2988"/>
    <w:rsid w:val="00AB2C1D"/>
    <w:rsid w:val="00AB44D4"/>
    <w:rsid w:val="00AB4E74"/>
    <w:rsid w:val="00AB4F69"/>
    <w:rsid w:val="00AB542B"/>
    <w:rsid w:val="00AB565E"/>
    <w:rsid w:val="00AB585B"/>
    <w:rsid w:val="00AB5DD1"/>
    <w:rsid w:val="00AB6304"/>
    <w:rsid w:val="00AB684B"/>
    <w:rsid w:val="00AB729F"/>
    <w:rsid w:val="00AC0850"/>
    <w:rsid w:val="00AC0E5A"/>
    <w:rsid w:val="00AC1663"/>
    <w:rsid w:val="00AC16E4"/>
    <w:rsid w:val="00AC1C44"/>
    <w:rsid w:val="00AC1CD9"/>
    <w:rsid w:val="00AC3032"/>
    <w:rsid w:val="00AC35F8"/>
    <w:rsid w:val="00AC3B52"/>
    <w:rsid w:val="00AC5249"/>
    <w:rsid w:val="00AC54E7"/>
    <w:rsid w:val="00AC66E8"/>
    <w:rsid w:val="00AC6807"/>
    <w:rsid w:val="00AC685E"/>
    <w:rsid w:val="00AC6F4F"/>
    <w:rsid w:val="00AC7A92"/>
    <w:rsid w:val="00AD00B8"/>
    <w:rsid w:val="00AD09C8"/>
    <w:rsid w:val="00AD09FE"/>
    <w:rsid w:val="00AD0A62"/>
    <w:rsid w:val="00AD0BC6"/>
    <w:rsid w:val="00AD222F"/>
    <w:rsid w:val="00AD2E9E"/>
    <w:rsid w:val="00AD31CD"/>
    <w:rsid w:val="00AD37BD"/>
    <w:rsid w:val="00AD3CBB"/>
    <w:rsid w:val="00AD3E9A"/>
    <w:rsid w:val="00AD3FDA"/>
    <w:rsid w:val="00AD71BC"/>
    <w:rsid w:val="00AD726D"/>
    <w:rsid w:val="00AD7406"/>
    <w:rsid w:val="00AD7DA1"/>
    <w:rsid w:val="00AE06CA"/>
    <w:rsid w:val="00AE0B0D"/>
    <w:rsid w:val="00AE13B3"/>
    <w:rsid w:val="00AE174B"/>
    <w:rsid w:val="00AE208A"/>
    <w:rsid w:val="00AE2407"/>
    <w:rsid w:val="00AE4245"/>
    <w:rsid w:val="00AE487F"/>
    <w:rsid w:val="00AE5B64"/>
    <w:rsid w:val="00AE7101"/>
    <w:rsid w:val="00AE76AA"/>
    <w:rsid w:val="00AE7967"/>
    <w:rsid w:val="00AF024B"/>
    <w:rsid w:val="00AF07E4"/>
    <w:rsid w:val="00AF0841"/>
    <w:rsid w:val="00AF103C"/>
    <w:rsid w:val="00AF1103"/>
    <w:rsid w:val="00AF120F"/>
    <w:rsid w:val="00AF17B5"/>
    <w:rsid w:val="00AF1859"/>
    <w:rsid w:val="00AF26F5"/>
    <w:rsid w:val="00AF2FFC"/>
    <w:rsid w:val="00AF3100"/>
    <w:rsid w:val="00AF317C"/>
    <w:rsid w:val="00AF3380"/>
    <w:rsid w:val="00AF3B01"/>
    <w:rsid w:val="00AF3C0D"/>
    <w:rsid w:val="00AF44D6"/>
    <w:rsid w:val="00AF4637"/>
    <w:rsid w:val="00AF50B0"/>
    <w:rsid w:val="00AF510F"/>
    <w:rsid w:val="00AF64BC"/>
    <w:rsid w:val="00AF6C69"/>
    <w:rsid w:val="00AF6E76"/>
    <w:rsid w:val="00B00065"/>
    <w:rsid w:val="00B00405"/>
    <w:rsid w:val="00B0097E"/>
    <w:rsid w:val="00B00B01"/>
    <w:rsid w:val="00B016D7"/>
    <w:rsid w:val="00B01817"/>
    <w:rsid w:val="00B0194A"/>
    <w:rsid w:val="00B01E29"/>
    <w:rsid w:val="00B024A0"/>
    <w:rsid w:val="00B02767"/>
    <w:rsid w:val="00B035FF"/>
    <w:rsid w:val="00B03D3A"/>
    <w:rsid w:val="00B03EFF"/>
    <w:rsid w:val="00B04167"/>
    <w:rsid w:val="00B04F37"/>
    <w:rsid w:val="00B0550B"/>
    <w:rsid w:val="00B0553D"/>
    <w:rsid w:val="00B069C7"/>
    <w:rsid w:val="00B07374"/>
    <w:rsid w:val="00B0744C"/>
    <w:rsid w:val="00B07458"/>
    <w:rsid w:val="00B07543"/>
    <w:rsid w:val="00B10CC8"/>
    <w:rsid w:val="00B11394"/>
    <w:rsid w:val="00B1154A"/>
    <w:rsid w:val="00B11E30"/>
    <w:rsid w:val="00B12469"/>
    <w:rsid w:val="00B129E4"/>
    <w:rsid w:val="00B12DA1"/>
    <w:rsid w:val="00B13239"/>
    <w:rsid w:val="00B1335E"/>
    <w:rsid w:val="00B135B1"/>
    <w:rsid w:val="00B13AD0"/>
    <w:rsid w:val="00B148A6"/>
    <w:rsid w:val="00B14AF5"/>
    <w:rsid w:val="00B152CF"/>
    <w:rsid w:val="00B15E35"/>
    <w:rsid w:val="00B16349"/>
    <w:rsid w:val="00B16851"/>
    <w:rsid w:val="00B16D00"/>
    <w:rsid w:val="00B16EB1"/>
    <w:rsid w:val="00B178FF"/>
    <w:rsid w:val="00B17C87"/>
    <w:rsid w:val="00B20648"/>
    <w:rsid w:val="00B20D13"/>
    <w:rsid w:val="00B2123B"/>
    <w:rsid w:val="00B2210F"/>
    <w:rsid w:val="00B22CB7"/>
    <w:rsid w:val="00B22DEC"/>
    <w:rsid w:val="00B22FA3"/>
    <w:rsid w:val="00B22FD6"/>
    <w:rsid w:val="00B2312F"/>
    <w:rsid w:val="00B234A9"/>
    <w:rsid w:val="00B235B4"/>
    <w:rsid w:val="00B239A1"/>
    <w:rsid w:val="00B23CCF"/>
    <w:rsid w:val="00B2430E"/>
    <w:rsid w:val="00B245DB"/>
    <w:rsid w:val="00B24719"/>
    <w:rsid w:val="00B2757E"/>
    <w:rsid w:val="00B27A05"/>
    <w:rsid w:val="00B30BD1"/>
    <w:rsid w:val="00B30E2A"/>
    <w:rsid w:val="00B30E4D"/>
    <w:rsid w:val="00B31278"/>
    <w:rsid w:val="00B315EC"/>
    <w:rsid w:val="00B31AE8"/>
    <w:rsid w:val="00B31F5F"/>
    <w:rsid w:val="00B32148"/>
    <w:rsid w:val="00B324D5"/>
    <w:rsid w:val="00B33190"/>
    <w:rsid w:val="00B33E23"/>
    <w:rsid w:val="00B346D1"/>
    <w:rsid w:val="00B34BD0"/>
    <w:rsid w:val="00B3541D"/>
    <w:rsid w:val="00B37675"/>
    <w:rsid w:val="00B37725"/>
    <w:rsid w:val="00B378B4"/>
    <w:rsid w:val="00B40567"/>
    <w:rsid w:val="00B4186E"/>
    <w:rsid w:val="00B419E2"/>
    <w:rsid w:val="00B42758"/>
    <w:rsid w:val="00B427B1"/>
    <w:rsid w:val="00B42FBE"/>
    <w:rsid w:val="00B439DE"/>
    <w:rsid w:val="00B44647"/>
    <w:rsid w:val="00B44937"/>
    <w:rsid w:val="00B4520E"/>
    <w:rsid w:val="00B4528F"/>
    <w:rsid w:val="00B458CF"/>
    <w:rsid w:val="00B45A97"/>
    <w:rsid w:val="00B465AC"/>
    <w:rsid w:val="00B46662"/>
    <w:rsid w:val="00B46D5C"/>
    <w:rsid w:val="00B46D85"/>
    <w:rsid w:val="00B4703B"/>
    <w:rsid w:val="00B471BF"/>
    <w:rsid w:val="00B4721D"/>
    <w:rsid w:val="00B47B14"/>
    <w:rsid w:val="00B47D88"/>
    <w:rsid w:val="00B501A4"/>
    <w:rsid w:val="00B502D2"/>
    <w:rsid w:val="00B507AB"/>
    <w:rsid w:val="00B508D7"/>
    <w:rsid w:val="00B50B80"/>
    <w:rsid w:val="00B51061"/>
    <w:rsid w:val="00B51E10"/>
    <w:rsid w:val="00B53210"/>
    <w:rsid w:val="00B53301"/>
    <w:rsid w:val="00B5390C"/>
    <w:rsid w:val="00B53CC9"/>
    <w:rsid w:val="00B54159"/>
    <w:rsid w:val="00B5457D"/>
    <w:rsid w:val="00B545EF"/>
    <w:rsid w:val="00B54C01"/>
    <w:rsid w:val="00B54FF0"/>
    <w:rsid w:val="00B550A7"/>
    <w:rsid w:val="00B5582F"/>
    <w:rsid w:val="00B55DF8"/>
    <w:rsid w:val="00B565B5"/>
    <w:rsid w:val="00B56AB0"/>
    <w:rsid w:val="00B56FA4"/>
    <w:rsid w:val="00B574EB"/>
    <w:rsid w:val="00B60536"/>
    <w:rsid w:val="00B60EEF"/>
    <w:rsid w:val="00B61429"/>
    <w:rsid w:val="00B618E6"/>
    <w:rsid w:val="00B61CA9"/>
    <w:rsid w:val="00B62768"/>
    <w:rsid w:val="00B6342B"/>
    <w:rsid w:val="00B6344A"/>
    <w:rsid w:val="00B63AEA"/>
    <w:rsid w:val="00B64B1A"/>
    <w:rsid w:val="00B64E6F"/>
    <w:rsid w:val="00B64F5D"/>
    <w:rsid w:val="00B655EC"/>
    <w:rsid w:val="00B66EFC"/>
    <w:rsid w:val="00B67EE8"/>
    <w:rsid w:val="00B7042D"/>
    <w:rsid w:val="00B7055F"/>
    <w:rsid w:val="00B715FC"/>
    <w:rsid w:val="00B71672"/>
    <w:rsid w:val="00B71F02"/>
    <w:rsid w:val="00B72123"/>
    <w:rsid w:val="00B72992"/>
    <w:rsid w:val="00B73640"/>
    <w:rsid w:val="00B74B2F"/>
    <w:rsid w:val="00B74FEA"/>
    <w:rsid w:val="00B754F0"/>
    <w:rsid w:val="00B756A5"/>
    <w:rsid w:val="00B75873"/>
    <w:rsid w:val="00B7659C"/>
    <w:rsid w:val="00B77030"/>
    <w:rsid w:val="00B77332"/>
    <w:rsid w:val="00B77E55"/>
    <w:rsid w:val="00B804B9"/>
    <w:rsid w:val="00B81F35"/>
    <w:rsid w:val="00B82A4E"/>
    <w:rsid w:val="00B8321D"/>
    <w:rsid w:val="00B8343E"/>
    <w:rsid w:val="00B83F54"/>
    <w:rsid w:val="00B84248"/>
    <w:rsid w:val="00B84C15"/>
    <w:rsid w:val="00B8550B"/>
    <w:rsid w:val="00B85BE2"/>
    <w:rsid w:val="00B85F61"/>
    <w:rsid w:val="00B86883"/>
    <w:rsid w:val="00B86CDE"/>
    <w:rsid w:val="00B8794A"/>
    <w:rsid w:val="00B87A5C"/>
    <w:rsid w:val="00B87D3C"/>
    <w:rsid w:val="00B87F00"/>
    <w:rsid w:val="00B90088"/>
    <w:rsid w:val="00B903B3"/>
    <w:rsid w:val="00B908F1"/>
    <w:rsid w:val="00B91104"/>
    <w:rsid w:val="00B91CD2"/>
    <w:rsid w:val="00B9213D"/>
    <w:rsid w:val="00B922A2"/>
    <w:rsid w:val="00B93232"/>
    <w:rsid w:val="00B933DF"/>
    <w:rsid w:val="00B93A2D"/>
    <w:rsid w:val="00B93B3E"/>
    <w:rsid w:val="00B945BE"/>
    <w:rsid w:val="00B94726"/>
    <w:rsid w:val="00B9552D"/>
    <w:rsid w:val="00B957DC"/>
    <w:rsid w:val="00B95B98"/>
    <w:rsid w:val="00B95E4E"/>
    <w:rsid w:val="00B96D2F"/>
    <w:rsid w:val="00B972FE"/>
    <w:rsid w:val="00B97D6B"/>
    <w:rsid w:val="00BA0190"/>
    <w:rsid w:val="00BA2FD4"/>
    <w:rsid w:val="00BA3004"/>
    <w:rsid w:val="00BA3319"/>
    <w:rsid w:val="00BA33F5"/>
    <w:rsid w:val="00BA35FE"/>
    <w:rsid w:val="00BA3C82"/>
    <w:rsid w:val="00BA4439"/>
    <w:rsid w:val="00BA4A08"/>
    <w:rsid w:val="00BA4F42"/>
    <w:rsid w:val="00BA526D"/>
    <w:rsid w:val="00BA5A5E"/>
    <w:rsid w:val="00BA6D1D"/>
    <w:rsid w:val="00BA7115"/>
    <w:rsid w:val="00BA77BB"/>
    <w:rsid w:val="00BA7F1B"/>
    <w:rsid w:val="00BB01BC"/>
    <w:rsid w:val="00BB04F2"/>
    <w:rsid w:val="00BB0A1F"/>
    <w:rsid w:val="00BB1B86"/>
    <w:rsid w:val="00BB1C0C"/>
    <w:rsid w:val="00BB29B3"/>
    <w:rsid w:val="00BB2FCF"/>
    <w:rsid w:val="00BB3FE3"/>
    <w:rsid w:val="00BB409D"/>
    <w:rsid w:val="00BB4157"/>
    <w:rsid w:val="00BB4354"/>
    <w:rsid w:val="00BB43D2"/>
    <w:rsid w:val="00BB440D"/>
    <w:rsid w:val="00BB4942"/>
    <w:rsid w:val="00BB4A75"/>
    <w:rsid w:val="00BB56F8"/>
    <w:rsid w:val="00BB5CA6"/>
    <w:rsid w:val="00BB61F6"/>
    <w:rsid w:val="00BB6610"/>
    <w:rsid w:val="00BB677B"/>
    <w:rsid w:val="00BB67F6"/>
    <w:rsid w:val="00BB6F79"/>
    <w:rsid w:val="00BC0499"/>
    <w:rsid w:val="00BC0BC6"/>
    <w:rsid w:val="00BC0EFB"/>
    <w:rsid w:val="00BC1132"/>
    <w:rsid w:val="00BC18F1"/>
    <w:rsid w:val="00BC3511"/>
    <w:rsid w:val="00BC393B"/>
    <w:rsid w:val="00BC3AA6"/>
    <w:rsid w:val="00BC3B2A"/>
    <w:rsid w:val="00BC3D8F"/>
    <w:rsid w:val="00BC4E9D"/>
    <w:rsid w:val="00BC50FF"/>
    <w:rsid w:val="00BC5427"/>
    <w:rsid w:val="00BC5669"/>
    <w:rsid w:val="00BC59B0"/>
    <w:rsid w:val="00BC5D00"/>
    <w:rsid w:val="00BC5D95"/>
    <w:rsid w:val="00BC6018"/>
    <w:rsid w:val="00BC6969"/>
    <w:rsid w:val="00BD06A6"/>
    <w:rsid w:val="00BD0843"/>
    <w:rsid w:val="00BD10B0"/>
    <w:rsid w:val="00BD138D"/>
    <w:rsid w:val="00BD1953"/>
    <w:rsid w:val="00BD1F38"/>
    <w:rsid w:val="00BD2263"/>
    <w:rsid w:val="00BD252F"/>
    <w:rsid w:val="00BD2DAD"/>
    <w:rsid w:val="00BD2E28"/>
    <w:rsid w:val="00BD333B"/>
    <w:rsid w:val="00BD33D2"/>
    <w:rsid w:val="00BD3539"/>
    <w:rsid w:val="00BD4225"/>
    <w:rsid w:val="00BD42AB"/>
    <w:rsid w:val="00BD487B"/>
    <w:rsid w:val="00BD50C7"/>
    <w:rsid w:val="00BD50EC"/>
    <w:rsid w:val="00BD608A"/>
    <w:rsid w:val="00BD6816"/>
    <w:rsid w:val="00BD6C41"/>
    <w:rsid w:val="00BD6CF2"/>
    <w:rsid w:val="00BD7AB8"/>
    <w:rsid w:val="00BD7ADF"/>
    <w:rsid w:val="00BE037B"/>
    <w:rsid w:val="00BE16AC"/>
    <w:rsid w:val="00BE24F5"/>
    <w:rsid w:val="00BE2B45"/>
    <w:rsid w:val="00BE3768"/>
    <w:rsid w:val="00BE3BEF"/>
    <w:rsid w:val="00BE42A1"/>
    <w:rsid w:val="00BE5C34"/>
    <w:rsid w:val="00BE5E3A"/>
    <w:rsid w:val="00BE622F"/>
    <w:rsid w:val="00BE7222"/>
    <w:rsid w:val="00BE72BF"/>
    <w:rsid w:val="00BE72E8"/>
    <w:rsid w:val="00BE7B04"/>
    <w:rsid w:val="00BF0144"/>
    <w:rsid w:val="00BF1A13"/>
    <w:rsid w:val="00BF1DC7"/>
    <w:rsid w:val="00BF21A1"/>
    <w:rsid w:val="00BF29B9"/>
    <w:rsid w:val="00BF2D69"/>
    <w:rsid w:val="00BF30A8"/>
    <w:rsid w:val="00BF3800"/>
    <w:rsid w:val="00BF3DA5"/>
    <w:rsid w:val="00BF40AF"/>
    <w:rsid w:val="00BF488C"/>
    <w:rsid w:val="00BF51A7"/>
    <w:rsid w:val="00BF5B1B"/>
    <w:rsid w:val="00BF5DB9"/>
    <w:rsid w:val="00BF6C4A"/>
    <w:rsid w:val="00BF70FF"/>
    <w:rsid w:val="00BF7995"/>
    <w:rsid w:val="00BF7B29"/>
    <w:rsid w:val="00BF7DD6"/>
    <w:rsid w:val="00C006D7"/>
    <w:rsid w:val="00C00A06"/>
    <w:rsid w:val="00C00AF2"/>
    <w:rsid w:val="00C00B8C"/>
    <w:rsid w:val="00C01844"/>
    <w:rsid w:val="00C01E45"/>
    <w:rsid w:val="00C02145"/>
    <w:rsid w:val="00C02470"/>
    <w:rsid w:val="00C028C8"/>
    <w:rsid w:val="00C03628"/>
    <w:rsid w:val="00C03D55"/>
    <w:rsid w:val="00C03EC6"/>
    <w:rsid w:val="00C0421D"/>
    <w:rsid w:val="00C04DE1"/>
    <w:rsid w:val="00C05555"/>
    <w:rsid w:val="00C05E69"/>
    <w:rsid w:val="00C06136"/>
    <w:rsid w:val="00C069CB"/>
    <w:rsid w:val="00C06E87"/>
    <w:rsid w:val="00C06F76"/>
    <w:rsid w:val="00C07910"/>
    <w:rsid w:val="00C07A11"/>
    <w:rsid w:val="00C10790"/>
    <w:rsid w:val="00C107BA"/>
    <w:rsid w:val="00C1083B"/>
    <w:rsid w:val="00C10F83"/>
    <w:rsid w:val="00C116CE"/>
    <w:rsid w:val="00C1172F"/>
    <w:rsid w:val="00C1176E"/>
    <w:rsid w:val="00C12C1F"/>
    <w:rsid w:val="00C12EFD"/>
    <w:rsid w:val="00C1303E"/>
    <w:rsid w:val="00C135C1"/>
    <w:rsid w:val="00C13951"/>
    <w:rsid w:val="00C15567"/>
    <w:rsid w:val="00C15BF2"/>
    <w:rsid w:val="00C15E79"/>
    <w:rsid w:val="00C15E9F"/>
    <w:rsid w:val="00C1669B"/>
    <w:rsid w:val="00C16A3C"/>
    <w:rsid w:val="00C16AFA"/>
    <w:rsid w:val="00C17FF2"/>
    <w:rsid w:val="00C20DD5"/>
    <w:rsid w:val="00C20EFB"/>
    <w:rsid w:val="00C21151"/>
    <w:rsid w:val="00C211B4"/>
    <w:rsid w:val="00C217CF"/>
    <w:rsid w:val="00C21B79"/>
    <w:rsid w:val="00C21EBA"/>
    <w:rsid w:val="00C21FB8"/>
    <w:rsid w:val="00C22191"/>
    <w:rsid w:val="00C226FA"/>
    <w:rsid w:val="00C22F2E"/>
    <w:rsid w:val="00C239C3"/>
    <w:rsid w:val="00C24841"/>
    <w:rsid w:val="00C25C65"/>
    <w:rsid w:val="00C2662B"/>
    <w:rsid w:val="00C30AE1"/>
    <w:rsid w:val="00C31062"/>
    <w:rsid w:val="00C32630"/>
    <w:rsid w:val="00C328DB"/>
    <w:rsid w:val="00C33799"/>
    <w:rsid w:val="00C339F2"/>
    <w:rsid w:val="00C34300"/>
    <w:rsid w:val="00C34954"/>
    <w:rsid w:val="00C34C7E"/>
    <w:rsid w:val="00C356AF"/>
    <w:rsid w:val="00C35E16"/>
    <w:rsid w:val="00C360DF"/>
    <w:rsid w:val="00C36135"/>
    <w:rsid w:val="00C368B5"/>
    <w:rsid w:val="00C373FA"/>
    <w:rsid w:val="00C375CE"/>
    <w:rsid w:val="00C377C9"/>
    <w:rsid w:val="00C40002"/>
    <w:rsid w:val="00C40153"/>
    <w:rsid w:val="00C40562"/>
    <w:rsid w:val="00C40942"/>
    <w:rsid w:val="00C40AF7"/>
    <w:rsid w:val="00C40D7F"/>
    <w:rsid w:val="00C410B7"/>
    <w:rsid w:val="00C42ECC"/>
    <w:rsid w:val="00C42EEA"/>
    <w:rsid w:val="00C42F5B"/>
    <w:rsid w:val="00C433D2"/>
    <w:rsid w:val="00C43496"/>
    <w:rsid w:val="00C436CF"/>
    <w:rsid w:val="00C439C0"/>
    <w:rsid w:val="00C43DF6"/>
    <w:rsid w:val="00C44439"/>
    <w:rsid w:val="00C446A2"/>
    <w:rsid w:val="00C4537F"/>
    <w:rsid w:val="00C46551"/>
    <w:rsid w:val="00C51190"/>
    <w:rsid w:val="00C51332"/>
    <w:rsid w:val="00C52696"/>
    <w:rsid w:val="00C52AAE"/>
    <w:rsid w:val="00C52EEE"/>
    <w:rsid w:val="00C53468"/>
    <w:rsid w:val="00C53899"/>
    <w:rsid w:val="00C545E4"/>
    <w:rsid w:val="00C54E42"/>
    <w:rsid w:val="00C553D3"/>
    <w:rsid w:val="00C5563B"/>
    <w:rsid w:val="00C5577A"/>
    <w:rsid w:val="00C55CA7"/>
    <w:rsid w:val="00C55F7B"/>
    <w:rsid w:val="00C5723B"/>
    <w:rsid w:val="00C5746F"/>
    <w:rsid w:val="00C5790C"/>
    <w:rsid w:val="00C57FC0"/>
    <w:rsid w:val="00C6014F"/>
    <w:rsid w:val="00C6108E"/>
    <w:rsid w:val="00C612DC"/>
    <w:rsid w:val="00C61A1F"/>
    <w:rsid w:val="00C624EB"/>
    <w:rsid w:val="00C628A2"/>
    <w:rsid w:val="00C62C65"/>
    <w:rsid w:val="00C63D50"/>
    <w:rsid w:val="00C64AF1"/>
    <w:rsid w:val="00C65161"/>
    <w:rsid w:val="00C657B4"/>
    <w:rsid w:val="00C65B39"/>
    <w:rsid w:val="00C6641F"/>
    <w:rsid w:val="00C672EF"/>
    <w:rsid w:val="00C6751B"/>
    <w:rsid w:val="00C6764D"/>
    <w:rsid w:val="00C722B3"/>
    <w:rsid w:val="00C72542"/>
    <w:rsid w:val="00C72676"/>
    <w:rsid w:val="00C727A0"/>
    <w:rsid w:val="00C73A84"/>
    <w:rsid w:val="00C73D57"/>
    <w:rsid w:val="00C73E69"/>
    <w:rsid w:val="00C748ED"/>
    <w:rsid w:val="00C749F7"/>
    <w:rsid w:val="00C74D97"/>
    <w:rsid w:val="00C751BE"/>
    <w:rsid w:val="00C7635E"/>
    <w:rsid w:val="00C7695B"/>
    <w:rsid w:val="00C76B05"/>
    <w:rsid w:val="00C80518"/>
    <w:rsid w:val="00C80858"/>
    <w:rsid w:val="00C8085B"/>
    <w:rsid w:val="00C80BA0"/>
    <w:rsid w:val="00C80BC5"/>
    <w:rsid w:val="00C810A3"/>
    <w:rsid w:val="00C819E1"/>
    <w:rsid w:val="00C824DD"/>
    <w:rsid w:val="00C8294A"/>
    <w:rsid w:val="00C83233"/>
    <w:rsid w:val="00C833C2"/>
    <w:rsid w:val="00C835AE"/>
    <w:rsid w:val="00C8364B"/>
    <w:rsid w:val="00C83E25"/>
    <w:rsid w:val="00C83E71"/>
    <w:rsid w:val="00C83F44"/>
    <w:rsid w:val="00C84271"/>
    <w:rsid w:val="00C8496F"/>
    <w:rsid w:val="00C85212"/>
    <w:rsid w:val="00C85723"/>
    <w:rsid w:val="00C85891"/>
    <w:rsid w:val="00C85A4D"/>
    <w:rsid w:val="00C86051"/>
    <w:rsid w:val="00C861B5"/>
    <w:rsid w:val="00C86A49"/>
    <w:rsid w:val="00C8723B"/>
    <w:rsid w:val="00C873FE"/>
    <w:rsid w:val="00C8767C"/>
    <w:rsid w:val="00C879B8"/>
    <w:rsid w:val="00C90176"/>
    <w:rsid w:val="00C90804"/>
    <w:rsid w:val="00C920CF"/>
    <w:rsid w:val="00C92411"/>
    <w:rsid w:val="00C92798"/>
    <w:rsid w:val="00C93031"/>
    <w:rsid w:val="00C93643"/>
    <w:rsid w:val="00C93B75"/>
    <w:rsid w:val="00C93CF3"/>
    <w:rsid w:val="00C93DC4"/>
    <w:rsid w:val="00C946F0"/>
    <w:rsid w:val="00C94A4D"/>
    <w:rsid w:val="00C9522B"/>
    <w:rsid w:val="00C9555C"/>
    <w:rsid w:val="00C95D72"/>
    <w:rsid w:val="00C963F2"/>
    <w:rsid w:val="00C96504"/>
    <w:rsid w:val="00C96672"/>
    <w:rsid w:val="00C96856"/>
    <w:rsid w:val="00C96AD1"/>
    <w:rsid w:val="00C973B9"/>
    <w:rsid w:val="00C979D8"/>
    <w:rsid w:val="00CA0A8D"/>
    <w:rsid w:val="00CA0AAC"/>
    <w:rsid w:val="00CA0B08"/>
    <w:rsid w:val="00CA0E64"/>
    <w:rsid w:val="00CA1CAA"/>
    <w:rsid w:val="00CA1ECB"/>
    <w:rsid w:val="00CA20D8"/>
    <w:rsid w:val="00CA28A9"/>
    <w:rsid w:val="00CA2B5D"/>
    <w:rsid w:val="00CA3216"/>
    <w:rsid w:val="00CA4026"/>
    <w:rsid w:val="00CA4741"/>
    <w:rsid w:val="00CA4F99"/>
    <w:rsid w:val="00CA5A0B"/>
    <w:rsid w:val="00CA679F"/>
    <w:rsid w:val="00CB01A0"/>
    <w:rsid w:val="00CB0AAE"/>
    <w:rsid w:val="00CB10A9"/>
    <w:rsid w:val="00CB116F"/>
    <w:rsid w:val="00CB1CFA"/>
    <w:rsid w:val="00CB204B"/>
    <w:rsid w:val="00CB24B5"/>
    <w:rsid w:val="00CB34A7"/>
    <w:rsid w:val="00CB36F4"/>
    <w:rsid w:val="00CB3767"/>
    <w:rsid w:val="00CB3E70"/>
    <w:rsid w:val="00CB3E9A"/>
    <w:rsid w:val="00CB4540"/>
    <w:rsid w:val="00CB4617"/>
    <w:rsid w:val="00CB4FD1"/>
    <w:rsid w:val="00CB6423"/>
    <w:rsid w:val="00CB6BE5"/>
    <w:rsid w:val="00CC096C"/>
    <w:rsid w:val="00CC0AC6"/>
    <w:rsid w:val="00CC128F"/>
    <w:rsid w:val="00CC2058"/>
    <w:rsid w:val="00CC221B"/>
    <w:rsid w:val="00CC26CF"/>
    <w:rsid w:val="00CC287D"/>
    <w:rsid w:val="00CC28A9"/>
    <w:rsid w:val="00CC2B67"/>
    <w:rsid w:val="00CC30E2"/>
    <w:rsid w:val="00CC3250"/>
    <w:rsid w:val="00CC3BC1"/>
    <w:rsid w:val="00CC4B25"/>
    <w:rsid w:val="00CC4C40"/>
    <w:rsid w:val="00CC516C"/>
    <w:rsid w:val="00CC5931"/>
    <w:rsid w:val="00CC634D"/>
    <w:rsid w:val="00CC6448"/>
    <w:rsid w:val="00CD01A1"/>
    <w:rsid w:val="00CD09E5"/>
    <w:rsid w:val="00CD0E93"/>
    <w:rsid w:val="00CD1337"/>
    <w:rsid w:val="00CD24DA"/>
    <w:rsid w:val="00CD2740"/>
    <w:rsid w:val="00CD28A3"/>
    <w:rsid w:val="00CD290A"/>
    <w:rsid w:val="00CD29C4"/>
    <w:rsid w:val="00CD2AE1"/>
    <w:rsid w:val="00CD3BBF"/>
    <w:rsid w:val="00CD3E62"/>
    <w:rsid w:val="00CD3EF5"/>
    <w:rsid w:val="00CD40E2"/>
    <w:rsid w:val="00CD4434"/>
    <w:rsid w:val="00CD47B1"/>
    <w:rsid w:val="00CD4A49"/>
    <w:rsid w:val="00CD55A9"/>
    <w:rsid w:val="00CD6791"/>
    <w:rsid w:val="00CD6A68"/>
    <w:rsid w:val="00CD71BA"/>
    <w:rsid w:val="00CD71FC"/>
    <w:rsid w:val="00CD729F"/>
    <w:rsid w:val="00CD7A16"/>
    <w:rsid w:val="00CE06E4"/>
    <w:rsid w:val="00CE08ED"/>
    <w:rsid w:val="00CE0C6A"/>
    <w:rsid w:val="00CE0DEA"/>
    <w:rsid w:val="00CE10A6"/>
    <w:rsid w:val="00CE1228"/>
    <w:rsid w:val="00CE336B"/>
    <w:rsid w:val="00CE3498"/>
    <w:rsid w:val="00CE35D7"/>
    <w:rsid w:val="00CE48EA"/>
    <w:rsid w:val="00CE4E6F"/>
    <w:rsid w:val="00CE5995"/>
    <w:rsid w:val="00CE7747"/>
    <w:rsid w:val="00CE7AFA"/>
    <w:rsid w:val="00CF0113"/>
    <w:rsid w:val="00CF02E3"/>
    <w:rsid w:val="00CF0AEF"/>
    <w:rsid w:val="00CF197E"/>
    <w:rsid w:val="00CF2280"/>
    <w:rsid w:val="00CF2F78"/>
    <w:rsid w:val="00CF3BF9"/>
    <w:rsid w:val="00CF3CB3"/>
    <w:rsid w:val="00CF3D6A"/>
    <w:rsid w:val="00CF3FD2"/>
    <w:rsid w:val="00CF48BD"/>
    <w:rsid w:val="00CF4AF0"/>
    <w:rsid w:val="00CF6703"/>
    <w:rsid w:val="00CF67DA"/>
    <w:rsid w:val="00CF6F8C"/>
    <w:rsid w:val="00CF73AD"/>
    <w:rsid w:val="00CF7C00"/>
    <w:rsid w:val="00CF7C40"/>
    <w:rsid w:val="00D00951"/>
    <w:rsid w:val="00D01817"/>
    <w:rsid w:val="00D01CE9"/>
    <w:rsid w:val="00D02AF9"/>
    <w:rsid w:val="00D02CAD"/>
    <w:rsid w:val="00D02DA4"/>
    <w:rsid w:val="00D0316C"/>
    <w:rsid w:val="00D032B6"/>
    <w:rsid w:val="00D03556"/>
    <w:rsid w:val="00D03AAA"/>
    <w:rsid w:val="00D048F6"/>
    <w:rsid w:val="00D057C8"/>
    <w:rsid w:val="00D059DE"/>
    <w:rsid w:val="00D05A41"/>
    <w:rsid w:val="00D07530"/>
    <w:rsid w:val="00D07DD1"/>
    <w:rsid w:val="00D100F5"/>
    <w:rsid w:val="00D107D3"/>
    <w:rsid w:val="00D10C3A"/>
    <w:rsid w:val="00D12733"/>
    <w:rsid w:val="00D12766"/>
    <w:rsid w:val="00D138BA"/>
    <w:rsid w:val="00D15B3C"/>
    <w:rsid w:val="00D1713D"/>
    <w:rsid w:val="00D174C4"/>
    <w:rsid w:val="00D174F5"/>
    <w:rsid w:val="00D17E02"/>
    <w:rsid w:val="00D202F7"/>
    <w:rsid w:val="00D207DC"/>
    <w:rsid w:val="00D208DA"/>
    <w:rsid w:val="00D20C20"/>
    <w:rsid w:val="00D20E51"/>
    <w:rsid w:val="00D21246"/>
    <w:rsid w:val="00D21492"/>
    <w:rsid w:val="00D21504"/>
    <w:rsid w:val="00D216CA"/>
    <w:rsid w:val="00D219BC"/>
    <w:rsid w:val="00D21F0A"/>
    <w:rsid w:val="00D222E0"/>
    <w:rsid w:val="00D22483"/>
    <w:rsid w:val="00D22668"/>
    <w:rsid w:val="00D22A6D"/>
    <w:rsid w:val="00D22BA3"/>
    <w:rsid w:val="00D23434"/>
    <w:rsid w:val="00D244E4"/>
    <w:rsid w:val="00D25019"/>
    <w:rsid w:val="00D25E45"/>
    <w:rsid w:val="00D26D1E"/>
    <w:rsid w:val="00D27433"/>
    <w:rsid w:val="00D2767D"/>
    <w:rsid w:val="00D309E0"/>
    <w:rsid w:val="00D30AC5"/>
    <w:rsid w:val="00D320B5"/>
    <w:rsid w:val="00D32570"/>
    <w:rsid w:val="00D325C7"/>
    <w:rsid w:val="00D326A8"/>
    <w:rsid w:val="00D34B36"/>
    <w:rsid w:val="00D34ED8"/>
    <w:rsid w:val="00D35239"/>
    <w:rsid w:val="00D35334"/>
    <w:rsid w:val="00D35406"/>
    <w:rsid w:val="00D3542A"/>
    <w:rsid w:val="00D355C3"/>
    <w:rsid w:val="00D3620E"/>
    <w:rsid w:val="00D36C4B"/>
    <w:rsid w:val="00D36E60"/>
    <w:rsid w:val="00D377EA"/>
    <w:rsid w:val="00D37B0F"/>
    <w:rsid w:val="00D402E6"/>
    <w:rsid w:val="00D40606"/>
    <w:rsid w:val="00D40875"/>
    <w:rsid w:val="00D40ACC"/>
    <w:rsid w:val="00D4164C"/>
    <w:rsid w:val="00D41AEB"/>
    <w:rsid w:val="00D42652"/>
    <w:rsid w:val="00D42699"/>
    <w:rsid w:val="00D433C3"/>
    <w:rsid w:val="00D43A44"/>
    <w:rsid w:val="00D45C60"/>
    <w:rsid w:val="00D4657C"/>
    <w:rsid w:val="00D4771F"/>
    <w:rsid w:val="00D50812"/>
    <w:rsid w:val="00D51278"/>
    <w:rsid w:val="00D5149A"/>
    <w:rsid w:val="00D51D62"/>
    <w:rsid w:val="00D52220"/>
    <w:rsid w:val="00D52311"/>
    <w:rsid w:val="00D524C1"/>
    <w:rsid w:val="00D53126"/>
    <w:rsid w:val="00D5312B"/>
    <w:rsid w:val="00D540CC"/>
    <w:rsid w:val="00D54B8E"/>
    <w:rsid w:val="00D54EC3"/>
    <w:rsid w:val="00D55BB8"/>
    <w:rsid w:val="00D5640C"/>
    <w:rsid w:val="00D564BA"/>
    <w:rsid w:val="00D56825"/>
    <w:rsid w:val="00D57261"/>
    <w:rsid w:val="00D57781"/>
    <w:rsid w:val="00D57A92"/>
    <w:rsid w:val="00D600B9"/>
    <w:rsid w:val="00D60484"/>
    <w:rsid w:val="00D624EF"/>
    <w:rsid w:val="00D62625"/>
    <w:rsid w:val="00D629CF"/>
    <w:rsid w:val="00D6301F"/>
    <w:rsid w:val="00D639AB"/>
    <w:rsid w:val="00D646BA"/>
    <w:rsid w:val="00D6584F"/>
    <w:rsid w:val="00D65A73"/>
    <w:rsid w:val="00D66074"/>
    <w:rsid w:val="00D66115"/>
    <w:rsid w:val="00D666B9"/>
    <w:rsid w:val="00D669AC"/>
    <w:rsid w:val="00D66AE3"/>
    <w:rsid w:val="00D66CCA"/>
    <w:rsid w:val="00D67CD7"/>
    <w:rsid w:val="00D70002"/>
    <w:rsid w:val="00D70BD5"/>
    <w:rsid w:val="00D712A2"/>
    <w:rsid w:val="00D715D2"/>
    <w:rsid w:val="00D723AF"/>
    <w:rsid w:val="00D72F94"/>
    <w:rsid w:val="00D733FC"/>
    <w:rsid w:val="00D73C3D"/>
    <w:rsid w:val="00D7463F"/>
    <w:rsid w:val="00D7492D"/>
    <w:rsid w:val="00D77494"/>
    <w:rsid w:val="00D774CE"/>
    <w:rsid w:val="00D779FE"/>
    <w:rsid w:val="00D77E32"/>
    <w:rsid w:val="00D800B8"/>
    <w:rsid w:val="00D806C7"/>
    <w:rsid w:val="00D816AB"/>
    <w:rsid w:val="00D816E0"/>
    <w:rsid w:val="00D82B20"/>
    <w:rsid w:val="00D83215"/>
    <w:rsid w:val="00D8336F"/>
    <w:rsid w:val="00D836E8"/>
    <w:rsid w:val="00D83DD1"/>
    <w:rsid w:val="00D83F28"/>
    <w:rsid w:val="00D842D1"/>
    <w:rsid w:val="00D844B7"/>
    <w:rsid w:val="00D84521"/>
    <w:rsid w:val="00D84FE3"/>
    <w:rsid w:val="00D852DF"/>
    <w:rsid w:val="00D853CF"/>
    <w:rsid w:val="00D853D4"/>
    <w:rsid w:val="00D85993"/>
    <w:rsid w:val="00D85E82"/>
    <w:rsid w:val="00D86160"/>
    <w:rsid w:val="00D8623A"/>
    <w:rsid w:val="00D865D1"/>
    <w:rsid w:val="00D873B9"/>
    <w:rsid w:val="00D90F01"/>
    <w:rsid w:val="00D91ACE"/>
    <w:rsid w:val="00D91C20"/>
    <w:rsid w:val="00D922A0"/>
    <w:rsid w:val="00D92360"/>
    <w:rsid w:val="00D92903"/>
    <w:rsid w:val="00D93193"/>
    <w:rsid w:val="00D93367"/>
    <w:rsid w:val="00D9355E"/>
    <w:rsid w:val="00D9386F"/>
    <w:rsid w:val="00D94031"/>
    <w:rsid w:val="00D945B9"/>
    <w:rsid w:val="00D94947"/>
    <w:rsid w:val="00D9540C"/>
    <w:rsid w:val="00D956D7"/>
    <w:rsid w:val="00D95FDF"/>
    <w:rsid w:val="00D96013"/>
    <w:rsid w:val="00D963C0"/>
    <w:rsid w:val="00D97F5D"/>
    <w:rsid w:val="00DA01FF"/>
    <w:rsid w:val="00DA161A"/>
    <w:rsid w:val="00DA18BF"/>
    <w:rsid w:val="00DA2443"/>
    <w:rsid w:val="00DA39B2"/>
    <w:rsid w:val="00DA47AC"/>
    <w:rsid w:val="00DA47FB"/>
    <w:rsid w:val="00DA4B91"/>
    <w:rsid w:val="00DA4C77"/>
    <w:rsid w:val="00DA544A"/>
    <w:rsid w:val="00DA54EB"/>
    <w:rsid w:val="00DA59B8"/>
    <w:rsid w:val="00DA6987"/>
    <w:rsid w:val="00DA6A10"/>
    <w:rsid w:val="00DA6CF1"/>
    <w:rsid w:val="00DA71D3"/>
    <w:rsid w:val="00DB019B"/>
    <w:rsid w:val="00DB0F34"/>
    <w:rsid w:val="00DB1036"/>
    <w:rsid w:val="00DB108A"/>
    <w:rsid w:val="00DB1CE9"/>
    <w:rsid w:val="00DB39F9"/>
    <w:rsid w:val="00DB454F"/>
    <w:rsid w:val="00DB478E"/>
    <w:rsid w:val="00DB502F"/>
    <w:rsid w:val="00DB5143"/>
    <w:rsid w:val="00DB51AD"/>
    <w:rsid w:val="00DB53FD"/>
    <w:rsid w:val="00DB60F2"/>
    <w:rsid w:val="00DB695E"/>
    <w:rsid w:val="00DB6C88"/>
    <w:rsid w:val="00DB7880"/>
    <w:rsid w:val="00DC11AE"/>
    <w:rsid w:val="00DC1486"/>
    <w:rsid w:val="00DC1961"/>
    <w:rsid w:val="00DC2F8D"/>
    <w:rsid w:val="00DC37D9"/>
    <w:rsid w:val="00DC3B03"/>
    <w:rsid w:val="00DC3CE7"/>
    <w:rsid w:val="00DC3E32"/>
    <w:rsid w:val="00DC43E3"/>
    <w:rsid w:val="00DC4B74"/>
    <w:rsid w:val="00DC4D34"/>
    <w:rsid w:val="00DC4F29"/>
    <w:rsid w:val="00DC5B88"/>
    <w:rsid w:val="00DC63A1"/>
    <w:rsid w:val="00DC727D"/>
    <w:rsid w:val="00DC73EC"/>
    <w:rsid w:val="00DD000A"/>
    <w:rsid w:val="00DD0360"/>
    <w:rsid w:val="00DD0482"/>
    <w:rsid w:val="00DD0DD8"/>
    <w:rsid w:val="00DD0F86"/>
    <w:rsid w:val="00DD140D"/>
    <w:rsid w:val="00DD1EEE"/>
    <w:rsid w:val="00DD1F1A"/>
    <w:rsid w:val="00DD37D2"/>
    <w:rsid w:val="00DD47D7"/>
    <w:rsid w:val="00DD5664"/>
    <w:rsid w:val="00DD63F3"/>
    <w:rsid w:val="00DD6788"/>
    <w:rsid w:val="00DE0127"/>
    <w:rsid w:val="00DE0AB4"/>
    <w:rsid w:val="00DE0CF8"/>
    <w:rsid w:val="00DE1506"/>
    <w:rsid w:val="00DE1B0B"/>
    <w:rsid w:val="00DE1E01"/>
    <w:rsid w:val="00DE1F08"/>
    <w:rsid w:val="00DE1F14"/>
    <w:rsid w:val="00DE2315"/>
    <w:rsid w:val="00DE2ACA"/>
    <w:rsid w:val="00DE3012"/>
    <w:rsid w:val="00DE47E8"/>
    <w:rsid w:val="00DE53D2"/>
    <w:rsid w:val="00DE553D"/>
    <w:rsid w:val="00DE577F"/>
    <w:rsid w:val="00DE6838"/>
    <w:rsid w:val="00DE73CA"/>
    <w:rsid w:val="00DE74BD"/>
    <w:rsid w:val="00DE7FFE"/>
    <w:rsid w:val="00DF0198"/>
    <w:rsid w:val="00DF0844"/>
    <w:rsid w:val="00DF0C60"/>
    <w:rsid w:val="00DF1705"/>
    <w:rsid w:val="00DF1E41"/>
    <w:rsid w:val="00DF3311"/>
    <w:rsid w:val="00DF3902"/>
    <w:rsid w:val="00DF3977"/>
    <w:rsid w:val="00DF3C29"/>
    <w:rsid w:val="00DF448B"/>
    <w:rsid w:val="00DF47D6"/>
    <w:rsid w:val="00DF4AF2"/>
    <w:rsid w:val="00DF61D6"/>
    <w:rsid w:val="00DF706C"/>
    <w:rsid w:val="00DF7ED8"/>
    <w:rsid w:val="00E007B8"/>
    <w:rsid w:val="00E00833"/>
    <w:rsid w:val="00E009C1"/>
    <w:rsid w:val="00E00B4A"/>
    <w:rsid w:val="00E01128"/>
    <w:rsid w:val="00E015C6"/>
    <w:rsid w:val="00E01925"/>
    <w:rsid w:val="00E0209E"/>
    <w:rsid w:val="00E02426"/>
    <w:rsid w:val="00E02DD1"/>
    <w:rsid w:val="00E0359F"/>
    <w:rsid w:val="00E050B8"/>
    <w:rsid w:val="00E052BB"/>
    <w:rsid w:val="00E0567C"/>
    <w:rsid w:val="00E05683"/>
    <w:rsid w:val="00E06D2E"/>
    <w:rsid w:val="00E1045C"/>
    <w:rsid w:val="00E105F2"/>
    <w:rsid w:val="00E106D4"/>
    <w:rsid w:val="00E10821"/>
    <w:rsid w:val="00E10C2A"/>
    <w:rsid w:val="00E11A7D"/>
    <w:rsid w:val="00E11C66"/>
    <w:rsid w:val="00E11E45"/>
    <w:rsid w:val="00E1214F"/>
    <w:rsid w:val="00E136D5"/>
    <w:rsid w:val="00E1448E"/>
    <w:rsid w:val="00E14B0F"/>
    <w:rsid w:val="00E14B5D"/>
    <w:rsid w:val="00E14C90"/>
    <w:rsid w:val="00E14F3F"/>
    <w:rsid w:val="00E16303"/>
    <w:rsid w:val="00E16701"/>
    <w:rsid w:val="00E1683B"/>
    <w:rsid w:val="00E16854"/>
    <w:rsid w:val="00E16A7B"/>
    <w:rsid w:val="00E16FE0"/>
    <w:rsid w:val="00E17BFB"/>
    <w:rsid w:val="00E17FB6"/>
    <w:rsid w:val="00E20472"/>
    <w:rsid w:val="00E2086E"/>
    <w:rsid w:val="00E20B46"/>
    <w:rsid w:val="00E21267"/>
    <w:rsid w:val="00E21BFE"/>
    <w:rsid w:val="00E21E83"/>
    <w:rsid w:val="00E22E03"/>
    <w:rsid w:val="00E24FD5"/>
    <w:rsid w:val="00E26298"/>
    <w:rsid w:val="00E265C6"/>
    <w:rsid w:val="00E26645"/>
    <w:rsid w:val="00E26B31"/>
    <w:rsid w:val="00E26DF6"/>
    <w:rsid w:val="00E26F7A"/>
    <w:rsid w:val="00E30023"/>
    <w:rsid w:val="00E301F2"/>
    <w:rsid w:val="00E30F15"/>
    <w:rsid w:val="00E313F1"/>
    <w:rsid w:val="00E317EB"/>
    <w:rsid w:val="00E320E5"/>
    <w:rsid w:val="00E3213D"/>
    <w:rsid w:val="00E321D2"/>
    <w:rsid w:val="00E3313D"/>
    <w:rsid w:val="00E33460"/>
    <w:rsid w:val="00E33C7F"/>
    <w:rsid w:val="00E33F78"/>
    <w:rsid w:val="00E34C2F"/>
    <w:rsid w:val="00E34CDC"/>
    <w:rsid w:val="00E34FA4"/>
    <w:rsid w:val="00E352F8"/>
    <w:rsid w:val="00E35560"/>
    <w:rsid w:val="00E364F7"/>
    <w:rsid w:val="00E366B5"/>
    <w:rsid w:val="00E37093"/>
    <w:rsid w:val="00E379F6"/>
    <w:rsid w:val="00E37A7D"/>
    <w:rsid w:val="00E37D78"/>
    <w:rsid w:val="00E40184"/>
    <w:rsid w:val="00E4081E"/>
    <w:rsid w:val="00E409AA"/>
    <w:rsid w:val="00E41566"/>
    <w:rsid w:val="00E416A6"/>
    <w:rsid w:val="00E421BA"/>
    <w:rsid w:val="00E42599"/>
    <w:rsid w:val="00E42615"/>
    <w:rsid w:val="00E42732"/>
    <w:rsid w:val="00E43565"/>
    <w:rsid w:val="00E43E2B"/>
    <w:rsid w:val="00E44A1E"/>
    <w:rsid w:val="00E45563"/>
    <w:rsid w:val="00E45822"/>
    <w:rsid w:val="00E45863"/>
    <w:rsid w:val="00E45F46"/>
    <w:rsid w:val="00E46A96"/>
    <w:rsid w:val="00E46CA0"/>
    <w:rsid w:val="00E46F84"/>
    <w:rsid w:val="00E477FC"/>
    <w:rsid w:val="00E4788B"/>
    <w:rsid w:val="00E47A70"/>
    <w:rsid w:val="00E51510"/>
    <w:rsid w:val="00E517A8"/>
    <w:rsid w:val="00E51A57"/>
    <w:rsid w:val="00E529D4"/>
    <w:rsid w:val="00E535E6"/>
    <w:rsid w:val="00E53BB5"/>
    <w:rsid w:val="00E53D58"/>
    <w:rsid w:val="00E54D0E"/>
    <w:rsid w:val="00E5515B"/>
    <w:rsid w:val="00E555FC"/>
    <w:rsid w:val="00E5583C"/>
    <w:rsid w:val="00E55A8B"/>
    <w:rsid w:val="00E55CF6"/>
    <w:rsid w:val="00E56552"/>
    <w:rsid w:val="00E569AA"/>
    <w:rsid w:val="00E56F21"/>
    <w:rsid w:val="00E57485"/>
    <w:rsid w:val="00E57513"/>
    <w:rsid w:val="00E57518"/>
    <w:rsid w:val="00E6062E"/>
    <w:rsid w:val="00E60B9B"/>
    <w:rsid w:val="00E60C4F"/>
    <w:rsid w:val="00E60FC2"/>
    <w:rsid w:val="00E61323"/>
    <w:rsid w:val="00E61565"/>
    <w:rsid w:val="00E61B9A"/>
    <w:rsid w:val="00E61C35"/>
    <w:rsid w:val="00E6261C"/>
    <w:rsid w:val="00E6296D"/>
    <w:rsid w:val="00E62C05"/>
    <w:rsid w:val="00E632E6"/>
    <w:rsid w:val="00E632FF"/>
    <w:rsid w:val="00E63B76"/>
    <w:rsid w:val="00E63BE1"/>
    <w:rsid w:val="00E63C61"/>
    <w:rsid w:val="00E63FC4"/>
    <w:rsid w:val="00E646F9"/>
    <w:rsid w:val="00E6475D"/>
    <w:rsid w:val="00E666E5"/>
    <w:rsid w:val="00E66976"/>
    <w:rsid w:val="00E6699D"/>
    <w:rsid w:val="00E66BAE"/>
    <w:rsid w:val="00E66F35"/>
    <w:rsid w:val="00E671EC"/>
    <w:rsid w:val="00E67AC4"/>
    <w:rsid w:val="00E67F3F"/>
    <w:rsid w:val="00E701E1"/>
    <w:rsid w:val="00E705BA"/>
    <w:rsid w:val="00E70A08"/>
    <w:rsid w:val="00E71520"/>
    <w:rsid w:val="00E7296C"/>
    <w:rsid w:val="00E72E9F"/>
    <w:rsid w:val="00E72F9D"/>
    <w:rsid w:val="00E736E1"/>
    <w:rsid w:val="00E738CA"/>
    <w:rsid w:val="00E73CCF"/>
    <w:rsid w:val="00E73E20"/>
    <w:rsid w:val="00E73F33"/>
    <w:rsid w:val="00E747A7"/>
    <w:rsid w:val="00E74E42"/>
    <w:rsid w:val="00E7579C"/>
    <w:rsid w:val="00E75A7E"/>
    <w:rsid w:val="00E76342"/>
    <w:rsid w:val="00E765B1"/>
    <w:rsid w:val="00E76802"/>
    <w:rsid w:val="00E769BC"/>
    <w:rsid w:val="00E77114"/>
    <w:rsid w:val="00E771E0"/>
    <w:rsid w:val="00E80461"/>
    <w:rsid w:val="00E810B9"/>
    <w:rsid w:val="00E811C8"/>
    <w:rsid w:val="00E81B14"/>
    <w:rsid w:val="00E81FB7"/>
    <w:rsid w:val="00E82874"/>
    <w:rsid w:val="00E82E45"/>
    <w:rsid w:val="00E831B6"/>
    <w:rsid w:val="00E85D67"/>
    <w:rsid w:val="00E8611A"/>
    <w:rsid w:val="00E86C33"/>
    <w:rsid w:val="00E90913"/>
    <w:rsid w:val="00E90BEC"/>
    <w:rsid w:val="00E91E8F"/>
    <w:rsid w:val="00E924A4"/>
    <w:rsid w:val="00E92708"/>
    <w:rsid w:val="00E92947"/>
    <w:rsid w:val="00E92E74"/>
    <w:rsid w:val="00E933EC"/>
    <w:rsid w:val="00E9357C"/>
    <w:rsid w:val="00E94CD8"/>
    <w:rsid w:val="00E95091"/>
    <w:rsid w:val="00E954EC"/>
    <w:rsid w:val="00E955D3"/>
    <w:rsid w:val="00E95EFC"/>
    <w:rsid w:val="00E96126"/>
    <w:rsid w:val="00E963D4"/>
    <w:rsid w:val="00E96613"/>
    <w:rsid w:val="00E96D46"/>
    <w:rsid w:val="00E9711E"/>
    <w:rsid w:val="00E97E5B"/>
    <w:rsid w:val="00EA0D1B"/>
    <w:rsid w:val="00EA14FC"/>
    <w:rsid w:val="00EA194A"/>
    <w:rsid w:val="00EA206F"/>
    <w:rsid w:val="00EA26A6"/>
    <w:rsid w:val="00EA2839"/>
    <w:rsid w:val="00EA2A2D"/>
    <w:rsid w:val="00EA2AA2"/>
    <w:rsid w:val="00EA2E11"/>
    <w:rsid w:val="00EA3048"/>
    <w:rsid w:val="00EA32A6"/>
    <w:rsid w:val="00EA386A"/>
    <w:rsid w:val="00EA4460"/>
    <w:rsid w:val="00EA566F"/>
    <w:rsid w:val="00EA578B"/>
    <w:rsid w:val="00EA5B5C"/>
    <w:rsid w:val="00EA70DF"/>
    <w:rsid w:val="00EA7995"/>
    <w:rsid w:val="00EB0E7F"/>
    <w:rsid w:val="00EB0FBC"/>
    <w:rsid w:val="00EB1384"/>
    <w:rsid w:val="00EB181B"/>
    <w:rsid w:val="00EB189A"/>
    <w:rsid w:val="00EB192F"/>
    <w:rsid w:val="00EB242E"/>
    <w:rsid w:val="00EB3094"/>
    <w:rsid w:val="00EB3415"/>
    <w:rsid w:val="00EB3A68"/>
    <w:rsid w:val="00EB4B1E"/>
    <w:rsid w:val="00EB5374"/>
    <w:rsid w:val="00EB57F3"/>
    <w:rsid w:val="00EB5B11"/>
    <w:rsid w:val="00EB5B69"/>
    <w:rsid w:val="00EB5BFA"/>
    <w:rsid w:val="00EB6140"/>
    <w:rsid w:val="00EB6995"/>
    <w:rsid w:val="00EB72D3"/>
    <w:rsid w:val="00EB76F3"/>
    <w:rsid w:val="00EB7A1A"/>
    <w:rsid w:val="00EB7AE3"/>
    <w:rsid w:val="00EB7D20"/>
    <w:rsid w:val="00EC03D3"/>
    <w:rsid w:val="00EC0448"/>
    <w:rsid w:val="00EC054F"/>
    <w:rsid w:val="00EC0E5D"/>
    <w:rsid w:val="00EC0E63"/>
    <w:rsid w:val="00EC1BA8"/>
    <w:rsid w:val="00EC21D1"/>
    <w:rsid w:val="00EC27D8"/>
    <w:rsid w:val="00EC2EDB"/>
    <w:rsid w:val="00EC3E9A"/>
    <w:rsid w:val="00EC441F"/>
    <w:rsid w:val="00EC4778"/>
    <w:rsid w:val="00EC49E9"/>
    <w:rsid w:val="00EC56D3"/>
    <w:rsid w:val="00EC5904"/>
    <w:rsid w:val="00EC695B"/>
    <w:rsid w:val="00EC70B2"/>
    <w:rsid w:val="00EC7F78"/>
    <w:rsid w:val="00ED0840"/>
    <w:rsid w:val="00ED085E"/>
    <w:rsid w:val="00ED106A"/>
    <w:rsid w:val="00ED1701"/>
    <w:rsid w:val="00ED193D"/>
    <w:rsid w:val="00ED1C7D"/>
    <w:rsid w:val="00ED1E6B"/>
    <w:rsid w:val="00ED210C"/>
    <w:rsid w:val="00ED2679"/>
    <w:rsid w:val="00ED2F69"/>
    <w:rsid w:val="00ED32A4"/>
    <w:rsid w:val="00ED3F02"/>
    <w:rsid w:val="00ED46C4"/>
    <w:rsid w:val="00ED4EF4"/>
    <w:rsid w:val="00ED51DF"/>
    <w:rsid w:val="00ED5397"/>
    <w:rsid w:val="00ED5BEF"/>
    <w:rsid w:val="00ED603D"/>
    <w:rsid w:val="00ED6211"/>
    <w:rsid w:val="00ED67FF"/>
    <w:rsid w:val="00ED6DD5"/>
    <w:rsid w:val="00ED7AD4"/>
    <w:rsid w:val="00ED7F09"/>
    <w:rsid w:val="00EE005A"/>
    <w:rsid w:val="00EE132B"/>
    <w:rsid w:val="00EE14DD"/>
    <w:rsid w:val="00EE1E9C"/>
    <w:rsid w:val="00EE1EC7"/>
    <w:rsid w:val="00EE2A89"/>
    <w:rsid w:val="00EE2A9F"/>
    <w:rsid w:val="00EE2C34"/>
    <w:rsid w:val="00EE3AD8"/>
    <w:rsid w:val="00EE3E02"/>
    <w:rsid w:val="00EE5027"/>
    <w:rsid w:val="00EE5822"/>
    <w:rsid w:val="00EE639A"/>
    <w:rsid w:val="00EE69A6"/>
    <w:rsid w:val="00EE6A31"/>
    <w:rsid w:val="00EE6B03"/>
    <w:rsid w:val="00EE7428"/>
    <w:rsid w:val="00EF04C6"/>
    <w:rsid w:val="00EF0552"/>
    <w:rsid w:val="00EF0838"/>
    <w:rsid w:val="00EF09B7"/>
    <w:rsid w:val="00EF18A9"/>
    <w:rsid w:val="00EF1977"/>
    <w:rsid w:val="00EF197B"/>
    <w:rsid w:val="00EF2420"/>
    <w:rsid w:val="00EF2A09"/>
    <w:rsid w:val="00EF319B"/>
    <w:rsid w:val="00EF4A34"/>
    <w:rsid w:val="00EF4AB2"/>
    <w:rsid w:val="00EF4C65"/>
    <w:rsid w:val="00EF57D8"/>
    <w:rsid w:val="00EF5C04"/>
    <w:rsid w:val="00EF5DD3"/>
    <w:rsid w:val="00EF62D7"/>
    <w:rsid w:val="00EF6747"/>
    <w:rsid w:val="00EF6F34"/>
    <w:rsid w:val="00EF7428"/>
    <w:rsid w:val="00F001A5"/>
    <w:rsid w:val="00F00B4C"/>
    <w:rsid w:val="00F00BA9"/>
    <w:rsid w:val="00F015ED"/>
    <w:rsid w:val="00F0194C"/>
    <w:rsid w:val="00F021B6"/>
    <w:rsid w:val="00F02B6E"/>
    <w:rsid w:val="00F03D17"/>
    <w:rsid w:val="00F03DB2"/>
    <w:rsid w:val="00F0407A"/>
    <w:rsid w:val="00F054F0"/>
    <w:rsid w:val="00F05902"/>
    <w:rsid w:val="00F05C38"/>
    <w:rsid w:val="00F05CFE"/>
    <w:rsid w:val="00F05E64"/>
    <w:rsid w:val="00F05E6A"/>
    <w:rsid w:val="00F06057"/>
    <w:rsid w:val="00F076A5"/>
    <w:rsid w:val="00F1033A"/>
    <w:rsid w:val="00F10621"/>
    <w:rsid w:val="00F10F06"/>
    <w:rsid w:val="00F11721"/>
    <w:rsid w:val="00F11AE7"/>
    <w:rsid w:val="00F11DD9"/>
    <w:rsid w:val="00F12597"/>
    <w:rsid w:val="00F13478"/>
    <w:rsid w:val="00F13624"/>
    <w:rsid w:val="00F13AA1"/>
    <w:rsid w:val="00F13B68"/>
    <w:rsid w:val="00F1421F"/>
    <w:rsid w:val="00F14280"/>
    <w:rsid w:val="00F142BC"/>
    <w:rsid w:val="00F14609"/>
    <w:rsid w:val="00F14A6D"/>
    <w:rsid w:val="00F15118"/>
    <w:rsid w:val="00F163D1"/>
    <w:rsid w:val="00F164F7"/>
    <w:rsid w:val="00F16959"/>
    <w:rsid w:val="00F1695E"/>
    <w:rsid w:val="00F1709F"/>
    <w:rsid w:val="00F170BB"/>
    <w:rsid w:val="00F177C6"/>
    <w:rsid w:val="00F17C5A"/>
    <w:rsid w:val="00F17DD5"/>
    <w:rsid w:val="00F17FC4"/>
    <w:rsid w:val="00F2035B"/>
    <w:rsid w:val="00F20617"/>
    <w:rsid w:val="00F20924"/>
    <w:rsid w:val="00F215AD"/>
    <w:rsid w:val="00F21863"/>
    <w:rsid w:val="00F2189E"/>
    <w:rsid w:val="00F21A39"/>
    <w:rsid w:val="00F21A58"/>
    <w:rsid w:val="00F21B29"/>
    <w:rsid w:val="00F21BD9"/>
    <w:rsid w:val="00F21C69"/>
    <w:rsid w:val="00F2276A"/>
    <w:rsid w:val="00F2283F"/>
    <w:rsid w:val="00F2284D"/>
    <w:rsid w:val="00F22EAD"/>
    <w:rsid w:val="00F230CD"/>
    <w:rsid w:val="00F23181"/>
    <w:rsid w:val="00F2340C"/>
    <w:rsid w:val="00F24CF6"/>
    <w:rsid w:val="00F24CFC"/>
    <w:rsid w:val="00F24E1B"/>
    <w:rsid w:val="00F24FFB"/>
    <w:rsid w:val="00F25025"/>
    <w:rsid w:val="00F25677"/>
    <w:rsid w:val="00F2576A"/>
    <w:rsid w:val="00F261C8"/>
    <w:rsid w:val="00F2651E"/>
    <w:rsid w:val="00F26E76"/>
    <w:rsid w:val="00F3010A"/>
    <w:rsid w:val="00F30696"/>
    <w:rsid w:val="00F3085B"/>
    <w:rsid w:val="00F30BE6"/>
    <w:rsid w:val="00F30DD2"/>
    <w:rsid w:val="00F3101D"/>
    <w:rsid w:val="00F315C3"/>
    <w:rsid w:val="00F3207C"/>
    <w:rsid w:val="00F323C3"/>
    <w:rsid w:val="00F32817"/>
    <w:rsid w:val="00F334B4"/>
    <w:rsid w:val="00F33AF8"/>
    <w:rsid w:val="00F33EAC"/>
    <w:rsid w:val="00F34349"/>
    <w:rsid w:val="00F34682"/>
    <w:rsid w:val="00F347F2"/>
    <w:rsid w:val="00F3529F"/>
    <w:rsid w:val="00F3799A"/>
    <w:rsid w:val="00F37FE6"/>
    <w:rsid w:val="00F4025C"/>
    <w:rsid w:val="00F41954"/>
    <w:rsid w:val="00F41C91"/>
    <w:rsid w:val="00F42A81"/>
    <w:rsid w:val="00F42B0E"/>
    <w:rsid w:val="00F42C7A"/>
    <w:rsid w:val="00F43200"/>
    <w:rsid w:val="00F43B94"/>
    <w:rsid w:val="00F45558"/>
    <w:rsid w:val="00F4675F"/>
    <w:rsid w:val="00F469C5"/>
    <w:rsid w:val="00F47DBB"/>
    <w:rsid w:val="00F50200"/>
    <w:rsid w:val="00F50204"/>
    <w:rsid w:val="00F503F0"/>
    <w:rsid w:val="00F50F91"/>
    <w:rsid w:val="00F51460"/>
    <w:rsid w:val="00F5149E"/>
    <w:rsid w:val="00F515F3"/>
    <w:rsid w:val="00F51E3C"/>
    <w:rsid w:val="00F521E7"/>
    <w:rsid w:val="00F5266D"/>
    <w:rsid w:val="00F52918"/>
    <w:rsid w:val="00F52E0E"/>
    <w:rsid w:val="00F52F5D"/>
    <w:rsid w:val="00F5396D"/>
    <w:rsid w:val="00F53B85"/>
    <w:rsid w:val="00F54A1B"/>
    <w:rsid w:val="00F557CC"/>
    <w:rsid w:val="00F55848"/>
    <w:rsid w:val="00F560DD"/>
    <w:rsid w:val="00F56599"/>
    <w:rsid w:val="00F57C2A"/>
    <w:rsid w:val="00F57CB0"/>
    <w:rsid w:val="00F60850"/>
    <w:rsid w:val="00F60A18"/>
    <w:rsid w:val="00F61C94"/>
    <w:rsid w:val="00F61EE4"/>
    <w:rsid w:val="00F62DB5"/>
    <w:rsid w:val="00F62E87"/>
    <w:rsid w:val="00F63539"/>
    <w:rsid w:val="00F63753"/>
    <w:rsid w:val="00F63D15"/>
    <w:rsid w:val="00F63FA9"/>
    <w:rsid w:val="00F63FB9"/>
    <w:rsid w:val="00F6497E"/>
    <w:rsid w:val="00F64EA0"/>
    <w:rsid w:val="00F65182"/>
    <w:rsid w:val="00F65999"/>
    <w:rsid w:val="00F66977"/>
    <w:rsid w:val="00F6717B"/>
    <w:rsid w:val="00F6768D"/>
    <w:rsid w:val="00F67908"/>
    <w:rsid w:val="00F67FC5"/>
    <w:rsid w:val="00F702EC"/>
    <w:rsid w:val="00F713C3"/>
    <w:rsid w:val="00F715B7"/>
    <w:rsid w:val="00F718FF"/>
    <w:rsid w:val="00F71CE9"/>
    <w:rsid w:val="00F7279E"/>
    <w:rsid w:val="00F72B58"/>
    <w:rsid w:val="00F72DF4"/>
    <w:rsid w:val="00F73A20"/>
    <w:rsid w:val="00F74434"/>
    <w:rsid w:val="00F74467"/>
    <w:rsid w:val="00F74B7A"/>
    <w:rsid w:val="00F75C58"/>
    <w:rsid w:val="00F76251"/>
    <w:rsid w:val="00F764AD"/>
    <w:rsid w:val="00F77264"/>
    <w:rsid w:val="00F774FA"/>
    <w:rsid w:val="00F77ABF"/>
    <w:rsid w:val="00F80814"/>
    <w:rsid w:val="00F80C3D"/>
    <w:rsid w:val="00F818D7"/>
    <w:rsid w:val="00F81A8D"/>
    <w:rsid w:val="00F825DD"/>
    <w:rsid w:val="00F8303D"/>
    <w:rsid w:val="00F83598"/>
    <w:rsid w:val="00F83E98"/>
    <w:rsid w:val="00F84539"/>
    <w:rsid w:val="00F8497A"/>
    <w:rsid w:val="00F85B4F"/>
    <w:rsid w:val="00F85CA2"/>
    <w:rsid w:val="00F86CFE"/>
    <w:rsid w:val="00F86EE8"/>
    <w:rsid w:val="00F871EF"/>
    <w:rsid w:val="00F87A5B"/>
    <w:rsid w:val="00F87B08"/>
    <w:rsid w:val="00F9035A"/>
    <w:rsid w:val="00F90A24"/>
    <w:rsid w:val="00F93022"/>
    <w:rsid w:val="00F93224"/>
    <w:rsid w:val="00F9388C"/>
    <w:rsid w:val="00F93F94"/>
    <w:rsid w:val="00F94F45"/>
    <w:rsid w:val="00F953AF"/>
    <w:rsid w:val="00F956B6"/>
    <w:rsid w:val="00F95FB0"/>
    <w:rsid w:val="00F97061"/>
    <w:rsid w:val="00F97BFC"/>
    <w:rsid w:val="00F97CFF"/>
    <w:rsid w:val="00F97D40"/>
    <w:rsid w:val="00F97D6B"/>
    <w:rsid w:val="00FA05F8"/>
    <w:rsid w:val="00FA0A53"/>
    <w:rsid w:val="00FA15D2"/>
    <w:rsid w:val="00FA22E8"/>
    <w:rsid w:val="00FA286A"/>
    <w:rsid w:val="00FA34CE"/>
    <w:rsid w:val="00FA375F"/>
    <w:rsid w:val="00FA37A4"/>
    <w:rsid w:val="00FA37D5"/>
    <w:rsid w:val="00FA40D3"/>
    <w:rsid w:val="00FA48D4"/>
    <w:rsid w:val="00FA5061"/>
    <w:rsid w:val="00FA59D2"/>
    <w:rsid w:val="00FA621E"/>
    <w:rsid w:val="00FA62AF"/>
    <w:rsid w:val="00FA65B9"/>
    <w:rsid w:val="00FA692E"/>
    <w:rsid w:val="00FA6C83"/>
    <w:rsid w:val="00FA712F"/>
    <w:rsid w:val="00FA75A2"/>
    <w:rsid w:val="00FB0A0D"/>
    <w:rsid w:val="00FB0D4A"/>
    <w:rsid w:val="00FB246A"/>
    <w:rsid w:val="00FB3325"/>
    <w:rsid w:val="00FB4251"/>
    <w:rsid w:val="00FB54B8"/>
    <w:rsid w:val="00FB55CA"/>
    <w:rsid w:val="00FB56FC"/>
    <w:rsid w:val="00FB769C"/>
    <w:rsid w:val="00FC0043"/>
    <w:rsid w:val="00FC00BB"/>
    <w:rsid w:val="00FC0206"/>
    <w:rsid w:val="00FC04FD"/>
    <w:rsid w:val="00FC06D8"/>
    <w:rsid w:val="00FC1295"/>
    <w:rsid w:val="00FC1BD0"/>
    <w:rsid w:val="00FC2101"/>
    <w:rsid w:val="00FC319A"/>
    <w:rsid w:val="00FC3855"/>
    <w:rsid w:val="00FC3C76"/>
    <w:rsid w:val="00FC4506"/>
    <w:rsid w:val="00FC4561"/>
    <w:rsid w:val="00FC5431"/>
    <w:rsid w:val="00FC6299"/>
    <w:rsid w:val="00FC634E"/>
    <w:rsid w:val="00FC6F7F"/>
    <w:rsid w:val="00FC7FB7"/>
    <w:rsid w:val="00FD018A"/>
    <w:rsid w:val="00FD09BA"/>
    <w:rsid w:val="00FD0AA5"/>
    <w:rsid w:val="00FD0C72"/>
    <w:rsid w:val="00FD13C8"/>
    <w:rsid w:val="00FD15A4"/>
    <w:rsid w:val="00FD1726"/>
    <w:rsid w:val="00FD225F"/>
    <w:rsid w:val="00FD234F"/>
    <w:rsid w:val="00FD2374"/>
    <w:rsid w:val="00FD2D20"/>
    <w:rsid w:val="00FD3897"/>
    <w:rsid w:val="00FD3DBA"/>
    <w:rsid w:val="00FD41E5"/>
    <w:rsid w:val="00FD4499"/>
    <w:rsid w:val="00FD4B24"/>
    <w:rsid w:val="00FD53F1"/>
    <w:rsid w:val="00FD594C"/>
    <w:rsid w:val="00FD59B1"/>
    <w:rsid w:val="00FD6477"/>
    <w:rsid w:val="00FD67F6"/>
    <w:rsid w:val="00FD6A94"/>
    <w:rsid w:val="00FD7602"/>
    <w:rsid w:val="00FE029C"/>
    <w:rsid w:val="00FE05F8"/>
    <w:rsid w:val="00FE085F"/>
    <w:rsid w:val="00FE1101"/>
    <w:rsid w:val="00FE2052"/>
    <w:rsid w:val="00FE244C"/>
    <w:rsid w:val="00FE257A"/>
    <w:rsid w:val="00FE2E18"/>
    <w:rsid w:val="00FE2F73"/>
    <w:rsid w:val="00FE3679"/>
    <w:rsid w:val="00FE3DA2"/>
    <w:rsid w:val="00FE43C5"/>
    <w:rsid w:val="00FE4CD0"/>
    <w:rsid w:val="00FE4CEF"/>
    <w:rsid w:val="00FE4D68"/>
    <w:rsid w:val="00FE58F1"/>
    <w:rsid w:val="00FE5B28"/>
    <w:rsid w:val="00FE6A7C"/>
    <w:rsid w:val="00FE6DB7"/>
    <w:rsid w:val="00FE78DC"/>
    <w:rsid w:val="00FF034B"/>
    <w:rsid w:val="00FF0366"/>
    <w:rsid w:val="00FF03B8"/>
    <w:rsid w:val="00FF07FB"/>
    <w:rsid w:val="00FF0B0F"/>
    <w:rsid w:val="00FF0D5B"/>
    <w:rsid w:val="00FF1F1B"/>
    <w:rsid w:val="00FF211F"/>
    <w:rsid w:val="00FF2599"/>
    <w:rsid w:val="00FF2949"/>
    <w:rsid w:val="00FF2AD4"/>
    <w:rsid w:val="00FF38D6"/>
    <w:rsid w:val="00FF3C9A"/>
    <w:rsid w:val="00FF3D1E"/>
    <w:rsid w:val="00FF3ED9"/>
    <w:rsid w:val="00FF4886"/>
    <w:rsid w:val="00FF53BE"/>
    <w:rsid w:val="00FF5CFE"/>
    <w:rsid w:val="00FF76D9"/>
    <w:rsid w:val="00FF799F"/>
    <w:rsid w:val="00FF7A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A0DC5"/>
  <w15:chartTrackingRefBased/>
  <w15:docId w15:val="{557CFE42-E0A3-C64F-8993-ABD32892D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A0B"/>
    <w:rPr>
      <w:rFonts w:ascii="Times New Roman" w:eastAsia="Times New Roman" w:hAnsi="Times New Roman" w:cs="Times New Roman"/>
    </w:rPr>
  </w:style>
  <w:style w:type="paragraph" w:styleId="Heading1">
    <w:name w:val="heading 1"/>
    <w:basedOn w:val="Normal"/>
    <w:next w:val="Normal"/>
    <w:link w:val="Heading1Char"/>
    <w:uiPriority w:val="9"/>
    <w:qFormat/>
    <w:rsid w:val="00EE00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E005A"/>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EE005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0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005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EE005A"/>
    <w:rPr>
      <w:rFonts w:asciiTheme="majorHAnsi" w:eastAsiaTheme="majorEastAsia" w:hAnsiTheme="majorHAnsi" w:cstheme="majorBidi"/>
      <w:color w:val="1F3763" w:themeColor="accent1" w:themeShade="7F"/>
    </w:rPr>
  </w:style>
  <w:style w:type="character" w:customStyle="1" w:styleId="textline">
    <w:name w:val="text_line"/>
    <w:basedOn w:val="DefaultParagraphFont"/>
    <w:rsid w:val="00EE005A"/>
  </w:style>
  <w:style w:type="character" w:customStyle="1" w:styleId="apple-converted-space">
    <w:name w:val="apple-converted-space"/>
    <w:basedOn w:val="DefaultParagraphFont"/>
    <w:rsid w:val="00EE005A"/>
  </w:style>
  <w:style w:type="paragraph" w:styleId="NormalWeb">
    <w:name w:val="Normal (Web)"/>
    <w:basedOn w:val="Normal"/>
    <w:uiPriority w:val="99"/>
    <w:unhideWhenUsed/>
    <w:rsid w:val="00EE005A"/>
    <w:pPr>
      <w:spacing w:before="100" w:beforeAutospacing="1" w:after="100" w:afterAutospacing="1"/>
    </w:pPr>
  </w:style>
  <w:style w:type="paragraph" w:styleId="FootnoteText">
    <w:name w:val="footnote text"/>
    <w:basedOn w:val="Normal"/>
    <w:link w:val="FootnoteTextChar"/>
    <w:uiPriority w:val="99"/>
    <w:unhideWhenUsed/>
    <w:rsid w:val="00EE005A"/>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EE005A"/>
    <w:rPr>
      <w:sz w:val="20"/>
      <w:szCs w:val="20"/>
    </w:rPr>
  </w:style>
  <w:style w:type="character" w:styleId="FootnoteReference">
    <w:name w:val="footnote reference"/>
    <w:basedOn w:val="DefaultParagraphFont"/>
    <w:uiPriority w:val="99"/>
    <w:semiHidden/>
    <w:unhideWhenUsed/>
    <w:rsid w:val="00EE005A"/>
    <w:rPr>
      <w:vertAlign w:val="superscript"/>
    </w:rPr>
  </w:style>
  <w:style w:type="character" w:styleId="Hyperlink">
    <w:name w:val="Hyperlink"/>
    <w:basedOn w:val="DefaultParagraphFont"/>
    <w:uiPriority w:val="99"/>
    <w:unhideWhenUsed/>
    <w:rsid w:val="00EE005A"/>
    <w:rPr>
      <w:color w:val="0563C1" w:themeColor="hyperlink"/>
      <w:u w:val="single"/>
    </w:rPr>
  </w:style>
  <w:style w:type="paragraph" w:styleId="ListParagraph">
    <w:name w:val="List Paragraph"/>
    <w:basedOn w:val="Normal"/>
    <w:uiPriority w:val="34"/>
    <w:qFormat/>
    <w:rsid w:val="00EE005A"/>
    <w:pPr>
      <w:ind w:left="720"/>
      <w:contextualSpacing/>
    </w:pPr>
    <w:rPr>
      <w:rFonts w:asciiTheme="minorHAnsi" w:eastAsiaTheme="minorEastAsia" w:hAnsiTheme="minorHAnsi" w:cstheme="minorBidi"/>
    </w:rPr>
  </w:style>
  <w:style w:type="character" w:styleId="UnresolvedMention">
    <w:name w:val="Unresolved Mention"/>
    <w:basedOn w:val="DefaultParagraphFont"/>
    <w:uiPriority w:val="99"/>
    <w:semiHidden/>
    <w:unhideWhenUsed/>
    <w:rsid w:val="00EE005A"/>
    <w:rPr>
      <w:color w:val="605E5C"/>
      <w:shd w:val="clear" w:color="auto" w:fill="E1DFDD"/>
    </w:rPr>
  </w:style>
  <w:style w:type="character" w:styleId="Emphasis">
    <w:name w:val="Emphasis"/>
    <w:basedOn w:val="DefaultParagraphFont"/>
    <w:uiPriority w:val="20"/>
    <w:qFormat/>
    <w:rsid w:val="00EE005A"/>
    <w:rPr>
      <w:i/>
      <w:iCs/>
    </w:rPr>
  </w:style>
  <w:style w:type="character" w:styleId="FollowedHyperlink">
    <w:name w:val="FollowedHyperlink"/>
    <w:basedOn w:val="DefaultParagraphFont"/>
    <w:uiPriority w:val="99"/>
    <w:semiHidden/>
    <w:unhideWhenUsed/>
    <w:rsid w:val="00EE005A"/>
    <w:rPr>
      <w:color w:val="954F72" w:themeColor="followedHyperlink"/>
      <w:u w:val="single"/>
    </w:rPr>
  </w:style>
  <w:style w:type="character" w:customStyle="1" w:styleId="m-tooltipcontainer">
    <w:name w:val="m-tooltip__container"/>
    <w:basedOn w:val="DefaultParagraphFont"/>
    <w:rsid w:val="00EE005A"/>
  </w:style>
  <w:style w:type="character" w:customStyle="1" w:styleId="glossaryitem">
    <w:name w:val="glossary_item"/>
    <w:basedOn w:val="DefaultParagraphFont"/>
    <w:rsid w:val="00EE005A"/>
  </w:style>
  <w:style w:type="character" w:styleId="Strong">
    <w:name w:val="Strong"/>
    <w:basedOn w:val="DefaultParagraphFont"/>
    <w:uiPriority w:val="22"/>
    <w:qFormat/>
    <w:rsid w:val="00EE005A"/>
    <w:rPr>
      <w:b/>
      <w:bCs/>
    </w:rPr>
  </w:style>
  <w:style w:type="character" w:customStyle="1" w:styleId="contributors">
    <w:name w:val="contributors"/>
    <w:basedOn w:val="DefaultParagraphFont"/>
    <w:rsid w:val="00EE005A"/>
  </w:style>
  <w:style w:type="character" w:customStyle="1" w:styleId="maintitle">
    <w:name w:val="maintitle"/>
    <w:basedOn w:val="DefaultParagraphFont"/>
    <w:rsid w:val="00EE005A"/>
  </w:style>
  <w:style w:type="character" w:customStyle="1" w:styleId="publisher-location">
    <w:name w:val="publisher-location"/>
    <w:basedOn w:val="DefaultParagraphFont"/>
    <w:rsid w:val="00EE005A"/>
  </w:style>
  <w:style w:type="character" w:customStyle="1" w:styleId="print-publication-date">
    <w:name w:val="print-publication-date"/>
    <w:basedOn w:val="DefaultParagraphFont"/>
    <w:rsid w:val="00EE005A"/>
  </w:style>
  <w:style w:type="character" w:customStyle="1" w:styleId="online-edition">
    <w:name w:val="online-edition"/>
    <w:basedOn w:val="DefaultParagraphFont"/>
    <w:rsid w:val="00EE005A"/>
  </w:style>
  <w:style w:type="character" w:customStyle="1" w:styleId="containing-site">
    <w:name w:val="containing-site"/>
    <w:basedOn w:val="DefaultParagraphFont"/>
    <w:rsid w:val="00EE005A"/>
  </w:style>
  <w:style w:type="character" w:customStyle="1" w:styleId="online-publication-date">
    <w:name w:val="online-publication-date"/>
    <w:basedOn w:val="DefaultParagraphFont"/>
    <w:rsid w:val="00EE005A"/>
  </w:style>
  <w:style w:type="character" w:customStyle="1" w:styleId="accessed-date">
    <w:name w:val="accessed-date"/>
    <w:basedOn w:val="DefaultParagraphFont"/>
    <w:rsid w:val="00EE005A"/>
  </w:style>
  <w:style w:type="character" w:customStyle="1" w:styleId="cite-bracket">
    <w:name w:val="cite-bracket"/>
    <w:basedOn w:val="DefaultParagraphFont"/>
    <w:rsid w:val="00EE005A"/>
  </w:style>
  <w:style w:type="character" w:customStyle="1" w:styleId="cs1-format">
    <w:name w:val="cs1-format"/>
    <w:basedOn w:val="DefaultParagraphFont"/>
    <w:rsid w:val="00EE005A"/>
  </w:style>
  <w:style w:type="character" w:customStyle="1" w:styleId="element-citation">
    <w:name w:val="element-citation"/>
    <w:basedOn w:val="DefaultParagraphFont"/>
    <w:rsid w:val="00EE005A"/>
  </w:style>
  <w:style w:type="character" w:customStyle="1" w:styleId="ref-journal">
    <w:name w:val="ref-journal"/>
    <w:basedOn w:val="DefaultParagraphFont"/>
    <w:rsid w:val="00EE005A"/>
  </w:style>
  <w:style w:type="character" w:customStyle="1" w:styleId="nowrap">
    <w:name w:val="nowrap"/>
    <w:basedOn w:val="DefaultParagraphFont"/>
    <w:rsid w:val="00EE005A"/>
  </w:style>
  <w:style w:type="paragraph" w:customStyle="1" w:styleId="indent">
    <w:name w:val="indent"/>
    <w:basedOn w:val="Normal"/>
    <w:rsid w:val="00EE005A"/>
    <w:pPr>
      <w:spacing w:before="100" w:beforeAutospacing="1" w:after="100" w:afterAutospacing="1"/>
    </w:pPr>
  </w:style>
  <w:style w:type="character" w:customStyle="1" w:styleId="script-hebrew">
    <w:name w:val="script-hebrew"/>
    <w:basedOn w:val="DefaultParagraphFont"/>
    <w:rsid w:val="00EE005A"/>
  </w:style>
  <w:style w:type="character" w:customStyle="1" w:styleId="easy-footnote">
    <w:name w:val="easy-footnote"/>
    <w:basedOn w:val="DefaultParagraphFont"/>
    <w:rsid w:val="00EE005A"/>
  </w:style>
  <w:style w:type="paragraph" w:styleId="Header">
    <w:name w:val="header"/>
    <w:basedOn w:val="Normal"/>
    <w:link w:val="HeaderChar"/>
    <w:uiPriority w:val="99"/>
    <w:unhideWhenUsed/>
    <w:rsid w:val="00EE005A"/>
    <w:pPr>
      <w:tabs>
        <w:tab w:val="center" w:pos="4680"/>
        <w:tab w:val="right" w:pos="9360"/>
      </w:tabs>
    </w:pPr>
  </w:style>
  <w:style w:type="character" w:customStyle="1" w:styleId="HeaderChar">
    <w:name w:val="Header Char"/>
    <w:basedOn w:val="DefaultParagraphFont"/>
    <w:link w:val="Header"/>
    <w:uiPriority w:val="99"/>
    <w:rsid w:val="00EE005A"/>
    <w:rPr>
      <w:rFonts w:ascii="Times New Roman" w:eastAsia="Times New Roman" w:hAnsi="Times New Roman" w:cs="Times New Roman"/>
    </w:rPr>
  </w:style>
  <w:style w:type="character" w:styleId="PageNumber">
    <w:name w:val="page number"/>
    <w:basedOn w:val="DefaultParagraphFont"/>
    <w:uiPriority w:val="99"/>
    <w:semiHidden/>
    <w:unhideWhenUsed/>
    <w:rsid w:val="00EE005A"/>
  </w:style>
  <w:style w:type="paragraph" w:styleId="Footer">
    <w:name w:val="footer"/>
    <w:basedOn w:val="Normal"/>
    <w:link w:val="FooterChar"/>
    <w:uiPriority w:val="99"/>
    <w:unhideWhenUsed/>
    <w:rsid w:val="00EE005A"/>
    <w:pPr>
      <w:tabs>
        <w:tab w:val="center" w:pos="4680"/>
        <w:tab w:val="right" w:pos="9360"/>
      </w:tabs>
    </w:pPr>
  </w:style>
  <w:style w:type="character" w:customStyle="1" w:styleId="FooterChar">
    <w:name w:val="Footer Char"/>
    <w:basedOn w:val="DefaultParagraphFont"/>
    <w:link w:val="Footer"/>
    <w:uiPriority w:val="99"/>
    <w:rsid w:val="00EE005A"/>
    <w:rPr>
      <w:rFonts w:ascii="Times New Roman" w:eastAsia="Times New Roman" w:hAnsi="Times New Roman" w:cs="Times New Roman"/>
    </w:rPr>
  </w:style>
  <w:style w:type="paragraph" w:styleId="NoSpacing">
    <w:name w:val="No Spacing"/>
    <w:uiPriority w:val="1"/>
    <w:qFormat/>
    <w:rsid w:val="00EE005A"/>
    <w:rPr>
      <w:sz w:val="22"/>
      <w:szCs w:val="22"/>
      <w:lang w:val="en-US"/>
    </w:rPr>
  </w:style>
  <w:style w:type="character" w:styleId="HTMLCite">
    <w:name w:val="HTML Cite"/>
    <w:basedOn w:val="DefaultParagraphFont"/>
    <w:uiPriority w:val="99"/>
    <w:semiHidden/>
    <w:unhideWhenUsed/>
    <w:rsid w:val="00EE005A"/>
    <w:rPr>
      <w:i/>
      <w:iCs/>
    </w:rPr>
  </w:style>
  <w:style w:type="character" w:customStyle="1" w:styleId="highlight">
    <w:name w:val="highlight"/>
    <w:basedOn w:val="DefaultParagraphFont"/>
    <w:rsid w:val="00595D51"/>
  </w:style>
  <w:style w:type="paragraph" w:customStyle="1" w:styleId="react-xocs-list-item">
    <w:name w:val="react-xocs-list-item"/>
    <w:basedOn w:val="Normal"/>
    <w:rsid w:val="000A005E"/>
    <w:pPr>
      <w:spacing w:before="100" w:beforeAutospacing="1" w:after="100" w:afterAutospacing="1"/>
    </w:pPr>
  </w:style>
  <w:style w:type="character" w:customStyle="1" w:styleId="list-label">
    <w:name w:val="list-label"/>
    <w:basedOn w:val="DefaultParagraphFont"/>
    <w:rsid w:val="000A005E"/>
  </w:style>
  <w:style w:type="character" w:customStyle="1" w:styleId="author">
    <w:name w:val="author"/>
    <w:basedOn w:val="DefaultParagraphFont"/>
    <w:rsid w:val="0045403B"/>
  </w:style>
  <w:style w:type="character" w:customStyle="1" w:styleId="a-color-secondary">
    <w:name w:val="a-color-secondary"/>
    <w:basedOn w:val="DefaultParagraphFont"/>
    <w:rsid w:val="0045403B"/>
  </w:style>
  <w:style w:type="paragraph" w:styleId="Revision">
    <w:name w:val="Revision"/>
    <w:hidden/>
    <w:uiPriority w:val="99"/>
    <w:semiHidden/>
    <w:rsid w:val="00615C6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58915">
      <w:bodyDiv w:val="1"/>
      <w:marLeft w:val="0"/>
      <w:marRight w:val="0"/>
      <w:marTop w:val="0"/>
      <w:marBottom w:val="0"/>
      <w:divBdr>
        <w:top w:val="none" w:sz="0" w:space="0" w:color="auto"/>
        <w:left w:val="none" w:sz="0" w:space="0" w:color="auto"/>
        <w:bottom w:val="none" w:sz="0" w:space="0" w:color="auto"/>
        <w:right w:val="none" w:sz="0" w:space="0" w:color="auto"/>
      </w:divBdr>
      <w:divsChild>
        <w:div w:id="1748529150">
          <w:marLeft w:val="0"/>
          <w:marRight w:val="0"/>
          <w:marTop w:val="0"/>
          <w:marBottom w:val="0"/>
          <w:divBdr>
            <w:top w:val="none" w:sz="0" w:space="0" w:color="auto"/>
            <w:left w:val="none" w:sz="0" w:space="0" w:color="auto"/>
            <w:bottom w:val="none" w:sz="0" w:space="0" w:color="auto"/>
            <w:right w:val="none" w:sz="0" w:space="0" w:color="auto"/>
          </w:divBdr>
          <w:divsChild>
            <w:div w:id="565840075">
              <w:marLeft w:val="0"/>
              <w:marRight w:val="0"/>
              <w:marTop w:val="0"/>
              <w:marBottom w:val="0"/>
              <w:divBdr>
                <w:top w:val="none" w:sz="0" w:space="0" w:color="auto"/>
                <w:left w:val="none" w:sz="0" w:space="0" w:color="auto"/>
                <w:bottom w:val="none" w:sz="0" w:space="0" w:color="auto"/>
                <w:right w:val="none" w:sz="0" w:space="0" w:color="auto"/>
              </w:divBdr>
              <w:divsChild>
                <w:div w:id="45884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24376">
      <w:bodyDiv w:val="1"/>
      <w:marLeft w:val="0"/>
      <w:marRight w:val="0"/>
      <w:marTop w:val="0"/>
      <w:marBottom w:val="0"/>
      <w:divBdr>
        <w:top w:val="none" w:sz="0" w:space="0" w:color="auto"/>
        <w:left w:val="none" w:sz="0" w:space="0" w:color="auto"/>
        <w:bottom w:val="none" w:sz="0" w:space="0" w:color="auto"/>
        <w:right w:val="none" w:sz="0" w:space="0" w:color="auto"/>
      </w:divBdr>
      <w:divsChild>
        <w:div w:id="737022107">
          <w:marLeft w:val="0"/>
          <w:marRight w:val="0"/>
          <w:marTop w:val="0"/>
          <w:marBottom w:val="0"/>
          <w:divBdr>
            <w:top w:val="none" w:sz="0" w:space="0" w:color="auto"/>
            <w:left w:val="none" w:sz="0" w:space="0" w:color="auto"/>
            <w:bottom w:val="none" w:sz="0" w:space="0" w:color="auto"/>
            <w:right w:val="none" w:sz="0" w:space="0" w:color="auto"/>
          </w:divBdr>
          <w:divsChild>
            <w:div w:id="12531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8577">
      <w:bodyDiv w:val="1"/>
      <w:marLeft w:val="0"/>
      <w:marRight w:val="0"/>
      <w:marTop w:val="0"/>
      <w:marBottom w:val="0"/>
      <w:divBdr>
        <w:top w:val="none" w:sz="0" w:space="0" w:color="auto"/>
        <w:left w:val="none" w:sz="0" w:space="0" w:color="auto"/>
        <w:bottom w:val="none" w:sz="0" w:space="0" w:color="auto"/>
        <w:right w:val="none" w:sz="0" w:space="0" w:color="auto"/>
      </w:divBdr>
      <w:divsChild>
        <w:div w:id="147479635">
          <w:marLeft w:val="0"/>
          <w:marRight w:val="0"/>
          <w:marTop w:val="0"/>
          <w:marBottom w:val="0"/>
          <w:divBdr>
            <w:top w:val="none" w:sz="0" w:space="0" w:color="auto"/>
            <w:left w:val="none" w:sz="0" w:space="0" w:color="auto"/>
            <w:bottom w:val="none" w:sz="0" w:space="0" w:color="auto"/>
            <w:right w:val="none" w:sz="0" w:space="0" w:color="auto"/>
          </w:divBdr>
          <w:divsChild>
            <w:div w:id="25756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6281">
      <w:bodyDiv w:val="1"/>
      <w:marLeft w:val="0"/>
      <w:marRight w:val="0"/>
      <w:marTop w:val="0"/>
      <w:marBottom w:val="0"/>
      <w:divBdr>
        <w:top w:val="none" w:sz="0" w:space="0" w:color="auto"/>
        <w:left w:val="none" w:sz="0" w:space="0" w:color="auto"/>
        <w:bottom w:val="none" w:sz="0" w:space="0" w:color="auto"/>
        <w:right w:val="none" w:sz="0" w:space="0" w:color="auto"/>
      </w:divBdr>
      <w:divsChild>
        <w:div w:id="865825623">
          <w:marLeft w:val="0"/>
          <w:marRight w:val="0"/>
          <w:marTop w:val="0"/>
          <w:marBottom w:val="0"/>
          <w:divBdr>
            <w:top w:val="none" w:sz="0" w:space="0" w:color="auto"/>
            <w:left w:val="none" w:sz="0" w:space="0" w:color="auto"/>
            <w:bottom w:val="none" w:sz="0" w:space="0" w:color="auto"/>
            <w:right w:val="none" w:sz="0" w:space="0" w:color="auto"/>
          </w:divBdr>
          <w:divsChild>
            <w:div w:id="46536000">
              <w:marLeft w:val="0"/>
              <w:marRight w:val="0"/>
              <w:marTop w:val="0"/>
              <w:marBottom w:val="0"/>
              <w:divBdr>
                <w:top w:val="none" w:sz="0" w:space="0" w:color="auto"/>
                <w:left w:val="none" w:sz="0" w:space="0" w:color="auto"/>
                <w:bottom w:val="none" w:sz="0" w:space="0" w:color="auto"/>
                <w:right w:val="none" w:sz="0" w:space="0" w:color="auto"/>
              </w:divBdr>
              <w:divsChild>
                <w:div w:id="15742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967985">
      <w:bodyDiv w:val="1"/>
      <w:marLeft w:val="0"/>
      <w:marRight w:val="0"/>
      <w:marTop w:val="0"/>
      <w:marBottom w:val="0"/>
      <w:divBdr>
        <w:top w:val="none" w:sz="0" w:space="0" w:color="auto"/>
        <w:left w:val="none" w:sz="0" w:space="0" w:color="auto"/>
        <w:bottom w:val="none" w:sz="0" w:space="0" w:color="auto"/>
        <w:right w:val="none" w:sz="0" w:space="0" w:color="auto"/>
      </w:divBdr>
      <w:divsChild>
        <w:div w:id="1317535754">
          <w:marLeft w:val="0"/>
          <w:marRight w:val="0"/>
          <w:marTop w:val="0"/>
          <w:marBottom w:val="0"/>
          <w:divBdr>
            <w:top w:val="none" w:sz="0" w:space="0" w:color="auto"/>
            <w:left w:val="none" w:sz="0" w:space="0" w:color="auto"/>
            <w:bottom w:val="none" w:sz="0" w:space="0" w:color="auto"/>
            <w:right w:val="none" w:sz="0" w:space="0" w:color="auto"/>
          </w:divBdr>
          <w:divsChild>
            <w:div w:id="1869295531">
              <w:marLeft w:val="0"/>
              <w:marRight w:val="0"/>
              <w:marTop w:val="0"/>
              <w:marBottom w:val="0"/>
              <w:divBdr>
                <w:top w:val="none" w:sz="0" w:space="0" w:color="auto"/>
                <w:left w:val="none" w:sz="0" w:space="0" w:color="auto"/>
                <w:bottom w:val="none" w:sz="0" w:space="0" w:color="auto"/>
                <w:right w:val="none" w:sz="0" w:space="0" w:color="auto"/>
              </w:divBdr>
              <w:divsChild>
                <w:div w:id="21384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7133">
      <w:bodyDiv w:val="1"/>
      <w:marLeft w:val="0"/>
      <w:marRight w:val="0"/>
      <w:marTop w:val="0"/>
      <w:marBottom w:val="0"/>
      <w:divBdr>
        <w:top w:val="none" w:sz="0" w:space="0" w:color="auto"/>
        <w:left w:val="none" w:sz="0" w:space="0" w:color="auto"/>
        <w:bottom w:val="none" w:sz="0" w:space="0" w:color="auto"/>
        <w:right w:val="none" w:sz="0" w:space="0" w:color="auto"/>
      </w:divBdr>
      <w:divsChild>
        <w:div w:id="302270272">
          <w:marLeft w:val="0"/>
          <w:marRight w:val="0"/>
          <w:marTop w:val="0"/>
          <w:marBottom w:val="0"/>
          <w:divBdr>
            <w:top w:val="none" w:sz="0" w:space="0" w:color="auto"/>
            <w:left w:val="none" w:sz="0" w:space="0" w:color="auto"/>
            <w:bottom w:val="none" w:sz="0" w:space="0" w:color="auto"/>
            <w:right w:val="none" w:sz="0" w:space="0" w:color="auto"/>
          </w:divBdr>
          <w:divsChild>
            <w:div w:id="16510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89621">
      <w:bodyDiv w:val="1"/>
      <w:marLeft w:val="0"/>
      <w:marRight w:val="0"/>
      <w:marTop w:val="0"/>
      <w:marBottom w:val="0"/>
      <w:divBdr>
        <w:top w:val="none" w:sz="0" w:space="0" w:color="auto"/>
        <w:left w:val="none" w:sz="0" w:space="0" w:color="auto"/>
        <w:bottom w:val="none" w:sz="0" w:space="0" w:color="auto"/>
        <w:right w:val="none" w:sz="0" w:space="0" w:color="auto"/>
      </w:divBdr>
      <w:divsChild>
        <w:div w:id="1804038983">
          <w:marLeft w:val="0"/>
          <w:marRight w:val="0"/>
          <w:marTop w:val="0"/>
          <w:marBottom w:val="0"/>
          <w:divBdr>
            <w:top w:val="none" w:sz="0" w:space="0" w:color="auto"/>
            <w:left w:val="none" w:sz="0" w:space="0" w:color="auto"/>
            <w:bottom w:val="none" w:sz="0" w:space="0" w:color="auto"/>
            <w:right w:val="none" w:sz="0" w:space="0" w:color="auto"/>
          </w:divBdr>
          <w:divsChild>
            <w:div w:id="831412009">
              <w:marLeft w:val="0"/>
              <w:marRight w:val="0"/>
              <w:marTop w:val="0"/>
              <w:marBottom w:val="0"/>
              <w:divBdr>
                <w:top w:val="none" w:sz="0" w:space="0" w:color="auto"/>
                <w:left w:val="none" w:sz="0" w:space="0" w:color="auto"/>
                <w:bottom w:val="none" w:sz="0" w:space="0" w:color="auto"/>
                <w:right w:val="none" w:sz="0" w:space="0" w:color="auto"/>
              </w:divBdr>
              <w:divsChild>
                <w:div w:id="102224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684084">
      <w:bodyDiv w:val="1"/>
      <w:marLeft w:val="0"/>
      <w:marRight w:val="0"/>
      <w:marTop w:val="0"/>
      <w:marBottom w:val="0"/>
      <w:divBdr>
        <w:top w:val="none" w:sz="0" w:space="0" w:color="auto"/>
        <w:left w:val="none" w:sz="0" w:space="0" w:color="auto"/>
        <w:bottom w:val="none" w:sz="0" w:space="0" w:color="auto"/>
        <w:right w:val="none" w:sz="0" w:space="0" w:color="auto"/>
      </w:divBdr>
      <w:divsChild>
        <w:div w:id="2017413726">
          <w:marLeft w:val="0"/>
          <w:marRight w:val="0"/>
          <w:marTop w:val="0"/>
          <w:marBottom w:val="0"/>
          <w:divBdr>
            <w:top w:val="none" w:sz="0" w:space="0" w:color="auto"/>
            <w:left w:val="none" w:sz="0" w:space="0" w:color="auto"/>
            <w:bottom w:val="none" w:sz="0" w:space="0" w:color="auto"/>
            <w:right w:val="none" w:sz="0" w:space="0" w:color="auto"/>
          </w:divBdr>
          <w:divsChild>
            <w:div w:id="2095783361">
              <w:marLeft w:val="0"/>
              <w:marRight w:val="0"/>
              <w:marTop w:val="0"/>
              <w:marBottom w:val="0"/>
              <w:divBdr>
                <w:top w:val="none" w:sz="0" w:space="0" w:color="auto"/>
                <w:left w:val="none" w:sz="0" w:space="0" w:color="auto"/>
                <w:bottom w:val="none" w:sz="0" w:space="0" w:color="auto"/>
                <w:right w:val="none" w:sz="0" w:space="0" w:color="auto"/>
              </w:divBdr>
              <w:divsChild>
                <w:div w:id="106418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768057">
      <w:bodyDiv w:val="1"/>
      <w:marLeft w:val="0"/>
      <w:marRight w:val="0"/>
      <w:marTop w:val="0"/>
      <w:marBottom w:val="0"/>
      <w:divBdr>
        <w:top w:val="none" w:sz="0" w:space="0" w:color="auto"/>
        <w:left w:val="none" w:sz="0" w:space="0" w:color="auto"/>
        <w:bottom w:val="none" w:sz="0" w:space="0" w:color="auto"/>
        <w:right w:val="none" w:sz="0" w:space="0" w:color="auto"/>
      </w:divBdr>
      <w:divsChild>
        <w:div w:id="158429951">
          <w:marLeft w:val="0"/>
          <w:marRight w:val="0"/>
          <w:marTop w:val="0"/>
          <w:marBottom w:val="0"/>
          <w:divBdr>
            <w:top w:val="none" w:sz="0" w:space="0" w:color="auto"/>
            <w:left w:val="none" w:sz="0" w:space="0" w:color="auto"/>
            <w:bottom w:val="none" w:sz="0" w:space="0" w:color="auto"/>
            <w:right w:val="none" w:sz="0" w:space="0" w:color="auto"/>
          </w:divBdr>
          <w:divsChild>
            <w:div w:id="842359943">
              <w:marLeft w:val="0"/>
              <w:marRight w:val="0"/>
              <w:marTop w:val="0"/>
              <w:marBottom w:val="0"/>
              <w:divBdr>
                <w:top w:val="none" w:sz="0" w:space="0" w:color="auto"/>
                <w:left w:val="none" w:sz="0" w:space="0" w:color="auto"/>
                <w:bottom w:val="none" w:sz="0" w:space="0" w:color="auto"/>
                <w:right w:val="none" w:sz="0" w:space="0" w:color="auto"/>
              </w:divBdr>
              <w:divsChild>
                <w:div w:id="328169465">
                  <w:marLeft w:val="0"/>
                  <w:marRight w:val="0"/>
                  <w:marTop w:val="0"/>
                  <w:marBottom w:val="0"/>
                  <w:divBdr>
                    <w:top w:val="none" w:sz="0" w:space="0" w:color="auto"/>
                    <w:left w:val="none" w:sz="0" w:space="0" w:color="auto"/>
                    <w:bottom w:val="none" w:sz="0" w:space="0" w:color="auto"/>
                    <w:right w:val="none" w:sz="0" w:space="0" w:color="auto"/>
                  </w:divBdr>
                </w:div>
              </w:divsChild>
            </w:div>
            <w:div w:id="1330986619">
              <w:marLeft w:val="0"/>
              <w:marRight w:val="0"/>
              <w:marTop w:val="0"/>
              <w:marBottom w:val="0"/>
              <w:divBdr>
                <w:top w:val="none" w:sz="0" w:space="0" w:color="auto"/>
                <w:left w:val="none" w:sz="0" w:space="0" w:color="auto"/>
                <w:bottom w:val="none" w:sz="0" w:space="0" w:color="auto"/>
                <w:right w:val="none" w:sz="0" w:space="0" w:color="auto"/>
              </w:divBdr>
              <w:divsChild>
                <w:div w:id="8204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11128">
          <w:marLeft w:val="0"/>
          <w:marRight w:val="0"/>
          <w:marTop w:val="0"/>
          <w:marBottom w:val="0"/>
          <w:divBdr>
            <w:top w:val="none" w:sz="0" w:space="0" w:color="auto"/>
            <w:left w:val="none" w:sz="0" w:space="0" w:color="auto"/>
            <w:bottom w:val="none" w:sz="0" w:space="0" w:color="auto"/>
            <w:right w:val="none" w:sz="0" w:space="0" w:color="auto"/>
          </w:divBdr>
          <w:divsChild>
            <w:div w:id="1957254541">
              <w:marLeft w:val="0"/>
              <w:marRight w:val="0"/>
              <w:marTop w:val="0"/>
              <w:marBottom w:val="0"/>
              <w:divBdr>
                <w:top w:val="none" w:sz="0" w:space="0" w:color="auto"/>
                <w:left w:val="none" w:sz="0" w:space="0" w:color="auto"/>
                <w:bottom w:val="none" w:sz="0" w:space="0" w:color="auto"/>
                <w:right w:val="none" w:sz="0" w:space="0" w:color="auto"/>
              </w:divBdr>
              <w:divsChild>
                <w:div w:id="1130974870">
                  <w:marLeft w:val="0"/>
                  <w:marRight w:val="0"/>
                  <w:marTop w:val="0"/>
                  <w:marBottom w:val="0"/>
                  <w:divBdr>
                    <w:top w:val="none" w:sz="0" w:space="0" w:color="auto"/>
                    <w:left w:val="none" w:sz="0" w:space="0" w:color="auto"/>
                    <w:bottom w:val="none" w:sz="0" w:space="0" w:color="auto"/>
                    <w:right w:val="none" w:sz="0" w:space="0" w:color="auto"/>
                  </w:divBdr>
                </w:div>
              </w:divsChild>
            </w:div>
            <w:div w:id="663122274">
              <w:marLeft w:val="0"/>
              <w:marRight w:val="0"/>
              <w:marTop w:val="0"/>
              <w:marBottom w:val="0"/>
              <w:divBdr>
                <w:top w:val="none" w:sz="0" w:space="0" w:color="auto"/>
                <w:left w:val="none" w:sz="0" w:space="0" w:color="auto"/>
                <w:bottom w:val="none" w:sz="0" w:space="0" w:color="auto"/>
                <w:right w:val="none" w:sz="0" w:space="0" w:color="auto"/>
              </w:divBdr>
              <w:divsChild>
                <w:div w:id="64921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961180">
          <w:marLeft w:val="0"/>
          <w:marRight w:val="0"/>
          <w:marTop w:val="0"/>
          <w:marBottom w:val="0"/>
          <w:divBdr>
            <w:top w:val="none" w:sz="0" w:space="0" w:color="auto"/>
            <w:left w:val="none" w:sz="0" w:space="0" w:color="auto"/>
            <w:bottom w:val="none" w:sz="0" w:space="0" w:color="auto"/>
            <w:right w:val="none" w:sz="0" w:space="0" w:color="auto"/>
          </w:divBdr>
          <w:divsChild>
            <w:div w:id="617881923">
              <w:marLeft w:val="0"/>
              <w:marRight w:val="0"/>
              <w:marTop w:val="0"/>
              <w:marBottom w:val="0"/>
              <w:divBdr>
                <w:top w:val="none" w:sz="0" w:space="0" w:color="auto"/>
                <w:left w:val="none" w:sz="0" w:space="0" w:color="auto"/>
                <w:bottom w:val="none" w:sz="0" w:space="0" w:color="auto"/>
                <w:right w:val="none" w:sz="0" w:space="0" w:color="auto"/>
              </w:divBdr>
              <w:divsChild>
                <w:div w:id="106406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249060">
      <w:bodyDiv w:val="1"/>
      <w:marLeft w:val="0"/>
      <w:marRight w:val="0"/>
      <w:marTop w:val="0"/>
      <w:marBottom w:val="0"/>
      <w:divBdr>
        <w:top w:val="none" w:sz="0" w:space="0" w:color="auto"/>
        <w:left w:val="none" w:sz="0" w:space="0" w:color="auto"/>
        <w:bottom w:val="none" w:sz="0" w:space="0" w:color="auto"/>
        <w:right w:val="none" w:sz="0" w:space="0" w:color="auto"/>
      </w:divBdr>
    </w:div>
    <w:div w:id="633020197">
      <w:bodyDiv w:val="1"/>
      <w:marLeft w:val="0"/>
      <w:marRight w:val="0"/>
      <w:marTop w:val="0"/>
      <w:marBottom w:val="0"/>
      <w:divBdr>
        <w:top w:val="none" w:sz="0" w:space="0" w:color="auto"/>
        <w:left w:val="none" w:sz="0" w:space="0" w:color="auto"/>
        <w:bottom w:val="none" w:sz="0" w:space="0" w:color="auto"/>
        <w:right w:val="none" w:sz="0" w:space="0" w:color="auto"/>
      </w:divBdr>
      <w:divsChild>
        <w:div w:id="1623341007">
          <w:marLeft w:val="0"/>
          <w:marRight w:val="0"/>
          <w:marTop w:val="0"/>
          <w:marBottom w:val="0"/>
          <w:divBdr>
            <w:top w:val="none" w:sz="0" w:space="0" w:color="auto"/>
            <w:left w:val="none" w:sz="0" w:space="0" w:color="auto"/>
            <w:bottom w:val="none" w:sz="0" w:space="0" w:color="auto"/>
            <w:right w:val="none" w:sz="0" w:space="0" w:color="auto"/>
          </w:divBdr>
          <w:divsChild>
            <w:div w:id="195310932">
              <w:marLeft w:val="0"/>
              <w:marRight w:val="0"/>
              <w:marTop w:val="0"/>
              <w:marBottom w:val="0"/>
              <w:divBdr>
                <w:top w:val="none" w:sz="0" w:space="0" w:color="auto"/>
                <w:left w:val="none" w:sz="0" w:space="0" w:color="auto"/>
                <w:bottom w:val="none" w:sz="0" w:space="0" w:color="auto"/>
                <w:right w:val="none" w:sz="0" w:space="0" w:color="auto"/>
              </w:divBdr>
              <w:divsChild>
                <w:div w:id="1994798965">
                  <w:marLeft w:val="0"/>
                  <w:marRight w:val="0"/>
                  <w:marTop w:val="0"/>
                  <w:marBottom w:val="0"/>
                  <w:divBdr>
                    <w:top w:val="none" w:sz="0" w:space="0" w:color="auto"/>
                    <w:left w:val="none" w:sz="0" w:space="0" w:color="auto"/>
                    <w:bottom w:val="none" w:sz="0" w:space="0" w:color="auto"/>
                    <w:right w:val="none" w:sz="0" w:space="0" w:color="auto"/>
                  </w:divBdr>
                  <w:divsChild>
                    <w:div w:id="21685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448378">
      <w:bodyDiv w:val="1"/>
      <w:marLeft w:val="0"/>
      <w:marRight w:val="0"/>
      <w:marTop w:val="0"/>
      <w:marBottom w:val="0"/>
      <w:divBdr>
        <w:top w:val="none" w:sz="0" w:space="0" w:color="auto"/>
        <w:left w:val="none" w:sz="0" w:space="0" w:color="auto"/>
        <w:bottom w:val="none" w:sz="0" w:space="0" w:color="auto"/>
        <w:right w:val="none" w:sz="0" w:space="0" w:color="auto"/>
      </w:divBdr>
      <w:divsChild>
        <w:div w:id="1801804245">
          <w:marLeft w:val="0"/>
          <w:marRight w:val="0"/>
          <w:marTop w:val="0"/>
          <w:marBottom w:val="240"/>
          <w:divBdr>
            <w:top w:val="none" w:sz="0" w:space="0" w:color="auto"/>
            <w:left w:val="none" w:sz="0" w:space="0" w:color="auto"/>
            <w:bottom w:val="none" w:sz="0" w:space="0" w:color="auto"/>
            <w:right w:val="none" w:sz="0" w:space="0" w:color="auto"/>
          </w:divBdr>
        </w:div>
        <w:div w:id="1739135873">
          <w:marLeft w:val="0"/>
          <w:marRight w:val="0"/>
          <w:marTop w:val="0"/>
          <w:marBottom w:val="240"/>
          <w:divBdr>
            <w:top w:val="none" w:sz="0" w:space="0" w:color="auto"/>
            <w:left w:val="none" w:sz="0" w:space="0" w:color="auto"/>
            <w:bottom w:val="none" w:sz="0" w:space="0" w:color="auto"/>
            <w:right w:val="none" w:sz="0" w:space="0" w:color="auto"/>
          </w:divBdr>
        </w:div>
        <w:div w:id="765613589">
          <w:marLeft w:val="0"/>
          <w:marRight w:val="0"/>
          <w:marTop w:val="0"/>
          <w:marBottom w:val="240"/>
          <w:divBdr>
            <w:top w:val="none" w:sz="0" w:space="0" w:color="auto"/>
            <w:left w:val="none" w:sz="0" w:space="0" w:color="auto"/>
            <w:bottom w:val="none" w:sz="0" w:space="0" w:color="auto"/>
            <w:right w:val="none" w:sz="0" w:space="0" w:color="auto"/>
          </w:divBdr>
        </w:div>
        <w:div w:id="2088768340">
          <w:marLeft w:val="0"/>
          <w:marRight w:val="0"/>
          <w:marTop w:val="0"/>
          <w:marBottom w:val="240"/>
          <w:divBdr>
            <w:top w:val="none" w:sz="0" w:space="0" w:color="auto"/>
            <w:left w:val="none" w:sz="0" w:space="0" w:color="auto"/>
            <w:bottom w:val="none" w:sz="0" w:space="0" w:color="auto"/>
            <w:right w:val="none" w:sz="0" w:space="0" w:color="auto"/>
          </w:divBdr>
        </w:div>
        <w:div w:id="51075976">
          <w:marLeft w:val="0"/>
          <w:marRight w:val="0"/>
          <w:marTop w:val="0"/>
          <w:marBottom w:val="240"/>
          <w:divBdr>
            <w:top w:val="none" w:sz="0" w:space="0" w:color="auto"/>
            <w:left w:val="none" w:sz="0" w:space="0" w:color="auto"/>
            <w:bottom w:val="none" w:sz="0" w:space="0" w:color="auto"/>
            <w:right w:val="none" w:sz="0" w:space="0" w:color="auto"/>
          </w:divBdr>
        </w:div>
      </w:divsChild>
    </w:div>
    <w:div w:id="652031544">
      <w:bodyDiv w:val="1"/>
      <w:marLeft w:val="0"/>
      <w:marRight w:val="0"/>
      <w:marTop w:val="0"/>
      <w:marBottom w:val="0"/>
      <w:divBdr>
        <w:top w:val="none" w:sz="0" w:space="0" w:color="auto"/>
        <w:left w:val="none" w:sz="0" w:space="0" w:color="auto"/>
        <w:bottom w:val="none" w:sz="0" w:space="0" w:color="auto"/>
        <w:right w:val="none" w:sz="0" w:space="0" w:color="auto"/>
      </w:divBdr>
    </w:div>
    <w:div w:id="684669689">
      <w:bodyDiv w:val="1"/>
      <w:marLeft w:val="0"/>
      <w:marRight w:val="0"/>
      <w:marTop w:val="0"/>
      <w:marBottom w:val="0"/>
      <w:divBdr>
        <w:top w:val="none" w:sz="0" w:space="0" w:color="auto"/>
        <w:left w:val="none" w:sz="0" w:space="0" w:color="auto"/>
        <w:bottom w:val="none" w:sz="0" w:space="0" w:color="auto"/>
        <w:right w:val="none" w:sz="0" w:space="0" w:color="auto"/>
      </w:divBdr>
    </w:div>
    <w:div w:id="904602862">
      <w:bodyDiv w:val="1"/>
      <w:marLeft w:val="0"/>
      <w:marRight w:val="0"/>
      <w:marTop w:val="0"/>
      <w:marBottom w:val="0"/>
      <w:divBdr>
        <w:top w:val="none" w:sz="0" w:space="0" w:color="auto"/>
        <w:left w:val="none" w:sz="0" w:space="0" w:color="auto"/>
        <w:bottom w:val="none" w:sz="0" w:space="0" w:color="auto"/>
        <w:right w:val="none" w:sz="0" w:space="0" w:color="auto"/>
      </w:divBdr>
      <w:divsChild>
        <w:div w:id="440879310">
          <w:marLeft w:val="0"/>
          <w:marRight w:val="0"/>
          <w:marTop w:val="0"/>
          <w:marBottom w:val="0"/>
          <w:divBdr>
            <w:top w:val="none" w:sz="0" w:space="0" w:color="auto"/>
            <w:left w:val="none" w:sz="0" w:space="0" w:color="auto"/>
            <w:bottom w:val="none" w:sz="0" w:space="0" w:color="auto"/>
            <w:right w:val="none" w:sz="0" w:space="0" w:color="auto"/>
          </w:divBdr>
          <w:divsChild>
            <w:div w:id="1489639676">
              <w:marLeft w:val="0"/>
              <w:marRight w:val="0"/>
              <w:marTop w:val="0"/>
              <w:marBottom w:val="0"/>
              <w:divBdr>
                <w:top w:val="none" w:sz="0" w:space="0" w:color="auto"/>
                <w:left w:val="none" w:sz="0" w:space="0" w:color="auto"/>
                <w:bottom w:val="none" w:sz="0" w:space="0" w:color="auto"/>
                <w:right w:val="none" w:sz="0" w:space="0" w:color="auto"/>
              </w:divBdr>
              <w:divsChild>
                <w:div w:id="985089675">
                  <w:marLeft w:val="0"/>
                  <w:marRight w:val="0"/>
                  <w:marTop w:val="0"/>
                  <w:marBottom w:val="0"/>
                  <w:divBdr>
                    <w:top w:val="none" w:sz="0" w:space="0" w:color="auto"/>
                    <w:left w:val="none" w:sz="0" w:space="0" w:color="auto"/>
                    <w:bottom w:val="none" w:sz="0" w:space="0" w:color="auto"/>
                    <w:right w:val="none" w:sz="0" w:space="0" w:color="auto"/>
                  </w:divBdr>
                  <w:divsChild>
                    <w:div w:id="31916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97415">
      <w:bodyDiv w:val="1"/>
      <w:marLeft w:val="0"/>
      <w:marRight w:val="0"/>
      <w:marTop w:val="0"/>
      <w:marBottom w:val="0"/>
      <w:divBdr>
        <w:top w:val="none" w:sz="0" w:space="0" w:color="auto"/>
        <w:left w:val="none" w:sz="0" w:space="0" w:color="auto"/>
        <w:bottom w:val="none" w:sz="0" w:space="0" w:color="auto"/>
        <w:right w:val="none" w:sz="0" w:space="0" w:color="auto"/>
      </w:divBdr>
    </w:div>
    <w:div w:id="1061447100">
      <w:bodyDiv w:val="1"/>
      <w:marLeft w:val="0"/>
      <w:marRight w:val="0"/>
      <w:marTop w:val="0"/>
      <w:marBottom w:val="0"/>
      <w:divBdr>
        <w:top w:val="none" w:sz="0" w:space="0" w:color="auto"/>
        <w:left w:val="none" w:sz="0" w:space="0" w:color="auto"/>
        <w:bottom w:val="none" w:sz="0" w:space="0" w:color="auto"/>
        <w:right w:val="none" w:sz="0" w:space="0" w:color="auto"/>
      </w:divBdr>
      <w:divsChild>
        <w:div w:id="1583249955">
          <w:marLeft w:val="0"/>
          <w:marRight w:val="0"/>
          <w:marTop w:val="0"/>
          <w:marBottom w:val="0"/>
          <w:divBdr>
            <w:top w:val="none" w:sz="0" w:space="0" w:color="auto"/>
            <w:left w:val="none" w:sz="0" w:space="0" w:color="auto"/>
            <w:bottom w:val="none" w:sz="0" w:space="0" w:color="auto"/>
            <w:right w:val="none" w:sz="0" w:space="0" w:color="auto"/>
          </w:divBdr>
          <w:divsChild>
            <w:div w:id="4678101">
              <w:marLeft w:val="0"/>
              <w:marRight w:val="0"/>
              <w:marTop w:val="0"/>
              <w:marBottom w:val="0"/>
              <w:divBdr>
                <w:top w:val="none" w:sz="0" w:space="0" w:color="auto"/>
                <w:left w:val="none" w:sz="0" w:space="0" w:color="auto"/>
                <w:bottom w:val="none" w:sz="0" w:space="0" w:color="auto"/>
                <w:right w:val="none" w:sz="0" w:space="0" w:color="auto"/>
              </w:divBdr>
              <w:divsChild>
                <w:div w:id="6691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117861">
      <w:bodyDiv w:val="1"/>
      <w:marLeft w:val="0"/>
      <w:marRight w:val="0"/>
      <w:marTop w:val="0"/>
      <w:marBottom w:val="0"/>
      <w:divBdr>
        <w:top w:val="none" w:sz="0" w:space="0" w:color="auto"/>
        <w:left w:val="none" w:sz="0" w:space="0" w:color="auto"/>
        <w:bottom w:val="none" w:sz="0" w:space="0" w:color="auto"/>
        <w:right w:val="none" w:sz="0" w:space="0" w:color="auto"/>
      </w:divBdr>
    </w:div>
    <w:div w:id="1148088310">
      <w:bodyDiv w:val="1"/>
      <w:marLeft w:val="0"/>
      <w:marRight w:val="0"/>
      <w:marTop w:val="0"/>
      <w:marBottom w:val="0"/>
      <w:divBdr>
        <w:top w:val="none" w:sz="0" w:space="0" w:color="auto"/>
        <w:left w:val="none" w:sz="0" w:space="0" w:color="auto"/>
        <w:bottom w:val="none" w:sz="0" w:space="0" w:color="auto"/>
        <w:right w:val="none" w:sz="0" w:space="0" w:color="auto"/>
      </w:divBdr>
      <w:divsChild>
        <w:div w:id="805972827">
          <w:marLeft w:val="0"/>
          <w:marRight w:val="0"/>
          <w:marTop w:val="0"/>
          <w:marBottom w:val="0"/>
          <w:divBdr>
            <w:top w:val="none" w:sz="0" w:space="0" w:color="auto"/>
            <w:left w:val="none" w:sz="0" w:space="0" w:color="auto"/>
            <w:bottom w:val="none" w:sz="0" w:space="0" w:color="auto"/>
            <w:right w:val="none" w:sz="0" w:space="0" w:color="auto"/>
          </w:divBdr>
          <w:divsChild>
            <w:div w:id="1088618994">
              <w:marLeft w:val="0"/>
              <w:marRight w:val="0"/>
              <w:marTop w:val="0"/>
              <w:marBottom w:val="0"/>
              <w:divBdr>
                <w:top w:val="none" w:sz="0" w:space="0" w:color="auto"/>
                <w:left w:val="none" w:sz="0" w:space="0" w:color="auto"/>
                <w:bottom w:val="none" w:sz="0" w:space="0" w:color="auto"/>
                <w:right w:val="none" w:sz="0" w:space="0" w:color="auto"/>
              </w:divBdr>
              <w:divsChild>
                <w:div w:id="1281452658">
                  <w:marLeft w:val="0"/>
                  <w:marRight w:val="0"/>
                  <w:marTop w:val="0"/>
                  <w:marBottom w:val="0"/>
                  <w:divBdr>
                    <w:top w:val="none" w:sz="0" w:space="0" w:color="auto"/>
                    <w:left w:val="none" w:sz="0" w:space="0" w:color="auto"/>
                    <w:bottom w:val="none" w:sz="0" w:space="0" w:color="auto"/>
                    <w:right w:val="none" w:sz="0" w:space="0" w:color="auto"/>
                  </w:divBdr>
                  <w:divsChild>
                    <w:div w:id="172209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416084">
      <w:bodyDiv w:val="1"/>
      <w:marLeft w:val="0"/>
      <w:marRight w:val="0"/>
      <w:marTop w:val="0"/>
      <w:marBottom w:val="0"/>
      <w:divBdr>
        <w:top w:val="none" w:sz="0" w:space="0" w:color="auto"/>
        <w:left w:val="none" w:sz="0" w:space="0" w:color="auto"/>
        <w:bottom w:val="none" w:sz="0" w:space="0" w:color="auto"/>
        <w:right w:val="none" w:sz="0" w:space="0" w:color="auto"/>
      </w:divBdr>
      <w:divsChild>
        <w:div w:id="423916654">
          <w:marLeft w:val="0"/>
          <w:marRight w:val="0"/>
          <w:marTop w:val="0"/>
          <w:marBottom w:val="0"/>
          <w:divBdr>
            <w:top w:val="none" w:sz="0" w:space="0" w:color="auto"/>
            <w:left w:val="none" w:sz="0" w:space="0" w:color="auto"/>
            <w:bottom w:val="none" w:sz="0" w:space="0" w:color="auto"/>
            <w:right w:val="none" w:sz="0" w:space="0" w:color="auto"/>
          </w:divBdr>
          <w:divsChild>
            <w:div w:id="339892064">
              <w:marLeft w:val="0"/>
              <w:marRight w:val="0"/>
              <w:marTop w:val="0"/>
              <w:marBottom w:val="0"/>
              <w:divBdr>
                <w:top w:val="none" w:sz="0" w:space="0" w:color="auto"/>
                <w:left w:val="none" w:sz="0" w:space="0" w:color="auto"/>
                <w:bottom w:val="none" w:sz="0" w:space="0" w:color="auto"/>
                <w:right w:val="none" w:sz="0" w:space="0" w:color="auto"/>
              </w:divBdr>
              <w:divsChild>
                <w:div w:id="210942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27130">
      <w:bodyDiv w:val="1"/>
      <w:marLeft w:val="0"/>
      <w:marRight w:val="0"/>
      <w:marTop w:val="0"/>
      <w:marBottom w:val="0"/>
      <w:divBdr>
        <w:top w:val="none" w:sz="0" w:space="0" w:color="auto"/>
        <w:left w:val="none" w:sz="0" w:space="0" w:color="auto"/>
        <w:bottom w:val="none" w:sz="0" w:space="0" w:color="auto"/>
        <w:right w:val="none" w:sz="0" w:space="0" w:color="auto"/>
      </w:divBdr>
      <w:divsChild>
        <w:div w:id="1383213447">
          <w:marLeft w:val="0"/>
          <w:marRight w:val="0"/>
          <w:marTop w:val="0"/>
          <w:marBottom w:val="0"/>
          <w:divBdr>
            <w:top w:val="none" w:sz="0" w:space="0" w:color="auto"/>
            <w:left w:val="none" w:sz="0" w:space="0" w:color="auto"/>
            <w:bottom w:val="none" w:sz="0" w:space="0" w:color="auto"/>
            <w:right w:val="none" w:sz="0" w:space="0" w:color="auto"/>
          </w:divBdr>
          <w:divsChild>
            <w:div w:id="1889297147">
              <w:marLeft w:val="0"/>
              <w:marRight w:val="0"/>
              <w:marTop w:val="0"/>
              <w:marBottom w:val="0"/>
              <w:divBdr>
                <w:top w:val="none" w:sz="0" w:space="0" w:color="auto"/>
                <w:left w:val="none" w:sz="0" w:space="0" w:color="auto"/>
                <w:bottom w:val="none" w:sz="0" w:space="0" w:color="auto"/>
                <w:right w:val="none" w:sz="0" w:space="0" w:color="auto"/>
              </w:divBdr>
              <w:divsChild>
                <w:div w:id="1278826695">
                  <w:marLeft w:val="0"/>
                  <w:marRight w:val="0"/>
                  <w:marTop w:val="0"/>
                  <w:marBottom w:val="0"/>
                  <w:divBdr>
                    <w:top w:val="none" w:sz="0" w:space="0" w:color="auto"/>
                    <w:left w:val="none" w:sz="0" w:space="0" w:color="auto"/>
                    <w:bottom w:val="none" w:sz="0" w:space="0" w:color="auto"/>
                    <w:right w:val="none" w:sz="0" w:space="0" w:color="auto"/>
                  </w:divBdr>
                </w:div>
              </w:divsChild>
            </w:div>
            <w:div w:id="1197038010">
              <w:marLeft w:val="0"/>
              <w:marRight w:val="0"/>
              <w:marTop w:val="0"/>
              <w:marBottom w:val="0"/>
              <w:divBdr>
                <w:top w:val="none" w:sz="0" w:space="0" w:color="auto"/>
                <w:left w:val="none" w:sz="0" w:space="0" w:color="auto"/>
                <w:bottom w:val="none" w:sz="0" w:space="0" w:color="auto"/>
                <w:right w:val="none" w:sz="0" w:space="0" w:color="auto"/>
              </w:divBdr>
              <w:divsChild>
                <w:div w:id="1448038734">
                  <w:marLeft w:val="0"/>
                  <w:marRight w:val="0"/>
                  <w:marTop w:val="0"/>
                  <w:marBottom w:val="0"/>
                  <w:divBdr>
                    <w:top w:val="none" w:sz="0" w:space="0" w:color="auto"/>
                    <w:left w:val="none" w:sz="0" w:space="0" w:color="auto"/>
                    <w:bottom w:val="none" w:sz="0" w:space="0" w:color="auto"/>
                    <w:right w:val="none" w:sz="0" w:space="0" w:color="auto"/>
                  </w:divBdr>
                </w:div>
              </w:divsChild>
            </w:div>
            <w:div w:id="214968343">
              <w:marLeft w:val="0"/>
              <w:marRight w:val="0"/>
              <w:marTop w:val="0"/>
              <w:marBottom w:val="0"/>
              <w:divBdr>
                <w:top w:val="none" w:sz="0" w:space="0" w:color="auto"/>
                <w:left w:val="none" w:sz="0" w:space="0" w:color="auto"/>
                <w:bottom w:val="none" w:sz="0" w:space="0" w:color="auto"/>
                <w:right w:val="none" w:sz="0" w:space="0" w:color="auto"/>
              </w:divBdr>
              <w:divsChild>
                <w:div w:id="1323311827">
                  <w:marLeft w:val="0"/>
                  <w:marRight w:val="0"/>
                  <w:marTop w:val="0"/>
                  <w:marBottom w:val="0"/>
                  <w:divBdr>
                    <w:top w:val="none" w:sz="0" w:space="0" w:color="auto"/>
                    <w:left w:val="none" w:sz="0" w:space="0" w:color="auto"/>
                    <w:bottom w:val="none" w:sz="0" w:space="0" w:color="auto"/>
                    <w:right w:val="none" w:sz="0" w:space="0" w:color="auto"/>
                  </w:divBdr>
                </w:div>
              </w:divsChild>
            </w:div>
            <w:div w:id="800928544">
              <w:marLeft w:val="0"/>
              <w:marRight w:val="0"/>
              <w:marTop w:val="0"/>
              <w:marBottom w:val="0"/>
              <w:divBdr>
                <w:top w:val="none" w:sz="0" w:space="0" w:color="auto"/>
                <w:left w:val="none" w:sz="0" w:space="0" w:color="auto"/>
                <w:bottom w:val="none" w:sz="0" w:space="0" w:color="auto"/>
                <w:right w:val="none" w:sz="0" w:space="0" w:color="auto"/>
              </w:divBdr>
              <w:divsChild>
                <w:div w:id="212544439">
                  <w:marLeft w:val="0"/>
                  <w:marRight w:val="0"/>
                  <w:marTop w:val="0"/>
                  <w:marBottom w:val="0"/>
                  <w:divBdr>
                    <w:top w:val="none" w:sz="0" w:space="0" w:color="auto"/>
                    <w:left w:val="none" w:sz="0" w:space="0" w:color="auto"/>
                    <w:bottom w:val="none" w:sz="0" w:space="0" w:color="auto"/>
                    <w:right w:val="none" w:sz="0" w:space="0" w:color="auto"/>
                  </w:divBdr>
                </w:div>
              </w:divsChild>
            </w:div>
            <w:div w:id="1283922574">
              <w:marLeft w:val="0"/>
              <w:marRight w:val="0"/>
              <w:marTop w:val="0"/>
              <w:marBottom w:val="0"/>
              <w:divBdr>
                <w:top w:val="none" w:sz="0" w:space="0" w:color="auto"/>
                <w:left w:val="none" w:sz="0" w:space="0" w:color="auto"/>
                <w:bottom w:val="none" w:sz="0" w:space="0" w:color="auto"/>
                <w:right w:val="none" w:sz="0" w:space="0" w:color="auto"/>
              </w:divBdr>
              <w:divsChild>
                <w:div w:id="146919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830517">
          <w:marLeft w:val="0"/>
          <w:marRight w:val="0"/>
          <w:marTop w:val="0"/>
          <w:marBottom w:val="0"/>
          <w:divBdr>
            <w:top w:val="none" w:sz="0" w:space="0" w:color="auto"/>
            <w:left w:val="none" w:sz="0" w:space="0" w:color="auto"/>
            <w:bottom w:val="none" w:sz="0" w:space="0" w:color="auto"/>
            <w:right w:val="none" w:sz="0" w:space="0" w:color="auto"/>
          </w:divBdr>
          <w:divsChild>
            <w:div w:id="979967477">
              <w:marLeft w:val="0"/>
              <w:marRight w:val="0"/>
              <w:marTop w:val="0"/>
              <w:marBottom w:val="0"/>
              <w:divBdr>
                <w:top w:val="none" w:sz="0" w:space="0" w:color="auto"/>
                <w:left w:val="none" w:sz="0" w:space="0" w:color="auto"/>
                <w:bottom w:val="none" w:sz="0" w:space="0" w:color="auto"/>
                <w:right w:val="none" w:sz="0" w:space="0" w:color="auto"/>
              </w:divBdr>
              <w:divsChild>
                <w:div w:id="1170801479">
                  <w:marLeft w:val="0"/>
                  <w:marRight w:val="0"/>
                  <w:marTop w:val="0"/>
                  <w:marBottom w:val="0"/>
                  <w:divBdr>
                    <w:top w:val="none" w:sz="0" w:space="0" w:color="auto"/>
                    <w:left w:val="none" w:sz="0" w:space="0" w:color="auto"/>
                    <w:bottom w:val="none" w:sz="0" w:space="0" w:color="auto"/>
                    <w:right w:val="none" w:sz="0" w:space="0" w:color="auto"/>
                  </w:divBdr>
                </w:div>
              </w:divsChild>
            </w:div>
            <w:div w:id="701054950">
              <w:marLeft w:val="0"/>
              <w:marRight w:val="0"/>
              <w:marTop w:val="0"/>
              <w:marBottom w:val="0"/>
              <w:divBdr>
                <w:top w:val="none" w:sz="0" w:space="0" w:color="auto"/>
                <w:left w:val="none" w:sz="0" w:space="0" w:color="auto"/>
                <w:bottom w:val="none" w:sz="0" w:space="0" w:color="auto"/>
                <w:right w:val="none" w:sz="0" w:space="0" w:color="auto"/>
              </w:divBdr>
              <w:divsChild>
                <w:div w:id="146593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810615">
          <w:marLeft w:val="0"/>
          <w:marRight w:val="0"/>
          <w:marTop w:val="0"/>
          <w:marBottom w:val="0"/>
          <w:divBdr>
            <w:top w:val="none" w:sz="0" w:space="0" w:color="auto"/>
            <w:left w:val="none" w:sz="0" w:space="0" w:color="auto"/>
            <w:bottom w:val="none" w:sz="0" w:space="0" w:color="auto"/>
            <w:right w:val="none" w:sz="0" w:space="0" w:color="auto"/>
          </w:divBdr>
          <w:divsChild>
            <w:div w:id="1108505546">
              <w:marLeft w:val="0"/>
              <w:marRight w:val="0"/>
              <w:marTop w:val="0"/>
              <w:marBottom w:val="0"/>
              <w:divBdr>
                <w:top w:val="none" w:sz="0" w:space="0" w:color="auto"/>
                <w:left w:val="none" w:sz="0" w:space="0" w:color="auto"/>
                <w:bottom w:val="none" w:sz="0" w:space="0" w:color="auto"/>
                <w:right w:val="none" w:sz="0" w:space="0" w:color="auto"/>
              </w:divBdr>
              <w:divsChild>
                <w:div w:id="12988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852002">
      <w:bodyDiv w:val="1"/>
      <w:marLeft w:val="0"/>
      <w:marRight w:val="0"/>
      <w:marTop w:val="0"/>
      <w:marBottom w:val="0"/>
      <w:divBdr>
        <w:top w:val="none" w:sz="0" w:space="0" w:color="auto"/>
        <w:left w:val="none" w:sz="0" w:space="0" w:color="auto"/>
        <w:bottom w:val="none" w:sz="0" w:space="0" w:color="auto"/>
        <w:right w:val="none" w:sz="0" w:space="0" w:color="auto"/>
      </w:divBdr>
      <w:divsChild>
        <w:div w:id="1306935379">
          <w:marLeft w:val="0"/>
          <w:marRight w:val="0"/>
          <w:marTop w:val="0"/>
          <w:marBottom w:val="0"/>
          <w:divBdr>
            <w:top w:val="none" w:sz="0" w:space="0" w:color="auto"/>
            <w:left w:val="none" w:sz="0" w:space="0" w:color="auto"/>
            <w:bottom w:val="none" w:sz="0" w:space="0" w:color="auto"/>
            <w:right w:val="none" w:sz="0" w:space="0" w:color="auto"/>
          </w:divBdr>
          <w:divsChild>
            <w:div w:id="1232543047">
              <w:marLeft w:val="0"/>
              <w:marRight w:val="0"/>
              <w:marTop w:val="0"/>
              <w:marBottom w:val="0"/>
              <w:divBdr>
                <w:top w:val="none" w:sz="0" w:space="0" w:color="auto"/>
                <w:left w:val="none" w:sz="0" w:space="0" w:color="auto"/>
                <w:bottom w:val="none" w:sz="0" w:space="0" w:color="auto"/>
                <w:right w:val="none" w:sz="0" w:space="0" w:color="auto"/>
              </w:divBdr>
              <w:divsChild>
                <w:div w:id="2459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939228">
      <w:bodyDiv w:val="1"/>
      <w:marLeft w:val="0"/>
      <w:marRight w:val="0"/>
      <w:marTop w:val="0"/>
      <w:marBottom w:val="0"/>
      <w:divBdr>
        <w:top w:val="none" w:sz="0" w:space="0" w:color="auto"/>
        <w:left w:val="none" w:sz="0" w:space="0" w:color="auto"/>
        <w:bottom w:val="none" w:sz="0" w:space="0" w:color="auto"/>
        <w:right w:val="none" w:sz="0" w:space="0" w:color="auto"/>
      </w:divBdr>
      <w:divsChild>
        <w:div w:id="869952939">
          <w:marLeft w:val="0"/>
          <w:marRight w:val="0"/>
          <w:marTop w:val="0"/>
          <w:marBottom w:val="0"/>
          <w:divBdr>
            <w:top w:val="none" w:sz="0" w:space="0" w:color="auto"/>
            <w:left w:val="none" w:sz="0" w:space="0" w:color="auto"/>
            <w:bottom w:val="none" w:sz="0" w:space="0" w:color="auto"/>
            <w:right w:val="none" w:sz="0" w:space="0" w:color="auto"/>
          </w:divBdr>
          <w:divsChild>
            <w:div w:id="1830366089">
              <w:marLeft w:val="0"/>
              <w:marRight w:val="0"/>
              <w:marTop w:val="0"/>
              <w:marBottom w:val="0"/>
              <w:divBdr>
                <w:top w:val="none" w:sz="0" w:space="0" w:color="auto"/>
                <w:left w:val="none" w:sz="0" w:space="0" w:color="auto"/>
                <w:bottom w:val="none" w:sz="0" w:space="0" w:color="auto"/>
                <w:right w:val="none" w:sz="0" w:space="0" w:color="auto"/>
              </w:divBdr>
              <w:divsChild>
                <w:div w:id="829294605">
                  <w:marLeft w:val="0"/>
                  <w:marRight w:val="0"/>
                  <w:marTop w:val="0"/>
                  <w:marBottom w:val="0"/>
                  <w:divBdr>
                    <w:top w:val="none" w:sz="0" w:space="0" w:color="auto"/>
                    <w:left w:val="none" w:sz="0" w:space="0" w:color="auto"/>
                    <w:bottom w:val="none" w:sz="0" w:space="0" w:color="auto"/>
                    <w:right w:val="none" w:sz="0" w:space="0" w:color="auto"/>
                  </w:divBdr>
                  <w:divsChild>
                    <w:div w:id="8336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349984">
      <w:bodyDiv w:val="1"/>
      <w:marLeft w:val="0"/>
      <w:marRight w:val="0"/>
      <w:marTop w:val="0"/>
      <w:marBottom w:val="0"/>
      <w:divBdr>
        <w:top w:val="none" w:sz="0" w:space="0" w:color="auto"/>
        <w:left w:val="none" w:sz="0" w:space="0" w:color="auto"/>
        <w:bottom w:val="none" w:sz="0" w:space="0" w:color="auto"/>
        <w:right w:val="none" w:sz="0" w:space="0" w:color="auto"/>
      </w:divBdr>
      <w:divsChild>
        <w:div w:id="1496460997">
          <w:marLeft w:val="0"/>
          <w:marRight w:val="0"/>
          <w:marTop w:val="0"/>
          <w:marBottom w:val="0"/>
          <w:divBdr>
            <w:top w:val="none" w:sz="0" w:space="0" w:color="auto"/>
            <w:left w:val="none" w:sz="0" w:space="0" w:color="auto"/>
            <w:bottom w:val="none" w:sz="0" w:space="0" w:color="auto"/>
            <w:right w:val="none" w:sz="0" w:space="0" w:color="auto"/>
          </w:divBdr>
          <w:divsChild>
            <w:div w:id="1039204898">
              <w:marLeft w:val="0"/>
              <w:marRight w:val="0"/>
              <w:marTop w:val="0"/>
              <w:marBottom w:val="0"/>
              <w:divBdr>
                <w:top w:val="none" w:sz="0" w:space="0" w:color="auto"/>
                <w:left w:val="none" w:sz="0" w:space="0" w:color="auto"/>
                <w:bottom w:val="none" w:sz="0" w:space="0" w:color="auto"/>
                <w:right w:val="none" w:sz="0" w:space="0" w:color="auto"/>
              </w:divBdr>
              <w:divsChild>
                <w:div w:id="166266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325350">
      <w:bodyDiv w:val="1"/>
      <w:marLeft w:val="0"/>
      <w:marRight w:val="0"/>
      <w:marTop w:val="0"/>
      <w:marBottom w:val="0"/>
      <w:divBdr>
        <w:top w:val="none" w:sz="0" w:space="0" w:color="auto"/>
        <w:left w:val="none" w:sz="0" w:space="0" w:color="auto"/>
        <w:bottom w:val="none" w:sz="0" w:space="0" w:color="auto"/>
        <w:right w:val="none" w:sz="0" w:space="0" w:color="auto"/>
      </w:divBdr>
    </w:div>
    <w:div w:id="1836412795">
      <w:bodyDiv w:val="1"/>
      <w:marLeft w:val="0"/>
      <w:marRight w:val="0"/>
      <w:marTop w:val="0"/>
      <w:marBottom w:val="0"/>
      <w:divBdr>
        <w:top w:val="none" w:sz="0" w:space="0" w:color="auto"/>
        <w:left w:val="none" w:sz="0" w:space="0" w:color="auto"/>
        <w:bottom w:val="none" w:sz="0" w:space="0" w:color="auto"/>
        <w:right w:val="none" w:sz="0" w:space="0" w:color="auto"/>
      </w:divBdr>
      <w:divsChild>
        <w:div w:id="1725251363">
          <w:marLeft w:val="0"/>
          <w:marRight w:val="0"/>
          <w:marTop w:val="0"/>
          <w:marBottom w:val="0"/>
          <w:divBdr>
            <w:top w:val="none" w:sz="0" w:space="0" w:color="auto"/>
            <w:left w:val="none" w:sz="0" w:space="0" w:color="auto"/>
            <w:bottom w:val="none" w:sz="0" w:space="0" w:color="auto"/>
            <w:right w:val="none" w:sz="0" w:space="0" w:color="auto"/>
          </w:divBdr>
          <w:divsChild>
            <w:div w:id="126364353">
              <w:marLeft w:val="0"/>
              <w:marRight w:val="0"/>
              <w:marTop w:val="0"/>
              <w:marBottom w:val="0"/>
              <w:divBdr>
                <w:top w:val="none" w:sz="0" w:space="0" w:color="auto"/>
                <w:left w:val="none" w:sz="0" w:space="0" w:color="auto"/>
                <w:bottom w:val="none" w:sz="0" w:space="0" w:color="auto"/>
                <w:right w:val="none" w:sz="0" w:space="0" w:color="auto"/>
              </w:divBdr>
              <w:divsChild>
                <w:div w:id="921715937">
                  <w:marLeft w:val="0"/>
                  <w:marRight w:val="0"/>
                  <w:marTop w:val="0"/>
                  <w:marBottom w:val="0"/>
                  <w:divBdr>
                    <w:top w:val="none" w:sz="0" w:space="0" w:color="auto"/>
                    <w:left w:val="none" w:sz="0" w:space="0" w:color="auto"/>
                    <w:bottom w:val="none" w:sz="0" w:space="0" w:color="auto"/>
                    <w:right w:val="none" w:sz="0" w:space="0" w:color="auto"/>
                  </w:divBdr>
                </w:div>
              </w:divsChild>
            </w:div>
            <w:div w:id="2144346774">
              <w:marLeft w:val="0"/>
              <w:marRight w:val="0"/>
              <w:marTop w:val="0"/>
              <w:marBottom w:val="0"/>
              <w:divBdr>
                <w:top w:val="none" w:sz="0" w:space="0" w:color="auto"/>
                <w:left w:val="none" w:sz="0" w:space="0" w:color="auto"/>
                <w:bottom w:val="none" w:sz="0" w:space="0" w:color="auto"/>
                <w:right w:val="none" w:sz="0" w:space="0" w:color="auto"/>
              </w:divBdr>
              <w:divsChild>
                <w:div w:id="136301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70267">
          <w:marLeft w:val="0"/>
          <w:marRight w:val="0"/>
          <w:marTop w:val="0"/>
          <w:marBottom w:val="0"/>
          <w:divBdr>
            <w:top w:val="none" w:sz="0" w:space="0" w:color="auto"/>
            <w:left w:val="none" w:sz="0" w:space="0" w:color="auto"/>
            <w:bottom w:val="none" w:sz="0" w:space="0" w:color="auto"/>
            <w:right w:val="none" w:sz="0" w:space="0" w:color="auto"/>
          </w:divBdr>
          <w:divsChild>
            <w:div w:id="1501122983">
              <w:marLeft w:val="0"/>
              <w:marRight w:val="0"/>
              <w:marTop w:val="0"/>
              <w:marBottom w:val="0"/>
              <w:divBdr>
                <w:top w:val="none" w:sz="0" w:space="0" w:color="auto"/>
                <w:left w:val="none" w:sz="0" w:space="0" w:color="auto"/>
                <w:bottom w:val="none" w:sz="0" w:space="0" w:color="auto"/>
                <w:right w:val="none" w:sz="0" w:space="0" w:color="auto"/>
              </w:divBdr>
              <w:divsChild>
                <w:div w:id="96215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50852">
      <w:bodyDiv w:val="1"/>
      <w:marLeft w:val="0"/>
      <w:marRight w:val="0"/>
      <w:marTop w:val="0"/>
      <w:marBottom w:val="0"/>
      <w:divBdr>
        <w:top w:val="none" w:sz="0" w:space="0" w:color="auto"/>
        <w:left w:val="none" w:sz="0" w:space="0" w:color="auto"/>
        <w:bottom w:val="none" w:sz="0" w:space="0" w:color="auto"/>
        <w:right w:val="none" w:sz="0" w:space="0" w:color="auto"/>
      </w:divBdr>
      <w:divsChild>
        <w:div w:id="450562342">
          <w:marLeft w:val="0"/>
          <w:marRight w:val="0"/>
          <w:marTop w:val="0"/>
          <w:marBottom w:val="0"/>
          <w:divBdr>
            <w:top w:val="none" w:sz="0" w:space="0" w:color="auto"/>
            <w:left w:val="none" w:sz="0" w:space="0" w:color="auto"/>
            <w:bottom w:val="none" w:sz="0" w:space="0" w:color="auto"/>
            <w:right w:val="none" w:sz="0" w:space="0" w:color="auto"/>
          </w:divBdr>
          <w:divsChild>
            <w:div w:id="113526319">
              <w:marLeft w:val="0"/>
              <w:marRight w:val="0"/>
              <w:marTop w:val="0"/>
              <w:marBottom w:val="0"/>
              <w:divBdr>
                <w:top w:val="none" w:sz="0" w:space="0" w:color="auto"/>
                <w:left w:val="none" w:sz="0" w:space="0" w:color="auto"/>
                <w:bottom w:val="none" w:sz="0" w:space="0" w:color="auto"/>
                <w:right w:val="none" w:sz="0" w:space="0" w:color="auto"/>
              </w:divBdr>
              <w:divsChild>
                <w:div w:id="14528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20509">
      <w:bodyDiv w:val="1"/>
      <w:marLeft w:val="0"/>
      <w:marRight w:val="0"/>
      <w:marTop w:val="0"/>
      <w:marBottom w:val="0"/>
      <w:divBdr>
        <w:top w:val="none" w:sz="0" w:space="0" w:color="auto"/>
        <w:left w:val="none" w:sz="0" w:space="0" w:color="auto"/>
        <w:bottom w:val="none" w:sz="0" w:space="0" w:color="auto"/>
        <w:right w:val="none" w:sz="0" w:space="0" w:color="auto"/>
      </w:divBdr>
      <w:divsChild>
        <w:div w:id="272060912">
          <w:marLeft w:val="0"/>
          <w:marRight w:val="0"/>
          <w:marTop w:val="0"/>
          <w:marBottom w:val="0"/>
          <w:divBdr>
            <w:top w:val="none" w:sz="0" w:space="0" w:color="auto"/>
            <w:left w:val="none" w:sz="0" w:space="0" w:color="auto"/>
            <w:bottom w:val="none" w:sz="0" w:space="0" w:color="auto"/>
            <w:right w:val="none" w:sz="0" w:space="0" w:color="auto"/>
          </w:divBdr>
          <w:divsChild>
            <w:div w:id="1568107248">
              <w:marLeft w:val="0"/>
              <w:marRight w:val="0"/>
              <w:marTop w:val="0"/>
              <w:marBottom w:val="0"/>
              <w:divBdr>
                <w:top w:val="none" w:sz="0" w:space="0" w:color="auto"/>
                <w:left w:val="none" w:sz="0" w:space="0" w:color="auto"/>
                <w:bottom w:val="none" w:sz="0" w:space="0" w:color="auto"/>
                <w:right w:val="none" w:sz="0" w:space="0" w:color="auto"/>
              </w:divBdr>
              <w:divsChild>
                <w:div w:id="12084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6216">
      <w:bodyDiv w:val="1"/>
      <w:marLeft w:val="0"/>
      <w:marRight w:val="0"/>
      <w:marTop w:val="0"/>
      <w:marBottom w:val="0"/>
      <w:divBdr>
        <w:top w:val="none" w:sz="0" w:space="0" w:color="auto"/>
        <w:left w:val="none" w:sz="0" w:space="0" w:color="auto"/>
        <w:bottom w:val="none" w:sz="0" w:space="0" w:color="auto"/>
        <w:right w:val="none" w:sz="0" w:space="0" w:color="auto"/>
      </w:divBdr>
      <w:divsChild>
        <w:div w:id="1822381569">
          <w:marLeft w:val="0"/>
          <w:marRight w:val="0"/>
          <w:marTop w:val="0"/>
          <w:marBottom w:val="0"/>
          <w:divBdr>
            <w:top w:val="none" w:sz="0" w:space="0" w:color="auto"/>
            <w:left w:val="none" w:sz="0" w:space="0" w:color="auto"/>
            <w:bottom w:val="none" w:sz="0" w:space="0" w:color="auto"/>
            <w:right w:val="none" w:sz="0" w:space="0" w:color="auto"/>
          </w:divBdr>
          <w:divsChild>
            <w:div w:id="887103807">
              <w:marLeft w:val="0"/>
              <w:marRight w:val="0"/>
              <w:marTop w:val="0"/>
              <w:marBottom w:val="0"/>
              <w:divBdr>
                <w:top w:val="none" w:sz="0" w:space="0" w:color="auto"/>
                <w:left w:val="none" w:sz="0" w:space="0" w:color="auto"/>
                <w:bottom w:val="none" w:sz="0" w:space="0" w:color="auto"/>
                <w:right w:val="none" w:sz="0" w:space="0" w:color="auto"/>
              </w:divBdr>
              <w:divsChild>
                <w:div w:id="1926764557">
                  <w:marLeft w:val="0"/>
                  <w:marRight w:val="0"/>
                  <w:marTop w:val="0"/>
                  <w:marBottom w:val="0"/>
                  <w:divBdr>
                    <w:top w:val="none" w:sz="0" w:space="0" w:color="auto"/>
                    <w:left w:val="none" w:sz="0" w:space="0" w:color="auto"/>
                    <w:bottom w:val="none" w:sz="0" w:space="0" w:color="auto"/>
                    <w:right w:val="none" w:sz="0" w:space="0" w:color="auto"/>
                  </w:divBdr>
                  <w:divsChild>
                    <w:div w:id="13197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596800">
      <w:bodyDiv w:val="1"/>
      <w:marLeft w:val="0"/>
      <w:marRight w:val="0"/>
      <w:marTop w:val="0"/>
      <w:marBottom w:val="0"/>
      <w:divBdr>
        <w:top w:val="none" w:sz="0" w:space="0" w:color="auto"/>
        <w:left w:val="none" w:sz="0" w:space="0" w:color="auto"/>
        <w:bottom w:val="none" w:sz="0" w:space="0" w:color="auto"/>
        <w:right w:val="none" w:sz="0" w:space="0" w:color="auto"/>
      </w:divBdr>
      <w:divsChild>
        <w:div w:id="1425374073">
          <w:marLeft w:val="0"/>
          <w:marRight w:val="0"/>
          <w:marTop w:val="0"/>
          <w:marBottom w:val="0"/>
          <w:divBdr>
            <w:top w:val="none" w:sz="0" w:space="0" w:color="auto"/>
            <w:left w:val="none" w:sz="0" w:space="0" w:color="auto"/>
            <w:bottom w:val="none" w:sz="0" w:space="0" w:color="auto"/>
            <w:right w:val="none" w:sz="0" w:space="0" w:color="auto"/>
          </w:divBdr>
          <w:divsChild>
            <w:div w:id="14694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212041616301942" TargetMode="External"/><Relationship Id="rId18" Type="http://schemas.openxmlformats.org/officeDocument/2006/relationships/hyperlink" Target="https://www.jstor.org/stable/2763634" TargetMode="External"/><Relationship Id="rId26" Type="http://schemas.openxmlformats.org/officeDocument/2006/relationships/hyperlink" Target="https://doi.org/10.2307/428251" TargetMode="External"/><Relationship Id="rId39" Type="http://schemas.openxmlformats.org/officeDocument/2006/relationships/hyperlink" Target="http://www.jstor.org/stable/20026449" TargetMode="External"/><Relationship Id="rId21" Type="http://schemas.openxmlformats.org/officeDocument/2006/relationships/hyperlink" Target="https://doi.org/10.1111/j.2044-8295.1919.tb00003.x" TargetMode="External"/><Relationship Id="rId34" Type="http://schemas.openxmlformats.org/officeDocument/2006/relationships/hyperlink" Target="https://nbn-resolving.org/urn:nbn:de:0311-5101" TargetMode="External"/><Relationship Id="rId42" Type="http://schemas.openxmlformats.org/officeDocument/2006/relationships/hyperlink" Target="https://plato.stanford.edu/archives/fall2020/entries/heidegger/"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fscj.pressbooks.pub/worldreligions/chapter/etymology-and-history/" TargetMode="External"/><Relationship Id="rId29" Type="http://schemas.openxmlformats.org/officeDocument/2006/relationships/hyperlink" Target="https://www.jewishvirtuallibrary.org/nidda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4540647" TargetMode="External"/><Relationship Id="rId24" Type="http://schemas.openxmlformats.org/officeDocument/2006/relationships/hyperlink" Target="http://www.jstor.org/stable/4256916" TargetMode="External"/><Relationship Id="rId32" Type="http://schemas.openxmlformats.org/officeDocument/2006/relationships/hyperlink" Target="https://doi.org/10.22271/23947519.2021.v7.i5e.1511" TargetMode="External"/><Relationship Id="rId37" Type="http://schemas.openxmlformats.org/officeDocument/2006/relationships/hyperlink" Target="http://www.jstor.org/stable/23645134" TargetMode="External"/><Relationship Id="rId40" Type="http://schemas.openxmlformats.org/officeDocument/2006/relationships/hyperlink" Target="https://www.jstor.org/stable/20027715"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lato.stanford.edu/archives/fall2024/entries/social-ontology/" TargetMode="External"/><Relationship Id="rId23" Type="http://schemas.openxmlformats.org/officeDocument/2006/relationships/hyperlink" Target="http://www.jstor.org/stable/40646449" TargetMode="External"/><Relationship Id="rId28" Type="http://schemas.openxmlformats.org/officeDocument/2006/relationships/hyperlink" Target="https://natya-shastra.in/adbhuta-rasa-the-rasa-of-wonder-and-amazement/" TargetMode="External"/><Relationship Id="rId36" Type="http://schemas.openxmlformats.org/officeDocument/2006/relationships/hyperlink" Target="https://www.sefaria.org/Ketubot.110b.14?lang=bi" TargetMode="External"/><Relationship Id="rId10" Type="http://schemas.openxmlformats.org/officeDocument/2006/relationships/hyperlink" Target="https://thetorah.com/article/on-the-origins-of-tevilah-ritual-immersion" TargetMode="External"/><Relationship Id="rId19" Type="http://schemas.openxmlformats.org/officeDocument/2006/relationships/hyperlink" Target="https://www.merriam-webster.com/dictionary/idea" TargetMode="External"/><Relationship Id="rId31" Type="http://schemas.openxmlformats.org/officeDocument/2006/relationships/hyperlink" Target="http://www.jstor.org/stable/resrep65081.16"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sites.psu.edu/aspsy/2024/04/05/why-were-drawn-to-people-who-are-similar-to-us/" TargetMode="External"/><Relationship Id="rId22" Type="http://schemas.openxmlformats.org/officeDocument/2006/relationships/hyperlink" Target="https://www.jstor.org/stable/48629583" TargetMode="External"/><Relationship Id="rId27" Type="http://schemas.openxmlformats.org/officeDocument/2006/relationships/hyperlink" Target="https://pmc.ncbi.nlm.nih.gov/articles/PMC3605517/" TargetMode="External"/><Relationship Id="rId30" Type="http://schemas.openxmlformats.org/officeDocument/2006/relationships/hyperlink" Target="https://plato.stanford.edu/archives/sum2024/entries/epistemology-social/" TargetMode="External"/><Relationship Id="rId35" Type="http://schemas.openxmlformats.org/officeDocument/2006/relationships/hyperlink" Target="http://www.jstor.org/stable/1146911" TargetMode="External"/><Relationship Id="rId43" Type="http://schemas.openxmlformats.org/officeDocument/2006/relationships/footer" Target="footer1.xml"/><Relationship Id="rId8" Type="http://schemas.openxmlformats.org/officeDocument/2006/relationships/hyperlink" Target="mailto:2024829@student.uwtsd.ac.uk" TargetMode="External"/><Relationship Id="rId3" Type="http://schemas.openxmlformats.org/officeDocument/2006/relationships/settings" Target="settings.xml"/><Relationship Id="rId12" Type="http://schemas.openxmlformats.org/officeDocument/2006/relationships/hyperlink" Target="https://www.thebloodproject.com/blood-as-a-central-symbol-in-jewish-culture/" TargetMode="External"/><Relationship Id="rId17" Type="http://schemas.openxmlformats.org/officeDocument/2006/relationships/hyperlink" Target="https://www.jstor.org/stable/26921166" TargetMode="External"/><Relationship Id="rId25" Type="http://schemas.openxmlformats.org/officeDocument/2006/relationships/hyperlink" Target="https://www.jstor.org/stable/26950402" TargetMode="External"/><Relationship Id="rId33" Type="http://schemas.openxmlformats.org/officeDocument/2006/relationships/hyperlink" Target="https://doi.org/10.2307/592191" TargetMode="External"/><Relationship Id="rId38" Type="http://schemas.openxmlformats.org/officeDocument/2006/relationships/hyperlink" Target="https://www.jstor.org/stable/25646594" TargetMode="External"/><Relationship Id="rId46" Type="http://schemas.openxmlformats.org/officeDocument/2006/relationships/theme" Target="theme/theme1.xml"/><Relationship Id="rId20" Type="http://schemas.openxmlformats.org/officeDocument/2006/relationships/hyperlink" Target="https://plato.stanford.edu/archives/spr2023/entries/essential-accidental/" TargetMode="External"/><Relationship Id="rId41" Type="http://schemas.openxmlformats.org/officeDocument/2006/relationships/hyperlink" Target="https://doi.org/10.2307/60009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20026449" TargetMode="External"/><Relationship Id="rId13" Type="http://schemas.openxmlformats.org/officeDocument/2006/relationships/hyperlink" Target="https://doi.org/10.2307/592191" TargetMode="External"/><Relationship Id="rId18" Type="http://schemas.openxmlformats.org/officeDocument/2006/relationships/hyperlink" Target="http://www.jstor.org/stable/1146911" TargetMode="External"/><Relationship Id="rId26" Type="http://schemas.openxmlformats.org/officeDocument/2006/relationships/hyperlink" Target="https://sites.psu.edu/aspsy/2024/04/05/why-were-drawn-to-people-who-are-similar-to-us/" TargetMode="External"/><Relationship Id="rId3" Type="http://schemas.openxmlformats.org/officeDocument/2006/relationships/hyperlink" Target="https://www.jstor.org/stable/26950402" TargetMode="External"/><Relationship Id="rId21" Type="http://schemas.openxmlformats.org/officeDocument/2006/relationships/hyperlink" Target="https://www.jstor.org/stable/25646594" TargetMode="External"/><Relationship Id="rId7" Type="http://schemas.openxmlformats.org/officeDocument/2006/relationships/hyperlink" Target="https://doi.org/10.2307/600096" TargetMode="External"/><Relationship Id="rId12" Type="http://schemas.openxmlformats.org/officeDocument/2006/relationships/hyperlink" Target="https://fscj.pressbooks.pub/worldreligions/chapter/etymology-and-history/" TargetMode="External"/><Relationship Id="rId17" Type="http://schemas.openxmlformats.org/officeDocument/2006/relationships/hyperlink" Target="https://doi.org/10.2307/428251" TargetMode="External"/><Relationship Id="rId25" Type="http://schemas.openxmlformats.org/officeDocument/2006/relationships/hyperlink" Target="https://pmc.ncbi.nlm.nih.gov/articles/PMC3605517/" TargetMode="External"/><Relationship Id="rId2" Type="http://schemas.openxmlformats.org/officeDocument/2006/relationships/hyperlink" Target="https://doi.org/10.1111/j.2044-8295.1919.tb00003.x" TargetMode="External"/><Relationship Id="rId16" Type="http://schemas.openxmlformats.org/officeDocument/2006/relationships/hyperlink" Target="https://www.jstor.org/stable/25646594" TargetMode="External"/><Relationship Id="rId20" Type="http://schemas.openxmlformats.org/officeDocument/2006/relationships/hyperlink" Target="https://doi.org/10.22271/23947519.2021.v7.i5e.1511" TargetMode="External"/><Relationship Id="rId29" Type="http://schemas.openxmlformats.org/officeDocument/2006/relationships/hyperlink" Target="https://plato.stanford.edu/archives/sum2024/entries/epistemology-social/" TargetMode="External"/><Relationship Id="rId1" Type="http://schemas.openxmlformats.org/officeDocument/2006/relationships/hyperlink" Target="https://nbn-resolving.org/urn:nbn:de:0311-5101" TargetMode="External"/><Relationship Id="rId6" Type="http://schemas.openxmlformats.org/officeDocument/2006/relationships/hyperlink" Target="http://www.jstor.org/stable/4256916" TargetMode="External"/><Relationship Id="rId11" Type="http://schemas.openxmlformats.org/officeDocument/2006/relationships/hyperlink" Target="https://www.sefaria.org/Ketubot.110b.14?lang=bi" TargetMode="External"/><Relationship Id="rId24" Type="http://schemas.openxmlformats.org/officeDocument/2006/relationships/hyperlink" Target="https://www.jstor.org/stable/20027715" TargetMode="External"/><Relationship Id="rId5" Type="http://schemas.openxmlformats.org/officeDocument/2006/relationships/hyperlink" Target="https://thetorah.com/article/on-the-origins-of-tevilah-ritual-immersion" TargetMode="External"/><Relationship Id="rId15" Type="http://schemas.openxmlformats.org/officeDocument/2006/relationships/hyperlink" Target="https://www.jstor.org/stable/48629583" TargetMode="External"/><Relationship Id="rId23" Type="http://schemas.openxmlformats.org/officeDocument/2006/relationships/hyperlink" Target="https://www.jstor.org/stable/2763634" TargetMode="External"/><Relationship Id="rId28" Type="http://schemas.openxmlformats.org/officeDocument/2006/relationships/hyperlink" Target="https://www.sciencedirect.com/science/article/pii/S2212041616301942" TargetMode="External"/><Relationship Id="rId10" Type="http://schemas.openxmlformats.org/officeDocument/2006/relationships/hyperlink" Target="http://www.jstor.org/stable/resrep65081.3" TargetMode="External"/><Relationship Id="rId19" Type="http://schemas.openxmlformats.org/officeDocument/2006/relationships/hyperlink" Target="https://natya-shastra.in/adbhuta-rasa-the-rasa-of-wonder-and-amazement/" TargetMode="External"/><Relationship Id="rId4" Type="http://schemas.openxmlformats.org/officeDocument/2006/relationships/hyperlink" Target="http://www.jstor.org/stable/23645134" TargetMode="External"/><Relationship Id="rId9" Type="http://schemas.openxmlformats.org/officeDocument/2006/relationships/hyperlink" Target="http://www.jstor.org/stable/resrep65081.16" TargetMode="External"/><Relationship Id="rId14" Type="http://schemas.openxmlformats.org/officeDocument/2006/relationships/hyperlink" Target="https://www.jstor.org/stable/26921166" TargetMode="External"/><Relationship Id="rId22" Type="http://schemas.openxmlformats.org/officeDocument/2006/relationships/hyperlink" Target="http://www.jstor.org/stable/4540647" TargetMode="External"/><Relationship Id="rId27" Type="http://schemas.openxmlformats.org/officeDocument/2006/relationships/hyperlink" Target="http://www.jstor.org/stable/40646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19082</Words>
  <Characters>108774</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Ashley Berger (2024829)</dc:creator>
  <cp:keywords/>
  <dc:description/>
  <cp:lastModifiedBy>James Ashley Berger (2024829)</cp:lastModifiedBy>
  <cp:revision>2</cp:revision>
  <dcterms:created xsi:type="dcterms:W3CDTF">2025-01-29T04:16:00Z</dcterms:created>
  <dcterms:modified xsi:type="dcterms:W3CDTF">2025-01-29T04:16:00Z</dcterms:modified>
</cp:coreProperties>
</file>