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323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301"/>
        <w:gridCol w:w="2580"/>
        <w:gridCol w:w="2948"/>
      </w:tblGrid>
      <w:tr w:rsidR="00CE17BE" w:rsidRPr="00EA03C6" w14:paraId="414F04D4" w14:textId="77777777" w:rsidTr="004B171A">
        <w:tc>
          <w:tcPr>
            <w:tcW w:w="2093" w:type="dxa"/>
            <w:shd w:val="clear" w:color="auto" w:fill="D9D9D9" w:themeFill="background1" w:themeFillShade="D9"/>
          </w:tcPr>
          <w:p w14:paraId="0582D59D" w14:textId="77777777" w:rsidR="00CE17BE" w:rsidRPr="00EA03C6" w:rsidRDefault="00CE17BE" w:rsidP="004B171A">
            <w:pPr>
              <w:spacing w:before="120"/>
              <w:jc w:val="both"/>
              <w:rPr>
                <w:rFonts w:asciiTheme="majorBidi" w:hAnsiTheme="majorBidi" w:cstheme="majorBidi"/>
                <w:b/>
                <w:szCs w:val="24"/>
              </w:rPr>
            </w:pPr>
            <w:r w:rsidRPr="00EA03C6">
              <w:rPr>
                <w:rFonts w:asciiTheme="majorBidi" w:hAnsiTheme="majorBidi" w:cstheme="majorBidi"/>
                <w:b/>
                <w:szCs w:val="24"/>
              </w:rPr>
              <w:t>Student name:</w:t>
            </w:r>
          </w:p>
        </w:tc>
        <w:tc>
          <w:tcPr>
            <w:tcW w:w="2301" w:type="dxa"/>
          </w:tcPr>
          <w:p w14:paraId="07499286" w14:textId="4848938D" w:rsidR="00CE17BE" w:rsidRPr="00EA03C6" w:rsidRDefault="00CE17BE" w:rsidP="004B171A">
            <w:pPr>
              <w:spacing w:before="120"/>
              <w:jc w:val="both"/>
              <w:rPr>
                <w:rFonts w:asciiTheme="majorBidi" w:hAnsiTheme="majorBidi" w:cstheme="majorBidi"/>
                <w:bCs/>
                <w:szCs w:val="24"/>
              </w:rPr>
            </w:pPr>
            <w:r w:rsidRPr="00EA03C6">
              <w:rPr>
                <w:rFonts w:asciiTheme="majorBidi" w:hAnsiTheme="majorBidi" w:cstheme="majorBidi"/>
                <w:bCs/>
                <w:szCs w:val="24"/>
              </w:rPr>
              <w:t>Winston Hall</w:t>
            </w:r>
          </w:p>
        </w:tc>
        <w:tc>
          <w:tcPr>
            <w:tcW w:w="2580" w:type="dxa"/>
            <w:shd w:val="clear" w:color="auto" w:fill="D9D9D9" w:themeFill="background1" w:themeFillShade="D9"/>
          </w:tcPr>
          <w:p w14:paraId="2C86D1C8" w14:textId="77777777" w:rsidR="00CE17BE" w:rsidRPr="00EA03C6" w:rsidRDefault="00CE17BE" w:rsidP="004B171A">
            <w:pPr>
              <w:spacing w:before="120"/>
              <w:jc w:val="both"/>
              <w:rPr>
                <w:rFonts w:asciiTheme="majorBidi" w:hAnsiTheme="majorBidi" w:cstheme="majorBidi"/>
                <w:b/>
                <w:szCs w:val="24"/>
              </w:rPr>
            </w:pPr>
            <w:r w:rsidRPr="00EA03C6">
              <w:rPr>
                <w:rFonts w:asciiTheme="majorBidi" w:hAnsiTheme="majorBidi" w:cstheme="majorBidi"/>
                <w:b/>
                <w:szCs w:val="24"/>
              </w:rPr>
              <w:t>Student ID number:</w:t>
            </w:r>
          </w:p>
        </w:tc>
        <w:tc>
          <w:tcPr>
            <w:tcW w:w="2948" w:type="dxa"/>
          </w:tcPr>
          <w:p w14:paraId="4B2ABAD9" w14:textId="0D912F65" w:rsidR="00CE17BE" w:rsidRPr="00EA03C6" w:rsidRDefault="00CE17BE" w:rsidP="004B171A">
            <w:pPr>
              <w:spacing w:before="120"/>
              <w:jc w:val="both"/>
              <w:rPr>
                <w:rFonts w:asciiTheme="majorBidi" w:hAnsiTheme="majorBidi" w:cstheme="majorBidi"/>
                <w:bCs/>
                <w:szCs w:val="24"/>
              </w:rPr>
            </w:pPr>
            <w:r w:rsidRPr="00EA03C6">
              <w:rPr>
                <w:rFonts w:asciiTheme="majorBidi" w:hAnsiTheme="majorBidi" w:cstheme="majorBidi"/>
                <w:bCs/>
                <w:szCs w:val="24"/>
              </w:rPr>
              <w:t>2422871</w:t>
            </w:r>
          </w:p>
        </w:tc>
      </w:tr>
      <w:tr w:rsidR="00CE17BE" w:rsidRPr="00EA03C6" w14:paraId="2DB29581" w14:textId="77777777" w:rsidTr="004B171A">
        <w:tc>
          <w:tcPr>
            <w:tcW w:w="2093" w:type="dxa"/>
            <w:shd w:val="clear" w:color="auto" w:fill="D9D9D9" w:themeFill="background1" w:themeFillShade="D9"/>
          </w:tcPr>
          <w:p w14:paraId="0F79055F" w14:textId="77777777" w:rsidR="00CE17BE" w:rsidRPr="00EA03C6" w:rsidRDefault="00CE17BE" w:rsidP="004B171A">
            <w:pPr>
              <w:spacing w:before="120"/>
              <w:jc w:val="both"/>
              <w:rPr>
                <w:rFonts w:asciiTheme="majorBidi" w:hAnsiTheme="majorBidi" w:cstheme="majorBidi"/>
                <w:b/>
                <w:szCs w:val="24"/>
              </w:rPr>
            </w:pPr>
            <w:r w:rsidRPr="00EA03C6">
              <w:rPr>
                <w:rFonts w:asciiTheme="majorBidi" w:hAnsiTheme="majorBidi" w:cstheme="majorBidi"/>
                <w:b/>
                <w:szCs w:val="24"/>
              </w:rPr>
              <w:t>Programme:</w:t>
            </w:r>
          </w:p>
        </w:tc>
        <w:tc>
          <w:tcPr>
            <w:tcW w:w="7829" w:type="dxa"/>
            <w:gridSpan w:val="3"/>
            <w:vAlign w:val="center"/>
          </w:tcPr>
          <w:p w14:paraId="30CFC483" w14:textId="77777777" w:rsidR="00CE17BE" w:rsidRPr="00EA03C6" w:rsidRDefault="00CE17BE" w:rsidP="004B171A">
            <w:pPr>
              <w:spacing w:before="120"/>
              <w:jc w:val="both"/>
              <w:rPr>
                <w:rFonts w:asciiTheme="majorBidi" w:hAnsiTheme="majorBidi" w:cstheme="majorBidi"/>
                <w:bCs/>
                <w:szCs w:val="24"/>
              </w:rPr>
            </w:pPr>
            <w:r w:rsidRPr="00EA03C6">
              <w:rPr>
                <w:rFonts w:asciiTheme="majorBidi" w:eastAsia="Arial" w:hAnsiTheme="majorBidi" w:cstheme="majorBidi"/>
                <w:bCs/>
                <w:szCs w:val="24"/>
              </w:rPr>
              <w:t xml:space="preserve">BA (Hons) Leadership and Management Skills in the Workplace </w:t>
            </w:r>
          </w:p>
        </w:tc>
      </w:tr>
      <w:tr w:rsidR="00CE17BE" w:rsidRPr="00EA03C6" w14:paraId="1E3E3298" w14:textId="77777777" w:rsidTr="004B171A">
        <w:tc>
          <w:tcPr>
            <w:tcW w:w="2093" w:type="dxa"/>
            <w:shd w:val="clear" w:color="auto" w:fill="D9D9D9" w:themeFill="background1" w:themeFillShade="D9"/>
          </w:tcPr>
          <w:p w14:paraId="371E4D61" w14:textId="77777777" w:rsidR="00CE17BE" w:rsidRPr="00EA03C6" w:rsidRDefault="00CE17BE" w:rsidP="004B171A">
            <w:pPr>
              <w:spacing w:before="120"/>
              <w:jc w:val="both"/>
              <w:rPr>
                <w:rFonts w:asciiTheme="majorBidi" w:hAnsiTheme="majorBidi" w:cstheme="majorBidi"/>
                <w:b/>
                <w:szCs w:val="24"/>
              </w:rPr>
            </w:pPr>
            <w:r w:rsidRPr="00EA03C6">
              <w:rPr>
                <w:rFonts w:asciiTheme="majorBidi" w:hAnsiTheme="majorBidi" w:cstheme="majorBidi"/>
                <w:b/>
                <w:szCs w:val="24"/>
              </w:rPr>
              <w:t>Module:</w:t>
            </w:r>
          </w:p>
        </w:tc>
        <w:tc>
          <w:tcPr>
            <w:tcW w:w="7829" w:type="dxa"/>
            <w:gridSpan w:val="3"/>
            <w:vAlign w:val="center"/>
          </w:tcPr>
          <w:p w14:paraId="208B6213" w14:textId="77777777" w:rsidR="00CE17BE" w:rsidRPr="00EA03C6" w:rsidRDefault="00CE17BE" w:rsidP="004B171A">
            <w:pPr>
              <w:spacing w:before="120"/>
              <w:jc w:val="both"/>
              <w:rPr>
                <w:rFonts w:asciiTheme="majorBidi" w:hAnsiTheme="majorBidi" w:cstheme="majorBidi"/>
                <w:bCs/>
                <w:szCs w:val="24"/>
              </w:rPr>
            </w:pPr>
            <w:r w:rsidRPr="00EA03C6">
              <w:rPr>
                <w:rFonts w:asciiTheme="majorBidi" w:eastAsia="Arial" w:hAnsiTheme="majorBidi" w:cstheme="majorBidi"/>
                <w:bCs/>
                <w:szCs w:val="24"/>
              </w:rPr>
              <w:t xml:space="preserve">Project Management  </w:t>
            </w:r>
          </w:p>
        </w:tc>
      </w:tr>
      <w:tr w:rsidR="00CE17BE" w:rsidRPr="00EA03C6" w14:paraId="511F528E" w14:textId="77777777" w:rsidTr="004B171A">
        <w:tc>
          <w:tcPr>
            <w:tcW w:w="2093" w:type="dxa"/>
            <w:shd w:val="clear" w:color="auto" w:fill="D9D9D9" w:themeFill="background1" w:themeFillShade="D9"/>
          </w:tcPr>
          <w:p w14:paraId="5327B3D4" w14:textId="77777777" w:rsidR="00CE17BE" w:rsidRPr="00EA03C6" w:rsidRDefault="00CE17BE" w:rsidP="004B171A">
            <w:pPr>
              <w:spacing w:before="120"/>
              <w:jc w:val="both"/>
              <w:rPr>
                <w:rFonts w:asciiTheme="majorBidi" w:hAnsiTheme="majorBidi" w:cstheme="majorBidi"/>
                <w:b/>
                <w:szCs w:val="24"/>
              </w:rPr>
            </w:pPr>
            <w:r w:rsidRPr="00EA03C6">
              <w:rPr>
                <w:rFonts w:asciiTheme="majorBidi" w:hAnsiTheme="majorBidi" w:cstheme="majorBidi"/>
                <w:b/>
                <w:szCs w:val="24"/>
              </w:rPr>
              <w:t>Module code:</w:t>
            </w:r>
          </w:p>
        </w:tc>
        <w:tc>
          <w:tcPr>
            <w:tcW w:w="7829" w:type="dxa"/>
            <w:gridSpan w:val="3"/>
          </w:tcPr>
          <w:p w14:paraId="35698466" w14:textId="77777777" w:rsidR="00CE17BE" w:rsidRPr="00EA03C6" w:rsidRDefault="00CE17BE" w:rsidP="004B171A">
            <w:pPr>
              <w:spacing w:before="120"/>
              <w:jc w:val="both"/>
              <w:rPr>
                <w:rFonts w:asciiTheme="majorBidi" w:hAnsiTheme="majorBidi" w:cstheme="majorBidi"/>
                <w:bCs/>
                <w:szCs w:val="24"/>
              </w:rPr>
            </w:pPr>
            <w:r w:rsidRPr="00EA03C6">
              <w:rPr>
                <w:rFonts w:asciiTheme="majorBidi" w:hAnsiTheme="majorBidi" w:cstheme="majorBidi"/>
                <w:bCs/>
                <w:szCs w:val="24"/>
              </w:rPr>
              <w:t>LCLM5003</w:t>
            </w:r>
            <w:r w:rsidRPr="00EA03C6">
              <w:rPr>
                <w:rFonts w:asciiTheme="majorBidi" w:eastAsia="Arial" w:hAnsiTheme="majorBidi" w:cstheme="majorBidi"/>
                <w:bCs/>
                <w:szCs w:val="24"/>
              </w:rPr>
              <w:t xml:space="preserve"> </w:t>
            </w:r>
          </w:p>
          <w:p w14:paraId="1F8BCC0A" w14:textId="07DE83A5" w:rsidR="00CE17BE" w:rsidRPr="00EA03C6" w:rsidRDefault="00CE17BE" w:rsidP="004B171A">
            <w:pPr>
              <w:spacing w:before="120"/>
              <w:jc w:val="both"/>
              <w:rPr>
                <w:rFonts w:asciiTheme="majorBidi" w:hAnsiTheme="majorBidi" w:cstheme="majorBidi"/>
                <w:bCs/>
                <w:szCs w:val="24"/>
              </w:rPr>
            </w:pPr>
          </w:p>
        </w:tc>
      </w:tr>
      <w:tr w:rsidR="00CE17BE" w:rsidRPr="00EA03C6" w14:paraId="50B42A96" w14:textId="77777777" w:rsidTr="004B171A">
        <w:tc>
          <w:tcPr>
            <w:tcW w:w="2093" w:type="dxa"/>
            <w:shd w:val="clear" w:color="auto" w:fill="D9D9D9" w:themeFill="background1" w:themeFillShade="D9"/>
          </w:tcPr>
          <w:p w14:paraId="39AEF0E5" w14:textId="77777777" w:rsidR="00CE17BE" w:rsidRPr="00EA03C6" w:rsidRDefault="00CE17BE" w:rsidP="004B171A">
            <w:pPr>
              <w:spacing w:before="120"/>
              <w:jc w:val="both"/>
              <w:rPr>
                <w:rFonts w:asciiTheme="majorBidi" w:eastAsia="Arial" w:hAnsiTheme="majorBidi" w:cstheme="majorBidi"/>
                <w:color w:val="000000" w:themeColor="text1"/>
                <w:szCs w:val="24"/>
              </w:rPr>
            </w:pPr>
            <w:r w:rsidRPr="00EA03C6">
              <w:rPr>
                <w:rFonts w:asciiTheme="majorBidi" w:eastAsia="Arial" w:hAnsiTheme="majorBidi" w:cstheme="majorBidi"/>
                <w:b/>
                <w:bCs/>
                <w:color w:val="000000" w:themeColor="text1"/>
                <w:szCs w:val="24"/>
              </w:rPr>
              <w:t xml:space="preserve"> Module Leaders:</w:t>
            </w:r>
          </w:p>
        </w:tc>
        <w:tc>
          <w:tcPr>
            <w:tcW w:w="2301" w:type="dxa"/>
            <w:vAlign w:val="center"/>
          </w:tcPr>
          <w:p w14:paraId="075C5CD5" w14:textId="77777777" w:rsidR="00CE17BE" w:rsidRPr="00585A14" w:rsidRDefault="00CE17BE" w:rsidP="004B171A">
            <w:pPr>
              <w:spacing w:before="120"/>
              <w:jc w:val="both"/>
              <w:rPr>
                <w:rFonts w:asciiTheme="majorBidi" w:eastAsia="Arial" w:hAnsiTheme="majorBidi" w:cstheme="majorBidi"/>
                <w:color w:val="000000" w:themeColor="text1"/>
                <w:szCs w:val="24"/>
              </w:rPr>
            </w:pPr>
          </w:p>
          <w:p w14:paraId="7D621079" w14:textId="77777777" w:rsidR="00CE17BE" w:rsidRPr="00585A14" w:rsidRDefault="00CE17BE" w:rsidP="004B171A">
            <w:pPr>
              <w:spacing w:before="120"/>
              <w:jc w:val="both"/>
              <w:rPr>
                <w:rFonts w:asciiTheme="majorBidi" w:eastAsia="Arial" w:hAnsiTheme="majorBidi" w:cstheme="majorBidi"/>
                <w:color w:val="000000" w:themeColor="text1"/>
                <w:szCs w:val="24"/>
              </w:rPr>
            </w:pPr>
            <w:r w:rsidRPr="00585A14">
              <w:rPr>
                <w:rFonts w:asciiTheme="majorBidi" w:eastAsia="Arial" w:hAnsiTheme="majorBidi" w:cstheme="majorBidi"/>
                <w:color w:val="000000" w:themeColor="text1"/>
                <w:szCs w:val="24"/>
              </w:rPr>
              <w:t>Samson Oladejo</w:t>
            </w:r>
          </w:p>
          <w:p w14:paraId="361EDB88" w14:textId="77777777" w:rsidR="00CE17BE" w:rsidRPr="00585A14" w:rsidRDefault="00CE17BE" w:rsidP="004B171A">
            <w:pPr>
              <w:spacing w:before="120"/>
              <w:jc w:val="both"/>
              <w:rPr>
                <w:rFonts w:asciiTheme="majorBidi" w:eastAsia="Arial" w:hAnsiTheme="majorBidi" w:cstheme="majorBidi"/>
                <w:color w:val="000000" w:themeColor="text1"/>
                <w:szCs w:val="24"/>
              </w:rPr>
            </w:pPr>
            <w:r w:rsidRPr="00585A14">
              <w:rPr>
                <w:rFonts w:asciiTheme="majorBidi" w:eastAsia="Arial" w:hAnsiTheme="majorBidi" w:cstheme="majorBidi"/>
                <w:color w:val="000000" w:themeColor="text1"/>
                <w:szCs w:val="24"/>
              </w:rPr>
              <w:t xml:space="preserve">Dr. Xavier </w:t>
            </w:r>
            <w:proofErr w:type="spellStart"/>
            <w:r w:rsidRPr="00585A14">
              <w:rPr>
                <w:rFonts w:asciiTheme="majorBidi" w:eastAsia="Arial" w:hAnsiTheme="majorBidi" w:cstheme="majorBidi"/>
                <w:color w:val="000000" w:themeColor="text1"/>
                <w:szCs w:val="24"/>
              </w:rPr>
              <w:t>Matieni</w:t>
            </w:r>
            <w:proofErr w:type="spellEnd"/>
          </w:p>
          <w:p w14:paraId="58D8C7B2" w14:textId="77777777" w:rsidR="00CE17BE" w:rsidRPr="00585A14" w:rsidRDefault="00CE17BE" w:rsidP="004B171A">
            <w:pPr>
              <w:spacing w:before="120"/>
              <w:jc w:val="both"/>
              <w:rPr>
                <w:rFonts w:asciiTheme="majorBidi" w:eastAsia="Arial" w:hAnsiTheme="majorBidi" w:cstheme="majorBidi"/>
                <w:color w:val="000000" w:themeColor="text1"/>
                <w:szCs w:val="24"/>
              </w:rPr>
            </w:pPr>
          </w:p>
        </w:tc>
        <w:tc>
          <w:tcPr>
            <w:tcW w:w="2580" w:type="dxa"/>
            <w:shd w:val="clear" w:color="auto" w:fill="D9D9D9" w:themeFill="background1" w:themeFillShade="D9"/>
            <w:vAlign w:val="center"/>
          </w:tcPr>
          <w:p w14:paraId="0F71E8F5" w14:textId="77777777" w:rsidR="00CE17BE" w:rsidRPr="00EA03C6" w:rsidRDefault="00CE17BE" w:rsidP="004B171A">
            <w:pPr>
              <w:spacing w:before="120"/>
              <w:jc w:val="both"/>
              <w:rPr>
                <w:rFonts w:asciiTheme="majorBidi" w:eastAsia="Arial" w:hAnsiTheme="majorBidi" w:cstheme="majorBidi"/>
                <w:color w:val="000000" w:themeColor="text1"/>
                <w:szCs w:val="24"/>
              </w:rPr>
            </w:pPr>
            <w:r w:rsidRPr="00EA03C6">
              <w:rPr>
                <w:rFonts w:asciiTheme="majorBidi" w:eastAsia="Arial" w:hAnsiTheme="majorBidi" w:cstheme="majorBidi"/>
                <w:b/>
                <w:bCs/>
                <w:color w:val="000000" w:themeColor="text1"/>
                <w:szCs w:val="24"/>
              </w:rPr>
              <w:t>Internal Verifier:</w:t>
            </w:r>
          </w:p>
        </w:tc>
        <w:tc>
          <w:tcPr>
            <w:tcW w:w="2948" w:type="dxa"/>
            <w:vAlign w:val="center"/>
          </w:tcPr>
          <w:p w14:paraId="2002CB0F" w14:textId="77777777" w:rsidR="00CE17BE" w:rsidRPr="00585A14" w:rsidRDefault="00CE17BE" w:rsidP="004B171A">
            <w:pPr>
              <w:spacing w:before="120"/>
              <w:jc w:val="both"/>
              <w:rPr>
                <w:rFonts w:asciiTheme="majorBidi" w:eastAsia="Arial" w:hAnsiTheme="majorBidi" w:cstheme="majorBidi"/>
                <w:color w:val="000000" w:themeColor="text1"/>
                <w:szCs w:val="24"/>
              </w:rPr>
            </w:pPr>
            <w:r w:rsidRPr="00585A14">
              <w:rPr>
                <w:rFonts w:asciiTheme="majorBidi" w:eastAsia="Arial" w:hAnsiTheme="majorBidi" w:cstheme="majorBidi"/>
                <w:color w:val="000000" w:themeColor="text1"/>
                <w:szCs w:val="24"/>
              </w:rPr>
              <w:t>Md Kalam</w:t>
            </w:r>
          </w:p>
          <w:p w14:paraId="2634BFF0" w14:textId="77777777" w:rsidR="00CE17BE" w:rsidRPr="00585A14" w:rsidRDefault="00CE17BE" w:rsidP="004B171A">
            <w:pPr>
              <w:spacing w:before="120"/>
              <w:jc w:val="both"/>
              <w:rPr>
                <w:rFonts w:asciiTheme="majorBidi" w:eastAsia="Arial" w:hAnsiTheme="majorBidi" w:cstheme="majorBidi"/>
                <w:color w:val="000000" w:themeColor="text1"/>
                <w:szCs w:val="24"/>
              </w:rPr>
            </w:pPr>
            <w:r w:rsidRPr="00585A14">
              <w:rPr>
                <w:rFonts w:asciiTheme="majorBidi" w:eastAsia="Arial" w:hAnsiTheme="majorBidi" w:cstheme="majorBidi"/>
                <w:color w:val="000000" w:themeColor="text1"/>
                <w:szCs w:val="24"/>
              </w:rPr>
              <w:t>Samuel Ofori</w:t>
            </w:r>
          </w:p>
        </w:tc>
      </w:tr>
      <w:tr w:rsidR="00CE17BE" w:rsidRPr="00EA03C6" w14:paraId="4509D04D" w14:textId="77777777" w:rsidTr="004B171A">
        <w:tc>
          <w:tcPr>
            <w:tcW w:w="2093" w:type="dxa"/>
            <w:shd w:val="clear" w:color="auto" w:fill="D9D9D9" w:themeFill="background1" w:themeFillShade="D9"/>
          </w:tcPr>
          <w:p w14:paraId="2AD29283" w14:textId="77777777" w:rsidR="00CE17BE" w:rsidRPr="00EA03C6" w:rsidRDefault="00CE17BE" w:rsidP="004B171A">
            <w:pPr>
              <w:spacing w:before="120"/>
              <w:jc w:val="both"/>
              <w:rPr>
                <w:rFonts w:asciiTheme="majorBidi" w:hAnsiTheme="majorBidi" w:cstheme="majorBidi"/>
                <w:b/>
                <w:szCs w:val="24"/>
              </w:rPr>
            </w:pPr>
            <w:r w:rsidRPr="00EA03C6">
              <w:rPr>
                <w:rFonts w:asciiTheme="majorBidi" w:hAnsiTheme="majorBidi" w:cstheme="majorBidi"/>
                <w:b/>
                <w:szCs w:val="24"/>
              </w:rPr>
              <w:t>Assignment Title:</w:t>
            </w:r>
          </w:p>
        </w:tc>
        <w:tc>
          <w:tcPr>
            <w:tcW w:w="2301" w:type="dxa"/>
          </w:tcPr>
          <w:p w14:paraId="6B4B7325" w14:textId="77777777" w:rsidR="00CE17BE" w:rsidRPr="00585A14" w:rsidRDefault="00CE17BE" w:rsidP="004B171A">
            <w:pPr>
              <w:spacing w:before="120"/>
              <w:jc w:val="both"/>
              <w:rPr>
                <w:rFonts w:asciiTheme="majorBidi" w:hAnsiTheme="majorBidi" w:cstheme="majorBidi"/>
                <w:szCs w:val="24"/>
              </w:rPr>
            </w:pPr>
            <w:r w:rsidRPr="00585A14">
              <w:rPr>
                <w:rFonts w:asciiTheme="majorBidi" w:hAnsiTheme="majorBidi" w:cstheme="majorBidi"/>
                <w:szCs w:val="24"/>
              </w:rPr>
              <w:t>A Project portfolio.</w:t>
            </w:r>
          </w:p>
        </w:tc>
        <w:tc>
          <w:tcPr>
            <w:tcW w:w="2580" w:type="dxa"/>
            <w:shd w:val="clear" w:color="auto" w:fill="D9D9D9" w:themeFill="background1" w:themeFillShade="D9"/>
          </w:tcPr>
          <w:p w14:paraId="488D3E30" w14:textId="77777777" w:rsidR="00CE17BE" w:rsidRPr="00EA03C6" w:rsidRDefault="00CE17BE" w:rsidP="004B171A">
            <w:pPr>
              <w:spacing w:before="120"/>
              <w:jc w:val="both"/>
              <w:rPr>
                <w:rFonts w:asciiTheme="majorBidi" w:hAnsiTheme="majorBidi" w:cstheme="majorBidi"/>
                <w:b/>
                <w:bCs/>
                <w:szCs w:val="24"/>
              </w:rPr>
            </w:pPr>
            <w:r w:rsidRPr="00EA03C6">
              <w:rPr>
                <w:rFonts w:asciiTheme="majorBidi" w:eastAsia="Arial" w:hAnsiTheme="majorBidi" w:cstheme="majorBidi"/>
                <w:b/>
                <w:bCs/>
                <w:szCs w:val="24"/>
              </w:rPr>
              <w:t xml:space="preserve">Word count or equivalent. </w:t>
            </w:r>
          </w:p>
        </w:tc>
        <w:tc>
          <w:tcPr>
            <w:tcW w:w="2948" w:type="dxa"/>
          </w:tcPr>
          <w:p w14:paraId="64BDC5F6" w14:textId="77777777" w:rsidR="00CE17BE" w:rsidRDefault="00E37546" w:rsidP="004B171A">
            <w:pPr>
              <w:spacing w:before="120"/>
              <w:jc w:val="both"/>
              <w:rPr>
                <w:rFonts w:asciiTheme="majorBidi" w:eastAsia="Arial" w:hAnsiTheme="majorBidi" w:cstheme="majorBidi"/>
                <w:szCs w:val="24"/>
              </w:rPr>
            </w:pPr>
            <w:r>
              <w:rPr>
                <w:rFonts w:asciiTheme="majorBidi" w:eastAsia="Arial" w:hAnsiTheme="majorBidi" w:cstheme="majorBidi"/>
                <w:szCs w:val="24"/>
              </w:rPr>
              <w:t>Part B: 451 words</w:t>
            </w:r>
          </w:p>
          <w:p w14:paraId="16CCACB1" w14:textId="42983E10" w:rsidR="00E37546" w:rsidRPr="00585A14" w:rsidRDefault="00E37546" w:rsidP="004B171A">
            <w:pPr>
              <w:spacing w:before="120"/>
              <w:jc w:val="both"/>
              <w:rPr>
                <w:rFonts w:asciiTheme="majorBidi" w:eastAsia="Arial" w:hAnsiTheme="majorBidi" w:cstheme="majorBidi"/>
                <w:szCs w:val="24"/>
              </w:rPr>
            </w:pPr>
            <w:r>
              <w:rPr>
                <w:rFonts w:asciiTheme="majorBidi" w:eastAsia="Arial" w:hAnsiTheme="majorBidi" w:cstheme="majorBidi"/>
                <w:szCs w:val="24"/>
              </w:rPr>
              <w:t>Part C: 2741 words</w:t>
            </w:r>
          </w:p>
        </w:tc>
      </w:tr>
    </w:tbl>
    <w:p w14:paraId="156378E9" w14:textId="6551DD1D" w:rsidR="004B171A" w:rsidRPr="004B171A" w:rsidRDefault="00D83475" w:rsidP="00AB01E5">
      <w:pPr>
        <w:jc w:val="both"/>
        <w:rPr>
          <w:rFonts w:asciiTheme="majorBidi" w:hAnsiTheme="majorBidi" w:cstheme="majorBidi"/>
          <w:szCs w:val="24"/>
        </w:rPr>
      </w:pPr>
      <w:r w:rsidRPr="00EA03C6">
        <w:rPr>
          <w:rFonts w:asciiTheme="majorBidi" w:hAnsiTheme="majorBidi" w:cstheme="majorBidi"/>
          <w:szCs w:val="24"/>
        </w:rPr>
        <w:br w:type="page"/>
      </w:r>
      <w:bookmarkStart w:id="0" w:name="_Toc234069504"/>
    </w:p>
    <w:p w14:paraId="7622E4C0" w14:textId="07650506" w:rsidR="00485B4A" w:rsidRPr="00EA03C6" w:rsidRDefault="00D83475" w:rsidP="00EA03C6">
      <w:pPr>
        <w:pStyle w:val="Heading1"/>
        <w:jc w:val="both"/>
      </w:pPr>
      <w:r w:rsidRPr="00EA03C6">
        <w:lastRenderedPageBreak/>
        <w:t>Executive Summary</w:t>
      </w:r>
      <w:bookmarkEnd w:id="0"/>
    </w:p>
    <w:p w14:paraId="4977F84A" w14:textId="76E5C1FF" w:rsidR="00485B4A" w:rsidRPr="00EA03C6" w:rsidRDefault="004D4CB7" w:rsidP="00EA03C6">
      <w:pPr>
        <w:jc w:val="both"/>
        <w:rPr>
          <w:rFonts w:asciiTheme="majorBidi" w:hAnsiTheme="majorBidi" w:cstheme="majorBidi"/>
          <w:szCs w:val="24"/>
        </w:rPr>
      </w:pPr>
      <w:r w:rsidRPr="00EA03C6">
        <w:rPr>
          <w:rFonts w:asciiTheme="majorBidi" w:hAnsiTheme="majorBidi" w:cstheme="majorBidi"/>
          <w:szCs w:val="24"/>
        </w:rPr>
        <w:t>This report builds upon the finished project proposal poster to create a project management plan for the redevelopment of Birmingham Central Transport Hub. The feedback from the tutors that is available for the poster confirms that the poster is very strong and strategic but needs greater SMART objectives, project management tools, risk analysis and academic support. Part A is the Poster with the feedback also provided in that. Part B is a critical reflection of that feedback and is an explanation for the strengthening of the final plan. Part C uses a scope baseline, a WBS, a quad chart, a governance framework, a Gantt chart, a stakeholder power-interest matrix, a resource allocation plan, a risk heat map and a risk register. Full redevelopment is recommended over any temporary arrangements or digital upgrades as these will not address the structural cause of closure. The plan thus offers a pragmatic pathway from the proposal to controlled implementation, with a focus on the stakeholders.</w:t>
      </w:r>
    </w:p>
    <w:p w14:paraId="025E0C0E" w14:textId="77777777" w:rsidR="00177705" w:rsidRPr="00EA03C6" w:rsidRDefault="00177705" w:rsidP="00EA03C6">
      <w:pPr>
        <w:spacing w:after="200" w:line="276" w:lineRule="auto"/>
        <w:jc w:val="both"/>
        <w:rPr>
          <w:rFonts w:asciiTheme="majorBidi" w:hAnsiTheme="majorBidi" w:cstheme="majorBidi"/>
          <w:b/>
          <w:bCs/>
          <w:szCs w:val="24"/>
        </w:rPr>
      </w:pPr>
      <w:r w:rsidRPr="00EA03C6">
        <w:rPr>
          <w:rFonts w:asciiTheme="majorBidi" w:hAnsiTheme="majorBidi" w:cstheme="majorBidi"/>
          <w:szCs w:val="24"/>
        </w:rPr>
        <w:br w:type="page"/>
      </w:r>
    </w:p>
    <w:sdt>
      <w:sdtPr>
        <w:rPr>
          <w:rFonts w:ascii="Calibri" w:hAnsi="Calibri" w:cstheme="minorBidi"/>
          <w:b w:val="0"/>
          <w:bCs w:val="0"/>
          <w:szCs w:val="22"/>
        </w:rPr>
        <w:id w:val="740673773"/>
        <w:docPartObj>
          <w:docPartGallery w:val="Table of Contents"/>
          <w:docPartUnique/>
        </w:docPartObj>
      </w:sdtPr>
      <w:sdtEndPr>
        <w:rPr>
          <w:noProof/>
        </w:rPr>
      </w:sdtEndPr>
      <w:sdtContent>
        <w:p w14:paraId="7278C9DF" w14:textId="040A3151" w:rsidR="00177705" w:rsidRPr="00EA03C6" w:rsidRDefault="00177705" w:rsidP="00EA03C6">
          <w:pPr>
            <w:pStyle w:val="TOCHeading"/>
            <w:jc w:val="both"/>
          </w:pPr>
          <w:r w:rsidRPr="00EA03C6">
            <w:t>Contents</w:t>
          </w:r>
        </w:p>
        <w:p w14:paraId="73AF93D6" w14:textId="7A6F8EFC" w:rsidR="00177705" w:rsidRPr="00EA03C6" w:rsidRDefault="00177705" w:rsidP="00EA03C6">
          <w:pPr>
            <w:pStyle w:val="TOC1"/>
            <w:tabs>
              <w:tab w:val="right" w:leader="dot" w:pos="9926"/>
            </w:tabs>
            <w:jc w:val="both"/>
            <w:rPr>
              <w:rFonts w:asciiTheme="majorBidi" w:eastAsiaTheme="minorEastAsia" w:hAnsiTheme="majorBidi" w:cstheme="majorBidi"/>
              <w:noProof/>
              <w:kern w:val="2"/>
              <w:szCs w:val="24"/>
              <w:lang w:val="en-PK" w:eastAsia="en-PK"/>
              <w14:ligatures w14:val="standardContextual"/>
            </w:rPr>
          </w:pPr>
          <w:r w:rsidRPr="00EA03C6">
            <w:rPr>
              <w:rFonts w:asciiTheme="majorBidi" w:hAnsiTheme="majorBidi" w:cstheme="majorBidi"/>
              <w:szCs w:val="24"/>
            </w:rPr>
            <w:fldChar w:fldCharType="begin"/>
          </w:r>
          <w:r w:rsidRPr="00EA03C6">
            <w:rPr>
              <w:rFonts w:asciiTheme="majorBidi" w:hAnsiTheme="majorBidi" w:cstheme="majorBidi"/>
              <w:szCs w:val="24"/>
            </w:rPr>
            <w:instrText xml:space="preserve"> TOC \o "1-3" \h \z \u </w:instrText>
          </w:r>
          <w:r w:rsidRPr="00EA03C6">
            <w:rPr>
              <w:rFonts w:asciiTheme="majorBidi" w:hAnsiTheme="majorBidi" w:cstheme="majorBidi"/>
              <w:szCs w:val="24"/>
            </w:rPr>
            <w:fldChar w:fldCharType="separate"/>
          </w:r>
          <w:hyperlink w:anchor="_Toc234069504" w:history="1">
            <w:r w:rsidRPr="00EA03C6">
              <w:rPr>
                <w:rStyle w:val="Hyperlink"/>
                <w:rFonts w:asciiTheme="majorBidi" w:hAnsiTheme="majorBidi" w:cstheme="majorBidi"/>
                <w:noProof/>
                <w:szCs w:val="24"/>
              </w:rPr>
              <w:t>Executive Summary</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_Toc234069504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2</w:t>
            </w:r>
            <w:r w:rsidRPr="00EA03C6">
              <w:rPr>
                <w:rFonts w:asciiTheme="majorBidi" w:hAnsiTheme="majorBidi" w:cstheme="majorBidi"/>
                <w:noProof/>
                <w:webHidden/>
                <w:szCs w:val="24"/>
              </w:rPr>
              <w:fldChar w:fldCharType="end"/>
            </w:r>
          </w:hyperlink>
        </w:p>
        <w:p w14:paraId="31C77EF1" w14:textId="75D92268" w:rsidR="00177705" w:rsidRPr="00EA03C6" w:rsidRDefault="00177705" w:rsidP="00EA03C6">
          <w:pPr>
            <w:pStyle w:val="TOC1"/>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05" w:history="1">
            <w:r w:rsidRPr="00EA03C6">
              <w:rPr>
                <w:rStyle w:val="Hyperlink"/>
                <w:rFonts w:asciiTheme="majorBidi" w:hAnsiTheme="majorBidi" w:cstheme="majorBidi"/>
                <w:noProof/>
                <w:szCs w:val="24"/>
              </w:rPr>
              <w:t>Part A: Poster</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_Toc234069505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4</w:t>
            </w:r>
            <w:r w:rsidRPr="00EA03C6">
              <w:rPr>
                <w:rFonts w:asciiTheme="majorBidi" w:hAnsiTheme="majorBidi" w:cstheme="majorBidi"/>
                <w:noProof/>
                <w:webHidden/>
                <w:szCs w:val="24"/>
              </w:rPr>
              <w:fldChar w:fldCharType="end"/>
            </w:r>
          </w:hyperlink>
        </w:p>
        <w:p w14:paraId="4D5DA350" w14:textId="6514D60E" w:rsidR="00177705" w:rsidRPr="00EA03C6" w:rsidRDefault="00177705" w:rsidP="00EA03C6">
          <w:pPr>
            <w:pStyle w:val="TOC1"/>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06" w:history="1">
            <w:r w:rsidRPr="00EA03C6">
              <w:rPr>
                <w:rStyle w:val="Hyperlink"/>
                <w:rFonts w:asciiTheme="majorBidi" w:hAnsiTheme="majorBidi" w:cstheme="majorBidi"/>
                <w:noProof/>
                <w:szCs w:val="24"/>
              </w:rPr>
              <w:t>Part B: Critical Reflection on Feedback</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_Toc234069506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5</w:t>
            </w:r>
            <w:r w:rsidRPr="00EA03C6">
              <w:rPr>
                <w:rFonts w:asciiTheme="majorBidi" w:hAnsiTheme="majorBidi" w:cstheme="majorBidi"/>
                <w:noProof/>
                <w:webHidden/>
                <w:szCs w:val="24"/>
              </w:rPr>
              <w:fldChar w:fldCharType="end"/>
            </w:r>
          </w:hyperlink>
        </w:p>
        <w:p w14:paraId="1C4F2402" w14:textId="13AA45D4" w:rsidR="00177705" w:rsidRPr="00EA03C6" w:rsidRDefault="00177705" w:rsidP="00EA03C6">
          <w:pPr>
            <w:pStyle w:val="TOC1"/>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07" w:history="1">
            <w:r w:rsidRPr="00EA03C6">
              <w:rPr>
                <w:rStyle w:val="Hyperlink"/>
                <w:rFonts w:asciiTheme="majorBidi" w:hAnsiTheme="majorBidi" w:cstheme="majorBidi"/>
                <w:noProof/>
                <w:szCs w:val="24"/>
              </w:rPr>
              <w:t>Part C: Project Management Plan</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_Toc234069507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7</w:t>
            </w:r>
            <w:r w:rsidRPr="00EA03C6">
              <w:rPr>
                <w:rFonts w:asciiTheme="majorBidi" w:hAnsiTheme="majorBidi" w:cstheme="majorBidi"/>
                <w:noProof/>
                <w:webHidden/>
                <w:szCs w:val="24"/>
              </w:rPr>
              <w:fldChar w:fldCharType="end"/>
            </w:r>
          </w:hyperlink>
        </w:p>
        <w:p w14:paraId="23252271" w14:textId="37591A2F" w:rsidR="00177705" w:rsidRPr="00EA03C6" w:rsidRDefault="00177705" w:rsidP="00EA03C6">
          <w:pPr>
            <w:pStyle w:val="TOC2"/>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08" w:history="1">
            <w:r w:rsidRPr="00EA03C6">
              <w:rPr>
                <w:rStyle w:val="Hyperlink"/>
                <w:rFonts w:asciiTheme="majorBidi" w:hAnsiTheme="majorBidi" w:cstheme="majorBidi"/>
                <w:noProof/>
                <w:szCs w:val="24"/>
              </w:rPr>
              <w:t>1. Introduction</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_Toc234069508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7</w:t>
            </w:r>
            <w:r w:rsidRPr="00EA03C6">
              <w:rPr>
                <w:rFonts w:asciiTheme="majorBidi" w:hAnsiTheme="majorBidi" w:cstheme="majorBidi"/>
                <w:noProof/>
                <w:webHidden/>
                <w:szCs w:val="24"/>
              </w:rPr>
              <w:fldChar w:fldCharType="end"/>
            </w:r>
          </w:hyperlink>
        </w:p>
        <w:p w14:paraId="62A707FD" w14:textId="078EAA83" w:rsidR="00177705" w:rsidRPr="00EA03C6" w:rsidRDefault="00177705" w:rsidP="00EA03C6">
          <w:pPr>
            <w:pStyle w:val="TOC2"/>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09" w:history="1">
            <w:r w:rsidRPr="00EA03C6">
              <w:rPr>
                <w:rStyle w:val="Hyperlink"/>
                <w:rFonts w:asciiTheme="majorBidi" w:hAnsiTheme="majorBidi" w:cstheme="majorBidi"/>
                <w:noProof/>
                <w:szCs w:val="24"/>
              </w:rPr>
              <w:t>2. Project description</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_Toc234069509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7</w:t>
            </w:r>
            <w:r w:rsidRPr="00EA03C6">
              <w:rPr>
                <w:rFonts w:asciiTheme="majorBidi" w:hAnsiTheme="majorBidi" w:cstheme="majorBidi"/>
                <w:noProof/>
                <w:webHidden/>
                <w:szCs w:val="24"/>
              </w:rPr>
              <w:fldChar w:fldCharType="end"/>
            </w:r>
          </w:hyperlink>
        </w:p>
        <w:p w14:paraId="3CEA64EE" w14:textId="5BD7AE80" w:rsidR="00177705" w:rsidRPr="00EA03C6" w:rsidRDefault="00177705" w:rsidP="00EA03C6">
          <w:pPr>
            <w:pStyle w:val="TOC2"/>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10" w:history="1">
            <w:r w:rsidRPr="00EA03C6">
              <w:rPr>
                <w:rStyle w:val="Hyperlink"/>
                <w:rFonts w:asciiTheme="majorBidi" w:hAnsiTheme="majorBidi" w:cstheme="majorBidi"/>
                <w:noProof/>
                <w:szCs w:val="24"/>
              </w:rPr>
              <w:t>3. Scope</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_Toc234069510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9</w:t>
            </w:r>
            <w:r w:rsidRPr="00EA03C6">
              <w:rPr>
                <w:rFonts w:asciiTheme="majorBidi" w:hAnsiTheme="majorBidi" w:cstheme="majorBidi"/>
                <w:noProof/>
                <w:webHidden/>
                <w:szCs w:val="24"/>
              </w:rPr>
              <w:fldChar w:fldCharType="end"/>
            </w:r>
          </w:hyperlink>
        </w:p>
        <w:p w14:paraId="072EC725" w14:textId="62FF0727" w:rsidR="00177705" w:rsidRPr="00EA03C6" w:rsidRDefault="00177705" w:rsidP="00EA03C6">
          <w:pPr>
            <w:pStyle w:val="TOC2"/>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11" w:history="1">
            <w:r w:rsidRPr="00EA03C6">
              <w:rPr>
                <w:rStyle w:val="Hyperlink"/>
                <w:rFonts w:asciiTheme="majorBidi" w:hAnsiTheme="majorBidi" w:cstheme="majorBidi"/>
                <w:noProof/>
                <w:szCs w:val="24"/>
              </w:rPr>
              <w:t>4. Work Breakdown Structure (WBS)</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_Toc234069511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10</w:t>
            </w:r>
            <w:r w:rsidRPr="00EA03C6">
              <w:rPr>
                <w:rFonts w:asciiTheme="majorBidi" w:hAnsiTheme="majorBidi" w:cstheme="majorBidi"/>
                <w:noProof/>
                <w:webHidden/>
                <w:szCs w:val="24"/>
              </w:rPr>
              <w:fldChar w:fldCharType="end"/>
            </w:r>
          </w:hyperlink>
        </w:p>
        <w:p w14:paraId="289A9143" w14:textId="7454B441" w:rsidR="00177705" w:rsidRPr="00EA03C6" w:rsidRDefault="00177705" w:rsidP="00EA03C6">
          <w:pPr>
            <w:pStyle w:val="TOC2"/>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12" w:history="1">
            <w:r w:rsidRPr="00EA03C6">
              <w:rPr>
                <w:rStyle w:val="Hyperlink"/>
                <w:rFonts w:asciiTheme="majorBidi" w:hAnsiTheme="majorBidi" w:cstheme="majorBidi"/>
                <w:noProof/>
                <w:szCs w:val="24"/>
              </w:rPr>
              <w:t>5. Quad Chart</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_Toc234069512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11</w:t>
            </w:r>
            <w:r w:rsidRPr="00EA03C6">
              <w:rPr>
                <w:rFonts w:asciiTheme="majorBidi" w:hAnsiTheme="majorBidi" w:cstheme="majorBidi"/>
                <w:noProof/>
                <w:webHidden/>
                <w:szCs w:val="24"/>
              </w:rPr>
              <w:fldChar w:fldCharType="end"/>
            </w:r>
          </w:hyperlink>
        </w:p>
        <w:p w14:paraId="4CC3815E" w14:textId="7E6C1A76" w:rsidR="00177705" w:rsidRPr="00EA03C6" w:rsidRDefault="00177705" w:rsidP="00EA03C6">
          <w:pPr>
            <w:pStyle w:val="TOC2"/>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13" w:history="1">
            <w:r w:rsidRPr="00EA03C6">
              <w:rPr>
                <w:rStyle w:val="Hyperlink"/>
                <w:rFonts w:asciiTheme="majorBidi" w:hAnsiTheme="majorBidi" w:cstheme="majorBidi"/>
                <w:noProof/>
                <w:szCs w:val="24"/>
              </w:rPr>
              <w:t>6. Gantt Chart</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_Toc234069513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12</w:t>
            </w:r>
            <w:r w:rsidRPr="00EA03C6">
              <w:rPr>
                <w:rFonts w:asciiTheme="majorBidi" w:hAnsiTheme="majorBidi" w:cstheme="majorBidi"/>
                <w:noProof/>
                <w:webHidden/>
                <w:szCs w:val="24"/>
              </w:rPr>
              <w:fldChar w:fldCharType="end"/>
            </w:r>
          </w:hyperlink>
        </w:p>
        <w:p w14:paraId="0346DEAD" w14:textId="7B58803F" w:rsidR="00177705" w:rsidRPr="00EA03C6" w:rsidRDefault="00177705" w:rsidP="00EA03C6">
          <w:pPr>
            <w:pStyle w:val="TOC2"/>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14" w:history="1">
            <w:r w:rsidRPr="00EA03C6">
              <w:rPr>
                <w:rStyle w:val="Hyperlink"/>
                <w:rFonts w:asciiTheme="majorBidi" w:hAnsiTheme="majorBidi" w:cstheme="majorBidi"/>
                <w:noProof/>
                <w:szCs w:val="24"/>
              </w:rPr>
              <w:t>7. Stakeholders' involvement</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_Toc234069514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13</w:t>
            </w:r>
            <w:r w:rsidRPr="00EA03C6">
              <w:rPr>
                <w:rFonts w:asciiTheme="majorBidi" w:hAnsiTheme="majorBidi" w:cstheme="majorBidi"/>
                <w:noProof/>
                <w:webHidden/>
                <w:szCs w:val="24"/>
              </w:rPr>
              <w:fldChar w:fldCharType="end"/>
            </w:r>
          </w:hyperlink>
        </w:p>
        <w:p w14:paraId="50D9390F" w14:textId="77C2DC9C" w:rsidR="00177705" w:rsidRPr="00EA03C6" w:rsidRDefault="00177705" w:rsidP="00EA03C6">
          <w:pPr>
            <w:pStyle w:val="TOC2"/>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15" w:history="1">
            <w:r w:rsidRPr="00EA03C6">
              <w:rPr>
                <w:rStyle w:val="Hyperlink"/>
                <w:rFonts w:asciiTheme="majorBidi" w:hAnsiTheme="majorBidi" w:cstheme="majorBidi"/>
                <w:noProof/>
                <w:szCs w:val="24"/>
              </w:rPr>
              <w:t>8. Allocation of resources</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_Toc234069515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14</w:t>
            </w:r>
            <w:r w:rsidRPr="00EA03C6">
              <w:rPr>
                <w:rFonts w:asciiTheme="majorBidi" w:hAnsiTheme="majorBidi" w:cstheme="majorBidi"/>
                <w:noProof/>
                <w:webHidden/>
                <w:szCs w:val="24"/>
              </w:rPr>
              <w:fldChar w:fldCharType="end"/>
            </w:r>
          </w:hyperlink>
        </w:p>
        <w:p w14:paraId="386EE6B8" w14:textId="679F8D38" w:rsidR="00177705" w:rsidRPr="00EA03C6" w:rsidRDefault="00177705" w:rsidP="00EA03C6">
          <w:pPr>
            <w:pStyle w:val="TOC2"/>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16" w:history="1">
            <w:r w:rsidRPr="00EA03C6">
              <w:rPr>
                <w:rStyle w:val="Hyperlink"/>
                <w:rFonts w:asciiTheme="majorBidi" w:hAnsiTheme="majorBidi" w:cstheme="majorBidi"/>
                <w:noProof/>
                <w:szCs w:val="24"/>
              </w:rPr>
              <w:t>9. Risk Analysis</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_Toc234069516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16</w:t>
            </w:r>
            <w:r w:rsidRPr="00EA03C6">
              <w:rPr>
                <w:rFonts w:asciiTheme="majorBidi" w:hAnsiTheme="majorBidi" w:cstheme="majorBidi"/>
                <w:noProof/>
                <w:webHidden/>
                <w:szCs w:val="24"/>
              </w:rPr>
              <w:fldChar w:fldCharType="end"/>
            </w:r>
          </w:hyperlink>
        </w:p>
        <w:p w14:paraId="1195EB67" w14:textId="75C81BF0" w:rsidR="00177705" w:rsidRPr="00EA03C6" w:rsidRDefault="00177705" w:rsidP="00EA03C6">
          <w:pPr>
            <w:pStyle w:val="TOC2"/>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17" w:history="1">
            <w:r w:rsidRPr="00EA03C6">
              <w:rPr>
                <w:rStyle w:val="Hyperlink"/>
                <w:rFonts w:asciiTheme="majorBidi" w:hAnsiTheme="majorBidi" w:cstheme="majorBidi"/>
                <w:noProof/>
                <w:szCs w:val="24"/>
              </w:rPr>
              <w:t>10. Conclusion</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_Toc234069517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17</w:t>
            </w:r>
            <w:r w:rsidRPr="00EA03C6">
              <w:rPr>
                <w:rFonts w:asciiTheme="majorBidi" w:hAnsiTheme="majorBidi" w:cstheme="majorBidi"/>
                <w:noProof/>
                <w:webHidden/>
                <w:szCs w:val="24"/>
              </w:rPr>
              <w:fldChar w:fldCharType="end"/>
            </w:r>
          </w:hyperlink>
        </w:p>
        <w:p w14:paraId="3F7477A1" w14:textId="1B008310" w:rsidR="00177705" w:rsidRPr="00EA03C6" w:rsidRDefault="00177705" w:rsidP="00EA03C6">
          <w:pPr>
            <w:pStyle w:val="TOC1"/>
            <w:tabs>
              <w:tab w:val="right" w:leader="dot" w:pos="9926"/>
            </w:tabs>
            <w:jc w:val="both"/>
            <w:rPr>
              <w:rFonts w:asciiTheme="majorBidi" w:eastAsiaTheme="minorEastAsia" w:hAnsiTheme="majorBidi" w:cstheme="majorBidi"/>
              <w:noProof/>
              <w:kern w:val="2"/>
              <w:szCs w:val="24"/>
              <w:lang w:val="en-PK" w:eastAsia="en-PK"/>
              <w14:ligatures w14:val="standardContextual"/>
            </w:rPr>
          </w:pPr>
          <w:hyperlink w:anchor="_Toc234069518" w:history="1">
            <w:r w:rsidRPr="00EA03C6">
              <w:rPr>
                <w:rStyle w:val="Hyperlink"/>
                <w:rFonts w:asciiTheme="majorBidi" w:hAnsiTheme="majorBidi" w:cstheme="majorBidi"/>
                <w:noProof/>
                <w:szCs w:val="24"/>
              </w:rPr>
              <w:t>References</w:t>
            </w:r>
            <w:r w:rsidRPr="00EA03C6">
              <w:rPr>
                <w:rFonts w:asciiTheme="majorBidi" w:hAnsiTheme="majorBidi" w:cstheme="majorBidi"/>
                <w:noProof/>
                <w:webHidden/>
                <w:szCs w:val="24"/>
              </w:rPr>
              <w:tab/>
            </w:r>
            <w:r w:rsidRPr="00EA03C6">
              <w:rPr>
                <w:rFonts w:asciiTheme="majorBidi" w:hAnsiTheme="majorBidi" w:cstheme="majorBidi"/>
                <w:noProof/>
                <w:webHidden/>
                <w:szCs w:val="24"/>
              </w:rPr>
              <w:fldChar w:fldCharType="begin"/>
            </w:r>
            <w:r w:rsidRPr="00EA03C6">
              <w:rPr>
                <w:rFonts w:asciiTheme="majorBidi" w:hAnsiTheme="majorBidi" w:cstheme="majorBidi"/>
                <w:noProof/>
                <w:webHidden/>
                <w:szCs w:val="24"/>
              </w:rPr>
              <w:instrText xml:space="preserve"> PAGEREF _Toc234069518 \h </w:instrText>
            </w:r>
            <w:r w:rsidRPr="00EA03C6">
              <w:rPr>
                <w:rFonts w:asciiTheme="majorBidi" w:hAnsiTheme="majorBidi" w:cstheme="majorBidi"/>
                <w:noProof/>
                <w:webHidden/>
                <w:szCs w:val="24"/>
              </w:rPr>
            </w:r>
            <w:r w:rsidRPr="00EA03C6">
              <w:rPr>
                <w:rFonts w:asciiTheme="majorBidi" w:hAnsiTheme="majorBidi" w:cstheme="majorBidi"/>
                <w:noProof/>
                <w:webHidden/>
                <w:szCs w:val="24"/>
              </w:rPr>
              <w:fldChar w:fldCharType="separate"/>
            </w:r>
            <w:r w:rsidR="00113959">
              <w:rPr>
                <w:rFonts w:asciiTheme="majorBidi" w:hAnsiTheme="majorBidi" w:cstheme="majorBidi"/>
                <w:noProof/>
                <w:webHidden/>
                <w:szCs w:val="24"/>
              </w:rPr>
              <w:t>19</w:t>
            </w:r>
            <w:r w:rsidRPr="00EA03C6">
              <w:rPr>
                <w:rFonts w:asciiTheme="majorBidi" w:hAnsiTheme="majorBidi" w:cstheme="majorBidi"/>
                <w:noProof/>
                <w:webHidden/>
                <w:szCs w:val="24"/>
              </w:rPr>
              <w:fldChar w:fldCharType="end"/>
            </w:r>
          </w:hyperlink>
        </w:p>
        <w:p w14:paraId="1EE566A0" w14:textId="721E3194" w:rsidR="00177705" w:rsidRPr="00EA03C6" w:rsidRDefault="00177705" w:rsidP="00EA03C6">
          <w:pPr>
            <w:jc w:val="both"/>
            <w:rPr>
              <w:rFonts w:asciiTheme="majorBidi" w:hAnsiTheme="majorBidi" w:cstheme="majorBidi"/>
              <w:szCs w:val="24"/>
            </w:rPr>
          </w:pPr>
          <w:r w:rsidRPr="00EA03C6">
            <w:rPr>
              <w:rFonts w:asciiTheme="majorBidi" w:hAnsiTheme="majorBidi" w:cstheme="majorBidi"/>
              <w:b/>
              <w:bCs/>
              <w:noProof/>
              <w:szCs w:val="24"/>
            </w:rPr>
            <w:fldChar w:fldCharType="end"/>
          </w:r>
        </w:p>
      </w:sdtContent>
    </w:sdt>
    <w:p w14:paraId="36952D27" w14:textId="72750C1F" w:rsidR="00485B4A" w:rsidRPr="00EA03C6" w:rsidRDefault="00485B4A" w:rsidP="00EA03C6">
      <w:pPr>
        <w:pStyle w:val="ListBullet"/>
        <w:numPr>
          <w:ilvl w:val="0"/>
          <w:numId w:val="0"/>
        </w:numPr>
        <w:ind w:left="360" w:hanging="360"/>
        <w:jc w:val="both"/>
        <w:rPr>
          <w:rFonts w:asciiTheme="majorBidi" w:hAnsiTheme="majorBidi" w:cstheme="majorBidi"/>
          <w:szCs w:val="24"/>
        </w:rPr>
      </w:pPr>
    </w:p>
    <w:p w14:paraId="53953051" w14:textId="71145A26" w:rsidR="00CE17BE" w:rsidRPr="00EA03C6" w:rsidRDefault="00D83475" w:rsidP="00EA03C6">
      <w:pPr>
        <w:jc w:val="both"/>
        <w:rPr>
          <w:rFonts w:asciiTheme="majorBidi" w:hAnsiTheme="majorBidi" w:cstheme="majorBidi"/>
          <w:szCs w:val="24"/>
        </w:rPr>
      </w:pPr>
      <w:r w:rsidRPr="00EA03C6">
        <w:rPr>
          <w:rFonts w:asciiTheme="majorBidi" w:hAnsiTheme="majorBidi" w:cstheme="majorBidi"/>
          <w:szCs w:val="24"/>
        </w:rPr>
        <w:br w:type="page"/>
      </w:r>
    </w:p>
    <w:p w14:paraId="6D9743D4" w14:textId="0FE497D1" w:rsidR="00485B4A" w:rsidRPr="00EA03C6" w:rsidRDefault="00CE17BE" w:rsidP="00EA03C6">
      <w:pPr>
        <w:pStyle w:val="Heading1"/>
        <w:jc w:val="both"/>
      </w:pPr>
      <w:bookmarkStart w:id="1" w:name="_Toc234069505"/>
      <w:r w:rsidRPr="00EA03C6">
        <w:lastRenderedPageBreak/>
        <w:t>Part A: Poster</w:t>
      </w:r>
      <w:bookmarkEnd w:id="1"/>
    </w:p>
    <w:p w14:paraId="6B627E57" w14:textId="77777777" w:rsidR="00CE17BE" w:rsidRPr="00EA03C6" w:rsidRDefault="00CE17BE" w:rsidP="00EA03C6">
      <w:pPr>
        <w:keepNext/>
        <w:jc w:val="center"/>
        <w:rPr>
          <w:rFonts w:asciiTheme="majorBidi" w:hAnsiTheme="majorBidi" w:cstheme="majorBidi"/>
          <w:szCs w:val="24"/>
        </w:rPr>
      </w:pPr>
      <w:r w:rsidRPr="00EA03C6">
        <w:rPr>
          <w:rFonts w:asciiTheme="majorBidi" w:hAnsiTheme="majorBidi" w:cstheme="majorBidi"/>
          <w:noProof/>
          <w:szCs w:val="24"/>
        </w:rPr>
        <w:drawing>
          <wp:inline distT="0" distB="0" distL="0" distR="0" wp14:anchorId="0B9E2343" wp14:editId="7B28D2B1">
            <wp:extent cx="5610225" cy="7930697"/>
            <wp:effectExtent l="0" t="0" r="0" b="0"/>
            <wp:docPr id="5" name="Picture 5" descr="Image: 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ster_transport_hub_render.png"/>
                    <pic:cNvPicPr/>
                  </pic:nvPicPr>
                  <pic:blipFill>
                    <a:blip r:embed="rId8"/>
                    <a:stretch>
                      <a:fillRect/>
                    </a:stretch>
                  </pic:blipFill>
                  <pic:spPr>
                    <a:xfrm>
                      <a:off x="0" y="0"/>
                      <a:ext cx="5623186" cy="7949019"/>
                    </a:xfrm>
                    <a:prstGeom prst="rect">
                      <a:avLst/>
                    </a:prstGeom>
                  </pic:spPr>
                </pic:pic>
              </a:graphicData>
            </a:graphic>
          </wp:inline>
        </w:drawing>
      </w:r>
    </w:p>
    <w:p w14:paraId="60D9ED74" w14:textId="2C66F245" w:rsidR="00CE17BE" w:rsidRPr="00EA03C6" w:rsidRDefault="00CE17BE" w:rsidP="00EA03C6">
      <w:pPr>
        <w:pStyle w:val="Caption"/>
        <w:jc w:val="both"/>
        <w:rPr>
          <w:rFonts w:asciiTheme="majorBidi" w:hAnsiTheme="majorBidi" w:cstheme="majorBidi"/>
          <w:sz w:val="24"/>
          <w:szCs w:val="24"/>
        </w:rPr>
      </w:pPr>
      <w:r w:rsidRPr="00EA03C6">
        <w:rPr>
          <w:rFonts w:asciiTheme="majorBidi" w:hAnsiTheme="majorBidi" w:cstheme="majorBidi"/>
          <w:sz w:val="24"/>
          <w:szCs w:val="24"/>
        </w:rPr>
        <w:t xml:space="preserve">Figure </w:t>
      </w:r>
      <w:r w:rsidRPr="00EA03C6">
        <w:rPr>
          <w:rFonts w:asciiTheme="majorBidi" w:hAnsiTheme="majorBidi" w:cstheme="majorBidi"/>
          <w:sz w:val="24"/>
          <w:szCs w:val="24"/>
        </w:rPr>
        <w:fldChar w:fldCharType="begin"/>
      </w:r>
      <w:r w:rsidRPr="00EA03C6">
        <w:rPr>
          <w:rFonts w:asciiTheme="majorBidi" w:hAnsiTheme="majorBidi" w:cstheme="majorBidi"/>
          <w:sz w:val="24"/>
          <w:szCs w:val="24"/>
        </w:rPr>
        <w:instrText xml:space="preserve"> SEQ Figure \* ARABIC </w:instrText>
      </w:r>
      <w:r w:rsidRPr="00EA03C6">
        <w:rPr>
          <w:rFonts w:asciiTheme="majorBidi" w:hAnsiTheme="majorBidi" w:cstheme="majorBidi"/>
          <w:sz w:val="24"/>
          <w:szCs w:val="24"/>
        </w:rPr>
        <w:fldChar w:fldCharType="separate"/>
      </w:r>
      <w:r w:rsidR="004F0BF7" w:rsidRPr="00EA03C6">
        <w:rPr>
          <w:rFonts w:asciiTheme="majorBidi" w:hAnsiTheme="majorBidi" w:cstheme="majorBidi"/>
          <w:sz w:val="24"/>
          <w:szCs w:val="24"/>
        </w:rPr>
        <w:t>1</w:t>
      </w:r>
      <w:r w:rsidRPr="00EA03C6">
        <w:rPr>
          <w:rFonts w:asciiTheme="majorBidi" w:hAnsiTheme="majorBidi" w:cstheme="majorBidi"/>
          <w:sz w:val="24"/>
          <w:szCs w:val="24"/>
        </w:rPr>
        <w:fldChar w:fldCharType="end"/>
      </w:r>
      <w:r w:rsidRPr="00EA03C6">
        <w:rPr>
          <w:rFonts w:asciiTheme="majorBidi" w:hAnsiTheme="majorBidi" w:cstheme="majorBidi"/>
          <w:sz w:val="24"/>
          <w:szCs w:val="24"/>
        </w:rPr>
        <w:t>: Part A project proposal poster</w:t>
      </w:r>
    </w:p>
    <w:p w14:paraId="1BA351C3" w14:textId="4B383387" w:rsidR="00275A8A" w:rsidRPr="00EA03C6" w:rsidRDefault="00275A8A" w:rsidP="00EA03C6">
      <w:pPr>
        <w:jc w:val="both"/>
        <w:rPr>
          <w:rFonts w:asciiTheme="majorBidi" w:hAnsiTheme="majorBidi" w:cstheme="majorBidi"/>
          <w:i/>
          <w:iCs/>
          <w:szCs w:val="24"/>
        </w:rPr>
      </w:pPr>
      <w:r w:rsidRPr="00EA03C6">
        <w:rPr>
          <w:rFonts w:asciiTheme="majorBidi" w:hAnsiTheme="majorBidi" w:cstheme="majorBidi"/>
          <w:i/>
          <w:iCs/>
          <w:szCs w:val="24"/>
        </w:rPr>
        <w:lastRenderedPageBreak/>
        <w:t>Feedback:</w:t>
      </w:r>
    </w:p>
    <w:p w14:paraId="7A92CC05" w14:textId="65F1A23B" w:rsidR="00275A8A" w:rsidRPr="00EA03C6" w:rsidRDefault="00275A8A" w:rsidP="00EA03C6">
      <w:pPr>
        <w:jc w:val="both"/>
        <w:rPr>
          <w:rFonts w:asciiTheme="majorBidi" w:hAnsiTheme="majorBidi" w:cstheme="majorBidi"/>
          <w:i/>
          <w:iCs/>
          <w:szCs w:val="24"/>
        </w:rPr>
      </w:pPr>
      <w:r w:rsidRPr="00EA03C6">
        <w:rPr>
          <w:rFonts w:asciiTheme="majorBidi" w:hAnsiTheme="majorBidi" w:cstheme="majorBidi"/>
          <w:i/>
          <w:iCs/>
          <w:noProof/>
          <w:szCs w:val="24"/>
        </w:rPr>
        <w:drawing>
          <wp:inline distT="0" distB="0" distL="0" distR="0" wp14:anchorId="25657482" wp14:editId="0FA965DB">
            <wp:extent cx="2986896" cy="6473190"/>
            <wp:effectExtent l="0" t="0" r="4445" b="3810"/>
            <wp:docPr id="1531559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8840" cy="6520746"/>
                    </a:xfrm>
                    <a:prstGeom prst="rect">
                      <a:avLst/>
                    </a:prstGeom>
                    <a:noFill/>
                  </pic:spPr>
                </pic:pic>
              </a:graphicData>
            </a:graphic>
          </wp:inline>
        </w:drawing>
      </w:r>
      <w:r w:rsidRPr="00EA03C6">
        <w:rPr>
          <w:rFonts w:asciiTheme="majorBidi" w:hAnsiTheme="majorBidi" w:cstheme="majorBidi"/>
          <w:i/>
          <w:iCs/>
          <w:noProof/>
          <w:szCs w:val="24"/>
        </w:rPr>
        <w:drawing>
          <wp:inline distT="0" distB="0" distL="0" distR="0" wp14:anchorId="1031378D" wp14:editId="057A0F20">
            <wp:extent cx="2991966" cy="6484176"/>
            <wp:effectExtent l="0" t="0" r="0" b="0"/>
            <wp:docPr id="21170571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9974" cy="6501532"/>
                    </a:xfrm>
                    <a:prstGeom prst="rect">
                      <a:avLst/>
                    </a:prstGeom>
                    <a:noFill/>
                  </pic:spPr>
                </pic:pic>
              </a:graphicData>
            </a:graphic>
          </wp:inline>
        </w:drawing>
      </w:r>
    </w:p>
    <w:p w14:paraId="10C98A38" w14:textId="7494D74A" w:rsidR="00485B4A" w:rsidRPr="00EA03C6" w:rsidRDefault="00D83475" w:rsidP="00EA03C6">
      <w:pPr>
        <w:pStyle w:val="Heading1"/>
        <w:jc w:val="both"/>
      </w:pPr>
      <w:bookmarkStart w:id="2" w:name="_Toc234069506"/>
      <w:r w:rsidRPr="00EA03C6">
        <w:t>Part B: Critical Reflection on Feedback</w:t>
      </w:r>
      <w:bookmarkEnd w:id="2"/>
    </w:p>
    <w:p w14:paraId="33E23BAD" w14:textId="77777777" w:rsidR="0082333B" w:rsidRPr="00EA03C6" w:rsidRDefault="0082333B" w:rsidP="00EA03C6">
      <w:pPr>
        <w:jc w:val="both"/>
        <w:rPr>
          <w:rFonts w:asciiTheme="majorBidi" w:hAnsiTheme="majorBidi" w:cstheme="majorBidi"/>
          <w:szCs w:val="24"/>
        </w:rPr>
      </w:pPr>
      <w:r w:rsidRPr="00EA03C6">
        <w:rPr>
          <w:rFonts w:asciiTheme="majorBidi" w:hAnsiTheme="majorBidi" w:cstheme="majorBidi"/>
          <w:szCs w:val="24"/>
        </w:rPr>
        <w:t xml:space="preserve">The tutor's feedback shows that the poster is professionally presented and conveys a clear argument for redeveloping Birmingham Central Transport Hub. The main asset is the logic of the structure: the poster connects the ageing of the transport asset with the aspects of safety, accessibility, operational, economic and environmental. The poster also has a suitable tone for the audience as it does not provide too much detail and makes the point that a complete redevelopment is more value for money in the long term than </w:t>
      </w:r>
      <w:r w:rsidRPr="00EA03C6">
        <w:rPr>
          <w:rFonts w:asciiTheme="majorBidi" w:hAnsiTheme="majorBidi" w:cstheme="majorBidi"/>
          <w:szCs w:val="24"/>
        </w:rPr>
        <w:lastRenderedPageBreak/>
        <w:t>temporary transport solutions or piecemeal digital improvements. Another strength is the separation of project scope and project boundaries. This will help minimise scope creep by indicating what is included in the transport estate and what is not e.g. wider network expansion and non-related housing regeneration.</w:t>
      </w:r>
    </w:p>
    <w:p w14:paraId="091823B5" w14:textId="77777777" w:rsidR="0082333B" w:rsidRPr="00EA03C6" w:rsidRDefault="0082333B" w:rsidP="00EA03C6">
      <w:pPr>
        <w:jc w:val="both"/>
        <w:rPr>
          <w:rFonts w:asciiTheme="majorBidi" w:hAnsiTheme="majorBidi" w:cstheme="majorBidi"/>
          <w:szCs w:val="24"/>
        </w:rPr>
      </w:pPr>
      <w:r w:rsidRPr="00EA03C6">
        <w:rPr>
          <w:rFonts w:asciiTheme="majorBidi" w:hAnsiTheme="majorBidi" w:cstheme="majorBidi"/>
          <w:szCs w:val="24"/>
        </w:rPr>
        <w:t>There are several areas of focus for development identified in the feedback, however. The first improvement is to transform the goals into a more unambiguous SMART structure with measurable goals, deadlines and indicators of success. While the poster clarifies the goal of the project, the final plan needs to define the project objectives in more measurable terms to enable stakeholders to track project progress along time, cost, quality, sustainability and accessibility parameters. The second improvement is the need for greater use of project management tools. The poster identifies stakeholders and risks and the final submission should demonstrate deeper professional practice with a Work Breakdown Structure, quad chart, Gantt chart, stakeholder power-interest matrix, resource allocation table, governance framework and risk heat map.</w:t>
      </w:r>
    </w:p>
    <w:p w14:paraId="1F72E7D9" w14:textId="561C9773" w:rsidR="00485B4A" w:rsidRPr="00EA03C6" w:rsidRDefault="0082333B" w:rsidP="00EA03C6">
      <w:pPr>
        <w:jc w:val="both"/>
        <w:rPr>
          <w:rFonts w:asciiTheme="majorBidi" w:hAnsiTheme="majorBidi" w:cstheme="majorBidi"/>
          <w:szCs w:val="24"/>
        </w:rPr>
      </w:pPr>
      <w:r w:rsidRPr="00EA03C6">
        <w:rPr>
          <w:rFonts w:asciiTheme="majorBidi" w:hAnsiTheme="majorBidi" w:cstheme="majorBidi"/>
          <w:szCs w:val="24"/>
        </w:rPr>
        <w:t>The feedback also indicates that there is a need to critically analyse the risk and trade-off discussion. The final plan is thus expanded with probability, impact, ownership, mitigation and contingency action for the risk area. This is because a re-development of a transport hub is vulnerable to cost increases, structural issues that are not visible, procurement delays, disruption, pressure from the supply chain and the risk of digital integration. Finally, the feedback identifies the need for stronger academic and professional references. This has been incorporated into the final plan, which includes recent literature and practice guidance on sustainable project management, WBS design, stakeholder engagement, risk prioritisation, smart mobility, resource allocation and carbon management. In general, the comments are positive as the poster has offered a good level of strategic foundation, and the final submission needs to take it beyond the level of proposal justification to implementation planning. The final plan is then made up of the poster's preferred option but enhanced by measurable objectives, practical delivery controls, critical risk analysis and enhanced academic support. The changes directly respond to the feedback received and maintain the original strategic logic and stakeholder focus of the poster.</w:t>
      </w:r>
    </w:p>
    <w:p w14:paraId="033DBBC0" w14:textId="77777777" w:rsidR="0010742E" w:rsidRDefault="0010742E">
      <w:pPr>
        <w:spacing w:after="200" w:line="276" w:lineRule="auto"/>
        <w:rPr>
          <w:rFonts w:asciiTheme="majorBidi" w:hAnsiTheme="majorBidi" w:cstheme="majorBidi"/>
          <w:b/>
          <w:bCs/>
          <w:szCs w:val="24"/>
        </w:rPr>
      </w:pPr>
      <w:bookmarkStart w:id="3" w:name="_Toc234069507"/>
      <w:r>
        <w:br w:type="page"/>
      </w:r>
    </w:p>
    <w:p w14:paraId="163530B9" w14:textId="55F06ACA" w:rsidR="00485B4A" w:rsidRPr="00EA03C6" w:rsidRDefault="00D83475" w:rsidP="00EA03C6">
      <w:pPr>
        <w:pStyle w:val="Heading1"/>
        <w:jc w:val="both"/>
      </w:pPr>
      <w:r w:rsidRPr="00EA03C6">
        <w:lastRenderedPageBreak/>
        <w:t>Part C: Project Management Plan</w:t>
      </w:r>
      <w:bookmarkEnd w:id="3"/>
    </w:p>
    <w:p w14:paraId="119AF3BA" w14:textId="77777777" w:rsidR="00485B4A" w:rsidRPr="00EA03C6" w:rsidRDefault="00D83475" w:rsidP="00EA03C6">
      <w:pPr>
        <w:pStyle w:val="Heading2"/>
      </w:pPr>
      <w:bookmarkStart w:id="4" w:name="_Toc234069508"/>
      <w:r w:rsidRPr="00EA03C6">
        <w:t>1. Introduction</w:t>
      </w:r>
      <w:bookmarkEnd w:id="4"/>
    </w:p>
    <w:p w14:paraId="39E48E3E" w14:textId="77777777" w:rsidR="00DA3A2E" w:rsidRPr="00EA03C6" w:rsidRDefault="00DA3A2E" w:rsidP="00EA03C6">
      <w:pPr>
        <w:jc w:val="both"/>
        <w:rPr>
          <w:rFonts w:asciiTheme="majorBidi" w:hAnsiTheme="majorBidi" w:cstheme="majorBidi"/>
          <w:szCs w:val="24"/>
        </w:rPr>
      </w:pPr>
      <w:r w:rsidRPr="00EA03C6">
        <w:rPr>
          <w:rFonts w:asciiTheme="majorBidi" w:hAnsiTheme="majorBidi" w:cstheme="majorBidi"/>
          <w:szCs w:val="24"/>
        </w:rPr>
        <w:t>This project management plan sets out how the redevelopment of Birmingham Central Transport Hub will be delivered following the closure of the building in November 2025. The project is regarded as a public infrastructure regeneration project because the asset has three safety critical, economic and social visible aspects. The plan directly addresses the feedback in the posters, transforming the proposal into a plan that has measurable goals, a scope baseline, delivery control, stakeholder arrangements, resource allocation, and risk governance. The plan is based on a tailored, value-focused project approach, because the existing project guidance focuses on the selection of methods that are suitable for the project context and not following a fixed template (Project Management Institute, 2021).</w:t>
      </w:r>
    </w:p>
    <w:p w14:paraId="1031B199" w14:textId="77777777" w:rsidR="00DA3A2E" w:rsidRPr="00EA03C6" w:rsidRDefault="00DA3A2E" w:rsidP="00EA03C6">
      <w:pPr>
        <w:jc w:val="both"/>
        <w:rPr>
          <w:rFonts w:asciiTheme="majorBidi" w:hAnsiTheme="majorBidi" w:cstheme="majorBidi"/>
          <w:szCs w:val="24"/>
        </w:rPr>
      </w:pPr>
      <w:r w:rsidRPr="00EA03C6">
        <w:rPr>
          <w:rFonts w:asciiTheme="majorBidi" w:hAnsiTheme="majorBidi" w:cstheme="majorBidi"/>
          <w:szCs w:val="24"/>
        </w:rPr>
        <w:t>The best solution is full redevelopment, not a temporary multimodal solution or digital modernisation. The temporary provision could minimise disruption in the short-term and the digital upgrading could enhance the flow of information. None of these options eliminates closure's underlying structural defect. Full redevelopment is therefore the most realistic choice as it will reopen capacity whilst incorporating safety, accessibility, digital coordination, low carbon and inclusive urban design as one co-ordinated programme. Decisions on infrastructure must also enable modal shift, cleaner travel and long-term emissions reductions through transport decarbonisation policy (Department for Transport, 2021).</w:t>
      </w:r>
    </w:p>
    <w:p w14:paraId="7903995E" w14:textId="0B03F425" w:rsidR="00485B4A" w:rsidRPr="00EA03C6" w:rsidRDefault="00DA3A2E" w:rsidP="00B128C2">
      <w:pPr>
        <w:jc w:val="both"/>
        <w:rPr>
          <w:rFonts w:asciiTheme="majorBidi" w:hAnsiTheme="majorBidi" w:cstheme="majorBidi"/>
          <w:szCs w:val="24"/>
        </w:rPr>
      </w:pPr>
      <w:r w:rsidRPr="00EA03C6">
        <w:rPr>
          <w:rFonts w:asciiTheme="majorBidi" w:hAnsiTheme="majorBidi" w:cstheme="majorBidi"/>
          <w:szCs w:val="24"/>
        </w:rPr>
        <w:t xml:space="preserve">The report is intended for a multi-stakeholder audience – Sponsors want to know if the project is viable; Operators want to know how long the project will be available; Regulators want to know how the project will comply; and the community groups want to know about access, disruption and benefits. On the other hand, there is no excessive detail in the plan but enough evidence of project management to help in decision making. </w:t>
      </w:r>
    </w:p>
    <w:p w14:paraId="1A1FA009" w14:textId="77777777" w:rsidR="00485B4A" w:rsidRPr="00EA03C6" w:rsidRDefault="00D83475" w:rsidP="00EA03C6">
      <w:pPr>
        <w:pStyle w:val="Heading2"/>
      </w:pPr>
      <w:bookmarkStart w:id="5" w:name="_Toc234069509"/>
      <w:r w:rsidRPr="00EA03C6">
        <w:t>2. Project description</w:t>
      </w:r>
      <w:bookmarkEnd w:id="5"/>
    </w:p>
    <w:p w14:paraId="1E121ECD" w14:textId="77777777" w:rsidR="0007554C" w:rsidRPr="00EA03C6" w:rsidRDefault="0007554C" w:rsidP="00EA03C6">
      <w:pPr>
        <w:jc w:val="both"/>
        <w:rPr>
          <w:rFonts w:asciiTheme="majorBidi" w:hAnsiTheme="majorBidi" w:cstheme="majorBidi"/>
          <w:szCs w:val="24"/>
        </w:rPr>
      </w:pPr>
      <w:r w:rsidRPr="00EA03C6">
        <w:rPr>
          <w:rFonts w:asciiTheme="majorBidi" w:hAnsiTheme="majorBidi" w:cstheme="majorBidi"/>
          <w:szCs w:val="24"/>
        </w:rPr>
        <w:t xml:space="preserve">The project will involve the reconstruction of the unsafe central transport hub, and reopening it as an integrated rail, bus, pedestrian and freight transport hub. The hub will feature safe concourses and platforms, enhanced bus interchange, accessible lifts and ramps, accessible wayfinding, up to the minute passenger information, ticketing interfaces, freight coordination systems, EV infrastructure, drainage improvements and low carbon design features for the public realm. The desired outcome will be a node capable of carrying high flows of passengers safely, facilitating rail-bus transfers as planned, ensuring access to the node at predictable times for freight and enhancing the arrival experience in the city centre. </w:t>
      </w:r>
      <w:r w:rsidRPr="00EA03C6">
        <w:rPr>
          <w:rFonts w:asciiTheme="majorBidi" w:hAnsiTheme="majorBidi" w:cstheme="majorBidi"/>
          <w:szCs w:val="24"/>
        </w:rPr>
        <w:lastRenderedPageBreak/>
        <w:t>The project integrates mobility, public realm and environmental objectives to balance node performance, place quality and ecological value (Yang et al., 2024).</w:t>
      </w:r>
    </w:p>
    <w:p w14:paraId="777F70A7" w14:textId="32815FB9" w:rsidR="00485B4A" w:rsidRPr="00EA03C6" w:rsidRDefault="0007554C" w:rsidP="00EA03C6">
      <w:pPr>
        <w:jc w:val="both"/>
        <w:rPr>
          <w:rFonts w:asciiTheme="majorBidi" w:hAnsiTheme="majorBidi" w:cstheme="majorBidi"/>
          <w:szCs w:val="24"/>
        </w:rPr>
      </w:pPr>
      <w:r w:rsidRPr="00EA03C6">
        <w:rPr>
          <w:rFonts w:asciiTheme="majorBidi" w:hAnsiTheme="majorBidi" w:cstheme="majorBidi"/>
          <w:szCs w:val="24"/>
        </w:rPr>
        <w:t xml:space="preserve">There are three problems that form the basis for the strategic case. First, the existing asset does not meet the current safety and accessibility requirements. Secondly, it causes a loss of transport capacity, negatively affects local business use and creates an additional burden on alternative routes. Third, the lack of cohesion in the temporary solutions would lead to a failure to deliver the resilient, inclusive and digitally enabled gateway desired in a key UK city. For an increased level of integration of active travel and public realm design, walking, cycling, interchange quality and sustainability are therefore included as connected design outcomes of smart urban planning (Papageorgiou et al., 2024). </w:t>
      </w:r>
    </w:p>
    <w:p w14:paraId="321BF993" w14:textId="48E5C8B7" w:rsidR="00275A8A" w:rsidRPr="00EA03C6" w:rsidRDefault="00275A8A" w:rsidP="00EA03C6">
      <w:pPr>
        <w:pStyle w:val="Caption"/>
        <w:keepNext/>
        <w:jc w:val="both"/>
        <w:rPr>
          <w:rFonts w:asciiTheme="majorBidi" w:hAnsiTheme="majorBidi" w:cstheme="majorBidi"/>
          <w:sz w:val="24"/>
          <w:szCs w:val="24"/>
        </w:rPr>
      </w:pPr>
      <w:r w:rsidRPr="00EA03C6">
        <w:rPr>
          <w:rFonts w:asciiTheme="majorBidi" w:hAnsiTheme="majorBidi" w:cstheme="majorBidi"/>
          <w:sz w:val="24"/>
          <w:szCs w:val="24"/>
        </w:rPr>
        <w:t xml:space="preserve">Table </w:t>
      </w:r>
      <w:r w:rsidRPr="00EA03C6">
        <w:rPr>
          <w:rFonts w:asciiTheme="majorBidi" w:hAnsiTheme="majorBidi" w:cstheme="majorBidi"/>
          <w:sz w:val="24"/>
          <w:szCs w:val="24"/>
        </w:rPr>
        <w:fldChar w:fldCharType="begin"/>
      </w:r>
      <w:r w:rsidRPr="00EA03C6">
        <w:rPr>
          <w:rFonts w:asciiTheme="majorBidi" w:hAnsiTheme="majorBidi" w:cstheme="majorBidi"/>
          <w:sz w:val="24"/>
          <w:szCs w:val="24"/>
        </w:rPr>
        <w:instrText xml:space="preserve"> SEQ Table \* ARABIC </w:instrText>
      </w:r>
      <w:r w:rsidRPr="00EA03C6">
        <w:rPr>
          <w:rFonts w:asciiTheme="majorBidi" w:hAnsiTheme="majorBidi" w:cstheme="majorBidi"/>
          <w:sz w:val="24"/>
          <w:szCs w:val="24"/>
        </w:rPr>
        <w:fldChar w:fldCharType="separate"/>
      </w:r>
      <w:r w:rsidR="00D70898" w:rsidRPr="00EA03C6">
        <w:rPr>
          <w:rFonts w:asciiTheme="majorBidi" w:hAnsiTheme="majorBidi" w:cstheme="majorBidi"/>
          <w:sz w:val="24"/>
          <w:szCs w:val="24"/>
        </w:rPr>
        <w:t>1</w:t>
      </w:r>
      <w:r w:rsidRPr="00EA03C6">
        <w:rPr>
          <w:rFonts w:asciiTheme="majorBidi" w:hAnsiTheme="majorBidi" w:cstheme="majorBidi"/>
          <w:sz w:val="24"/>
          <w:szCs w:val="24"/>
        </w:rPr>
        <w:fldChar w:fldCharType="end"/>
      </w:r>
      <w:r w:rsidRPr="00EA03C6">
        <w:rPr>
          <w:rFonts w:asciiTheme="majorBidi" w:hAnsiTheme="majorBidi" w:cstheme="majorBidi"/>
          <w:sz w:val="24"/>
          <w:szCs w:val="24"/>
        </w:rPr>
        <w:t>: SMART project objectives</w:t>
      </w:r>
    </w:p>
    <w:tbl>
      <w:tblPr>
        <w:tblStyle w:val="TableGrid"/>
        <w:tblW w:w="0" w:type="auto"/>
        <w:tblInd w:w="108" w:type="dxa"/>
        <w:tblLook w:val="04A0" w:firstRow="1" w:lastRow="0" w:firstColumn="1" w:lastColumn="0" w:noHBand="0" w:noVBand="1"/>
      </w:tblPr>
      <w:tblGrid>
        <w:gridCol w:w="1877"/>
        <w:gridCol w:w="4633"/>
        <w:gridCol w:w="3308"/>
      </w:tblGrid>
      <w:tr w:rsidR="00485B4A" w:rsidRPr="00EA03C6" w14:paraId="579283BE" w14:textId="77777777" w:rsidTr="00275A8A">
        <w:tc>
          <w:tcPr>
            <w:tcW w:w="1877" w:type="dxa"/>
          </w:tcPr>
          <w:p w14:paraId="6F11A45C" w14:textId="77777777" w:rsidR="00485B4A" w:rsidRPr="00EA03C6" w:rsidRDefault="00D83475" w:rsidP="00EA03C6">
            <w:pPr>
              <w:spacing w:after="0"/>
              <w:jc w:val="both"/>
              <w:rPr>
                <w:rFonts w:asciiTheme="majorBidi" w:hAnsiTheme="majorBidi" w:cstheme="majorBidi"/>
                <w:i/>
                <w:iCs/>
                <w:szCs w:val="24"/>
              </w:rPr>
            </w:pPr>
            <w:r w:rsidRPr="00EA03C6">
              <w:rPr>
                <w:rFonts w:asciiTheme="majorBidi" w:hAnsiTheme="majorBidi" w:cstheme="majorBidi"/>
                <w:b/>
                <w:i/>
                <w:iCs/>
                <w:szCs w:val="24"/>
              </w:rPr>
              <w:t>Objective</w:t>
            </w:r>
          </w:p>
        </w:tc>
        <w:tc>
          <w:tcPr>
            <w:tcW w:w="4639" w:type="dxa"/>
          </w:tcPr>
          <w:p w14:paraId="12DB5AA1" w14:textId="77777777" w:rsidR="00485B4A" w:rsidRPr="00EA03C6" w:rsidRDefault="00D83475" w:rsidP="00EA03C6">
            <w:pPr>
              <w:spacing w:after="0"/>
              <w:jc w:val="both"/>
              <w:rPr>
                <w:rFonts w:asciiTheme="majorBidi" w:hAnsiTheme="majorBidi" w:cstheme="majorBidi"/>
                <w:i/>
                <w:iCs/>
                <w:szCs w:val="24"/>
              </w:rPr>
            </w:pPr>
            <w:r w:rsidRPr="00EA03C6">
              <w:rPr>
                <w:rFonts w:asciiTheme="majorBidi" w:hAnsiTheme="majorBidi" w:cstheme="majorBidi"/>
                <w:b/>
                <w:i/>
                <w:iCs/>
                <w:szCs w:val="24"/>
              </w:rPr>
              <w:t>SMART target</w:t>
            </w:r>
          </w:p>
        </w:tc>
        <w:tc>
          <w:tcPr>
            <w:tcW w:w="3312" w:type="dxa"/>
          </w:tcPr>
          <w:p w14:paraId="04309A0C" w14:textId="77777777" w:rsidR="00485B4A" w:rsidRPr="00EA03C6" w:rsidRDefault="00D83475" w:rsidP="00EA03C6">
            <w:pPr>
              <w:spacing w:after="0"/>
              <w:jc w:val="both"/>
              <w:rPr>
                <w:rFonts w:asciiTheme="majorBidi" w:hAnsiTheme="majorBidi" w:cstheme="majorBidi"/>
                <w:i/>
                <w:iCs/>
                <w:szCs w:val="24"/>
              </w:rPr>
            </w:pPr>
            <w:r w:rsidRPr="00EA03C6">
              <w:rPr>
                <w:rFonts w:asciiTheme="majorBidi" w:hAnsiTheme="majorBidi" w:cstheme="majorBidi"/>
                <w:b/>
                <w:i/>
                <w:iCs/>
                <w:szCs w:val="24"/>
              </w:rPr>
              <w:t>Success indicator</w:t>
            </w:r>
          </w:p>
        </w:tc>
      </w:tr>
      <w:tr w:rsidR="00485B4A" w:rsidRPr="00EA03C6" w14:paraId="70996999" w14:textId="77777777" w:rsidTr="00275A8A">
        <w:tc>
          <w:tcPr>
            <w:tcW w:w="1877" w:type="dxa"/>
          </w:tcPr>
          <w:p w14:paraId="2AD4F182"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Safety and compliance</w:t>
            </w:r>
          </w:p>
        </w:tc>
        <w:tc>
          <w:tcPr>
            <w:tcW w:w="4639" w:type="dxa"/>
          </w:tcPr>
          <w:p w14:paraId="4641C7C4"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Secure structural remediation, fire strategy approval and safety certification before public reopening in Dec 2028.</w:t>
            </w:r>
          </w:p>
        </w:tc>
        <w:tc>
          <w:tcPr>
            <w:tcW w:w="3312" w:type="dxa"/>
          </w:tcPr>
          <w:p w14:paraId="6499853D"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No unresolved safety-critical defects at handover.</w:t>
            </w:r>
          </w:p>
        </w:tc>
      </w:tr>
      <w:tr w:rsidR="00485B4A" w:rsidRPr="00EA03C6" w14:paraId="3B97DF95" w14:textId="77777777" w:rsidTr="00275A8A">
        <w:tc>
          <w:tcPr>
            <w:tcW w:w="1877" w:type="dxa"/>
          </w:tcPr>
          <w:p w14:paraId="4874F6C3"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Capacity restoration</w:t>
            </w:r>
          </w:p>
        </w:tc>
        <w:tc>
          <w:tcPr>
            <w:tcW w:w="4639" w:type="dxa"/>
          </w:tcPr>
          <w:p w14:paraId="4A2B6B22"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Restore integrated rail, bus, pedestrian and freight interchange operations through staged commissioning by Dec 2028.</w:t>
            </w:r>
          </w:p>
        </w:tc>
        <w:tc>
          <w:tcPr>
            <w:tcW w:w="3312" w:type="dxa"/>
          </w:tcPr>
          <w:p w14:paraId="7EB9DE73"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Operational readiness certificate and trial operations completed.</w:t>
            </w:r>
          </w:p>
        </w:tc>
      </w:tr>
      <w:tr w:rsidR="00485B4A" w:rsidRPr="00EA03C6" w14:paraId="57512E16" w14:textId="77777777" w:rsidTr="00275A8A">
        <w:tc>
          <w:tcPr>
            <w:tcW w:w="1877" w:type="dxa"/>
          </w:tcPr>
          <w:p w14:paraId="4C693011"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Accessibility</w:t>
            </w:r>
          </w:p>
        </w:tc>
        <w:tc>
          <w:tcPr>
            <w:tcW w:w="4639" w:type="dxa"/>
          </w:tcPr>
          <w:p w14:paraId="7A65ED50"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Deliver step-free access, inclusive wayfinding, accessible toilets and user-tested passenger routes by fit-out completion.</w:t>
            </w:r>
          </w:p>
        </w:tc>
        <w:tc>
          <w:tcPr>
            <w:tcW w:w="3312" w:type="dxa"/>
          </w:tcPr>
          <w:p w14:paraId="334E20E8"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Accessibility audit signed off with action closure log.</w:t>
            </w:r>
          </w:p>
        </w:tc>
      </w:tr>
      <w:tr w:rsidR="00485B4A" w:rsidRPr="00EA03C6" w14:paraId="4A92760B" w14:textId="77777777" w:rsidTr="00275A8A">
        <w:tc>
          <w:tcPr>
            <w:tcW w:w="1877" w:type="dxa"/>
          </w:tcPr>
          <w:p w14:paraId="6061D89C"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Digital enablement</w:t>
            </w:r>
          </w:p>
        </w:tc>
        <w:tc>
          <w:tcPr>
            <w:tcW w:w="4639" w:type="dxa"/>
          </w:tcPr>
          <w:p w14:paraId="24BFB19D"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Install real-time information, ticketing interfaces and freight coordination systems by Oct 2028.</w:t>
            </w:r>
          </w:p>
        </w:tc>
        <w:tc>
          <w:tcPr>
            <w:tcW w:w="3312" w:type="dxa"/>
          </w:tcPr>
          <w:p w14:paraId="690D9ED0"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Systems integration test and cybersecurity assurance passed.</w:t>
            </w:r>
          </w:p>
        </w:tc>
      </w:tr>
      <w:tr w:rsidR="00485B4A" w:rsidRPr="00EA03C6" w14:paraId="60AEC50E" w14:textId="77777777" w:rsidTr="00275A8A">
        <w:tc>
          <w:tcPr>
            <w:tcW w:w="1877" w:type="dxa"/>
          </w:tcPr>
          <w:p w14:paraId="6FC74DB9"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Sustainability</w:t>
            </w:r>
          </w:p>
        </w:tc>
        <w:tc>
          <w:tcPr>
            <w:tcW w:w="4639" w:type="dxa"/>
          </w:tcPr>
          <w:p w14:paraId="4BFDA838"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Embed low-carbon design, drainage improvement, solar readiness and EV infrastructure by construction completion.</w:t>
            </w:r>
          </w:p>
        </w:tc>
        <w:tc>
          <w:tcPr>
            <w:tcW w:w="3312" w:type="dxa"/>
          </w:tcPr>
          <w:p w14:paraId="5D2B497A"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Whole-life carbon register and sustainability acceptance report approved.</w:t>
            </w:r>
          </w:p>
        </w:tc>
      </w:tr>
      <w:tr w:rsidR="00485B4A" w:rsidRPr="00EA03C6" w14:paraId="7A7BF266" w14:textId="77777777" w:rsidTr="00275A8A">
        <w:tc>
          <w:tcPr>
            <w:tcW w:w="1877" w:type="dxa"/>
          </w:tcPr>
          <w:p w14:paraId="2BCA8DF8"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Disruption control</w:t>
            </w:r>
          </w:p>
        </w:tc>
        <w:tc>
          <w:tcPr>
            <w:tcW w:w="4639" w:type="dxa"/>
          </w:tcPr>
          <w:p w14:paraId="14B51B71"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Maintain temporary transport continuity and publish disruption updates during all construction phases.</w:t>
            </w:r>
          </w:p>
        </w:tc>
        <w:tc>
          <w:tcPr>
            <w:tcW w:w="3312" w:type="dxa"/>
          </w:tcPr>
          <w:p w14:paraId="02EA884F"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Monthly disruption reports and stakeholder satisfaction tracking.</w:t>
            </w:r>
          </w:p>
        </w:tc>
      </w:tr>
    </w:tbl>
    <w:p w14:paraId="140B0186" w14:textId="77777777" w:rsidR="00275A8A" w:rsidRPr="00EA03C6" w:rsidRDefault="00275A8A" w:rsidP="00EA03C6">
      <w:pPr>
        <w:jc w:val="both"/>
        <w:rPr>
          <w:rFonts w:asciiTheme="majorBidi" w:hAnsiTheme="majorBidi" w:cstheme="majorBidi"/>
          <w:szCs w:val="24"/>
        </w:rPr>
      </w:pPr>
    </w:p>
    <w:p w14:paraId="000F19A3" w14:textId="001BD2B0" w:rsidR="00485B4A" w:rsidRPr="00EA03C6" w:rsidRDefault="0007554C" w:rsidP="00EA03C6">
      <w:pPr>
        <w:jc w:val="both"/>
        <w:rPr>
          <w:rFonts w:asciiTheme="majorBidi" w:hAnsiTheme="majorBidi" w:cstheme="majorBidi"/>
          <w:szCs w:val="24"/>
        </w:rPr>
      </w:pPr>
      <w:r w:rsidRPr="00EA03C6">
        <w:rPr>
          <w:rFonts w:asciiTheme="majorBidi" w:hAnsiTheme="majorBidi" w:cstheme="majorBidi"/>
          <w:szCs w:val="24"/>
        </w:rPr>
        <w:t xml:space="preserve">The key outcomes include a certified safe structure, a ready-to-use passenger concourse, accessible circulation routes, a cohesive bus interchange, passenger rail service interfaces, freight coordination </w:t>
      </w:r>
      <w:r w:rsidRPr="00EA03C6">
        <w:rPr>
          <w:rFonts w:asciiTheme="majorBidi" w:hAnsiTheme="majorBidi" w:cstheme="majorBidi"/>
          <w:szCs w:val="24"/>
        </w:rPr>
        <w:lastRenderedPageBreak/>
        <w:t>arrangements, a digital passenger information system and a formal handover package. Signing and closing safety certification, accessibility audit report, systems integration testing complete, readiness of the operator, carbon reporting and communication with the stakeholders will be considered for acceptance. The project will be delivered via a series of gateways: mobilisation, investigation, design freeze, procurement approval, construction start, fit out, systems integration, operation trial and final handover.</w:t>
      </w:r>
    </w:p>
    <w:p w14:paraId="5E573FE1" w14:textId="77777777" w:rsidR="00485B4A" w:rsidRPr="00EA03C6" w:rsidRDefault="00D83475" w:rsidP="00EA03C6">
      <w:pPr>
        <w:pStyle w:val="Heading2"/>
      </w:pPr>
      <w:bookmarkStart w:id="6" w:name="_Toc234069510"/>
      <w:r w:rsidRPr="00EA03C6">
        <w:t>3. Scope</w:t>
      </w:r>
      <w:bookmarkEnd w:id="6"/>
    </w:p>
    <w:p w14:paraId="70F33523" w14:textId="3991C029" w:rsidR="001C08E9" w:rsidRPr="00EA03C6" w:rsidRDefault="001C08E9" w:rsidP="00EA03C6">
      <w:pPr>
        <w:jc w:val="both"/>
        <w:rPr>
          <w:rFonts w:asciiTheme="majorBidi" w:hAnsiTheme="majorBidi" w:cstheme="majorBidi"/>
          <w:szCs w:val="24"/>
        </w:rPr>
      </w:pPr>
      <w:r w:rsidRPr="00EA03C6">
        <w:rPr>
          <w:rFonts w:asciiTheme="majorBidi" w:hAnsiTheme="majorBidi" w:cstheme="majorBidi"/>
          <w:szCs w:val="24"/>
        </w:rPr>
        <w:t xml:space="preserve">The scope baseline is limited to the assets to be used to safely and effectively reopen the hub and the footprint of the hub. In scope </w:t>
      </w:r>
      <w:r w:rsidR="00B128C2" w:rsidRPr="00EA03C6">
        <w:rPr>
          <w:rFonts w:asciiTheme="majorBidi" w:hAnsiTheme="majorBidi" w:cstheme="majorBidi"/>
          <w:szCs w:val="24"/>
        </w:rPr>
        <w:t>include</w:t>
      </w:r>
      <w:r w:rsidRPr="00EA03C6">
        <w:rPr>
          <w:rFonts w:asciiTheme="majorBidi" w:hAnsiTheme="majorBidi" w:cstheme="majorBidi"/>
          <w:szCs w:val="24"/>
        </w:rPr>
        <w:t xml:space="preserve"> Structural demolition or refurbishment; Core reconstruction; Concourse works; Platforms; Bus interchange facilities; Passenger access routes; Lifts, ramps; Signage and wayfinding; Digital passenger systems; Freight coordination interfaces; Drainage works; Low carbon materials; Solar readiness; EV charging and public realm upgrades. Expansion of the citywide network, commercial development outside the remit of the citywide network, housing regeneration and permanent changes to freight routes are out of scope.</w:t>
      </w:r>
    </w:p>
    <w:p w14:paraId="1F4C5419" w14:textId="7002DD5A" w:rsidR="00485B4A" w:rsidRPr="00EA03C6" w:rsidRDefault="001C08E9" w:rsidP="00EA03C6">
      <w:pPr>
        <w:jc w:val="both"/>
        <w:rPr>
          <w:rFonts w:asciiTheme="majorBidi" w:hAnsiTheme="majorBidi" w:cstheme="majorBidi"/>
          <w:szCs w:val="24"/>
        </w:rPr>
      </w:pPr>
      <w:r w:rsidRPr="00EA03C6">
        <w:rPr>
          <w:rFonts w:asciiTheme="majorBidi" w:hAnsiTheme="majorBidi" w:cstheme="majorBidi"/>
          <w:szCs w:val="24"/>
        </w:rPr>
        <w:t xml:space="preserve">There are three scope control principles that direct the </w:t>
      </w:r>
      <w:r w:rsidR="00B128C2" w:rsidRPr="00EA03C6">
        <w:rPr>
          <w:rFonts w:asciiTheme="majorBidi" w:hAnsiTheme="majorBidi" w:cstheme="majorBidi"/>
          <w:szCs w:val="24"/>
        </w:rPr>
        <w:t>decision-making</w:t>
      </w:r>
      <w:r w:rsidRPr="00EA03C6">
        <w:rPr>
          <w:rFonts w:asciiTheme="majorBidi" w:hAnsiTheme="majorBidi" w:cstheme="majorBidi"/>
          <w:szCs w:val="24"/>
        </w:rPr>
        <w:t xml:space="preserve"> process. First, safety-critical work is more important than enhancing the aesthetics. Secondly, sustainability and accessibility are safeguarded where these go towards reducing the whole-life cost, operational carbon or user exclusion. Third, any other stakeholder requests are evaluated via a formal change process involving strategic fit, budget impact, schedule impact and operational benefit. Environmental and social criteria must be integrated into the decisions of a project – not added afterwards when budgets are tight – to be sustainable (Silvius and Schipper, 2020). Carbon control is also put in place via baseline testing, design decisions and whole-life value (British Standards Institution, 2023). </w:t>
      </w:r>
    </w:p>
    <w:p w14:paraId="684B76B3" w14:textId="4C714EB9" w:rsidR="00275A8A" w:rsidRPr="00EA03C6" w:rsidRDefault="00275A8A" w:rsidP="00EA03C6">
      <w:pPr>
        <w:pStyle w:val="Caption"/>
        <w:keepNext/>
        <w:jc w:val="both"/>
        <w:rPr>
          <w:rFonts w:asciiTheme="majorBidi" w:hAnsiTheme="majorBidi" w:cstheme="majorBidi"/>
          <w:sz w:val="24"/>
          <w:szCs w:val="24"/>
        </w:rPr>
      </w:pPr>
      <w:r w:rsidRPr="00EA03C6">
        <w:rPr>
          <w:rFonts w:asciiTheme="majorBidi" w:hAnsiTheme="majorBidi" w:cstheme="majorBidi"/>
          <w:sz w:val="24"/>
          <w:szCs w:val="24"/>
        </w:rPr>
        <w:t xml:space="preserve">Table </w:t>
      </w:r>
      <w:r w:rsidRPr="00EA03C6">
        <w:rPr>
          <w:rFonts w:asciiTheme="majorBidi" w:hAnsiTheme="majorBidi" w:cstheme="majorBidi"/>
          <w:sz w:val="24"/>
          <w:szCs w:val="24"/>
        </w:rPr>
        <w:fldChar w:fldCharType="begin"/>
      </w:r>
      <w:r w:rsidRPr="00EA03C6">
        <w:rPr>
          <w:rFonts w:asciiTheme="majorBidi" w:hAnsiTheme="majorBidi" w:cstheme="majorBidi"/>
          <w:sz w:val="24"/>
          <w:szCs w:val="24"/>
        </w:rPr>
        <w:instrText xml:space="preserve"> SEQ Table \* ARABIC </w:instrText>
      </w:r>
      <w:r w:rsidRPr="00EA03C6">
        <w:rPr>
          <w:rFonts w:asciiTheme="majorBidi" w:hAnsiTheme="majorBidi" w:cstheme="majorBidi"/>
          <w:sz w:val="24"/>
          <w:szCs w:val="24"/>
        </w:rPr>
        <w:fldChar w:fldCharType="separate"/>
      </w:r>
      <w:r w:rsidR="00D70898" w:rsidRPr="00EA03C6">
        <w:rPr>
          <w:rFonts w:asciiTheme="majorBidi" w:hAnsiTheme="majorBidi" w:cstheme="majorBidi"/>
          <w:sz w:val="24"/>
          <w:szCs w:val="24"/>
        </w:rPr>
        <w:t>2</w:t>
      </w:r>
      <w:r w:rsidRPr="00EA03C6">
        <w:rPr>
          <w:rFonts w:asciiTheme="majorBidi" w:hAnsiTheme="majorBidi" w:cstheme="majorBidi"/>
          <w:sz w:val="24"/>
          <w:szCs w:val="24"/>
        </w:rPr>
        <w:fldChar w:fldCharType="end"/>
      </w:r>
      <w:r w:rsidRPr="00EA03C6">
        <w:rPr>
          <w:rFonts w:asciiTheme="majorBidi" w:hAnsiTheme="majorBidi" w:cstheme="majorBidi"/>
          <w:sz w:val="24"/>
          <w:szCs w:val="24"/>
        </w:rPr>
        <w:t>: Scope boundaries and control approach</w:t>
      </w:r>
    </w:p>
    <w:tbl>
      <w:tblPr>
        <w:tblStyle w:val="TableGrid"/>
        <w:tblW w:w="0" w:type="auto"/>
        <w:tblLook w:val="04A0" w:firstRow="1" w:lastRow="0" w:firstColumn="1" w:lastColumn="0" w:noHBand="0" w:noVBand="1"/>
      </w:tblPr>
      <w:tblGrid>
        <w:gridCol w:w="3308"/>
        <w:gridCol w:w="3309"/>
        <w:gridCol w:w="3309"/>
      </w:tblGrid>
      <w:tr w:rsidR="00485B4A" w:rsidRPr="00EA03C6" w14:paraId="0B30A285" w14:textId="77777777" w:rsidTr="00275A8A">
        <w:tc>
          <w:tcPr>
            <w:tcW w:w="3312" w:type="dxa"/>
          </w:tcPr>
          <w:p w14:paraId="4E430D7C" w14:textId="77777777" w:rsidR="00485B4A" w:rsidRPr="00EA03C6" w:rsidRDefault="00D83475" w:rsidP="00EA03C6">
            <w:pPr>
              <w:spacing w:after="0"/>
              <w:jc w:val="both"/>
              <w:rPr>
                <w:rFonts w:asciiTheme="majorBidi" w:hAnsiTheme="majorBidi" w:cstheme="majorBidi"/>
                <w:i/>
                <w:iCs/>
                <w:szCs w:val="24"/>
              </w:rPr>
            </w:pPr>
            <w:r w:rsidRPr="00EA03C6">
              <w:rPr>
                <w:rFonts w:asciiTheme="majorBidi" w:hAnsiTheme="majorBidi" w:cstheme="majorBidi"/>
                <w:b/>
                <w:i/>
                <w:iCs/>
                <w:szCs w:val="24"/>
              </w:rPr>
              <w:t>In scope</w:t>
            </w:r>
          </w:p>
        </w:tc>
        <w:tc>
          <w:tcPr>
            <w:tcW w:w="3312" w:type="dxa"/>
          </w:tcPr>
          <w:p w14:paraId="7D69360B" w14:textId="77777777" w:rsidR="00485B4A" w:rsidRPr="00EA03C6" w:rsidRDefault="00D83475" w:rsidP="00EA03C6">
            <w:pPr>
              <w:spacing w:after="0"/>
              <w:jc w:val="both"/>
              <w:rPr>
                <w:rFonts w:asciiTheme="majorBidi" w:hAnsiTheme="majorBidi" w:cstheme="majorBidi"/>
                <w:i/>
                <w:iCs/>
                <w:szCs w:val="24"/>
              </w:rPr>
            </w:pPr>
            <w:r w:rsidRPr="00EA03C6">
              <w:rPr>
                <w:rFonts w:asciiTheme="majorBidi" w:hAnsiTheme="majorBidi" w:cstheme="majorBidi"/>
                <w:b/>
                <w:i/>
                <w:iCs/>
                <w:szCs w:val="24"/>
              </w:rPr>
              <w:t>Out of scope</w:t>
            </w:r>
          </w:p>
        </w:tc>
        <w:tc>
          <w:tcPr>
            <w:tcW w:w="3312" w:type="dxa"/>
          </w:tcPr>
          <w:p w14:paraId="484B48B2" w14:textId="77777777" w:rsidR="00485B4A" w:rsidRPr="00EA03C6" w:rsidRDefault="00D83475" w:rsidP="00EA03C6">
            <w:pPr>
              <w:spacing w:after="0"/>
              <w:jc w:val="both"/>
              <w:rPr>
                <w:rFonts w:asciiTheme="majorBidi" w:hAnsiTheme="majorBidi" w:cstheme="majorBidi"/>
                <w:i/>
                <w:iCs/>
                <w:szCs w:val="24"/>
              </w:rPr>
            </w:pPr>
            <w:r w:rsidRPr="00EA03C6">
              <w:rPr>
                <w:rFonts w:asciiTheme="majorBidi" w:hAnsiTheme="majorBidi" w:cstheme="majorBidi"/>
                <w:b/>
                <w:i/>
                <w:iCs/>
                <w:szCs w:val="24"/>
              </w:rPr>
              <w:t>Control approach</w:t>
            </w:r>
          </w:p>
        </w:tc>
      </w:tr>
      <w:tr w:rsidR="00485B4A" w:rsidRPr="00EA03C6" w14:paraId="5D6211F9" w14:textId="77777777" w:rsidTr="00275A8A">
        <w:tc>
          <w:tcPr>
            <w:tcW w:w="3312" w:type="dxa"/>
          </w:tcPr>
          <w:p w14:paraId="63D7713A"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Unsafe structure works; concourse; platforms; bus interchange; lifts; ramps; wayfinding; digital systems; drainage; EV and low-carbon features.</w:t>
            </w:r>
          </w:p>
        </w:tc>
        <w:tc>
          <w:tcPr>
            <w:tcW w:w="3312" w:type="dxa"/>
          </w:tcPr>
          <w:p w14:paraId="5B1F9EA7"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Citywide network expansion; unrelated commercial property; housing regeneration; permanent freight-route redesign outside the hub.</w:t>
            </w:r>
          </w:p>
        </w:tc>
        <w:tc>
          <w:tcPr>
            <w:tcW w:w="3312" w:type="dxa"/>
          </w:tcPr>
          <w:p w14:paraId="67164BAD"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Scope changes must show safety, statutory, accessibility, net-zero or measurable operational benefit before approval.</w:t>
            </w:r>
          </w:p>
        </w:tc>
      </w:tr>
    </w:tbl>
    <w:p w14:paraId="16586D67" w14:textId="2785A509" w:rsidR="00485B4A" w:rsidRPr="00EA03C6" w:rsidRDefault="00485B4A" w:rsidP="00EA03C6">
      <w:pPr>
        <w:jc w:val="both"/>
        <w:rPr>
          <w:rFonts w:asciiTheme="majorBidi" w:hAnsiTheme="majorBidi" w:cstheme="majorBidi"/>
          <w:szCs w:val="24"/>
        </w:rPr>
      </w:pPr>
    </w:p>
    <w:p w14:paraId="5969CA21" w14:textId="77777777" w:rsidR="00485B4A" w:rsidRPr="00EA03C6" w:rsidRDefault="00D83475" w:rsidP="00EA03C6">
      <w:pPr>
        <w:pStyle w:val="Heading2"/>
      </w:pPr>
      <w:bookmarkStart w:id="7" w:name="_Toc234069511"/>
      <w:r w:rsidRPr="00EA03C6">
        <w:lastRenderedPageBreak/>
        <w:t>4. Work Breakdown Structure (WBS)</w:t>
      </w:r>
      <w:bookmarkEnd w:id="7"/>
    </w:p>
    <w:p w14:paraId="1B42DEA9" w14:textId="75911698" w:rsidR="001C08E9" w:rsidRPr="00EA03C6" w:rsidRDefault="001C08E9" w:rsidP="00EA03C6">
      <w:pPr>
        <w:jc w:val="both"/>
        <w:rPr>
          <w:rFonts w:asciiTheme="majorBidi" w:hAnsiTheme="majorBidi" w:cstheme="majorBidi"/>
          <w:szCs w:val="24"/>
        </w:rPr>
      </w:pPr>
      <w:r w:rsidRPr="00EA03C6">
        <w:rPr>
          <w:rFonts w:asciiTheme="majorBidi" w:hAnsiTheme="majorBidi" w:cstheme="majorBidi"/>
          <w:szCs w:val="24"/>
        </w:rPr>
        <w:t>The WBS is broken down into a clear three levels of work that are deliverable. This simplified structure is suitable since the project requires clear control and does not need to be overburdened with detail to stakeholders. There are five main packages: Project Initiation and Governance, Design and Approvals, Procurement and Temporary Operations, Construction and Systems Delivery and Commissioning and Handover.</w:t>
      </w:r>
    </w:p>
    <w:p w14:paraId="1AAEBBE7" w14:textId="1428A00F" w:rsidR="00485B4A" w:rsidRPr="00EA03C6" w:rsidRDefault="001C08E9" w:rsidP="00EA03C6">
      <w:pPr>
        <w:jc w:val="both"/>
        <w:rPr>
          <w:rFonts w:asciiTheme="majorBidi" w:hAnsiTheme="majorBidi" w:cstheme="majorBidi"/>
          <w:szCs w:val="24"/>
        </w:rPr>
      </w:pPr>
      <w:r w:rsidRPr="00EA03C6">
        <w:rPr>
          <w:rFonts w:asciiTheme="majorBidi" w:hAnsiTheme="majorBidi" w:cstheme="majorBidi"/>
          <w:szCs w:val="24"/>
        </w:rPr>
        <w:t xml:space="preserve">The deliverable-based WBS (DWBS) facilitates planning because it relates the technical scope of the project to scheduling, budgeting, monitoring and change control. WBS and cost integration are useful in construction projects especially when they are associated with defined outputs and used to estimate project cost and measure project progress (Cerezo-Narváez et al., 2020). </w:t>
      </w:r>
    </w:p>
    <w:p w14:paraId="0ACC2966" w14:textId="77777777" w:rsidR="00FA101B" w:rsidRPr="00EA03C6" w:rsidRDefault="00FA101B" w:rsidP="00EA03C6">
      <w:pPr>
        <w:keepNext/>
        <w:jc w:val="center"/>
        <w:rPr>
          <w:rFonts w:asciiTheme="majorBidi" w:hAnsiTheme="majorBidi" w:cstheme="majorBidi"/>
          <w:szCs w:val="24"/>
        </w:rPr>
      </w:pPr>
      <w:r w:rsidRPr="00EA03C6">
        <w:rPr>
          <w:rFonts w:asciiTheme="majorBidi" w:hAnsiTheme="majorBidi" w:cstheme="majorBidi"/>
          <w:noProof/>
          <w:szCs w:val="24"/>
        </w:rPr>
        <w:drawing>
          <wp:inline distT="0" distB="0" distL="0" distR="0" wp14:anchorId="6E539C48" wp14:editId="0311AE83">
            <wp:extent cx="6309360" cy="3939540"/>
            <wp:effectExtent l="0" t="0" r="0" b="3810"/>
            <wp:docPr id="299825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25884" name=""/>
                    <pic:cNvPicPr/>
                  </pic:nvPicPr>
                  <pic:blipFill>
                    <a:blip r:embed="rId11"/>
                    <a:stretch>
                      <a:fillRect/>
                    </a:stretch>
                  </pic:blipFill>
                  <pic:spPr>
                    <a:xfrm>
                      <a:off x="0" y="0"/>
                      <a:ext cx="6309360" cy="3939540"/>
                    </a:xfrm>
                    <a:prstGeom prst="rect">
                      <a:avLst/>
                    </a:prstGeom>
                  </pic:spPr>
                </pic:pic>
              </a:graphicData>
            </a:graphic>
          </wp:inline>
        </w:drawing>
      </w:r>
    </w:p>
    <w:p w14:paraId="3C6B5599" w14:textId="7C158082" w:rsidR="00485B4A" w:rsidRPr="00EA03C6" w:rsidRDefault="00FA101B" w:rsidP="00EA03C6">
      <w:pPr>
        <w:pStyle w:val="Caption"/>
        <w:jc w:val="both"/>
        <w:rPr>
          <w:rFonts w:asciiTheme="majorBidi" w:hAnsiTheme="majorBidi" w:cstheme="majorBidi"/>
          <w:sz w:val="24"/>
          <w:szCs w:val="24"/>
        </w:rPr>
      </w:pPr>
      <w:r w:rsidRPr="00EA03C6">
        <w:rPr>
          <w:rFonts w:asciiTheme="majorBidi" w:hAnsiTheme="majorBidi" w:cstheme="majorBidi"/>
          <w:sz w:val="24"/>
          <w:szCs w:val="24"/>
        </w:rPr>
        <w:t xml:space="preserve">Figure </w:t>
      </w:r>
      <w:r w:rsidRPr="00EA03C6">
        <w:rPr>
          <w:rFonts w:asciiTheme="majorBidi" w:hAnsiTheme="majorBidi" w:cstheme="majorBidi"/>
          <w:sz w:val="24"/>
          <w:szCs w:val="24"/>
        </w:rPr>
        <w:fldChar w:fldCharType="begin"/>
      </w:r>
      <w:r w:rsidRPr="00EA03C6">
        <w:rPr>
          <w:rFonts w:asciiTheme="majorBidi" w:hAnsiTheme="majorBidi" w:cstheme="majorBidi"/>
          <w:sz w:val="24"/>
          <w:szCs w:val="24"/>
        </w:rPr>
        <w:instrText xml:space="preserve"> SEQ Figure \* ARABIC </w:instrText>
      </w:r>
      <w:r w:rsidRPr="00EA03C6">
        <w:rPr>
          <w:rFonts w:asciiTheme="majorBidi" w:hAnsiTheme="majorBidi" w:cstheme="majorBidi"/>
          <w:sz w:val="24"/>
          <w:szCs w:val="24"/>
        </w:rPr>
        <w:fldChar w:fldCharType="separate"/>
      </w:r>
      <w:r w:rsidR="004F0BF7" w:rsidRPr="00EA03C6">
        <w:rPr>
          <w:rFonts w:asciiTheme="majorBidi" w:hAnsiTheme="majorBidi" w:cstheme="majorBidi"/>
          <w:sz w:val="24"/>
          <w:szCs w:val="24"/>
        </w:rPr>
        <w:t>2</w:t>
      </w:r>
      <w:r w:rsidRPr="00EA03C6">
        <w:rPr>
          <w:rFonts w:asciiTheme="majorBidi" w:hAnsiTheme="majorBidi" w:cstheme="majorBidi"/>
          <w:sz w:val="24"/>
          <w:szCs w:val="24"/>
        </w:rPr>
        <w:fldChar w:fldCharType="end"/>
      </w:r>
      <w:r w:rsidRPr="00EA03C6">
        <w:rPr>
          <w:rFonts w:asciiTheme="majorBidi" w:hAnsiTheme="majorBidi" w:cstheme="majorBidi"/>
          <w:sz w:val="24"/>
          <w:szCs w:val="24"/>
        </w:rPr>
        <w:t>: Work Breakdown Structure</w:t>
      </w:r>
    </w:p>
    <w:p w14:paraId="12D1ED6B" w14:textId="20EBE122" w:rsidR="00485B4A" w:rsidRPr="00EA03C6" w:rsidRDefault="008D48E6" w:rsidP="00EA03C6">
      <w:pPr>
        <w:jc w:val="both"/>
        <w:rPr>
          <w:rFonts w:asciiTheme="majorBidi" w:hAnsiTheme="majorBidi" w:cstheme="majorBidi"/>
          <w:szCs w:val="24"/>
        </w:rPr>
      </w:pPr>
      <w:r w:rsidRPr="00EA03C6">
        <w:rPr>
          <w:rFonts w:asciiTheme="majorBidi" w:hAnsiTheme="majorBidi" w:cstheme="majorBidi"/>
          <w:szCs w:val="24"/>
        </w:rPr>
        <w:t xml:space="preserve">Figure 2 presents the WBS at a level appropriate for stakeholder review and project planning. Figure 2 presents the process of procurement and temporary operations as preparation for the delivery of the main project, including procurement strategy, contract award, setting up the temporary interchange, traffic management and communications. Demolition, utilities, structure, concourse, platforms, digital integration, sustainability and accessibility works are the subjects of construction and systems delivery. </w:t>
      </w:r>
      <w:r w:rsidRPr="00EA03C6">
        <w:rPr>
          <w:rFonts w:asciiTheme="majorBidi" w:hAnsiTheme="majorBidi" w:cstheme="majorBidi"/>
          <w:szCs w:val="24"/>
        </w:rPr>
        <w:lastRenderedPageBreak/>
        <w:t xml:space="preserve">The last package covers testing, trial operations, safety certification, defects closure, handover and benefits baseline. </w:t>
      </w:r>
    </w:p>
    <w:p w14:paraId="1A8DEC0D" w14:textId="77777777" w:rsidR="00485B4A" w:rsidRPr="00EA03C6" w:rsidRDefault="00D83475" w:rsidP="00EA03C6">
      <w:pPr>
        <w:pStyle w:val="Heading2"/>
      </w:pPr>
      <w:bookmarkStart w:id="8" w:name="_Toc234069512"/>
      <w:r w:rsidRPr="00EA03C6">
        <w:t>5. Quad Chart</w:t>
      </w:r>
      <w:bookmarkEnd w:id="8"/>
    </w:p>
    <w:p w14:paraId="51A581D1" w14:textId="38F2C573" w:rsidR="00485B4A" w:rsidRPr="00EA03C6" w:rsidRDefault="00DA5673" w:rsidP="00EA03C6">
      <w:pPr>
        <w:jc w:val="both"/>
        <w:rPr>
          <w:rFonts w:asciiTheme="majorBidi" w:hAnsiTheme="majorBidi" w:cstheme="majorBidi"/>
          <w:szCs w:val="24"/>
        </w:rPr>
      </w:pPr>
      <w:r w:rsidRPr="00EA03C6">
        <w:rPr>
          <w:rFonts w:asciiTheme="majorBidi" w:hAnsiTheme="majorBidi" w:cstheme="majorBidi"/>
          <w:szCs w:val="24"/>
        </w:rPr>
        <w:t>Figure 3 presents a quad chart for senior stakeholders. This chart summarises need, expected benefits, delivery controls and critical risks in one page. This is useful for sponsors, operators, contractors and accessibility groups, public representatives etc, to know what is happening in the project before they make detailed technical decisions. The benefits and controls include sustainability and stakeholder engagement as they are both factors that impact project success and knowledge transfer between project delivery teams (Blak Bernat et al., 2023).</w:t>
      </w:r>
    </w:p>
    <w:p w14:paraId="758EE03A" w14:textId="77777777" w:rsidR="006C059D" w:rsidRPr="00EA03C6" w:rsidRDefault="006C059D" w:rsidP="00EA03C6">
      <w:pPr>
        <w:keepNext/>
        <w:jc w:val="center"/>
        <w:rPr>
          <w:rFonts w:asciiTheme="majorBidi" w:hAnsiTheme="majorBidi" w:cstheme="majorBidi"/>
          <w:szCs w:val="24"/>
        </w:rPr>
      </w:pPr>
      <w:r w:rsidRPr="00EA03C6">
        <w:rPr>
          <w:rFonts w:asciiTheme="majorBidi" w:hAnsiTheme="majorBidi" w:cstheme="majorBidi"/>
          <w:noProof/>
          <w:szCs w:val="24"/>
        </w:rPr>
        <w:drawing>
          <wp:inline distT="0" distB="0" distL="0" distR="0" wp14:anchorId="00CD153F" wp14:editId="20716A92">
            <wp:extent cx="6309360" cy="3495675"/>
            <wp:effectExtent l="0" t="0" r="0" b="9525"/>
            <wp:docPr id="330825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825240" name=""/>
                    <pic:cNvPicPr/>
                  </pic:nvPicPr>
                  <pic:blipFill>
                    <a:blip r:embed="rId12"/>
                    <a:stretch>
                      <a:fillRect/>
                    </a:stretch>
                  </pic:blipFill>
                  <pic:spPr>
                    <a:xfrm>
                      <a:off x="0" y="0"/>
                      <a:ext cx="6309360" cy="3495675"/>
                    </a:xfrm>
                    <a:prstGeom prst="rect">
                      <a:avLst/>
                    </a:prstGeom>
                  </pic:spPr>
                </pic:pic>
              </a:graphicData>
            </a:graphic>
          </wp:inline>
        </w:drawing>
      </w:r>
    </w:p>
    <w:p w14:paraId="154DDBC8" w14:textId="57A5FCF1" w:rsidR="00485B4A" w:rsidRPr="00EA03C6" w:rsidRDefault="006C059D" w:rsidP="00EA03C6">
      <w:pPr>
        <w:pStyle w:val="Caption"/>
        <w:jc w:val="both"/>
        <w:rPr>
          <w:rFonts w:asciiTheme="majorBidi" w:hAnsiTheme="majorBidi" w:cstheme="majorBidi"/>
          <w:sz w:val="24"/>
          <w:szCs w:val="24"/>
        </w:rPr>
      </w:pPr>
      <w:r w:rsidRPr="00EA03C6">
        <w:rPr>
          <w:rFonts w:asciiTheme="majorBidi" w:hAnsiTheme="majorBidi" w:cstheme="majorBidi"/>
          <w:sz w:val="24"/>
          <w:szCs w:val="24"/>
        </w:rPr>
        <w:t xml:space="preserve">Figure </w:t>
      </w:r>
      <w:r w:rsidRPr="00EA03C6">
        <w:rPr>
          <w:rFonts w:asciiTheme="majorBidi" w:hAnsiTheme="majorBidi" w:cstheme="majorBidi"/>
          <w:sz w:val="24"/>
          <w:szCs w:val="24"/>
        </w:rPr>
        <w:fldChar w:fldCharType="begin"/>
      </w:r>
      <w:r w:rsidRPr="00EA03C6">
        <w:rPr>
          <w:rFonts w:asciiTheme="majorBidi" w:hAnsiTheme="majorBidi" w:cstheme="majorBidi"/>
          <w:sz w:val="24"/>
          <w:szCs w:val="24"/>
        </w:rPr>
        <w:instrText xml:space="preserve"> SEQ Figure \* ARABIC </w:instrText>
      </w:r>
      <w:r w:rsidRPr="00EA03C6">
        <w:rPr>
          <w:rFonts w:asciiTheme="majorBidi" w:hAnsiTheme="majorBidi" w:cstheme="majorBidi"/>
          <w:sz w:val="24"/>
          <w:szCs w:val="24"/>
        </w:rPr>
        <w:fldChar w:fldCharType="separate"/>
      </w:r>
      <w:r w:rsidR="004F0BF7" w:rsidRPr="00EA03C6">
        <w:rPr>
          <w:rFonts w:asciiTheme="majorBidi" w:hAnsiTheme="majorBidi" w:cstheme="majorBidi"/>
          <w:sz w:val="24"/>
          <w:szCs w:val="24"/>
        </w:rPr>
        <w:t>3</w:t>
      </w:r>
      <w:r w:rsidRPr="00EA03C6">
        <w:rPr>
          <w:rFonts w:asciiTheme="majorBidi" w:hAnsiTheme="majorBidi" w:cstheme="majorBidi"/>
          <w:sz w:val="24"/>
          <w:szCs w:val="24"/>
        </w:rPr>
        <w:fldChar w:fldCharType="end"/>
      </w:r>
      <w:r w:rsidRPr="00EA03C6">
        <w:rPr>
          <w:rFonts w:asciiTheme="majorBidi" w:hAnsiTheme="majorBidi" w:cstheme="majorBidi"/>
          <w:sz w:val="24"/>
          <w:szCs w:val="24"/>
        </w:rPr>
        <w:t>: Quad chart</w:t>
      </w:r>
    </w:p>
    <w:p w14:paraId="66F53429" w14:textId="5CEA5467" w:rsidR="00485B4A" w:rsidRPr="00EA03C6" w:rsidRDefault="00DA5673" w:rsidP="00EA03C6">
      <w:pPr>
        <w:jc w:val="both"/>
        <w:rPr>
          <w:rFonts w:asciiTheme="majorBidi" w:hAnsiTheme="majorBidi" w:cstheme="majorBidi"/>
          <w:szCs w:val="24"/>
        </w:rPr>
      </w:pPr>
      <w:r w:rsidRPr="00EA03C6">
        <w:rPr>
          <w:rFonts w:asciiTheme="majorBidi" w:hAnsiTheme="majorBidi" w:cstheme="majorBidi"/>
          <w:szCs w:val="24"/>
        </w:rPr>
        <w:t>This quad chart is kept as simple as possible. The top left quadrant provides the justification for the project, the top right identifies the value delivered from the project, the bottom left summarises key outputs and governance controls and the bottom right identifies threats that need to be actively managed. This is an appropriate format for project board meetings, as it allows decision-makers to look at benefits, controls and risk as one document and not two separate ones.</w:t>
      </w:r>
    </w:p>
    <w:p w14:paraId="67DF050C" w14:textId="77777777" w:rsidR="00485B4A" w:rsidRPr="00EA03C6" w:rsidRDefault="00D83475" w:rsidP="00EA03C6">
      <w:pPr>
        <w:pStyle w:val="Heading2"/>
      </w:pPr>
      <w:bookmarkStart w:id="9" w:name="_Toc234069513"/>
      <w:r w:rsidRPr="00EA03C6">
        <w:lastRenderedPageBreak/>
        <w:t>6. Gantt Chart</w:t>
      </w:r>
      <w:bookmarkEnd w:id="9"/>
    </w:p>
    <w:p w14:paraId="71D19CBC" w14:textId="020B5EAD" w:rsidR="00485B4A" w:rsidRPr="00EA03C6" w:rsidRDefault="00DA5673" w:rsidP="00EA03C6">
      <w:pPr>
        <w:jc w:val="both"/>
        <w:rPr>
          <w:rFonts w:asciiTheme="majorBidi" w:hAnsiTheme="majorBidi" w:cstheme="majorBidi"/>
          <w:szCs w:val="24"/>
        </w:rPr>
      </w:pPr>
      <w:r w:rsidRPr="00EA03C6">
        <w:rPr>
          <w:rFonts w:asciiTheme="majorBidi" w:hAnsiTheme="majorBidi" w:cstheme="majorBidi"/>
          <w:szCs w:val="24"/>
        </w:rPr>
        <w:t>The programme is expected to run from Month 1 to Month 36, with mobilisation at Month 1 and handover and benefits baseline at Month 36. Schedule overlaps include design development, approvals and procurement (where it is safe to do so), and maintains gateways for design freeze, contract award, construction start, systems testing, and operational readiness.</w:t>
      </w:r>
    </w:p>
    <w:p w14:paraId="12B619EA" w14:textId="77777777" w:rsidR="005D7079" w:rsidRPr="00EA03C6" w:rsidRDefault="005D7079" w:rsidP="0084395D">
      <w:pPr>
        <w:keepNext/>
        <w:rPr>
          <w:rFonts w:asciiTheme="majorBidi" w:hAnsiTheme="majorBidi" w:cstheme="majorBidi"/>
          <w:szCs w:val="24"/>
        </w:rPr>
      </w:pPr>
      <w:r w:rsidRPr="00EA03C6">
        <w:rPr>
          <w:rFonts w:asciiTheme="majorBidi" w:hAnsiTheme="majorBidi" w:cstheme="majorBidi"/>
          <w:noProof/>
          <w:szCs w:val="24"/>
        </w:rPr>
        <w:drawing>
          <wp:inline distT="0" distB="0" distL="0" distR="0" wp14:anchorId="43DAD89A" wp14:editId="2C85EF44">
            <wp:extent cx="6387634" cy="3183531"/>
            <wp:effectExtent l="0" t="0" r="0" b="0"/>
            <wp:docPr id="2037442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442474" name=""/>
                    <pic:cNvPicPr/>
                  </pic:nvPicPr>
                  <pic:blipFill>
                    <a:blip r:embed="rId13"/>
                    <a:stretch>
                      <a:fillRect/>
                    </a:stretch>
                  </pic:blipFill>
                  <pic:spPr>
                    <a:xfrm>
                      <a:off x="0" y="0"/>
                      <a:ext cx="6407540" cy="3193452"/>
                    </a:xfrm>
                    <a:prstGeom prst="rect">
                      <a:avLst/>
                    </a:prstGeom>
                  </pic:spPr>
                </pic:pic>
              </a:graphicData>
            </a:graphic>
          </wp:inline>
        </w:drawing>
      </w:r>
    </w:p>
    <w:p w14:paraId="1176D069" w14:textId="55E5A0EE" w:rsidR="00485B4A" w:rsidRPr="00EA03C6" w:rsidRDefault="005D7079" w:rsidP="00EA03C6">
      <w:pPr>
        <w:pStyle w:val="Caption"/>
        <w:jc w:val="both"/>
        <w:rPr>
          <w:rFonts w:asciiTheme="majorBidi" w:hAnsiTheme="majorBidi" w:cstheme="majorBidi"/>
          <w:sz w:val="24"/>
          <w:szCs w:val="24"/>
        </w:rPr>
      </w:pPr>
      <w:r w:rsidRPr="00EA03C6">
        <w:rPr>
          <w:rFonts w:asciiTheme="majorBidi" w:hAnsiTheme="majorBidi" w:cstheme="majorBidi"/>
          <w:sz w:val="24"/>
          <w:szCs w:val="24"/>
        </w:rPr>
        <w:t xml:space="preserve">Figure </w:t>
      </w:r>
      <w:r w:rsidRPr="00EA03C6">
        <w:rPr>
          <w:rFonts w:asciiTheme="majorBidi" w:hAnsiTheme="majorBidi" w:cstheme="majorBidi"/>
          <w:sz w:val="24"/>
          <w:szCs w:val="24"/>
        </w:rPr>
        <w:fldChar w:fldCharType="begin"/>
      </w:r>
      <w:r w:rsidRPr="00EA03C6">
        <w:rPr>
          <w:rFonts w:asciiTheme="majorBidi" w:hAnsiTheme="majorBidi" w:cstheme="majorBidi"/>
          <w:sz w:val="24"/>
          <w:szCs w:val="24"/>
        </w:rPr>
        <w:instrText xml:space="preserve"> SEQ Figure \* ARABIC </w:instrText>
      </w:r>
      <w:r w:rsidRPr="00EA03C6">
        <w:rPr>
          <w:rFonts w:asciiTheme="majorBidi" w:hAnsiTheme="majorBidi" w:cstheme="majorBidi"/>
          <w:sz w:val="24"/>
          <w:szCs w:val="24"/>
        </w:rPr>
        <w:fldChar w:fldCharType="separate"/>
      </w:r>
      <w:r w:rsidR="004F0BF7" w:rsidRPr="00EA03C6">
        <w:rPr>
          <w:rFonts w:asciiTheme="majorBidi" w:hAnsiTheme="majorBidi" w:cstheme="majorBidi"/>
          <w:sz w:val="24"/>
          <w:szCs w:val="24"/>
        </w:rPr>
        <w:t>4</w:t>
      </w:r>
      <w:r w:rsidRPr="00EA03C6">
        <w:rPr>
          <w:rFonts w:asciiTheme="majorBidi" w:hAnsiTheme="majorBidi" w:cstheme="majorBidi"/>
          <w:sz w:val="24"/>
          <w:szCs w:val="24"/>
        </w:rPr>
        <w:fldChar w:fldCharType="end"/>
      </w:r>
      <w:r w:rsidRPr="00EA03C6">
        <w:rPr>
          <w:rFonts w:asciiTheme="majorBidi" w:hAnsiTheme="majorBidi" w:cstheme="majorBidi"/>
          <w:sz w:val="24"/>
          <w:szCs w:val="24"/>
        </w:rPr>
        <w:t>: High-level Gantt chart baseline</w:t>
      </w:r>
    </w:p>
    <w:p w14:paraId="35947B4D" w14:textId="77777777" w:rsidR="003A1475" w:rsidRPr="00EA03C6" w:rsidRDefault="003A1475" w:rsidP="00EA03C6">
      <w:pPr>
        <w:jc w:val="both"/>
        <w:rPr>
          <w:rFonts w:asciiTheme="majorBidi" w:hAnsiTheme="majorBidi" w:cstheme="majorBidi"/>
          <w:szCs w:val="24"/>
        </w:rPr>
      </w:pPr>
      <w:r w:rsidRPr="00EA03C6">
        <w:rPr>
          <w:rFonts w:asciiTheme="majorBidi" w:hAnsiTheme="majorBidi" w:cstheme="majorBidi"/>
          <w:szCs w:val="24"/>
        </w:rPr>
        <w:t>The Gantt chart is not a fixed document. The chart is an instrument to track slippage, report on exceptions, coordinate possessions, synchronize contractor interfaces and communicate with the public. Where multiple organisations require access to shared programme information, with a need for control, cross organisational scheduling tools can provide increased transparency (Li et al., 2022). Schedule control relies on monthly baseline updates, gateway review, critical path monitoring and escalation where there is a risk of disruption impacting upon public confidence.</w:t>
      </w:r>
    </w:p>
    <w:p w14:paraId="02380A19" w14:textId="1B6C32F7" w:rsidR="00485B4A" w:rsidRPr="00EA03C6" w:rsidRDefault="003A1475" w:rsidP="00EA03C6">
      <w:pPr>
        <w:jc w:val="both"/>
        <w:rPr>
          <w:rFonts w:asciiTheme="majorBidi" w:hAnsiTheme="majorBidi" w:cstheme="majorBidi"/>
          <w:szCs w:val="24"/>
        </w:rPr>
      </w:pPr>
      <w:r w:rsidRPr="00EA03C6">
        <w:rPr>
          <w:rFonts w:asciiTheme="majorBidi" w:hAnsiTheme="majorBidi" w:cstheme="majorBidi"/>
          <w:szCs w:val="24"/>
        </w:rPr>
        <w:t xml:space="preserve">A potential critical path is Intrusive Surveys, Design Freeze, Statutory Approval, Contractor Mobilisation, Enabling Works, Demolition, Major Structural Reconstruction, Systems Integration, Safety Certification and Trial Operations. Residual risk increases if procurement, stakeholder communication, safety certification and operational readiness are not properly coordinated before handover. </w:t>
      </w:r>
    </w:p>
    <w:p w14:paraId="3AE8038D" w14:textId="77777777" w:rsidR="00485B4A" w:rsidRPr="00EA03C6" w:rsidRDefault="00D83475" w:rsidP="00EA03C6">
      <w:pPr>
        <w:pStyle w:val="Heading2"/>
      </w:pPr>
      <w:bookmarkStart w:id="10" w:name="_Toc234069514"/>
      <w:r w:rsidRPr="00EA03C6">
        <w:lastRenderedPageBreak/>
        <w:t>7. Stakeholders' involvement</w:t>
      </w:r>
      <w:bookmarkEnd w:id="10"/>
    </w:p>
    <w:p w14:paraId="71DD00FA" w14:textId="46E1F4C2" w:rsidR="00485B4A" w:rsidRPr="00EA03C6" w:rsidRDefault="003A1475" w:rsidP="00EA03C6">
      <w:pPr>
        <w:jc w:val="both"/>
        <w:rPr>
          <w:rFonts w:asciiTheme="majorBidi" w:hAnsiTheme="majorBidi" w:cstheme="majorBidi"/>
          <w:szCs w:val="24"/>
        </w:rPr>
      </w:pPr>
      <w:r w:rsidRPr="00EA03C6">
        <w:rPr>
          <w:rFonts w:asciiTheme="majorBidi" w:hAnsiTheme="majorBidi" w:cstheme="majorBidi"/>
          <w:szCs w:val="24"/>
        </w:rPr>
        <w:t>The importance of stakeholder involvement is key as the hub has an impact on public authorities, operators, regulators, contractors, commuters, residents, local businesses, accessibility groups and emergency services. It is important that infrastructure stakeholder involvement is done as an ongoing process and not as a one-off consultation exercise (</w:t>
      </w:r>
      <w:proofErr w:type="spellStart"/>
      <w:r w:rsidRPr="00EA03C6">
        <w:rPr>
          <w:rFonts w:asciiTheme="majorBidi" w:hAnsiTheme="majorBidi" w:cstheme="majorBidi"/>
          <w:szCs w:val="24"/>
        </w:rPr>
        <w:t>Prebanić</w:t>
      </w:r>
      <w:proofErr w:type="spellEnd"/>
      <w:r w:rsidRPr="00EA03C6">
        <w:rPr>
          <w:rFonts w:asciiTheme="majorBidi" w:hAnsiTheme="majorBidi" w:cstheme="majorBidi"/>
          <w:szCs w:val="24"/>
        </w:rPr>
        <w:t xml:space="preserve"> and Vukomanović, 2023).</w:t>
      </w:r>
    </w:p>
    <w:p w14:paraId="43547DE9" w14:textId="77777777" w:rsidR="00AB5295" w:rsidRPr="00EA03C6" w:rsidRDefault="00AB5295" w:rsidP="00EA03C6">
      <w:pPr>
        <w:keepNext/>
        <w:jc w:val="center"/>
        <w:rPr>
          <w:rFonts w:asciiTheme="majorBidi" w:hAnsiTheme="majorBidi" w:cstheme="majorBidi"/>
          <w:szCs w:val="24"/>
        </w:rPr>
      </w:pPr>
      <w:r w:rsidRPr="00EA03C6">
        <w:rPr>
          <w:rFonts w:asciiTheme="majorBidi" w:hAnsiTheme="majorBidi" w:cstheme="majorBidi"/>
          <w:noProof/>
          <w:szCs w:val="24"/>
        </w:rPr>
        <w:drawing>
          <wp:inline distT="0" distB="0" distL="0" distR="0" wp14:anchorId="0C73FF6C" wp14:editId="12021116">
            <wp:extent cx="6309360" cy="4584065"/>
            <wp:effectExtent l="0" t="0" r="0" b="6985"/>
            <wp:docPr id="124325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25968" name=""/>
                    <pic:cNvPicPr/>
                  </pic:nvPicPr>
                  <pic:blipFill>
                    <a:blip r:embed="rId14"/>
                    <a:stretch>
                      <a:fillRect/>
                    </a:stretch>
                  </pic:blipFill>
                  <pic:spPr>
                    <a:xfrm>
                      <a:off x="0" y="0"/>
                      <a:ext cx="6309360" cy="4584065"/>
                    </a:xfrm>
                    <a:prstGeom prst="rect">
                      <a:avLst/>
                    </a:prstGeom>
                  </pic:spPr>
                </pic:pic>
              </a:graphicData>
            </a:graphic>
          </wp:inline>
        </w:drawing>
      </w:r>
    </w:p>
    <w:p w14:paraId="467B75F9" w14:textId="0C4251E2" w:rsidR="00485B4A" w:rsidRPr="00EA03C6" w:rsidRDefault="00AB5295" w:rsidP="00EA03C6">
      <w:pPr>
        <w:pStyle w:val="Caption"/>
        <w:jc w:val="both"/>
        <w:rPr>
          <w:rFonts w:asciiTheme="majorBidi" w:hAnsiTheme="majorBidi" w:cstheme="majorBidi"/>
          <w:sz w:val="24"/>
          <w:szCs w:val="24"/>
        </w:rPr>
      </w:pPr>
      <w:r w:rsidRPr="00EA03C6">
        <w:rPr>
          <w:rFonts w:asciiTheme="majorBidi" w:hAnsiTheme="majorBidi" w:cstheme="majorBidi"/>
          <w:sz w:val="24"/>
          <w:szCs w:val="24"/>
        </w:rPr>
        <w:t xml:space="preserve">Figure </w:t>
      </w:r>
      <w:r w:rsidRPr="00EA03C6">
        <w:rPr>
          <w:rFonts w:asciiTheme="majorBidi" w:hAnsiTheme="majorBidi" w:cstheme="majorBidi"/>
          <w:sz w:val="24"/>
          <w:szCs w:val="24"/>
        </w:rPr>
        <w:fldChar w:fldCharType="begin"/>
      </w:r>
      <w:r w:rsidRPr="00EA03C6">
        <w:rPr>
          <w:rFonts w:asciiTheme="majorBidi" w:hAnsiTheme="majorBidi" w:cstheme="majorBidi"/>
          <w:sz w:val="24"/>
          <w:szCs w:val="24"/>
        </w:rPr>
        <w:instrText xml:space="preserve"> SEQ Figure \* ARABIC </w:instrText>
      </w:r>
      <w:r w:rsidRPr="00EA03C6">
        <w:rPr>
          <w:rFonts w:asciiTheme="majorBidi" w:hAnsiTheme="majorBidi" w:cstheme="majorBidi"/>
          <w:sz w:val="24"/>
          <w:szCs w:val="24"/>
        </w:rPr>
        <w:fldChar w:fldCharType="separate"/>
      </w:r>
      <w:r w:rsidR="004F0BF7" w:rsidRPr="00EA03C6">
        <w:rPr>
          <w:rFonts w:asciiTheme="majorBidi" w:hAnsiTheme="majorBidi" w:cstheme="majorBidi"/>
          <w:sz w:val="24"/>
          <w:szCs w:val="24"/>
        </w:rPr>
        <w:t>5</w:t>
      </w:r>
      <w:r w:rsidRPr="00EA03C6">
        <w:rPr>
          <w:rFonts w:asciiTheme="majorBidi" w:hAnsiTheme="majorBidi" w:cstheme="majorBidi"/>
          <w:sz w:val="24"/>
          <w:szCs w:val="24"/>
        </w:rPr>
        <w:fldChar w:fldCharType="end"/>
      </w:r>
      <w:r w:rsidRPr="00EA03C6">
        <w:rPr>
          <w:rFonts w:asciiTheme="majorBidi" w:hAnsiTheme="majorBidi" w:cstheme="majorBidi"/>
          <w:sz w:val="24"/>
          <w:szCs w:val="24"/>
        </w:rPr>
        <w:t>: Stakeholder power-interest matrix</w:t>
      </w:r>
    </w:p>
    <w:p w14:paraId="4D9F45C5" w14:textId="2938C15F" w:rsidR="00485B4A" w:rsidRDefault="003A1475" w:rsidP="00EA03C6">
      <w:pPr>
        <w:jc w:val="both"/>
        <w:rPr>
          <w:rFonts w:asciiTheme="majorBidi" w:hAnsiTheme="majorBidi" w:cstheme="majorBidi"/>
          <w:szCs w:val="24"/>
        </w:rPr>
      </w:pPr>
      <w:r w:rsidRPr="00EA03C6">
        <w:rPr>
          <w:rFonts w:asciiTheme="majorBidi" w:hAnsiTheme="majorBidi" w:cstheme="majorBidi"/>
          <w:szCs w:val="24"/>
        </w:rPr>
        <w:t xml:space="preserve">Strategic decisions are made by the project board; the project manager is responsible for the delivery integration; work stream leads are responsible for technical outputs; the change control ensures that the scope does not keep growing. This structure provides stakeholders with a clear course of action, escalation and accountability. Throughout the project, the project board will be meeting monthly, and will be reviewing the cost, schedule, safety, risk, carbon, and stakeholder confidence. </w:t>
      </w:r>
    </w:p>
    <w:p w14:paraId="3953971F" w14:textId="77777777" w:rsidR="0084395D" w:rsidRPr="00EA03C6" w:rsidRDefault="0084395D" w:rsidP="00EA03C6">
      <w:pPr>
        <w:jc w:val="both"/>
        <w:rPr>
          <w:rFonts w:asciiTheme="majorBidi" w:hAnsiTheme="majorBidi" w:cstheme="majorBidi"/>
          <w:szCs w:val="24"/>
        </w:rPr>
      </w:pPr>
    </w:p>
    <w:p w14:paraId="5A48B3AF" w14:textId="7104CEE5" w:rsidR="00AB5295" w:rsidRPr="00EA03C6" w:rsidRDefault="00AB5295" w:rsidP="00EA03C6">
      <w:pPr>
        <w:pStyle w:val="Caption"/>
        <w:keepNext/>
        <w:jc w:val="both"/>
        <w:rPr>
          <w:rFonts w:asciiTheme="majorBidi" w:hAnsiTheme="majorBidi" w:cstheme="majorBidi"/>
          <w:sz w:val="24"/>
          <w:szCs w:val="24"/>
        </w:rPr>
      </w:pPr>
      <w:r w:rsidRPr="00EA03C6">
        <w:rPr>
          <w:rFonts w:asciiTheme="majorBidi" w:hAnsiTheme="majorBidi" w:cstheme="majorBidi"/>
          <w:sz w:val="24"/>
          <w:szCs w:val="24"/>
        </w:rPr>
        <w:lastRenderedPageBreak/>
        <w:t xml:space="preserve">Table </w:t>
      </w:r>
      <w:r w:rsidRPr="00EA03C6">
        <w:rPr>
          <w:rFonts w:asciiTheme="majorBidi" w:hAnsiTheme="majorBidi" w:cstheme="majorBidi"/>
          <w:sz w:val="24"/>
          <w:szCs w:val="24"/>
        </w:rPr>
        <w:fldChar w:fldCharType="begin"/>
      </w:r>
      <w:r w:rsidRPr="00EA03C6">
        <w:rPr>
          <w:rFonts w:asciiTheme="majorBidi" w:hAnsiTheme="majorBidi" w:cstheme="majorBidi"/>
          <w:sz w:val="24"/>
          <w:szCs w:val="24"/>
        </w:rPr>
        <w:instrText xml:space="preserve"> SEQ Table \* ARABIC </w:instrText>
      </w:r>
      <w:r w:rsidRPr="00EA03C6">
        <w:rPr>
          <w:rFonts w:asciiTheme="majorBidi" w:hAnsiTheme="majorBidi" w:cstheme="majorBidi"/>
          <w:sz w:val="24"/>
          <w:szCs w:val="24"/>
        </w:rPr>
        <w:fldChar w:fldCharType="separate"/>
      </w:r>
      <w:r w:rsidR="00D70898" w:rsidRPr="00EA03C6">
        <w:rPr>
          <w:rFonts w:asciiTheme="majorBidi" w:hAnsiTheme="majorBidi" w:cstheme="majorBidi"/>
          <w:sz w:val="24"/>
          <w:szCs w:val="24"/>
        </w:rPr>
        <w:t>3</w:t>
      </w:r>
      <w:r w:rsidRPr="00EA03C6">
        <w:rPr>
          <w:rFonts w:asciiTheme="majorBidi" w:hAnsiTheme="majorBidi" w:cstheme="majorBidi"/>
          <w:sz w:val="24"/>
          <w:szCs w:val="24"/>
        </w:rPr>
        <w:fldChar w:fldCharType="end"/>
      </w:r>
      <w:r w:rsidRPr="00EA03C6">
        <w:rPr>
          <w:rFonts w:asciiTheme="majorBidi" w:hAnsiTheme="majorBidi" w:cstheme="majorBidi"/>
          <w:sz w:val="24"/>
          <w:szCs w:val="24"/>
        </w:rPr>
        <w:t>: Governance framework and decision rights</w:t>
      </w:r>
    </w:p>
    <w:tbl>
      <w:tblPr>
        <w:tblStyle w:val="TableGrid"/>
        <w:tblW w:w="0" w:type="auto"/>
        <w:tblLook w:val="04A0" w:firstRow="1" w:lastRow="0" w:firstColumn="1" w:lastColumn="0" w:noHBand="0" w:noVBand="1"/>
      </w:tblPr>
      <w:tblGrid>
        <w:gridCol w:w="2481"/>
        <w:gridCol w:w="2482"/>
        <w:gridCol w:w="2482"/>
        <w:gridCol w:w="2481"/>
      </w:tblGrid>
      <w:tr w:rsidR="00485B4A" w:rsidRPr="00EA03C6" w14:paraId="6D7534D7" w14:textId="77777777" w:rsidTr="00AB5295">
        <w:tc>
          <w:tcPr>
            <w:tcW w:w="2484" w:type="dxa"/>
          </w:tcPr>
          <w:p w14:paraId="72446DA1" w14:textId="77777777" w:rsidR="00485B4A" w:rsidRPr="00EA03C6" w:rsidRDefault="00D83475" w:rsidP="00EA03C6">
            <w:pPr>
              <w:spacing w:after="0"/>
              <w:jc w:val="both"/>
              <w:rPr>
                <w:rFonts w:asciiTheme="majorBidi" w:hAnsiTheme="majorBidi" w:cstheme="majorBidi"/>
                <w:i/>
                <w:iCs/>
                <w:szCs w:val="24"/>
              </w:rPr>
            </w:pPr>
            <w:r w:rsidRPr="00EA03C6">
              <w:rPr>
                <w:rFonts w:asciiTheme="majorBidi" w:hAnsiTheme="majorBidi" w:cstheme="majorBidi"/>
                <w:b/>
                <w:i/>
                <w:iCs/>
                <w:szCs w:val="24"/>
              </w:rPr>
              <w:t>Governance level</w:t>
            </w:r>
          </w:p>
        </w:tc>
        <w:tc>
          <w:tcPr>
            <w:tcW w:w="2484" w:type="dxa"/>
          </w:tcPr>
          <w:p w14:paraId="462EBC3D" w14:textId="77777777" w:rsidR="00485B4A" w:rsidRPr="00EA03C6" w:rsidRDefault="00D83475" w:rsidP="00EA03C6">
            <w:pPr>
              <w:spacing w:after="0"/>
              <w:jc w:val="both"/>
              <w:rPr>
                <w:rFonts w:asciiTheme="majorBidi" w:hAnsiTheme="majorBidi" w:cstheme="majorBidi"/>
                <w:i/>
                <w:iCs/>
                <w:szCs w:val="24"/>
              </w:rPr>
            </w:pPr>
            <w:r w:rsidRPr="00EA03C6">
              <w:rPr>
                <w:rFonts w:asciiTheme="majorBidi" w:hAnsiTheme="majorBidi" w:cstheme="majorBidi"/>
                <w:b/>
                <w:i/>
                <w:iCs/>
                <w:szCs w:val="24"/>
              </w:rPr>
              <w:t>Decision rights</w:t>
            </w:r>
          </w:p>
        </w:tc>
        <w:tc>
          <w:tcPr>
            <w:tcW w:w="2484" w:type="dxa"/>
          </w:tcPr>
          <w:p w14:paraId="09F848A7" w14:textId="77777777" w:rsidR="00485B4A" w:rsidRPr="00EA03C6" w:rsidRDefault="00D83475" w:rsidP="00EA03C6">
            <w:pPr>
              <w:spacing w:after="0"/>
              <w:jc w:val="both"/>
              <w:rPr>
                <w:rFonts w:asciiTheme="majorBidi" w:hAnsiTheme="majorBidi" w:cstheme="majorBidi"/>
                <w:i/>
                <w:iCs/>
                <w:szCs w:val="24"/>
              </w:rPr>
            </w:pPr>
            <w:r w:rsidRPr="00EA03C6">
              <w:rPr>
                <w:rFonts w:asciiTheme="majorBidi" w:hAnsiTheme="majorBidi" w:cstheme="majorBidi"/>
                <w:b/>
                <w:i/>
                <w:iCs/>
                <w:szCs w:val="24"/>
              </w:rPr>
              <w:t>Evidence reviewed</w:t>
            </w:r>
          </w:p>
        </w:tc>
        <w:tc>
          <w:tcPr>
            <w:tcW w:w="2484" w:type="dxa"/>
          </w:tcPr>
          <w:p w14:paraId="1507F601" w14:textId="77777777" w:rsidR="00485B4A" w:rsidRPr="00EA03C6" w:rsidRDefault="00D83475" w:rsidP="00EA03C6">
            <w:pPr>
              <w:spacing w:after="0"/>
              <w:jc w:val="both"/>
              <w:rPr>
                <w:rFonts w:asciiTheme="majorBidi" w:hAnsiTheme="majorBidi" w:cstheme="majorBidi"/>
                <w:i/>
                <w:iCs/>
                <w:szCs w:val="24"/>
              </w:rPr>
            </w:pPr>
            <w:r w:rsidRPr="00EA03C6">
              <w:rPr>
                <w:rFonts w:asciiTheme="majorBidi" w:hAnsiTheme="majorBidi" w:cstheme="majorBidi"/>
                <w:b/>
                <w:i/>
                <w:iCs/>
                <w:szCs w:val="24"/>
              </w:rPr>
              <w:t>Frequency</w:t>
            </w:r>
          </w:p>
        </w:tc>
      </w:tr>
      <w:tr w:rsidR="00485B4A" w:rsidRPr="00EA03C6" w14:paraId="09A876F1" w14:textId="77777777" w:rsidTr="00AB5295">
        <w:tc>
          <w:tcPr>
            <w:tcW w:w="2484" w:type="dxa"/>
          </w:tcPr>
          <w:p w14:paraId="447909F3"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Project board</w:t>
            </w:r>
          </w:p>
        </w:tc>
        <w:tc>
          <w:tcPr>
            <w:tcW w:w="2484" w:type="dxa"/>
          </w:tcPr>
          <w:p w14:paraId="727F9434"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Approve budget, scope baseline, gateways and major changes.</w:t>
            </w:r>
          </w:p>
        </w:tc>
        <w:tc>
          <w:tcPr>
            <w:tcW w:w="2484" w:type="dxa"/>
          </w:tcPr>
          <w:p w14:paraId="2365826F"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Cost, schedule, risk, safety, carbon and stakeholder dashboard.</w:t>
            </w:r>
          </w:p>
        </w:tc>
        <w:tc>
          <w:tcPr>
            <w:tcW w:w="2484" w:type="dxa"/>
          </w:tcPr>
          <w:p w14:paraId="08499366"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Monthly</w:t>
            </w:r>
          </w:p>
        </w:tc>
      </w:tr>
      <w:tr w:rsidR="00485B4A" w:rsidRPr="00EA03C6" w14:paraId="653DAAAD" w14:textId="77777777" w:rsidTr="00AB5295">
        <w:tc>
          <w:tcPr>
            <w:tcW w:w="2484" w:type="dxa"/>
          </w:tcPr>
          <w:p w14:paraId="1EE7A896"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Project manager</w:t>
            </w:r>
          </w:p>
        </w:tc>
        <w:tc>
          <w:tcPr>
            <w:tcW w:w="2484" w:type="dxa"/>
          </w:tcPr>
          <w:p w14:paraId="383B3C56"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Integrate workstreams, escalate exceptions and control delivery baseline.</w:t>
            </w:r>
          </w:p>
        </w:tc>
        <w:tc>
          <w:tcPr>
            <w:tcW w:w="2484" w:type="dxa"/>
          </w:tcPr>
          <w:p w14:paraId="538691C6"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Integrated plan, dependency log, issue log and change requests.</w:t>
            </w:r>
          </w:p>
        </w:tc>
        <w:tc>
          <w:tcPr>
            <w:tcW w:w="2484" w:type="dxa"/>
          </w:tcPr>
          <w:p w14:paraId="6C932D4C"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Weekly</w:t>
            </w:r>
          </w:p>
        </w:tc>
      </w:tr>
      <w:tr w:rsidR="00485B4A" w:rsidRPr="00EA03C6" w14:paraId="29821994" w14:textId="77777777" w:rsidTr="00AB5295">
        <w:tc>
          <w:tcPr>
            <w:tcW w:w="2484" w:type="dxa"/>
          </w:tcPr>
          <w:p w14:paraId="09C9A89C"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Workstream leads</w:t>
            </w:r>
          </w:p>
        </w:tc>
        <w:tc>
          <w:tcPr>
            <w:tcW w:w="2484" w:type="dxa"/>
          </w:tcPr>
          <w:p w14:paraId="18562285"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Manage technical outputs and acceptance evidence.</w:t>
            </w:r>
          </w:p>
        </w:tc>
        <w:tc>
          <w:tcPr>
            <w:tcW w:w="2484" w:type="dxa"/>
          </w:tcPr>
          <w:p w14:paraId="3B77047C"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Design packs, method statements, test results and progress reports.</w:t>
            </w:r>
          </w:p>
        </w:tc>
        <w:tc>
          <w:tcPr>
            <w:tcW w:w="2484" w:type="dxa"/>
          </w:tcPr>
          <w:p w14:paraId="5FF3DD6A"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Weekly / phase-based</w:t>
            </w:r>
          </w:p>
        </w:tc>
      </w:tr>
      <w:tr w:rsidR="00485B4A" w:rsidRPr="00EA03C6" w14:paraId="4C4A1EE6" w14:textId="77777777" w:rsidTr="00AB5295">
        <w:tc>
          <w:tcPr>
            <w:tcW w:w="2484" w:type="dxa"/>
          </w:tcPr>
          <w:p w14:paraId="7F1C1615"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Change control</w:t>
            </w:r>
          </w:p>
        </w:tc>
        <w:tc>
          <w:tcPr>
            <w:tcW w:w="2484" w:type="dxa"/>
          </w:tcPr>
          <w:p w14:paraId="7388233B"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Accept, reject or defer change requests against value and impact.</w:t>
            </w:r>
          </w:p>
        </w:tc>
        <w:tc>
          <w:tcPr>
            <w:tcW w:w="2484" w:type="dxa"/>
          </w:tcPr>
          <w:p w14:paraId="48BC7529"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Change form, cost/schedule effect and benefit justification.</w:t>
            </w:r>
          </w:p>
        </w:tc>
        <w:tc>
          <w:tcPr>
            <w:tcW w:w="2484" w:type="dxa"/>
          </w:tcPr>
          <w:p w14:paraId="00E780F0" w14:textId="77777777" w:rsidR="00485B4A" w:rsidRPr="00EA03C6" w:rsidRDefault="00D83475" w:rsidP="00EA03C6">
            <w:pPr>
              <w:spacing w:after="0"/>
              <w:jc w:val="both"/>
              <w:rPr>
                <w:rFonts w:asciiTheme="majorBidi" w:hAnsiTheme="majorBidi" w:cstheme="majorBidi"/>
                <w:szCs w:val="24"/>
              </w:rPr>
            </w:pPr>
            <w:r w:rsidRPr="00EA03C6">
              <w:rPr>
                <w:rFonts w:asciiTheme="majorBidi" w:hAnsiTheme="majorBidi" w:cstheme="majorBidi"/>
                <w:szCs w:val="24"/>
              </w:rPr>
              <w:t>As required</w:t>
            </w:r>
          </w:p>
        </w:tc>
      </w:tr>
    </w:tbl>
    <w:p w14:paraId="4FA76281" w14:textId="77777777" w:rsidR="003A1475" w:rsidRPr="00EA03C6" w:rsidRDefault="003A1475" w:rsidP="00EA03C6">
      <w:pPr>
        <w:jc w:val="both"/>
        <w:rPr>
          <w:rFonts w:asciiTheme="majorBidi" w:hAnsiTheme="majorBidi" w:cstheme="majorBidi"/>
          <w:szCs w:val="24"/>
        </w:rPr>
      </w:pPr>
    </w:p>
    <w:p w14:paraId="0336A8FC" w14:textId="79978210" w:rsidR="00485B4A" w:rsidRPr="00EA03C6" w:rsidRDefault="00C90C81" w:rsidP="00EA03C6">
      <w:pPr>
        <w:jc w:val="both"/>
        <w:rPr>
          <w:rFonts w:asciiTheme="majorBidi" w:hAnsiTheme="majorBidi" w:cstheme="majorBidi"/>
          <w:szCs w:val="24"/>
        </w:rPr>
      </w:pPr>
      <w:r w:rsidRPr="00EA03C6">
        <w:rPr>
          <w:rFonts w:asciiTheme="majorBidi" w:hAnsiTheme="majorBidi" w:cstheme="majorBidi"/>
          <w:szCs w:val="24"/>
        </w:rPr>
        <w:t xml:space="preserve">During construction, there are close monitoring processes in place, including a monthly project board and weekly interface meetings, between high power/high interest stakeholders such as the City Council, transport authority and rail, bus and freight operators. Assurance packs will be given to </w:t>
      </w:r>
      <w:r w:rsidR="00B128C2" w:rsidRPr="00EA03C6">
        <w:rPr>
          <w:rFonts w:asciiTheme="majorBidi" w:hAnsiTheme="majorBidi" w:cstheme="majorBidi"/>
          <w:szCs w:val="24"/>
        </w:rPr>
        <w:t>regulators,</w:t>
      </w:r>
      <w:r w:rsidRPr="00EA03C6">
        <w:rPr>
          <w:rFonts w:asciiTheme="majorBidi" w:hAnsiTheme="majorBidi" w:cstheme="majorBidi"/>
          <w:szCs w:val="24"/>
        </w:rPr>
        <w:t xml:space="preserve"> and formal review points will be made available to emergency services. There is uncertainty about the perception of uncertainty across stakeholder groups, and it is important to evaluate uncertainty in the engagement, rather than just using categories (</w:t>
      </w:r>
      <w:proofErr w:type="spellStart"/>
      <w:r w:rsidRPr="00EA03C6">
        <w:rPr>
          <w:rFonts w:asciiTheme="majorBidi" w:hAnsiTheme="majorBidi" w:cstheme="majorBidi"/>
          <w:szCs w:val="24"/>
        </w:rPr>
        <w:t>Machiels</w:t>
      </w:r>
      <w:proofErr w:type="spellEnd"/>
      <w:r w:rsidRPr="00EA03C6">
        <w:rPr>
          <w:rFonts w:asciiTheme="majorBidi" w:hAnsiTheme="majorBidi" w:cstheme="majorBidi"/>
          <w:szCs w:val="24"/>
        </w:rPr>
        <w:t xml:space="preserve"> et al., 2023).</w:t>
      </w:r>
    </w:p>
    <w:p w14:paraId="321B6021" w14:textId="77777777" w:rsidR="00485B4A" w:rsidRPr="00EA03C6" w:rsidRDefault="00D83475" w:rsidP="00EA03C6">
      <w:pPr>
        <w:pStyle w:val="Heading2"/>
      </w:pPr>
      <w:bookmarkStart w:id="11" w:name="_Toc234069515"/>
      <w:r w:rsidRPr="00EA03C6">
        <w:t>8. Allocation of resources</w:t>
      </w:r>
      <w:bookmarkEnd w:id="11"/>
    </w:p>
    <w:p w14:paraId="08AE3551" w14:textId="77777777" w:rsidR="00AA503A" w:rsidRPr="00EA03C6" w:rsidRDefault="00AA503A" w:rsidP="00EA03C6">
      <w:pPr>
        <w:jc w:val="both"/>
        <w:rPr>
          <w:rFonts w:asciiTheme="majorBidi" w:hAnsiTheme="majorBidi" w:cstheme="majorBidi"/>
          <w:szCs w:val="24"/>
        </w:rPr>
      </w:pPr>
      <w:r w:rsidRPr="00EA03C6">
        <w:rPr>
          <w:rFonts w:asciiTheme="majorBidi" w:hAnsiTheme="majorBidi" w:cstheme="majorBidi"/>
          <w:szCs w:val="24"/>
        </w:rPr>
        <w:t>The allocation of resources follows the delivery phases and the WBS. A project management office, a project manager, a design manager, a commercial manager, a construction manager, a transport operations lead, a stakeholder/communications lead, a risk manager, a carbon lead, an accessibility advisor, a digital systems lead, a health and safety manager, and a contractor, among others, are required for the project. In the construction field, multi-objective resource allocation is significant because of the competition of time, cost, safety, access and quality for the same resources are specialized in construction (He et al., 2021).</w:t>
      </w:r>
    </w:p>
    <w:p w14:paraId="3EB9DD01" w14:textId="1E402431" w:rsidR="00485B4A" w:rsidRPr="00EA03C6" w:rsidRDefault="00AA503A" w:rsidP="00EA03C6">
      <w:pPr>
        <w:jc w:val="both"/>
        <w:rPr>
          <w:rFonts w:asciiTheme="majorBidi" w:hAnsiTheme="majorBidi" w:cstheme="majorBidi"/>
          <w:szCs w:val="24"/>
        </w:rPr>
      </w:pPr>
      <w:r w:rsidRPr="00EA03C6">
        <w:rPr>
          <w:rFonts w:asciiTheme="majorBidi" w:hAnsiTheme="majorBidi" w:cstheme="majorBidi"/>
          <w:szCs w:val="24"/>
        </w:rPr>
        <w:lastRenderedPageBreak/>
        <w:t>Resource planning, therefore, involves surveys, design assurance, procurement capability, as well as communicating with stakeholders, prior to heavy construction. The construction labour, plant, utilities, specialist materials and digital integrators are then scaled in the enabling, demolition, reconstruction and systems integration. However, portfolio level visibility is also needed since some specialist resources could be common for multiple projects and be a constraint if the lead time is not addressed early on (Soleymani et al., 2024). The below table summarises the resource allocation plan.</w:t>
      </w:r>
    </w:p>
    <w:p w14:paraId="7CEF9BC4" w14:textId="77777777" w:rsidR="00525729" w:rsidRPr="00EA03C6" w:rsidRDefault="006E06AD" w:rsidP="00EA03C6">
      <w:pPr>
        <w:jc w:val="both"/>
        <w:rPr>
          <w:rFonts w:asciiTheme="majorBidi" w:hAnsiTheme="majorBidi" w:cstheme="majorBidi"/>
          <w:szCs w:val="24"/>
        </w:rPr>
      </w:pPr>
      <w:r w:rsidRPr="00EA03C6">
        <w:rPr>
          <w:rFonts w:asciiTheme="majorBidi" w:hAnsiTheme="majorBidi" w:cstheme="majorBidi"/>
          <w:b/>
          <w:i/>
          <w:szCs w:val="24"/>
        </w:rPr>
        <w:t>Table 5: Resource allocation plan</w:t>
      </w:r>
    </w:p>
    <w:p w14:paraId="3C27C0A6" w14:textId="246701EB" w:rsidR="00BF077E" w:rsidRPr="00EA03C6" w:rsidRDefault="0037280F" w:rsidP="009A2B26">
      <w:pPr>
        <w:jc w:val="center"/>
        <w:rPr>
          <w:rFonts w:asciiTheme="majorBidi" w:hAnsiTheme="majorBidi" w:cstheme="majorBidi"/>
          <w:szCs w:val="24"/>
        </w:rPr>
      </w:pPr>
      <w:r>
        <w:rPr>
          <w:noProof/>
        </w:rPr>
        <w:drawing>
          <wp:inline distT="0" distB="0" distL="0" distR="0" wp14:anchorId="1EC1503E" wp14:editId="182D5C6B">
            <wp:extent cx="6298107" cy="4769219"/>
            <wp:effectExtent l="0" t="0" r="7620" b="0"/>
            <wp:docPr id="306603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603878" name=""/>
                    <pic:cNvPicPr/>
                  </pic:nvPicPr>
                  <pic:blipFill>
                    <a:blip r:embed="rId15"/>
                    <a:stretch>
                      <a:fillRect/>
                    </a:stretch>
                  </pic:blipFill>
                  <pic:spPr>
                    <a:xfrm>
                      <a:off x="0" y="0"/>
                      <a:ext cx="6307191" cy="4776098"/>
                    </a:xfrm>
                    <a:prstGeom prst="rect">
                      <a:avLst/>
                    </a:prstGeom>
                  </pic:spPr>
                </pic:pic>
              </a:graphicData>
            </a:graphic>
          </wp:inline>
        </w:drawing>
      </w:r>
    </w:p>
    <w:p w14:paraId="2CC34CF8" w14:textId="04192D42" w:rsidR="00485B4A" w:rsidRPr="00EA03C6" w:rsidRDefault="00E867FB" w:rsidP="00EA03C6">
      <w:pPr>
        <w:jc w:val="both"/>
        <w:rPr>
          <w:rFonts w:asciiTheme="majorBidi" w:hAnsiTheme="majorBidi" w:cstheme="majorBidi"/>
          <w:szCs w:val="24"/>
        </w:rPr>
      </w:pPr>
      <w:r w:rsidRPr="00EA03C6">
        <w:rPr>
          <w:rFonts w:asciiTheme="majorBidi" w:hAnsiTheme="majorBidi" w:cstheme="majorBidi"/>
          <w:szCs w:val="24"/>
        </w:rPr>
        <w:t>Non-labour resources are also considered in the resource plan. These include any assets used for temporary transport, traffic management, welfare facilities, digital testing environments, public information channels, contingency budget and specialist assurance. Resource conflicts will be addressed through the fortnightly look-ahead planning process during construction and weekly coordination process during high-risk activities including the demolition, utilities diversion, possession windows, and digital cut-over.</w:t>
      </w:r>
    </w:p>
    <w:p w14:paraId="5B6C864E" w14:textId="77777777" w:rsidR="00485B4A" w:rsidRPr="00EA03C6" w:rsidRDefault="00D83475" w:rsidP="00EA03C6">
      <w:pPr>
        <w:pStyle w:val="Heading2"/>
      </w:pPr>
      <w:bookmarkStart w:id="12" w:name="_Toc234069516"/>
      <w:r w:rsidRPr="00EA03C6">
        <w:lastRenderedPageBreak/>
        <w:t>9. Risk Analysis</w:t>
      </w:r>
      <w:bookmarkEnd w:id="12"/>
    </w:p>
    <w:p w14:paraId="6D6951B9" w14:textId="263F9B59" w:rsidR="00485B4A" w:rsidRPr="00EA03C6" w:rsidRDefault="00E867FB" w:rsidP="00EA03C6">
      <w:pPr>
        <w:jc w:val="both"/>
        <w:rPr>
          <w:rFonts w:asciiTheme="majorBidi" w:hAnsiTheme="majorBidi" w:cstheme="majorBidi"/>
          <w:szCs w:val="24"/>
        </w:rPr>
      </w:pPr>
      <w:r w:rsidRPr="00EA03C6">
        <w:rPr>
          <w:rFonts w:asciiTheme="majorBidi" w:hAnsiTheme="majorBidi" w:cstheme="majorBidi"/>
          <w:szCs w:val="24"/>
        </w:rPr>
        <w:t>The risk approach is a mix of a qualitative heat map and a risk register scored. The probability-impact logic is illustrated in the following figure, and the table below lists the key risks, ratings, owners and responses. While a heat map can be used to communicate, it should not be used like a mathematical tool for making decisions. Probability-impact matrices are not without their limitations, as suggested by recent research on risk and should be complemented by judgement, ownership and response planning (</w:t>
      </w:r>
      <w:proofErr w:type="spellStart"/>
      <w:r w:rsidRPr="00EA03C6">
        <w:rPr>
          <w:rFonts w:asciiTheme="majorBidi" w:hAnsiTheme="majorBidi" w:cstheme="majorBidi"/>
          <w:szCs w:val="24"/>
        </w:rPr>
        <w:t>Acebes</w:t>
      </w:r>
      <w:proofErr w:type="spellEnd"/>
      <w:r w:rsidRPr="00EA03C6">
        <w:rPr>
          <w:rFonts w:asciiTheme="majorBidi" w:hAnsiTheme="majorBidi" w:cstheme="majorBidi"/>
          <w:szCs w:val="24"/>
        </w:rPr>
        <w:t xml:space="preserve"> et al., 2024).</w:t>
      </w:r>
    </w:p>
    <w:p w14:paraId="6B502F47" w14:textId="77777777" w:rsidR="004F0BF7" w:rsidRPr="00EA03C6" w:rsidRDefault="004F0BF7" w:rsidP="00EA03C6">
      <w:pPr>
        <w:keepNext/>
        <w:jc w:val="center"/>
        <w:rPr>
          <w:rFonts w:asciiTheme="majorBidi" w:hAnsiTheme="majorBidi" w:cstheme="majorBidi"/>
          <w:szCs w:val="24"/>
        </w:rPr>
      </w:pPr>
      <w:r w:rsidRPr="00EA03C6">
        <w:rPr>
          <w:rFonts w:asciiTheme="majorBidi" w:hAnsiTheme="majorBidi" w:cstheme="majorBidi"/>
          <w:noProof/>
          <w:szCs w:val="24"/>
        </w:rPr>
        <w:drawing>
          <wp:inline distT="0" distB="0" distL="0" distR="0" wp14:anchorId="73D417D6" wp14:editId="01277DCE">
            <wp:extent cx="5795788" cy="4346841"/>
            <wp:effectExtent l="0" t="0" r="0" b="0"/>
            <wp:docPr id="8911907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08961" cy="4356721"/>
                    </a:xfrm>
                    <a:prstGeom prst="rect">
                      <a:avLst/>
                    </a:prstGeom>
                    <a:noFill/>
                  </pic:spPr>
                </pic:pic>
              </a:graphicData>
            </a:graphic>
          </wp:inline>
        </w:drawing>
      </w:r>
    </w:p>
    <w:p w14:paraId="7C711BEB" w14:textId="06CD8D32" w:rsidR="00485B4A" w:rsidRPr="00EA03C6" w:rsidRDefault="004F0BF7" w:rsidP="00EA03C6">
      <w:pPr>
        <w:pStyle w:val="Caption"/>
        <w:jc w:val="both"/>
        <w:rPr>
          <w:rFonts w:asciiTheme="majorBidi" w:hAnsiTheme="majorBidi" w:cstheme="majorBidi"/>
          <w:sz w:val="24"/>
          <w:szCs w:val="24"/>
        </w:rPr>
      </w:pPr>
      <w:r w:rsidRPr="00EA03C6">
        <w:rPr>
          <w:rFonts w:asciiTheme="majorBidi" w:hAnsiTheme="majorBidi" w:cstheme="majorBidi"/>
          <w:sz w:val="24"/>
          <w:szCs w:val="24"/>
        </w:rPr>
        <w:t xml:space="preserve">Figure </w:t>
      </w:r>
      <w:r w:rsidRPr="00EA03C6">
        <w:rPr>
          <w:rFonts w:asciiTheme="majorBidi" w:hAnsiTheme="majorBidi" w:cstheme="majorBidi"/>
          <w:sz w:val="24"/>
          <w:szCs w:val="24"/>
        </w:rPr>
        <w:fldChar w:fldCharType="begin"/>
      </w:r>
      <w:r w:rsidRPr="00EA03C6">
        <w:rPr>
          <w:rFonts w:asciiTheme="majorBidi" w:hAnsiTheme="majorBidi" w:cstheme="majorBidi"/>
          <w:sz w:val="24"/>
          <w:szCs w:val="24"/>
        </w:rPr>
        <w:instrText xml:space="preserve"> SEQ Figure \* ARABIC </w:instrText>
      </w:r>
      <w:r w:rsidRPr="00EA03C6">
        <w:rPr>
          <w:rFonts w:asciiTheme="majorBidi" w:hAnsiTheme="majorBidi" w:cstheme="majorBidi"/>
          <w:sz w:val="24"/>
          <w:szCs w:val="24"/>
        </w:rPr>
        <w:fldChar w:fldCharType="separate"/>
      </w:r>
      <w:r w:rsidRPr="00EA03C6">
        <w:rPr>
          <w:rFonts w:asciiTheme="majorBidi" w:hAnsiTheme="majorBidi" w:cstheme="majorBidi"/>
          <w:sz w:val="24"/>
          <w:szCs w:val="24"/>
        </w:rPr>
        <w:t>6</w:t>
      </w:r>
      <w:r w:rsidRPr="00EA03C6">
        <w:rPr>
          <w:rFonts w:asciiTheme="majorBidi" w:hAnsiTheme="majorBidi" w:cstheme="majorBidi"/>
          <w:sz w:val="24"/>
          <w:szCs w:val="24"/>
        </w:rPr>
        <w:fldChar w:fldCharType="end"/>
      </w:r>
      <w:r w:rsidRPr="00EA03C6">
        <w:rPr>
          <w:rFonts w:asciiTheme="majorBidi" w:hAnsiTheme="majorBidi" w:cstheme="majorBidi"/>
          <w:sz w:val="24"/>
          <w:szCs w:val="24"/>
        </w:rPr>
        <w:t>: Risk heat map</w:t>
      </w:r>
    </w:p>
    <w:p w14:paraId="5F7D7106" w14:textId="77777777" w:rsidR="00485B4A" w:rsidRPr="00EA03C6" w:rsidRDefault="00D83475" w:rsidP="00EA03C6">
      <w:pPr>
        <w:pStyle w:val="Caption"/>
        <w:spacing w:line="360" w:lineRule="auto"/>
        <w:jc w:val="both"/>
        <w:rPr>
          <w:rFonts w:asciiTheme="majorBidi" w:hAnsiTheme="majorBidi" w:cstheme="majorBidi"/>
          <w:sz w:val="24"/>
          <w:szCs w:val="24"/>
        </w:rPr>
      </w:pPr>
      <w:r w:rsidRPr="00EA03C6">
        <w:rPr>
          <w:rFonts w:asciiTheme="majorBidi" w:hAnsiTheme="majorBidi" w:cstheme="majorBidi"/>
          <w:sz w:val="24"/>
          <w:szCs w:val="24"/>
        </w:rPr>
        <w:t>Table 6. Risk register and response plan</w:t>
      </w:r>
    </w:p>
    <w:tbl>
      <w:tblPr>
        <w:tblStyle w:val="TableGrid"/>
        <w:tblW w:w="0" w:type="auto"/>
        <w:tblLayout w:type="fixed"/>
        <w:tblLook w:val="04A0" w:firstRow="1" w:lastRow="0" w:firstColumn="1" w:lastColumn="0" w:noHBand="0" w:noVBand="1"/>
      </w:tblPr>
      <w:tblGrid>
        <w:gridCol w:w="648"/>
        <w:gridCol w:w="2880"/>
        <w:gridCol w:w="1145"/>
        <w:gridCol w:w="1447"/>
        <w:gridCol w:w="3384"/>
      </w:tblGrid>
      <w:tr w:rsidR="00485B4A" w:rsidRPr="00EA03C6" w14:paraId="4E74B3EC" w14:textId="77777777" w:rsidTr="009A2B26">
        <w:tc>
          <w:tcPr>
            <w:tcW w:w="648" w:type="dxa"/>
          </w:tcPr>
          <w:p w14:paraId="6A65DC01" w14:textId="77777777" w:rsidR="00485B4A" w:rsidRPr="00EA03C6" w:rsidRDefault="00D83475" w:rsidP="00EA03C6">
            <w:pPr>
              <w:spacing w:after="0" w:line="276" w:lineRule="auto"/>
              <w:jc w:val="both"/>
              <w:rPr>
                <w:rFonts w:asciiTheme="majorBidi" w:hAnsiTheme="majorBidi" w:cstheme="majorBidi"/>
                <w:i/>
                <w:iCs/>
                <w:szCs w:val="24"/>
              </w:rPr>
            </w:pPr>
            <w:r w:rsidRPr="00EA03C6">
              <w:rPr>
                <w:rFonts w:asciiTheme="majorBidi" w:hAnsiTheme="majorBidi" w:cstheme="majorBidi"/>
                <w:b/>
                <w:i/>
                <w:iCs/>
                <w:szCs w:val="24"/>
              </w:rPr>
              <w:t>ID</w:t>
            </w:r>
          </w:p>
        </w:tc>
        <w:tc>
          <w:tcPr>
            <w:tcW w:w="2880" w:type="dxa"/>
          </w:tcPr>
          <w:p w14:paraId="60B5F09F" w14:textId="77777777" w:rsidR="00485B4A" w:rsidRPr="00EA03C6" w:rsidRDefault="00D83475" w:rsidP="00EA03C6">
            <w:pPr>
              <w:spacing w:after="0" w:line="276" w:lineRule="auto"/>
              <w:jc w:val="both"/>
              <w:rPr>
                <w:rFonts w:asciiTheme="majorBidi" w:hAnsiTheme="majorBidi" w:cstheme="majorBidi"/>
                <w:i/>
                <w:iCs/>
                <w:szCs w:val="24"/>
              </w:rPr>
            </w:pPr>
            <w:r w:rsidRPr="00EA03C6">
              <w:rPr>
                <w:rFonts w:asciiTheme="majorBidi" w:hAnsiTheme="majorBidi" w:cstheme="majorBidi"/>
                <w:b/>
                <w:i/>
                <w:iCs/>
                <w:szCs w:val="24"/>
              </w:rPr>
              <w:t>Risk</w:t>
            </w:r>
          </w:p>
        </w:tc>
        <w:tc>
          <w:tcPr>
            <w:tcW w:w="1145" w:type="dxa"/>
          </w:tcPr>
          <w:p w14:paraId="3EDCF0EF" w14:textId="77777777" w:rsidR="00485B4A" w:rsidRPr="00EA03C6" w:rsidRDefault="00D83475" w:rsidP="00EA03C6">
            <w:pPr>
              <w:spacing w:after="0" w:line="276" w:lineRule="auto"/>
              <w:jc w:val="both"/>
              <w:rPr>
                <w:rFonts w:asciiTheme="majorBidi" w:hAnsiTheme="majorBidi" w:cstheme="majorBidi"/>
                <w:i/>
                <w:iCs/>
                <w:szCs w:val="24"/>
              </w:rPr>
            </w:pPr>
            <w:r w:rsidRPr="00EA03C6">
              <w:rPr>
                <w:rFonts w:asciiTheme="majorBidi" w:hAnsiTheme="majorBidi" w:cstheme="majorBidi"/>
                <w:b/>
                <w:i/>
                <w:iCs/>
                <w:szCs w:val="24"/>
              </w:rPr>
              <w:t>Rating</w:t>
            </w:r>
          </w:p>
        </w:tc>
        <w:tc>
          <w:tcPr>
            <w:tcW w:w="1447" w:type="dxa"/>
          </w:tcPr>
          <w:p w14:paraId="3D13CD40" w14:textId="77777777" w:rsidR="00485B4A" w:rsidRPr="00EA03C6" w:rsidRDefault="00D83475" w:rsidP="00EA03C6">
            <w:pPr>
              <w:spacing w:after="0" w:line="276" w:lineRule="auto"/>
              <w:jc w:val="both"/>
              <w:rPr>
                <w:rFonts w:asciiTheme="majorBidi" w:hAnsiTheme="majorBidi" w:cstheme="majorBidi"/>
                <w:i/>
                <w:iCs/>
                <w:szCs w:val="24"/>
              </w:rPr>
            </w:pPr>
            <w:r w:rsidRPr="00EA03C6">
              <w:rPr>
                <w:rFonts w:asciiTheme="majorBidi" w:hAnsiTheme="majorBidi" w:cstheme="majorBidi"/>
                <w:b/>
                <w:i/>
                <w:iCs/>
                <w:szCs w:val="24"/>
              </w:rPr>
              <w:t>Owner</w:t>
            </w:r>
          </w:p>
        </w:tc>
        <w:tc>
          <w:tcPr>
            <w:tcW w:w="3384" w:type="dxa"/>
          </w:tcPr>
          <w:p w14:paraId="3BB5F494" w14:textId="77777777" w:rsidR="00485B4A" w:rsidRPr="00EA03C6" w:rsidRDefault="00D83475" w:rsidP="00EA03C6">
            <w:pPr>
              <w:spacing w:after="0" w:line="276" w:lineRule="auto"/>
              <w:jc w:val="both"/>
              <w:rPr>
                <w:rFonts w:asciiTheme="majorBidi" w:hAnsiTheme="majorBidi" w:cstheme="majorBidi"/>
                <w:i/>
                <w:iCs/>
                <w:szCs w:val="24"/>
              </w:rPr>
            </w:pPr>
            <w:r w:rsidRPr="00EA03C6">
              <w:rPr>
                <w:rFonts w:asciiTheme="majorBidi" w:hAnsiTheme="majorBidi" w:cstheme="majorBidi"/>
                <w:b/>
                <w:i/>
                <w:iCs/>
                <w:szCs w:val="24"/>
              </w:rPr>
              <w:t>Mitigation and contingency</w:t>
            </w:r>
          </w:p>
        </w:tc>
      </w:tr>
      <w:tr w:rsidR="00485B4A" w:rsidRPr="00EA03C6" w14:paraId="1872756C" w14:textId="77777777" w:rsidTr="009A2B26">
        <w:tc>
          <w:tcPr>
            <w:tcW w:w="648" w:type="dxa"/>
          </w:tcPr>
          <w:p w14:paraId="6E273C9F"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R1</w:t>
            </w:r>
          </w:p>
        </w:tc>
        <w:tc>
          <w:tcPr>
            <w:tcW w:w="2880" w:type="dxa"/>
          </w:tcPr>
          <w:p w14:paraId="724DA26F"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Cost escalation from inflation, labour pressure and design changes.</w:t>
            </w:r>
          </w:p>
        </w:tc>
        <w:tc>
          <w:tcPr>
            <w:tcW w:w="1145" w:type="dxa"/>
          </w:tcPr>
          <w:p w14:paraId="275D7423"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High</w:t>
            </w:r>
          </w:p>
        </w:tc>
        <w:tc>
          <w:tcPr>
            <w:tcW w:w="1447" w:type="dxa"/>
          </w:tcPr>
          <w:p w14:paraId="473D2746"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Commercial Manager</w:t>
            </w:r>
          </w:p>
        </w:tc>
        <w:tc>
          <w:tcPr>
            <w:tcW w:w="3384" w:type="dxa"/>
          </w:tcPr>
          <w:p w14:paraId="101889FD"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Cost-loaded WBS, contingency, value engineering by whole-life value and early supplier pricing.</w:t>
            </w:r>
          </w:p>
        </w:tc>
      </w:tr>
      <w:tr w:rsidR="00485B4A" w:rsidRPr="00EA03C6" w14:paraId="22410B6D" w14:textId="77777777" w:rsidTr="009A2B26">
        <w:tc>
          <w:tcPr>
            <w:tcW w:w="648" w:type="dxa"/>
          </w:tcPr>
          <w:p w14:paraId="7A0F60C9"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R2</w:t>
            </w:r>
          </w:p>
        </w:tc>
        <w:tc>
          <w:tcPr>
            <w:tcW w:w="2880" w:type="dxa"/>
          </w:tcPr>
          <w:p w14:paraId="3B00F3D5"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Hidden structural defects or utilities discovered after mobilisation.</w:t>
            </w:r>
          </w:p>
        </w:tc>
        <w:tc>
          <w:tcPr>
            <w:tcW w:w="1145" w:type="dxa"/>
          </w:tcPr>
          <w:p w14:paraId="2E97131D"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High</w:t>
            </w:r>
          </w:p>
        </w:tc>
        <w:tc>
          <w:tcPr>
            <w:tcW w:w="1447" w:type="dxa"/>
          </w:tcPr>
          <w:p w14:paraId="74C5061D"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Design Manager</w:t>
            </w:r>
          </w:p>
        </w:tc>
        <w:tc>
          <w:tcPr>
            <w:tcW w:w="3384" w:type="dxa"/>
          </w:tcPr>
          <w:p w14:paraId="45888AC9"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Intrusive surveys, utilities mapping, design risk workshops and schedule contingency.</w:t>
            </w:r>
          </w:p>
        </w:tc>
      </w:tr>
      <w:tr w:rsidR="00485B4A" w:rsidRPr="00EA03C6" w14:paraId="239AC7EA" w14:textId="77777777" w:rsidTr="009A2B26">
        <w:tc>
          <w:tcPr>
            <w:tcW w:w="648" w:type="dxa"/>
          </w:tcPr>
          <w:p w14:paraId="3460163C"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lastRenderedPageBreak/>
              <w:t>R3</w:t>
            </w:r>
          </w:p>
        </w:tc>
        <w:tc>
          <w:tcPr>
            <w:tcW w:w="2880" w:type="dxa"/>
          </w:tcPr>
          <w:p w14:paraId="6541DA21"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Planning, procurement or approval delay.</w:t>
            </w:r>
          </w:p>
        </w:tc>
        <w:tc>
          <w:tcPr>
            <w:tcW w:w="1145" w:type="dxa"/>
          </w:tcPr>
          <w:p w14:paraId="2A5A1821"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High</w:t>
            </w:r>
          </w:p>
        </w:tc>
        <w:tc>
          <w:tcPr>
            <w:tcW w:w="1447" w:type="dxa"/>
          </w:tcPr>
          <w:p w14:paraId="5D5C724B"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Sponsor / PM</w:t>
            </w:r>
          </w:p>
        </w:tc>
        <w:tc>
          <w:tcPr>
            <w:tcW w:w="3384" w:type="dxa"/>
          </w:tcPr>
          <w:p w14:paraId="3E998BF3"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Early authority engagement, approvals calendar and gateway escalation route.</w:t>
            </w:r>
          </w:p>
        </w:tc>
      </w:tr>
      <w:tr w:rsidR="00485B4A" w:rsidRPr="00EA03C6" w14:paraId="70415FEE" w14:textId="77777777" w:rsidTr="009A2B26">
        <w:tc>
          <w:tcPr>
            <w:tcW w:w="648" w:type="dxa"/>
          </w:tcPr>
          <w:p w14:paraId="03F41F4C"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R4</w:t>
            </w:r>
          </w:p>
        </w:tc>
        <w:tc>
          <w:tcPr>
            <w:tcW w:w="2880" w:type="dxa"/>
          </w:tcPr>
          <w:p w14:paraId="47615E6E"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Service disruption damages public confidence and local business activity.</w:t>
            </w:r>
          </w:p>
        </w:tc>
        <w:tc>
          <w:tcPr>
            <w:tcW w:w="1145" w:type="dxa"/>
          </w:tcPr>
          <w:p w14:paraId="7D708829"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High</w:t>
            </w:r>
          </w:p>
        </w:tc>
        <w:tc>
          <w:tcPr>
            <w:tcW w:w="1447" w:type="dxa"/>
          </w:tcPr>
          <w:p w14:paraId="612483CE"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Operations Lead</w:t>
            </w:r>
          </w:p>
        </w:tc>
        <w:tc>
          <w:tcPr>
            <w:tcW w:w="3384" w:type="dxa"/>
          </w:tcPr>
          <w:p w14:paraId="50E159DD"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Temporary interchange, phased works, disruption dashboard and business liaison plan.</w:t>
            </w:r>
          </w:p>
        </w:tc>
      </w:tr>
      <w:tr w:rsidR="00485B4A" w:rsidRPr="00EA03C6" w14:paraId="7676CE81" w14:textId="77777777" w:rsidTr="009A2B26">
        <w:tc>
          <w:tcPr>
            <w:tcW w:w="648" w:type="dxa"/>
          </w:tcPr>
          <w:p w14:paraId="170A15D7"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R5</w:t>
            </w:r>
          </w:p>
        </w:tc>
        <w:tc>
          <w:tcPr>
            <w:tcW w:w="2880" w:type="dxa"/>
          </w:tcPr>
          <w:p w14:paraId="78F48DA1"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Health and safety incident during demolition or major lifting works.</w:t>
            </w:r>
          </w:p>
        </w:tc>
        <w:tc>
          <w:tcPr>
            <w:tcW w:w="1145" w:type="dxa"/>
          </w:tcPr>
          <w:p w14:paraId="58EA3FFD"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Extreme</w:t>
            </w:r>
          </w:p>
        </w:tc>
        <w:tc>
          <w:tcPr>
            <w:tcW w:w="1447" w:type="dxa"/>
          </w:tcPr>
          <w:p w14:paraId="2DA5B955"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Construction Manager</w:t>
            </w:r>
          </w:p>
        </w:tc>
        <w:tc>
          <w:tcPr>
            <w:tcW w:w="3384" w:type="dxa"/>
          </w:tcPr>
          <w:p w14:paraId="49C3C559"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CDM controls, method statements, exclusion zones, independent safety audits and stop-work authority.</w:t>
            </w:r>
          </w:p>
        </w:tc>
      </w:tr>
      <w:tr w:rsidR="00485B4A" w:rsidRPr="00EA03C6" w14:paraId="3AAC20E8" w14:textId="77777777" w:rsidTr="009A2B26">
        <w:tc>
          <w:tcPr>
            <w:tcW w:w="648" w:type="dxa"/>
          </w:tcPr>
          <w:p w14:paraId="46DD2FA3"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R6</w:t>
            </w:r>
          </w:p>
        </w:tc>
        <w:tc>
          <w:tcPr>
            <w:tcW w:w="2880" w:type="dxa"/>
          </w:tcPr>
          <w:p w14:paraId="2E7954F6"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Supply-chain constraints delay specialist materials or digital equipment.</w:t>
            </w:r>
          </w:p>
        </w:tc>
        <w:tc>
          <w:tcPr>
            <w:tcW w:w="1145" w:type="dxa"/>
          </w:tcPr>
          <w:p w14:paraId="7FBD258C"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High</w:t>
            </w:r>
          </w:p>
        </w:tc>
        <w:tc>
          <w:tcPr>
            <w:tcW w:w="1447" w:type="dxa"/>
          </w:tcPr>
          <w:p w14:paraId="1656774E"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Commercial Manager</w:t>
            </w:r>
          </w:p>
        </w:tc>
        <w:tc>
          <w:tcPr>
            <w:tcW w:w="3384" w:type="dxa"/>
          </w:tcPr>
          <w:p w14:paraId="0E2BA02A"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Early market engagement, alternative suppliers, critical spares and lead-time tracking.</w:t>
            </w:r>
          </w:p>
        </w:tc>
      </w:tr>
      <w:tr w:rsidR="00485B4A" w:rsidRPr="00EA03C6" w14:paraId="7F3EED3A" w14:textId="77777777" w:rsidTr="009A2B26">
        <w:tc>
          <w:tcPr>
            <w:tcW w:w="648" w:type="dxa"/>
          </w:tcPr>
          <w:p w14:paraId="78774037"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R7</w:t>
            </w:r>
          </w:p>
        </w:tc>
        <w:tc>
          <w:tcPr>
            <w:tcW w:w="2880" w:type="dxa"/>
          </w:tcPr>
          <w:p w14:paraId="11E77951"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Digital systems fail integration, cybersecurity or data quality testing.</w:t>
            </w:r>
          </w:p>
        </w:tc>
        <w:tc>
          <w:tcPr>
            <w:tcW w:w="1145" w:type="dxa"/>
          </w:tcPr>
          <w:p w14:paraId="7825CB4D"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Medium</w:t>
            </w:r>
          </w:p>
        </w:tc>
        <w:tc>
          <w:tcPr>
            <w:tcW w:w="1447" w:type="dxa"/>
          </w:tcPr>
          <w:p w14:paraId="5CF52F9F"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Digital Lead</w:t>
            </w:r>
          </w:p>
        </w:tc>
        <w:tc>
          <w:tcPr>
            <w:tcW w:w="3384" w:type="dxa"/>
          </w:tcPr>
          <w:p w14:paraId="4530E145"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Architecture review, cybersecurity assurance, staged testing and fallback procedures.</w:t>
            </w:r>
          </w:p>
        </w:tc>
      </w:tr>
      <w:tr w:rsidR="00485B4A" w:rsidRPr="00EA03C6" w14:paraId="66B2DA07" w14:textId="77777777" w:rsidTr="009A2B26">
        <w:tc>
          <w:tcPr>
            <w:tcW w:w="648" w:type="dxa"/>
          </w:tcPr>
          <w:p w14:paraId="2C1FD01E"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R8</w:t>
            </w:r>
          </w:p>
        </w:tc>
        <w:tc>
          <w:tcPr>
            <w:tcW w:w="2880" w:type="dxa"/>
          </w:tcPr>
          <w:p w14:paraId="5B7FE716"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Sustainability features removed under budget pressure.</w:t>
            </w:r>
          </w:p>
        </w:tc>
        <w:tc>
          <w:tcPr>
            <w:tcW w:w="1145" w:type="dxa"/>
          </w:tcPr>
          <w:p w14:paraId="54D12F2D"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Medium</w:t>
            </w:r>
          </w:p>
        </w:tc>
        <w:tc>
          <w:tcPr>
            <w:tcW w:w="1447" w:type="dxa"/>
          </w:tcPr>
          <w:p w14:paraId="780BB8AC" w14:textId="29D7E87F"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 xml:space="preserve">Carbon </w:t>
            </w:r>
            <w:r w:rsidR="0010742E" w:rsidRPr="00EA03C6">
              <w:rPr>
                <w:rFonts w:asciiTheme="majorBidi" w:hAnsiTheme="majorBidi" w:cstheme="majorBidi"/>
                <w:szCs w:val="24"/>
              </w:rPr>
              <w:t>Led</w:t>
            </w:r>
          </w:p>
        </w:tc>
        <w:tc>
          <w:tcPr>
            <w:tcW w:w="3384" w:type="dxa"/>
          </w:tcPr>
          <w:p w14:paraId="74B88AD4" w14:textId="77777777" w:rsidR="00485B4A" w:rsidRPr="00EA03C6" w:rsidRDefault="00D83475" w:rsidP="00EA03C6">
            <w:pPr>
              <w:spacing w:after="0" w:line="276" w:lineRule="auto"/>
              <w:jc w:val="both"/>
              <w:rPr>
                <w:rFonts w:asciiTheme="majorBidi" w:hAnsiTheme="majorBidi" w:cstheme="majorBidi"/>
                <w:szCs w:val="24"/>
              </w:rPr>
            </w:pPr>
            <w:r w:rsidRPr="00EA03C6">
              <w:rPr>
                <w:rFonts w:asciiTheme="majorBidi" w:hAnsiTheme="majorBidi" w:cstheme="majorBidi"/>
                <w:szCs w:val="24"/>
              </w:rPr>
              <w:t>Carbon baseline, whole-life value tests and sponsor approval for sustainability trade-offs.</w:t>
            </w:r>
          </w:p>
        </w:tc>
      </w:tr>
    </w:tbl>
    <w:p w14:paraId="604361B9" w14:textId="77777777" w:rsidR="004F0BF7" w:rsidRPr="00EA03C6" w:rsidRDefault="004F0BF7" w:rsidP="00EA03C6">
      <w:pPr>
        <w:jc w:val="both"/>
        <w:rPr>
          <w:rFonts w:asciiTheme="majorBidi" w:hAnsiTheme="majorBidi" w:cstheme="majorBidi"/>
          <w:szCs w:val="24"/>
        </w:rPr>
      </w:pPr>
    </w:p>
    <w:p w14:paraId="13703A8C" w14:textId="77777777" w:rsidR="00FB06D5" w:rsidRPr="00EA03C6" w:rsidRDefault="00FB06D5" w:rsidP="00EA03C6">
      <w:pPr>
        <w:jc w:val="both"/>
        <w:rPr>
          <w:rFonts w:asciiTheme="majorBidi" w:hAnsiTheme="majorBidi" w:cstheme="majorBidi"/>
          <w:szCs w:val="24"/>
        </w:rPr>
      </w:pPr>
      <w:r w:rsidRPr="00EA03C6">
        <w:rPr>
          <w:rFonts w:asciiTheme="majorBidi" w:hAnsiTheme="majorBidi" w:cstheme="majorBidi"/>
          <w:szCs w:val="24"/>
        </w:rPr>
        <w:t>The biggest risks are structural defects, rising costs, delay in planning/procurement, construction disruption, health and safety issues, supply-chain restrictions and failure to integrate digital. These risks are common to urban infrastructure as the work is carried out in a limited operating environment, with live transport interfaces, public access requirements and reputational demands. Particular attention must be paid to digital risk due to the need for dependable flows of data and integrated communication systems for passenger information, ticketing interfaces and freight coordination (Mahrez et al., 2022).</w:t>
      </w:r>
    </w:p>
    <w:p w14:paraId="7946C60B" w14:textId="1E17E5FF" w:rsidR="00485B4A" w:rsidRPr="00EA03C6" w:rsidRDefault="00FB06D5" w:rsidP="00DD38B2">
      <w:pPr>
        <w:jc w:val="both"/>
        <w:rPr>
          <w:rFonts w:asciiTheme="majorBidi" w:hAnsiTheme="majorBidi" w:cstheme="majorBidi"/>
          <w:szCs w:val="24"/>
        </w:rPr>
      </w:pPr>
      <w:r w:rsidRPr="00EA03C6">
        <w:rPr>
          <w:rFonts w:asciiTheme="majorBidi" w:hAnsiTheme="majorBidi" w:cstheme="majorBidi"/>
          <w:szCs w:val="24"/>
        </w:rPr>
        <w:t>Four risk response rules are applied. Firstly, there is a zero-tolerance policy for uncontrolled safety and statutory risks. Second, contingency and critical path are used to review cost and schedule risks. Thirdly, stakeholder and disruption risks are addressed through early warning, liaison forums and public communication. Fourth, digital and carbon risks are not considered end-stage compliance issues but are tested before handover. This makes the risk list provided by the poster into a tangible delivery control system.</w:t>
      </w:r>
    </w:p>
    <w:p w14:paraId="2B289A6B" w14:textId="77777777" w:rsidR="00485B4A" w:rsidRPr="00EA03C6" w:rsidRDefault="00D83475" w:rsidP="00EA03C6">
      <w:pPr>
        <w:pStyle w:val="Heading2"/>
      </w:pPr>
      <w:bookmarkStart w:id="13" w:name="_Toc234069517"/>
      <w:r w:rsidRPr="00EA03C6">
        <w:t>10. Conclusion</w:t>
      </w:r>
      <w:bookmarkEnd w:id="13"/>
    </w:p>
    <w:p w14:paraId="4FB8CF9D" w14:textId="72586B98" w:rsidR="00485B4A" w:rsidRPr="00EA03C6" w:rsidRDefault="00FB06D5" w:rsidP="00EA03C6">
      <w:pPr>
        <w:jc w:val="both"/>
        <w:rPr>
          <w:rFonts w:asciiTheme="majorBidi" w:hAnsiTheme="majorBidi" w:cstheme="majorBidi"/>
          <w:szCs w:val="24"/>
        </w:rPr>
      </w:pPr>
      <w:r w:rsidRPr="00EA03C6">
        <w:rPr>
          <w:rFonts w:asciiTheme="majorBidi" w:hAnsiTheme="majorBidi" w:cstheme="majorBidi"/>
          <w:szCs w:val="24"/>
        </w:rPr>
        <w:t xml:space="preserve">The redevelopment of Birmingham Central Transport Hub is justified as it acts on the structural reason for closure and in turn makes the asset a safer, more accessible, more sustainable and digitally enabled public asset. The final project management plan reinforces the original poster with the addition of </w:t>
      </w:r>
      <w:r w:rsidRPr="00EA03C6">
        <w:rPr>
          <w:rFonts w:asciiTheme="majorBidi" w:hAnsiTheme="majorBidi" w:cstheme="majorBidi"/>
          <w:szCs w:val="24"/>
        </w:rPr>
        <w:lastRenderedPageBreak/>
        <w:t xml:space="preserve">SMART objectives, controlled scope baseline, WBS, quad chart, governance framework, Gantt chart, stakeholder power-interest matrix, resource plan and risk heat map. The best method for delivering the governance is to implement it in a disciplined way while engaging stakeholders in a flexible way. This is to ensure that the project will be able to restore transport capacity without causing undue disruption, expense, carbon emissions and loss of public confidence. The key to success is a disciplined integration – design, construction, transport operations, digital systems, carbon management and public communication need to be managed as one coordinated programme. </w:t>
      </w:r>
    </w:p>
    <w:p w14:paraId="0001A496" w14:textId="77777777" w:rsidR="00485B4A" w:rsidRPr="00EA03C6" w:rsidRDefault="00D83475" w:rsidP="00EA03C6">
      <w:pPr>
        <w:jc w:val="both"/>
        <w:rPr>
          <w:rFonts w:asciiTheme="majorBidi" w:hAnsiTheme="majorBidi" w:cstheme="majorBidi"/>
          <w:szCs w:val="24"/>
        </w:rPr>
      </w:pPr>
      <w:r w:rsidRPr="00EA03C6">
        <w:rPr>
          <w:rFonts w:asciiTheme="majorBidi" w:hAnsiTheme="majorBidi" w:cstheme="majorBidi"/>
          <w:szCs w:val="24"/>
        </w:rPr>
        <w:br w:type="page"/>
      </w:r>
    </w:p>
    <w:p w14:paraId="5A13CD35" w14:textId="77777777" w:rsidR="00485B4A" w:rsidRPr="00EA03C6" w:rsidRDefault="00D83475" w:rsidP="00EA03C6">
      <w:pPr>
        <w:pStyle w:val="Heading1"/>
        <w:jc w:val="both"/>
      </w:pPr>
      <w:bookmarkStart w:id="14" w:name="_Toc234069518"/>
      <w:r w:rsidRPr="00EA03C6">
        <w:lastRenderedPageBreak/>
        <w:t>References</w:t>
      </w:r>
      <w:bookmarkEnd w:id="14"/>
    </w:p>
    <w:p w14:paraId="44B4455E" w14:textId="27898C19" w:rsidR="00485B4A" w:rsidRPr="00EA03C6" w:rsidRDefault="00590D32" w:rsidP="00A2254C">
      <w:pPr>
        <w:ind w:left="720" w:hanging="720"/>
        <w:jc w:val="both"/>
        <w:rPr>
          <w:rFonts w:asciiTheme="majorBidi" w:hAnsiTheme="majorBidi" w:cstheme="majorBidi"/>
          <w:szCs w:val="24"/>
        </w:rPr>
      </w:pPr>
      <w:proofErr w:type="spellStart"/>
      <w:r w:rsidRPr="00EA03C6">
        <w:rPr>
          <w:rFonts w:asciiTheme="majorBidi" w:hAnsiTheme="majorBidi" w:cstheme="majorBidi"/>
          <w:szCs w:val="24"/>
        </w:rPr>
        <w:t>Acebes</w:t>
      </w:r>
      <w:proofErr w:type="spellEnd"/>
      <w:r w:rsidRPr="00EA03C6">
        <w:rPr>
          <w:rFonts w:asciiTheme="majorBidi" w:hAnsiTheme="majorBidi" w:cstheme="majorBidi"/>
          <w:szCs w:val="24"/>
        </w:rPr>
        <w:t>, F., González-Varona, J. M., López-Paredes, A., &amp; Pajares, J. (2024). Beyond probability-impact matrices in project risk management: A quantitative methodology for risk prioritisation. </w:t>
      </w:r>
      <w:r w:rsidRPr="00EA03C6">
        <w:rPr>
          <w:rFonts w:asciiTheme="majorBidi" w:hAnsiTheme="majorBidi" w:cstheme="majorBidi"/>
          <w:i/>
          <w:iCs/>
          <w:szCs w:val="24"/>
        </w:rPr>
        <w:t>Humanities and Social Sciences Communications</w:t>
      </w:r>
      <w:r w:rsidRPr="00EA03C6">
        <w:rPr>
          <w:rFonts w:asciiTheme="majorBidi" w:hAnsiTheme="majorBidi" w:cstheme="majorBidi"/>
          <w:szCs w:val="24"/>
        </w:rPr>
        <w:t>, </w:t>
      </w:r>
      <w:r w:rsidRPr="00EA03C6">
        <w:rPr>
          <w:rFonts w:asciiTheme="majorBidi" w:hAnsiTheme="majorBidi" w:cstheme="majorBidi"/>
          <w:i/>
          <w:iCs/>
          <w:szCs w:val="24"/>
        </w:rPr>
        <w:t>11</w:t>
      </w:r>
      <w:r w:rsidRPr="00EA03C6">
        <w:rPr>
          <w:rFonts w:asciiTheme="majorBidi" w:hAnsiTheme="majorBidi" w:cstheme="majorBidi"/>
          <w:szCs w:val="24"/>
        </w:rPr>
        <w:t>(1), 1-13.</w:t>
      </w:r>
      <w:r w:rsidR="00D83475" w:rsidRPr="00EA03C6">
        <w:rPr>
          <w:rFonts w:asciiTheme="majorBidi" w:hAnsiTheme="majorBidi" w:cstheme="majorBidi"/>
          <w:szCs w:val="24"/>
        </w:rPr>
        <w:t xml:space="preserve"> </w:t>
      </w:r>
      <w:hyperlink r:id="rId17" w:history="1">
        <w:r w:rsidRPr="00EA03C6">
          <w:rPr>
            <w:rStyle w:val="Hyperlink"/>
            <w:rFonts w:asciiTheme="majorBidi" w:hAnsiTheme="majorBidi" w:cstheme="majorBidi"/>
            <w:szCs w:val="24"/>
          </w:rPr>
          <w:t>https://doi.org/10.1057/s41599-024-03180-5</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52D60A0E" w14:textId="0BAEDE8B" w:rsidR="00485B4A" w:rsidRPr="00EA03C6" w:rsidRDefault="00590D32" w:rsidP="00A2254C">
      <w:pPr>
        <w:ind w:left="720" w:hanging="720"/>
        <w:jc w:val="both"/>
        <w:rPr>
          <w:rFonts w:asciiTheme="majorBidi" w:hAnsiTheme="majorBidi" w:cstheme="majorBidi"/>
          <w:szCs w:val="24"/>
        </w:rPr>
      </w:pPr>
      <w:r w:rsidRPr="00EA03C6">
        <w:rPr>
          <w:rFonts w:asciiTheme="majorBidi" w:hAnsiTheme="majorBidi" w:cstheme="majorBidi"/>
          <w:szCs w:val="24"/>
        </w:rPr>
        <w:t xml:space="preserve">Blak Bernat, G., </w:t>
      </w:r>
      <w:proofErr w:type="spellStart"/>
      <w:r w:rsidRPr="00EA03C6">
        <w:rPr>
          <w:rFonts w:asciiTheme="majorBidi" w:hAnsiTheme="majorBidi" w:cstheme="majorBidi"/>
          <w:szCs w:val="24"/>
        </w:rPr>
        <w:t>Qualharini</w:t>
      </w:r>
      <w:proofErr w:type="spellEnd"/>
      <w:r w:rsidRPr="00EA03C6">
        <w:rPr>
          <w:rFonts w:asciiTheme="majorBidi" w:hAnsiTheme="majorBidi" w:cstheme="majorBidi"/>
          <w:szCs w:val="24"/>
        </w:rPr>
        <w:t xml:space="preserve">, E. L., Castro, M. S., </w:t>
      </w:r>
      <w:proofErr w:type="spellStart"/>
      <w:r w:rsidRPr="00EA03C6">
        <w:rPr>
          <w:rFonts w:asciiTheme="majorBidi" w:hAnsiTheme="majorBidi" w:cstheme="majorBidi"/>
          <w:szCs w:val="24"/>
        </w:rPr>
        <w:t>Barcaui</w:t>
      </w:r>
      <w:proofErr w:type="spellEnd"/>
      <w:r w:rsidRPr="00EA03C6">
        <w:rPr>
          <w:rFonts w:asciiTheme="majorBidi" w:hAnsiTheme="majorBidi" w:cstheme="majorBidi"/>
          <w:szCs w:val="24"/>
        </w:rPr>
        <w:t>, A. B., &amp; Soares, R. R. (2023). Sustainability in project management and project success with virtual teams: A quantitative analysis considering stakeholder engagement and knowledge management. </w:t>
      </w:r>
      <w:r w:rsidRPr="00EA03C6">
        <w:rPr>
          <w:rFonts w:asciiTheme="majorBidi" w:hAnsiTheme="majorBidi" w:cstheme="majorBidi"/>
          <w:i/>
          <w:iCs/>
          <w:szCs w:val="24"/>
        </w:rPr>
        <w:t>Sustainability</w:t>
      </w:r>
      <w:r w:rsidRPr="00EA03C6">
        <w:rPr>
          <w:rFonts w:asciiTheme="majorBidi" w:hAnsiTheme="majorBidi" w:cstheme="majorBidi"/>
          <w:szCs w:val="24"/>
        </w:rPr>
        <w:t>, </w:t>
      </w:r>
      <w:r w:rsidRPr="00EA03C6">
        <w:rPr>
          <w:rFonts w:asciiTheme="majorBidi" w:hAnsiTheme="majorBidi" w:cstheme="majorBidi"/>
          <w:i/>
          <w:iCs/>
          <w:szCs w:val="24"/>
        </w:rPr>
        <w:t>15</w:t>
      </w:r>
      <w:r w:rsidRPr="00EA03C6">
        <w:rPr>
          <w:rFonts w:asciiTheme="majorBidi" w:hAnsiTheme="majorBidi" w:cstheme="majorBidi"/>
          <w:szCs w:val="24"/>
        </w:rPr>
        <w:t>(12), 9834.</w:t>
      </w:r>
      <w:r w:rsidR="00D83475" w:rsidRPr="00EA03C6">
        <w:rPr>
          <w:rFonts w:asciiTheme="majorBidi" w:hAnsiTheme="majorBidi" w:cstheme="majorBidi"/>
          <w:szCs w:val="24"/>
        </w:rPr>
        <w:t xml:space="preserve"> </w:t>
      </w:r>
      <w:hyperlink r:id="rId18" w:history="1">
        <w:r w:rsidRPr="00EA03C6">
          <w:rPr>
            <w:rStyle w:val="Hyperlink"/>
            <w:rFonts w:asciiTheme="majorBidi" w:hAnsiTheme="majorBidi" w:cstheme="majorBidi"/>
            <w:szCs w:val="24"/>
          </w:rPr>
          <w:t>https://doi.org/10.3390/su15129834</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784C8BEE" w14:textId="288F151E" w:rsidR="00485B4A" w:rsidRPr="00EA03C6" w:rsidRDefault="00D83475" w:rsidP="00A2254C">
      <w:pPr>
        <w:ind w:left="720" w:hanging="720"/>
        <w:jc w:val="both"/>
        <w:rPr>
          <w:rFonts w:asciiTheme="majorBidi" w:hAnsiTheme="majorBidi" w:cstheme="majorBidi"/>
          <w:szCs w:val="24"/>
        </w:rPr>
      </w:pPr>
      <w:r w:rsidRPr="00EA03C6">
        <w:rPr>
          <w:rFonts w:asciiTheme="majorBidi" w:hAnsiTheme="majorBidi" w:cstheme="majorBidi"/>
          <w:szCs w:val="24"/>
        </w:rPr>
        <w:t>British Standards Institution (2023) PAS 2080:2023 Carbon Management in Buildings and Infrastructure. London: BSI. Available at: https://www.bsigroup.com/en-GB/insights-and-media/insights/brochures/carbon-management-in-buildings-and-infrastructure/</w:t>
      </w:r>
    </w:p>
    <w:p w14:paraId="2BA1294A" w14:textId="2CA0A78E" w:rsidR="00485B4A" w:rsidRPr="00EA03C6" w:rsidRDefault="00CE6C57" w:rsidP="00A2254C">
      <w:pPr>
        <w:ind w:left="720" w:hanging="720"/>
        <w:jc w:val="both"/>
        <w:rPr>
          <w:rFonts w:asciiTheme="majorBidi" w:hAnsiTheme="majorBidi" w:cstheme="majorBidi"/>
          <w:szCs w:val="24"/>
        </w:rPr>
      </w:pPr>
      <w:r w:rsidRPr="00EA03C6">
        <w:rPr>
          <w:rFonts w:asciiTheme="majorBidi" w:hAnsiTheme="majorBidi" w:cstheme="majorBidi"/>
          <w:szCs w:val="24"/>
        </w:rPr>
        <w:t>Cerezo-Narváez, A., Pastor-Fernández, A., Otero-Mateo, M., &amp; Ballesteros-Pérez, P. (2020). Integration of cost and work breakdown structures in the management of construction projects. </w:t>
      </w:r>
      <w:r w:rsidRPr="00EA03C6">
        <w:rPr>
          <w:rFonts w:asciiTheme="majorBidi" w:hAnsiTheme="majorBidi" w:cstheme="majorBidi"/>
          <w:i/>
          <w:iCs/>
          <w:szCs w:val="24"/>
        </w:rPr>
        <w:t>Applied sciences</w:t>
      </w:r>
      <w:r w:rsidRPr="00EA03C6">
        <w:rPr>
          <w:rFonts w:asciiTheme="majorBidi" w:hAnsiTheme="majorBidi" w:cstheme="majorBidi"/>
          <w:szCs w:val="24"/>
        </w:rPr>
        <w:t>, </w:t>
      </w:r>
      <w:r w:rsidRPr="00EA03C6">
        <w:rPr>
          <w:rFonts w:asciiTheme="majorBidi" w:hAnsiTheme="majorBidi" w:cstheme="majorBidi"/>
          <w:i/>
          <w:iCs/>
          <w:szCs w:val="24"/>
        </w:rPr>
        <w:t>10</w:t>
      </w:r>
      <w:r w:rsidRPr="00EA03C6">
        <w:rPr>
          <w:rFonts w:asciiTheme="majorBidi" w:hAnsiTheme="majorBidi" w:cstheme="majorBidi"/>
          <w:szCs w:val="24"/>
        </w:rPr>
        <w:t>(4), 1386.</w:t>
      </w:r>
      <w:r w:rsidR="00D83475" w:rsidRPr="00EA03C6">
        <w:rPr>
          <w:rFonts w:asciiTheme="majorBidi" w:hAnsiTheme="majorBidi" w:cstheme="majorBidi"/>
          <w:szCs w:val="24"/>
        </w:rPr>
        <w:t xml:space="preserve"> </w:t>
      </w:r>
      <w:hyperlink r:id="rId19" w:history="1">
        <w:r w:rsidRPr="00EA03C6">
          <w:rPr>
            <w:rStyle w:val="Hyperlink"/>
            <w:rFonts w:asciiTheme="majorBidi" w:hAnsiTheme="majorBidi" w:cstheme="majorBidi"/>
            <w:szCs w:val="24"/>
          </w:rPr>
          <w:t>https://doi.org/10.3390/app10041386</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60B9D139" w14:textId="1BC5B69E" w:rsidR="00485B4A" w:rsidRPr="00EA03C6" w:rsidRDefault="00D83475" w:rsidP="00A2254C">
      <w:pPr>
        <w:ind w:left="720" w:hanging="720"/>
        <w:jc w:val="both"/>
        <w:rPr>
          <w:rFonts w:asciiTheme="majorBidi" w:hAnsiTheme="majorBidi" w:cstheme="majorBidi"/>
          <w:szCs w:val="24"/>
        </w:rPr>
      </w:pPr>
      <w:r w:rsidRPr="00EA03C6">
        <w:rPr>
          <w:rFonts w:asciiTheme="majorBidi" w:hAnsiTheme="majorBidi" w:cstheme="majorBidi"/>
          <w:szCs w:val="24"/>
        </w:rPr>
        <w:t>Department for Transport (2021) Decarbonising Transport: A Better, Greener Britain. London: Department for Transport.</w:t>
      </w:r>
      <w:r w:rsidR="00CE6C57" w:rsidRPr="00EA03C6">
        <w:rPr>
          <w:rFonts w:asciiTheme="majorBidi" w:hAnsiTheme="majorBidi" w:cstheme="majorBidi"/>
          <w:szCs w:val="24"/>
        </w:rPr>
        <w:t xml:space="preserve"> Available at: </w:t>
      </w:r>
      <w:hyperlink r:id="rId20" w:history="1">
        <w:r w:rsidR="00CE6C57" w:rsidRPr="00EA03C6">
          <w:rPr>
            <w:rStyle w:val="Hyperlink"/>
            <w:rFonts w:asciiTheme="majorBidi" w:hAnsiTheme="majorBidi" w:cstheme="majorBidi"/>
            <w:szCs w:val="24"/>
          </w:rPr>
          <w:t>https://assets.publishing.service.gov.uk/media/610d63ffe90e0706d92fa282/decarbonising-transport-a-better-greener-britain.pdf</w:t>
        </w:r>
      </w:hyperlink>
      <w:r w:rsidR="00CE6C57" w:rsidRPr="00EA03C6">
        <w:rPr>
          <w:rFonts w:asciiTheme="majorBidi" w:hAnsiTheme="majorBidi" w:cstheme="majorBidi"/>
          <w:szCs w:val="24"/>
        </w:rPr>
        <w:t xml:space="preserve"> </w:t>
      </w:r>
    </w:p>
    <w:p w14:paraId="539C73A3" w14:textId="4DADA565" w:rsidR="00485B4A" w:rsidRPr="00EA03C6" w:rsidRDefault="00CE6C57" w:rsidP="00A2254C">
      <w:pPr>
        <w:ind w:left="720" w:hanging="720"/>
        <w:jc w:val="both"/>
        <w:rPr>
          <w:rFonts w:asciiTheme="majorBidi" w:hAnsiTheme="majorBidi" w:cstheme="majorBidi"/>
          <w:szCs w:val="24"/>
        </w:rPr>
      </w:pPr>
      <w:r w:rsidRPr="00EA03C6">
        <w:rPr>
          <w:rFonts w:asciiTheme="majorBidi" w:hAnsiTheme="majorBidi" w:cstheme="majorBidi"/>
          <w:szCs w:val="24"/>
        </w:rPr>
        <w:t>He, W., Li, W., &amp; Wang, W. (2021). Developing a resource allocation approach for resource-constrained construction operation under multi-objective operation. </w:t>
      </w:r>
      <w:r w:rsidRPr="00EA03C6">
        <w:rPr>
          <w:rFonts w:asciiTheme="majorBidi" w:hAnsiTheme="majorBidi" w:cstheme="majorBidi"/>
          <w:i/>
          <w:iCs/>
          <w:szCs w:val="24"/>
        </w:rPr>
        <w:t>Sustainability</w:t>
      </w:r>
      <w:r w:rsidRPr="00EA03C6">
        <w:rPr>
          <w:rFonts w:asciiTheme="majorBidi" w:hAnsiTheme="majorBidi" w:cstheme="majorBidi"/>
          <w:szCs w:val="24"/>
        </w:rPr>
        <w:t>, </w:t>
      </w:r>
      <w:r w:rsidRPr="00EA03C6">
        <w:rPr>
          <w:rFonts w:asciiTheme="majorBidi" w:hAnsiTheme="majorBidi" w:cstheme="majorBidi"/>
          <w:i/>
          <w:iCs/>
          <w:szCs w:val="24"/>
        </w:rPr>
        <w:t>13</w:t>
      </w:r>
      <w:r w:rsidRPr="00EA03C6">
        <w:rPr>
          <w:rFonts w:asciiTheme="majorBidi" w:hAnsiTheme="majorBidi" w:cstheme="majorBidi"/>
          <w:szCs w:val="24"/>
        </w:rPr>
        <w:t>(13), 7318.</w:t>
      </w:r>
      <w:r w:rsidR="00D83475" w:rsidRPr="00EA03C6">
        <w:rPr>
          <w:rFonts w:asciiTheme="majorBidi" w:hAnsiTheme="majorBidi" w:cstheme="majorBidi"/>
          <w:szCs w:val="24"/>
        </w:rPr>
        <w:t xml:space="preserve"> </w:t>
      </w:r>
      <w:hyperlink r:id="rId21" w:history="1">
        <w:r w:rsidRPr="00EA03C6">
          <w:rPr>
            <w:rStyle w:val="Hyperlink"/>
            <w:rFonts w:asciiTheme="majorBidi" w:hAnsiTheme="majorBidi" w:cstheme="majorBidi"/>
            <w:szCs w:val="24"/>
          </w:rPr>
          <w:t>https://doi.org/10.3390/su13137318</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340D1EB0" w14:textId="4F98ACB9" w:rsidR="00485B4A" w:rsidRPr="00EA03C6" w:rsidRDefault="00BF76E4" w:rsidP="00A2254C">
      <w:pPr>
        <w:ind w:left="720" w:hanging="720"/>
        <w:jc w:val="both"/>
        <w:rPr>
          <w:rFonts w:asciiTheme="majorBidi" w:hAnsiTheme="majorBidi" w:cstheme="majorBidi"/>
          <w:szCs w:val="24"/>
        </w:rPr>
      </w:pPr>
      <w:r w:rsidRPr="00EA03C6">
        <w:rPr>
          <w:rFonts w:asciiTheme="majorBidi" w:hAnsiTheme="majorBidi" w:cstheme="majorBidi"/>
          <w:szCs w:val="24"/>
        </w:rPr>
        <w:t xml:space="preserve">Li, D., Han, D., Xia, B., Weng, T. H., Castiglione, A., &amp; Li, K. C. (2022). Fabric-GC: A blockchain-based </w:t>
      </w:r>
      <w:proofErr w:type="spellStart"/>
      <w:r w:rsidRPr="00EA03C6">
        <w:rPr>
          <w:rFonts w:asciiTheme="majorBidi" w:hAnsiTheme="majorBidi" w:cstheme="majorBidi"/>
          <w:szCs w:val="24"/>
        </w:rPr>
        <w:t>gantt</w:t>
      </w:r>
      <w:proofErr w:type="spellEnd"/>
      <w:r w:rsidRPr="00EA03C6">
        <w:rPr>
          <w:rFonts w:asciiTheme="majorBidi" w:hAnsiTheme="majorBidi" w:cstheme="majorBidi"/>
          <w:szCs w:val="24"/>
        </w:rPr>
        <w:t xml:space="preserve"> chart system for cross-organizational project management. </w:t>
      </w:r>
      <w:proofErr w:type="spellStart"/>
      <w:r w:rsidRPr="00EA03C6">
        <w:rPr>
          <w:rFonts w:asciiTheme="majorBidi" w:hAnsiTheme="majorBidi" w:cstheme="majorBidi"/>
          <w:i/>
          <w:iCs/>
          <w:szCs w:val="24"/>
        </w:rPr>
        <w:t>arXiv</w:t>
      </w:r>
      <w:proofErr w:type="spellEnd"/>
      <w:r w:rsidRPr="00EA03C6">
        <w:rPr>
          <w:rFonts w:asciiTheme="majorBidi" w:hAnsiTheme="majorBidi" w:cstheme="majorBidi"/>
          <w:i/>
          <w:iCs/>
          <w:szCs w:val="24"/>
        </w:rPr>
        <w:t xml:space="preserve"> preprint arXiv:2207.09249</w:t>
      </w:r>
      <w:r w:rsidRPr="00EA03C6">
        <w:rPr>
          <w:rFonts w:asciiTheme="majorBidi" w:hAnsiTheme="majorBidi" w:cstheme="majorBidi"/>
          <w:szCs w:val="24"/>
        </w:rPr>
        <w:t>.</w:t>
      </w:r>
      <w:r w:rsidR="00D83475" w:rsidRPr="00EA03C6">
        <w:rPr>
          <w:rFonts w:asciiTheme="majorBidi" w:hAnsiTheme="majorBidi" w:cstheme="majorBidi"/>
          <w:szCs w:val="24"/>
        </w:rPr>
        <w:t xml:space="preserve"> </w:t>
      </w:r>
      <w:hyperlink r:id="rId22" w:history="1">
        <w:r w:rsidRPr="00EA03C6">
          <w:rPr>
            <w:rStyle w:val="Hyperlink"/>
            <w:rFonts w:asciiTheme="majorBidi" w:hAnsiTheme="majorBidi" w:cstheme="majorBidi"/>
            <w:szCs w:val="24"/>
          </w:rPr>
          <w:t>https://doi.org/10.2298/CSIS211105024L</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765F240B" w14:textId="3F300689" w:rsidR="00485B4A" w:rsidRPr="00EA03C6" w:rsidRDefault="009A5673" w:rsidP="00A2254C">
      <w:pPr>
        <w:ind w:left="720" w:hanging="720"/>
        <w:jc w:val="both"/>
        <w:rPr>
          <w:rFonts w:asciiTheme="majorBidi" w:hAnsiTheme="majorBidi" w:cstheme="majorBidi"/>
          <w:szCs w:val="24"/>
        </w:rPr>
      </w:pPr>
      <w:proofErr w:type="spellStart"/>
      <w:r w:rsidRPr="00EA03C6">
        <w:rPr>
          <w:rFonts w:asciiTheme="majorBidi" w:hAnsiTheme="majorBidi" w:cstheme="majorBidi"/>
          <w:szCs w:val="24"/>
        </w:rPr>
        <w:t>Machiels</w:t>
      </w:r>
      <w:proofErr w:type="spellEnd"/>
      <w:r w:rsidRPr="00EA03C6">
        <w:rPr>
          <w:rFonts w:asciiTheme="majorBidi" w:hAnsiTheme="majorBidi" w:cstheme="majorBidi"/>
          <w:szCs w:val="24"/>
        </w:rPr>
        <w:t xml:space="preserve">, T., </w:t>
      </w:r>
      <w:proofErr w:type="spellStart"/>
      <w:r w:rsidRPr="00EA03C6">
        <w:rPr>
          <w:rFonts w:asciiTheme="majorBidi" w:hAnsiTheme="majorBidi" w:cstheme="majorBidi"/>
          <w:szCs w:val="24"/>
        </w:rPr>
        <w:t>Compernolle</w:t>
      </w:r>
      <w:proofErr w:type="spellEnd"/>
      <w:r w:rsidRPr="00EA03C6">
        <w:rPr>
          <w:rFonts w:asciiTheme="majorBidi" w:hAnsiTheme="majorBidi" w:cstheme="majorBidi"/>
          <w:szCs w:val="24"/>
        </w:rPr>
        <w:t>, T., &amp; Coppens, T. (2023). Stakeholder perceptions of uncertainty matter in megaprojects: The Flemish A102 infrastructure project. </w:t>
      </w:r>
      <w:r w:rsidRPr="00EA03C6">
        <w:rPr>
          <w:rFonts w:asciiTheme="majorBidi" w:hAnsiTheme="majorBidi" w:cstheme="majorBidi"/>
          <w:i/>
          <w:iCs/>
          <w:szCs w:val="24"/>
        </w:rPr>
        <w:t>International Journal of Project Management</w:t>
      </w:r>
      <w:r w:rsidRPr="00EA03C6">
        <w:rPr>
          <w:rFonts w:asciiTheme="majorBidi" w:hAnsiTheme="majorBidi" w:cstheme="majorBidi"/>
          <w:szCs w:val="24"/>
        </w:rPr>
        <w:t>, </w:t>
      </w:r>
      <w:r w:rsidRPr="00EA03C6">
        <w:rPr>
          <w:rFonts w:asciiTheme="majorBidi" w:hAnsiTheme="majorBidi" w:cstheme="majorBidi"/>
          <w:i/>
          <w:iCs/>
          <w:szCs w:val="24"/>
        </w:rPr>
        <w:t>41</w:t>
      </w:r>
      <w:r w:rsidRPr="00EA03C6">
        <w:rPr>
          <w:rFonts w:asciiTheme="majorBidi" w:hAnsiTheme="majorBidi" w:cstheme="majorBidi"/>
          <w:szCs w:val="24"/>
        </w:rPr>
        <w:t>(1), 102437.</w:t>
      </w:r>
      <w:r w:rsidR="00D83475" w:rsidRPr="00EA03C6">
        <w:rPr>
          <w:rFonts w:asciiTheme="majorBidi" w:hAnsiTheme="majorBidi" w:cstheme="majorBidi"/>
          <w:szCs w:val="24"/>
        </w:rPr>
        <w:t xml:space="preserve"> </w:t>
      </w:r>
      <w:hyperlink r:id="rId23" w:history="1">
        <w:r w:rsidRPr="00EA03C6">
          <w:rPr>
            <w:rStyle w:val="Hyperlink"/>
            <w:rFonts w:asciiTheme="majorBidi" w:hAnsiTheme="majorBidi" w:cstheme="majorBidi"/>
            <w:szCs w:val="24"/>
          </w:rPr>
          <w:t>https://doi.org/10.1016/j.ijproman.2023.102437</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3AF6BF98" w14:textId="09DEA66E" w:rsidR="00485B4A" w:rsidRPr="00EA03C6" w:rsidRDefault="009A5673" w:rsidP="00A2254C">
      <w:pPr>
        <w:ind w:left="720" w:hanging="720"/>
        <w:jc w:val="both"/>
        <w:rPr>
          <w:rFonts w:asciiTheme="majorBidi" w:hAnsiTheme="majorBidi" w:cstheme="majorBidi"/>
          <w:szCs w:val="24"/>
        </w:rPr>
      </w:pPr>
      <w:r w:rsidRPr="00EA03C6">
        <w:rPr>
          <w:rFonts w:asciiTheme="majorBidi" w:hAnsiTheme="majorBidi" w:cstheme="majorBidi"/>
          <w:szCs w:val="24"/>
        </w:rPr>
        <w:lastRenderedPageBreak/>
        <w:t xml:space="preserve">Mahrez, Z., Sabir, E., </w:t>
      </w:r>
      <w:proofErr w:type="spellStart"/>
      <w:r w:rsidRPr="00EA03C6">
        <w:rPr>
          <w:rFonts w:asciiTheme="majorBidi" w:hAnsiTheme="majorBidi" w:cstheme="majorBidi"/>
          <w:szCs w:val="24"/>
        </w:rPr>
        <w:t>Badidi</w:t>
      </w:r>
      <w:proofErr w:type="spellEnd"/>
      <w:r w:rsidRPr="00EA03C6">
        <w:rPr>
          <w:rFonts w:asciiTheme="majorBidi" w:hAnsiTheme="majorBidi" w:cstheme="majorBidi"/>
          <w:szCs w:val="24"/>
        </w:rPr>
        <w:t>, E., Saad, W., &amp; Sadik, M. (2021). Smart urban mobility: When mobility systems meet smart data. </w:t>
      </w:r>
      <w:r w:rsidRPr="00EA03C6">
        <w:rPr>
          <w:rFonts w:asciiTheme="majorBidi" w:hAnsiTheme="majorBidi" w:cstheme="majorBidi"/>
          <w:i/>
          <w:iCs/>
          <w:szCs w:val="24"/>
        </w:rPr>
        <w:t>IEEE transactions on intelligent transportation systems</w:t>
      </w:r>
      <w:r w:rsidRPr="00EA03C6">
        <w:rPr>
          <w:rFonts w:asciiTheme="majorBidi" w:hAnsiTheme="majorBidi" w:cstheme="majorBidi"/>
          <w:szCs w:val="24"/>
        </w:rPr>
        <w:t>, </w:t>
      </w:r>
      <w:r w:rsidRPr="00EA03C6">
        <w:rPr>
          <w:rFonts w:asciiTheme="majorBidi" w:hAnsiTheme="majorBidi" w:cstheme="majorBidi"/>
          <w:i/>
          <w:iCs/>
          <w:szCs w:val="24"/>
        </w:rPr>
        <w:t>23</w:t>
      </w:r>
      <w:r w:rsidRPr="00EA03C6">
        <w:rPr>
          <w:rFonts w:asciiTheme="majorBidi" w:hAnsiTheme="majorBidi" w:cstheme="majorBidi"/>
          <w:szCs w:val="24"/>
        </w:rPr>
        <w:t xml:space="preserve">(7), 6222-6239. </w:t>
      </w:r>
      <w:hyperlink r:id="rId24" w:history="1">
        <w:r w:rsidRPr="00EA03C6">
          <w:rPr>
            <w:rStyle w:val="Hyperlink"/>
            <w:rFonts w:asciiTheme="majorBidi" w:hAnsiTheme="majorBidi" w:cstheme="majorBidi"/>
            <w:szCs w:val="24"/>
          </w:rPr>
          <w:t>https://doi.org/10.1109/TITS.2021.3084907</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2720FEF7" w14:textId="51B250A4" w:rsidR="00485B4A" w:rsidRPr="00EA03C6" w:rsidRDefault="009A5673" w:rsidP="00A2254C">
      <w:pPr>
        <w:ind w:left="720" w:hanging="720"/>
        <w:jc w:val="both"/>
        <w:rPr>
          <w:rFonts w:asciiTheme="majorBidi" w:hAnsiTheme="majorBidi" w:cstheme="majorBidi"/>
          <w:szCs w:val="24"/>
        </w:rPr>
      </w:pPr>
      <w:r w:rsidRPr="00EA03C6">
        <w:rPr>
          <w:rFonts w:asciiTheme="majorBidi" w:hAnsiTheme="majorBidi" w:cstheme="majorBidi"/>
          <w:szCs w:val="24"/>
        </w:rPr>
        <w:t>Papageorgiou, G., Tsappi, E., &amp; Wang, T. (2024). Smart urban systems planning for active mobility and sustainability. </w:t>
      </w:r>
      <w:r w:rsidRPr="00EA03C6">
        <w:rPr>
          <w:rFonts w:asciiTheme="majorBidi" w:hAnsiTheme="majorBidi" w:cstheme="majorBidi"/>
          <w:i/>
          <w:iCs/>
          <w:szCs w:val="24"/>
        </w:rPr>
        <w:t>IFAC-</w:t>
      </w:r>
      <w:proofErr w:type="spellStart"/>
      <w:r w:rsidRPr="00EA03C6">
        <w:rPr>
          <w:rFonts w:asciiTheme="majorBidi" w:hAnsiTheme="majorBidi" w:cstheme="majorBidi"/>
          <w:i/>
          <w:iCs/>
          <w:szCs w:val="24"/>
        </w:rPr>
        <w:t>PapersOnLine</w:t>
      </w:r>
      <w:proofErr w:type="spellEnd"/>
      <w:r w:rsidRPr="00EA03C6">
        <w:rPr>
          <w:rFonts w:asciiTheme="majorBidi" w:hAnsiTheme="majorBidi" w:cstheme="majorBidi"/>
          <w:szCs w:val="24"/>
        </w:rPr>
        <w:t>, </w:t>
      </w:r>
      <w:r w:rsidRPr="00EA03C6">
        <w:rPr>
          <w:rFonts w:asciiTheme="majorBidi" w:hAnsiTheme="majorBidi" w:cstheme="majorBidi"/>
          <w:i/>
          <w:iCs/>
          <w:szCs w:val="24"/>
        </w:rPr>
        <w:t>58</w:t>
      </w:r>
      <w:r w:rsidRPr="00EA03C6">
        <w:rPr>
          <w:rFonts w:asciiTheme="majorBidi" w:hAnsiTheme="majorBidi" w:cstheme="majorBidi"/>
          <w:szCs w:val="24"/>
        </w:rPr>
        <w:t>(10), 261-266.</w:t>
      </w:r>
      <w:r w:rsidR="00D83475" w:rsidRPr="00EA03C6">
        <w:rPr>
          <w:rFonts w:asciiTheme="majorBidi" w:hAnsiTheme="majorBidi" w:cstheme="majorBidi"/>
          <w:szCs w:val="24"/>
        </w:rPr>
        <w:t xml:space="preserve"> </w:t>
      </w:r>
      <w:hyperlink r:id="rId25" w:history="1">
        <w:r w:rsidRPr="00EA03C6">
          <w:rPr>
            <w:rStyle w:val="Hyperlink"/>
            <w:rFonts w:asciiTheme="majorBidi" w:hAnsiTheme="majorBidi" w:cstheme="majorBidi"/>
            <w:szCs w:val="24"/>
          </w:rPr>
          <w:t>https://doi.org/10.1016/j.ifacol.2024.07.350</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37E20DEB" w14:textId="072A31D7" w:rsidR="00485B4A" w:rsidRPr="00EA03C6" w:rsidRDefault="00CC5EB9" w:rsidP="00A2254C">
      <w:pPr>
        <w:ind w:left="720" w:hanging="720"/>
        <w:jc w:val="both"/>
        <w:rPr>
          <w:rFonts w:asciiTheme="majorBidi" w:hAnsiTheme="majorBidi" w:cstheme="majorBidi"/>
          <w:szCs w:val="24"/>
        </w:rPr>
      </w:pPr>
      <w:proofErr w:type="spellStart"/>
      <w:r w:rsidRPr="00EA03C6">
        <w:rPr>
          <w:rFonts w:asciiTheme="majorBidi" w:hAnsiTheme="majorBidi" w:cstheme="majorBidi"/>
          <w:szCs w:val="24"/>
        </w:rPr>
        <w:t>Prebanić</w:t>
      </w:r>
      <w:proofErr w:type="spellEnd"/>
      <w:r w:rsidRPr="00EA03C6">
        <w:rPr>
          <w:rFonts w:asciiTheme="majorBidi" w:hAnsiTheme="majorBidi" w:cstheme="majorBidi"/>
          <w:szCs w:val="24"/>
        </w:rPr>
        <w:t xml:space="preserve">, K. R., &amp; </w:t>
      </w:r>
      <w:proofErr w:type="spellStart"/>
      <w:r w:rsidRPr="00EA03C6">
        <w:rPr>
          <w:rFonts w:asciiTheme="majorBidi" w:hAnsiTheme="majorBidi" w:cstheme="majorBidi"/>
          <w:szCs w:val="24"/>
        </w:rPr>
        <w:t>Vukomanović</w:t>
      </w:r>
      <w:proofErr w:type="spellEnd"/>
      <w:r w:rsidRPr="00EA03C6">
        <w:rPr>
          <w:rFonts w:asciiTheme="majorBidi" w:hAnsiTheme="majorBidi" w:cstheme="majorBidi"/>
          <w:szCs w:val="24"/>
        </w:rPr>
        <w:t>, M. (2023). Exploring stakeholder engagement process as the success factor for infrastructure projects. </w:t>
      </w:r>
      <w:r w:rsidRPr="00EA03C6">
        <w:rPr>
          <w:rFonts w:asciiTheme="majorBidi" w:hAnsiTheme="majorBidi" w:cstheme="majorBidi"/>
          <w:i/>
          <w:iCs/>
          <w:szCs w:val="24"/>
        </w:rPr>
        <w:t>Buildings</w:t>
      </w:r>
      <w:r w:rsidRPr="00EA03C6">
        <w:rPr>
          <w:rFonts w:asciiTheme="majorBidi" w:hAnsiTheme="majorBidi" w:cstheme="majorBidi"/>
          <w:szCs w:val="24"/>
        </w:rPr>
        <w:t>, </w:t>
      </w:r>
      <w:r w:rsidRPr="00EA03C6">
        <w:rPr>
          <w:rFonts w:asciiTheme="majorBidi" w:hAnsiTheme="majorBidi" w:cstheme="majorBidi"/>
          <w:i/>
          <w:iCs/>
          <w:szCs w:val="24"/>
        </w:rPr>
        <w:t>13</w:t>
      </w:r>
      <w:r w:rsidRPr="00EA03C6">
        <w:rPr>
          <w:rFonts w:asciiTheme="majorBidi" w:hAnsiTheme="majorBidi" w:cstheme="majorBidi"/>
          <w:szCs w:val="24"/>
        </w:rPr>
        <w:t>(7), 1785.</w:t>
      </w:r>
      <w:r w:rsidR="00D83475" w:rsidRPr="00EA03C6">
        <w:rPr>
          <w:rFonts w:asciiTheme="majorBidi" w:hAnsiTheme="majorBidi" w:cstheme="majorBidi"/>
          <w:szCs w:val="24"/>
        </w:rPr>
        <w:t xml:space="preserve"> </w:t>
      </w:r>
      <w:hyperlink r:id="rId26" w:history="1">
        <w:r w:rsidRPr="00EA03C6">
          <w:rPr>
            <w:rStyle w:val="Hyperlink"/>
            <w:rFonts w:asciiTheme="majorBidi" w:hAnsiTheme="majorBidi" w:cstheme="majorBidi"/>
            <w:szCs w:val="24"/>
          </w:rPr>
          <w:t>https://doi.org/10.3390/buildings13071785</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763CAF15" w14:textId="65EB5337" w:rsidR="00485B4A" w:rsidRPr="00EA03C6" w:rsidRDefault="00CC5EB9" w:rsidP="00A2254C">
      <w:pPr>
        <w:ind w:left="720" w:hanging="720"/>
        <w:jc w:val="both"/>
        <w:rPr>
          <w:rFonts w:asciiTheme="majorBidi" w:hAnsiTheme="majorBidi" w:cstheme="majorBidi"/>
          <w:szCs w:val="24"/>
        </w:rPr>
      </w:pPr>
      <w:r w:rsidRPr="00EA03C6">
        <w:rPr>
          <w:rFonts w:asciiTheme="majorBidi" w:hAnsiTheme="majorBidi" w:cstheme="majorBidi"/>
          <w:szCs w:val="24"/>
        </w:rPr>
        <w:t>Project Management Institute. (2021, July). A guide to the project management body of knowledge (PMBOK® guide)–Seventh edition and the standard for project management. Project Management Institute.</w:t>
      </w:r>
    </w:p>
    <w:p w14:paraId="1115BA1C" w14:textId="59C35182" w:rsidR="00485B4A" w:rsidRPr="00EA03C6" w:rsidRDefault="00CC5EB9" w:rsidP="00A2254C">
      <w:pPr>
        <w:ind w:left="720" w:hanging="720"/>
        <w:jc w:val="both"/>
        <w:rPr>
          <w:rFonts w:asciiTheme="majorBidi" w:hAnsiTheme="majorBidi" w:cstheme="majorBidi"/>
          <w:szCs w:val="24"/>
        </w:rPr>
      </w:pPr>
      <w:r w:rsidRPr="00EA03C6">
        <w:rPr>
          <w:rFonts w:asciiTheme="majorBidi" w:hAnsiTheme="majorBidi" w:cstheme="majorBidi"/>
          <w:szCs w:val="24"/>
        </w:rPr>
        <w:t>Silvius, G., &amp; Schipper, R. (2020). Exploring variety in factors that stimulate project managers to address sustainability issues. </w:t>
      </w:r>
      <w:r w:rsidRPr="00EA03C6">
        <w:rPr>
          <w:rFonts w:asciiTheme="majorBidi" w:hAnsiTheme="majorBidi" w:cstheme="majorBidi"/>
          <w:i/>
          <w:iCs/>
          <w:szCs w:val="24"/>
        </w:rPr>
        <w:t>International Journal of Project Management</w:t>
      </w:r>
      <w:r w:rsidRPr="00EA03C6">
        <w:rPr>
          <w:rFonts w:asciiTheme="majorBidi" w:hAnsiTheme="majorBidi" w:cstheme="majorBidi"/>
          <w:szCs w:val="24"/>
        </w:rPr>
        <w:t>, </w:t>
      </w:r>
      <w:r w:rsidRPr="00EA03C6">
        <w:rPr>
          <w:rFonts w:asciiTheme="majorBidi" w:hAnsiTheme="majorBidi" w:cstheme="majorBidi"/>
          <w:i/>
          <w:iCs/>
          <w:szCs w:val="24"/>
        </w:rPr>
        <w:t>38</w:t>
      </w:r>
      <w:r w:rsidRPr="00EA03C6">
        <w:rPr>
          <w:rFonts w:asciiTheme="majorBidi" w:hAnsiTheme="majorBidi" w:cstheme="majorBidi"/>
          <w:szCs w:val="24"/>
        </w:rPr>
        <w:t>(6), 353-367.</w:t>
      </w:r>
      <w:r w:rsidR="00D83475" w:rsidRPr="00EA03C6">
        <w:rPr>
          <w:rFonts w:asciiTheme="majorBidi" w:hAnsiTheme="majorBidi" w:cstheme="majorBidi"/>
          <w:szCs w:val="24"/>
        </w:rPr>
        <w:t xml:space="preserve"> </w:t>
      </w:r>
      <w:hyperlink r:id="rId27" w:history="1">
        <w:r w:rsidRPr="00EA03C6">
          <w:rPr>
            <w:rStyle w:val="Hyperlink"/>
            <w:rFonts w:asciiTheme="majorBidi" w:hAnsiTheme="majorBidi" w:cstheme="majorBidi"/>
            <w:szCs w:val="24"/>
          </w:rPr>
          <w:t>https://doi.org/10.1016/j.ijproman.2020.08.003</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099172DB" w14:textId="20FD12F7" w:rsidR="00485B4A" w:rsidRPr="00EA03C6" w:rsidRDefault="00C6422B" w:rsidP="00A2254C">
      <w:pPr>
        <w:ind w:left="720" w:hanging="720"/>
        <w:jc w:val="both"/>
        <w:rPr>
          <w:rFonts w:asciiTheme="majorBidi" w:hAnsiTheme="majorBidi" w:cstheme="majorBidi"/>
          <w:szCs w:val="24"/>
        </w:rPr>
      </w:pPr>
      <w:r w:rsidRPr="00EA03C6">
        <w:rPr>
          <w:rFonts w:asciiTheme="majorBidi" w:hAnsiTheme="majorBidi" w:cstheme="majorBidi"/>
          <w:szCs w:val="24"/>
        </w:rPr>
        <w:t>Soleymani, M., Bonyani, M., &amp; Wang, C. (2024). Simulation of autonomous resource allocation through deep reinforcement learning-based portfolio-project integration. </w:t>
      </w:r>
      <w:r w:rsidRPr="00EA03C6">
        <w:rPr>
          <w:rFonts w:asciiTheme="majorBidi" w:hAnsiTheme="majorBidi" w:cstheme="majorBidi"/>
          <w:i/>
          <w:iCs/>
          <w:szCs w:val="24"/>
        </w:rPr>
        <w:t>Automation in Construction</w:t>
      </w:r>
      <w:r w:rsidRPr="00EA03C6">
        <w:rPr>
          <w:rFonts w:asciiTheme="majorBidi" w:hAnsiTheme="majorBidi" w:cstheme="majorBidi"/>
          <w:szCs w:val="24"/>
        </w:rPr>
        <w:t>, </w:t>
      </w:r>
      <w:r w:rsidRPr="00EA03C6">
        <w:rPr>
          <w:rFonts w:asciiTheme="majorBidi" w:hAnsiTheme="majorBidi" w:cstheme="majorBidi"/>
          <w:i/>
          <w:iCs/>
          <w:szCs w:val="24"/>
        </w:rPr>
        <w:t>162</w:t>
      </w:r>
      <w:r w:rsidRPr="00EA03C6">
        <w:rPr>
          <w:rFonts w:asciiTheme="majorBidi" w:hAnsiTheme="majorBidi" w:cstheme="majorBidi"/>
          <w:szCs w:val="24"/>
        </w:rPr>
        <w:t>, 105381.</w:t>
      </w:r>
      <w:r w:rsidR="00D83475" w:rsidRPr="00EA03C6">
        <w:rPr>
          <w:rFonts w:asciiTheme="majorBidi" w:hAnsiTheme="majorBidi" w:cstheme="majorBidi"/>
          <w:szCs w:val="24"/>
        </w:rPr>
        <w:t xml:space="preserve"> </w:t>
      </w:r>
      <w:hyperlink r:id="rId28" w:history="1">
        <w:r w:rsidRPr="00EA03C6">
          <w:rPr>
            <w:rStyle w:val="Hyperlink"/>
            <w:rFonts w:asciiTheme="majorBidi" w:hAnsiTheme="majorBidi" w:cstheme="majorBidi"/>
            <w:szCs w:val="24"/>
          </w:rPr>
          <w:t>https://doi.org/10.1016/j.autcon.2024.105381</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p w14:paraId="26C4EF9B" w14:textId="72C1BE46" w:rsidR="00485B4A" w:rsidRPr="00EA03C6" w:rsidRDefault="00C6422B" w:rsidP="00A2254C">
      <w:pPr>
        <w:ind w:left="720" w:hanging="720"/>
        <w:jc w:val="both"/>
        <w:rPr>
          <w:rFonts w:asciiTheme="majorBidi" w:hAnsiTheme="majorBidi" w:cstheme="majorBidi"/>
          <w:szCs w:val="24"/>
        </w:rPr>
      </w:pPr>
      <w:r w:rsidRPr="00EA03C6">
        <w:rPr>
          <w:rFonts w:asciiTheme="majorBidi" w:hAnsiTheme="majorBidi" w:cstheme="majorBidi"/>
          <w:szCs w:val="24"/>
        </w:rPr>
        <w:t>Yang, W., Xu, Q., Yi, S., Shankar, R., &amp; Chen, T. (2024). Enhancing transit-oriented development sustainability through the integrated node-place-ecology (NPE) model. </w:t>
      </w:r>
      <w:r w:rsidRPr="00EA03C6">
        <w:rPr>
          <w:rFonts w:asciiTheme="majorBidi" w:hAnsiTheme="majorBidi" w:cstheme="majorBidi"/>
          <w:i/>
          <w:iCs/>
          <w:szCs w:val="24"/>
        </w:rPr>
        <w:t>Transportation Research Part D: Transport and Environment</w:t>
      </w:r>
      <w:r w:rsidRPr="00EA03C6">
        <w:rPr>
          <w:rFonts w:asciiTheme="majorBidi" w:hAnsiTheme="majorBidi" w:cstheme="majorBidi"/>
          <w:szCs w:val="24"/>
        </w:rPr>
        <w:t>, </w:t>
      </w:r>
      <w:r w:rsidRPr="00EA03C6">
        <w:rPr>
          <w:rFonts w:asciiTheme="majorBidi" w:hAnsiTheme="majorBidi" w:cstheme="majorBidi"/>
          <w:i/>
          <w:iCs/>
          <w:szCs w:val="24"/>
        </w:rPr>
        <w:t>136</w:t>
      </w:r>
      <w:r w:rsidRPr="00EA03C6">
        <w:rPr>
          <w:rFonts w:asciiTheme="majorBidi" w:hAnsiTheme="majorBidi" w:cstheme="majorBidi"/>
          <w:szCs w:val="24"/>
        </w:rPr>
        <w:t>, 104456.</w:t>
      </w:r>
      <w:r w:rsidR="00D83475" w:rsidRPr="00EA03C6">
        <w:rPr>
          <w:rFonts w:asciiTheme="majorBidi" w:hAnsiTheme="majorBidi" w:cstheme="majorBidi"/>
          <w:szCs w:val="24"/>
        </w:rPr>
        <w:t xml:space="preserve"> </w:t>
      </w:r>
      <w:hyperlink r:id="rId29" w:history="1">
        <w:r w:rsidRPr="00EA03C6">
          <w:rPr>
            <w:rStyle w:val="Hyperlink"/>
            <w:rFonts w:asciiTheme="majorBidi" w:hAnsiTheme="majorBidi" w:cstheme="majorBidi"/>
            <w:szCs w:val="24"/>
          </w:rPr>
          <w:t>https://doi.org/10.1016/j.trd.2024.104456</w:t>
        </w:r>
      </w:hyperlink>
      <w:r w:rsidR="00D83475" w:rsidRPr="00EA03C6">
        <w:rPr>
          <w:rFonts w:asciiTheme="majorBidi" w:hAnsiTheme="majorBidi" w:cstheme="majorBidi"/>
          <w:szCs w:val="24"/>
        </w:rPr>
        <w:t>.</w:t>
      </w:r>
      <w:r w:rsidRPr="00EA03C6">
        <w:rPr>
          <w:rFonts w:asciiTheme="majorBidi" w:hAnsiTheme="majorBidi" w:cstheme="majorBidi"/>
          <w:szCs w:val="24"/>
        </w:rPr>
        <w:t xml:space="preserve"> </w:t>
      </w:r>
    </w:p>
    <w:sectPr w:rsidR="00485B4A" w:rsidRPr="00EA03C6" w:rsidSect="00034616">
      <w:headerReference w:type="default" r:id="rId30"/>
      <w:footerReference w:type="default" r:id="rId31"/>
      <w:pgSz w:w="12240" w:h="15840"/>
      <w:pgMar w:top="1080" w:right="1152" w:bottom="1080"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A6AB3" w14:textId="77777777" w:rsidR="00C8054E" w:rsidRPr="0082333B" w:rsidRDefault="00C8054E">
      <w:pPr>
        <w:spacing w:after="0" w:line="240" w:lineRule="auto"/>
      </w:pPr>
      <w:r w:rsidRPr="0082333B">
        <w:separator/>
      </w:r>
    </w:p>
  </w:endnote>
  <w:endnote w:type="continuationSeparator" w:id="0">
    <w:p w14:paraId="3805EC65" w14:textId="77777777" w:rsidR="00C8054E" w:rsidRPr="0082333B" w:rsidRDefault="00C8054E">
      <w:pPr>
        <w:spacing w:after="0" w:line="240" w:lineRule="auto"/>
      </w:pPr>
      <w:r w:rsidRPr="0082333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2446E" w14:textId="77777777" w:rsidR="00485B4A" w:rsidRPr="0082333B" w:rsidRDefault="00D83475">
    <w:pPr>
      <w:pStyle w:val="Footer"/>
      <w:jc w:val="center"/>
    </w:pPr>
    <w:r w:rsidRPr="0082333B">
      <w:fldChar w:fldCharType="begin"/>
    </w:r>
    <w:r w:rsidRPr="0082333B">
      <w:instrText>PAGE</w:instrText>
    </w:r>
    <w:r w:rsidRPr="0082333B">
      <w:fldChar w:fldCharType="separate"/>
    </w:r>
    <w:r w:rsidR="00CE17BE" w:rsidRPr="0082333B">
      <w:t>1</w:t>
    </w:r>
    <w:r w:rsidRPr="0082333B">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37A77" w14:textId="77777777" w:rsidR="00C8054E" w:rsidRPr="0082333B" w:rsidRDefault="00C8054E">
      <w:pPr>
        <w:spacing w:after="0" w:line="240" w:lineRule="auto"/>
      </w:pPr>
      <w:r w:rsidRPr="0082333B">
        <w:separator/>
      </w:r>
    </w:p>
  </w:footnote>
  <w:footnote w:type="continuationSeparator" w:id="0">
    <w:p w14:paraId="10146B51" w14:textId="77777777" w:rsidR="00C8054E" w:rsidRPr="0082333B" w:rsidRDefault="00C8054E">
      <w:pPr>
        <w:spacing w:after="0" w:line="240" w:lineRule="auto"/>
      </w:pPr>
      <w:r w:rsidRPr="0082333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39BF2" w14:textId="1251D915" w:rsidR="004B171A" w:rsidRDefault="004B171A">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73CF172"/>
    <w:lvl w:ilvl="0">
      <w:start w:val="1"/>
      <w:numFmt w:val="bullet"/>
      <w:pStyle w:val="ListBullet"/>
      <w:lvlText w:val=""/>
      <w:lvlJc w:val="left"/>
      <w:pPr>
        <w:tabs>
          <w:tab w:val="num" w:pos="360"/>
        </w:tabs>
        <w:ind w:left="360" w:hanging="360"/>
      </w:pPr>
      <w:rPr>
        <w:rFonts w:ascii="Symbol" w:hAnsi="Symbol" w:hint="default"/>
      </w:rPr>
    </w:lvl>
  </w:abstractNum>
  <w:num w:numId="1" w16cid:durableId="795222455">
    <w:abstractNumId w:val="8"/>
  </w:num>
  <w:num w:numId="2" w16cid:durableId="1062367944">
    <w:abstractNumId w:val="6"/>
  </w:num>
  <w:num w:numId="3" w16cid:durableId="2020034851">
    <w:abstractNumId w:val="5"/>
  </w:num>
  <w:num w:numId="4" w16cid:durableId="1932662897">
    <w:abstractNumId w:val="4"/>
  </w:num>
  <w:num w:numId="5" w16cid:durableId="1533809593">
    <w:abstractNumId w:val="7"/>
  </w:num>
  <w:num w:numId="6" w16cid:durableId="476529473">
    <w:abstractNumId w:val="3"/>
  </w:num>
  <w:num w:numId="7" w16cid:durableId="509877667">
    <w:abstractNumId w:val="2"/>
  </w:num>
  <w:num w:numId="8" w16cid:durableId="1707368170">
    <w:abstractNumId w:val="1"/>
  </w:num>
  <w:num w:numId="9" w16cid:durableId="596332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4056"/>
    <w:rsid w:val="000576CE"/>
    <w:rsid w:val="0006063C"/>
    <w:rsid w:val="0007554C"/>
    <w:rsid w:val="000E4CE0"/>
    <w:rsid w:val="0010742E"/>
    <w:rsid w:val="00113959"/>
    <w:rsid w:val="0015074B"/>
    <w:rsid w:val="00177705"/>
    <w:rsid w:val="001C08E9"/>
    <w:rsid w:val="00275A8A"/>
    <w:rsid w:val="00286124"/>
    <w:rsid w:val="0029639D"/>
    <w:rsid w:val="00326F90"/>
    <w:rsid w:val="0037280F"/>
    <w:rsid w:val="003A1475"/>
    <w:rsid w:val="00485B4A"/>
    <w:rsid w:val="004B171A"/>
    <w:rsid w:val="004C06B3"/>
    <w:rsid w:val="004D4CB7"/>
    <w:rsid w:val="004F0BF7"/>
    <w:rsid w:val="00525729"/>
    <w:rsid w:val="0058017F"/>
    <w:rsid w:val="00585A14"/>
    <w:rsid w:val="00590D32"/>
    <w:rsid w:val="005D7079"/>
    <w:rsid w:val="006C059D"/>
    <w:rsid w:val="006E06AD"/>
    <w:rsid w:val="00740CE8"/>
    <w:rsid w:val="00802F98"/>
    <w:rsid w:val="0082333B"/>
    <w:rsid w:val="0084395D"/>
    <w:rsid w:val="00857A4B"/>
    <w:rsid w:val="008D48E6"/>
    <w:rsid w:val="009103A3"/>
    <w:rsid w:val="009A2B26"/>
    <w:rsid w:val="009A5673"/>
    <w:rsid w:val="00A2254C"/>
    <w:rsid w:val="00A557F1"/>
    <w:rsid w:val="00AA1D8D"/>
    <w:rsid w:val="00AA503A"/>
    <w:rsid w:val="00AB01E5"/>
    <w:rsid w:val="00AB5295"/>
    <w:rsid w:val="00B128C2"/>
    <w:rsid w:val="00B47730"/>
    <w:rsid w:val="00BF077E"/>
    <w:rsid w:val="00BF76E4"/>
    <w:rsid w:val="00C6422B"/>
    <w:rsid w:val="00C8054E"/>
    <w:rsid w:val="00C90C81"/>
    <w:rsid w:val="00CB0664"/>
    <w:rsid w:val="00CC5EB9"/>
    <w:rsid w:val="00CE17BE"/>
    <w:rsid w:val="00CE6C57"/>
    <w:rsid w:val="00D22FF7"/>
    <w:rsid w:val="00D70898"/>
    <w:rsid w:val="00D83475"/>
    <w:rsid w:val="00DA3A2E"/>
    <w:rsid w:val="00DA5673"/>
    <w:rsid w:val="00DD38B2"/>
    <w:rsid w:val="00E170AA"/>
    <w:rsid w:val="00E37546"/>
    <w:rsid w:val="00E867FB"/>
    <w:rsid w:val="00EA03C6"/>
    <w:rsid w:val="00FA101B"/>
    <w:rsid w:val="00FB06D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629D6F"/>
  <w14:defaultImageDpi w14:val="300"/>
  <w15:docId w15:val="{B463E829-FF8C-4A15-B417-6055462BD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Calibri" w:eastAsia="Calibri" w:hAnsi="Calibri"/>
      <w:sz w:val="24"/>
      <w:lang w:val="en-GB"/>
    </w:rPr>
  </w:style>
  <w:style w:type="paragraph" w:styleId="Heading1">
    <w:name w:val="heading 1"/>
    <w:basedOn w:val="ListBullet"/>
    <w:next w:val="Normal"/>
    <w:link w:val="Heading1Char"/>
    <w:uiPriority w:val="9"/>
    <w:qFormat/>
    <w:rsid w:val="00CE17BE"/>
    <w:pPr>
      <w:numPr>
        <w:numId w:val="0"/>
      </w:numPr>
      <w:ind w:left="360" w:hanging="360"/>
      <w:outlineLvl w:val="0"/>
    </w:pPr>
    <w:rPr>
      <w:rFonts w:asciiTheme="majorBidi" w:hAnsiTheme="majorBidi" w:cstheme="majorBidi"/>
      <w:b/>
      <w:bCs/>
      <w:szCs w:val="24"/>
    </w:rPr>
  </w:style>
  <w:style w:type="paragraph" w:styleId="Heading2">
    <w:name w:val="heading 2"/>
    <w:basedOn w:val="Normal"/>
    <w:next w:val="Normal"/>
    <w:link w:val="Heading2Char"/>
    <w:uiPriority w:val="9"/>
    <w:unhideWhenUsed/>
    <w:qFormat/>
    <w:rsid w:val="00275A8A"/>
    <w:pPr>
      <w:keepNext/>
      <w:keepLines/>
      <w:spacing w:before="200"/>
      <w:jc w:val="both"/>
      <w:outlineLvl w:val="1"/>
    </w:pPr>
    <w:rPr>
      <w:rFonts w:asciiTheme="majorBidi" w:hAnsiTheme="majorBidi" w:cstheme="majorBidi"/>
      <w:b/>
      <w:bCs/>
      <w:i/>
      <w:iCs/>
      <w:szCs w:val="24"/>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CE17BE"/>
    <w:rPr>
      <w:rFonts w:asciiTheme="majorBidi" w:eastAsia="Calibri" w:hAnsiTheme="majorBidi" w:cstheme="majorBidi"/>
      <w:b/>
      <w:bCs/>
      <w:sz w:val="24"/>
      <w:szCs w:val="24"/>
    </w:rPr>
  </w:style>
  <w:style w:type="character" w:customStyle="1" w:styleId="Heading2Char">
    <w:name w:val="Heading 2 Char"/>
    <w:basedOn w:val="DefaultParagraphFont"/>
    <w:link w:val="Heading2"/>
    <w:uiPriority w:val="9"/>
    <w:rsid w:val="00275A8A"/>
    <w:rPr>
      <w:rFonts w:asciiTheme="majorBidi" w:eastAsia="Calibri" w:hAnsiTheme="majorBidi" w:cstheme="majorBidi"/>
      <w:b/>
      <w:bCs/>
      <w:i/>
      <w:iCs/>
      <w:sz w:val="24"/>
      <w:szCs w:val="24"/>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i/>
      <w:color w:val="000000"/>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590D32"/>
    <w:rPr>
      <w:color w:val="0000FF" w:themeColor="hyperlink"/>
      <w:u w:val="single"/>
    </w:rPr>
  </w:style>
  <w:style w:type="character" w:styleId="UnresolvedMention">
    <w:name w:val="Unresolved Mention"/>
    <w:basedOn w:val="DefaultParagraphFont"/>
    <w:uiPriority w:val="99"/>
    <w:semiHidden/>
    <w:unhideWhenUsed/>
    <w:rsid w:val="00590D32"/>
    <w:rPr>
      <w:color w:val="605E5C"/>
      <w:shd w:val="clear" w:color="auto" w:fill="E1DFDD"/>
    </w:rPr>
  </w:style>
  <w:style w:type="paragraph" w:styleId="TOC1">
    <w:name w:val="toc 1"/>
    <w:basedOn w:val="Normal"/>
    <w:next w:val="Normal"/>
    <w:autoRedefine/>
    <w:uiPriority w:val="39"/>
    <w:unhideWhenUsed/>
    <w:rsid w:val="00177705"/>
    <w:pPr>
      <w:spacing w:after="100"/>
    </w:pPr>
  </w:style>
  <w:style w:type="paragraph" w:styleId="TOC2">
    <w:name w:val="toc 2"/>
    <w:basedOn w:val="Normal"/>
    <w:next w:val="Normal"/>
    <w:autoRedefine/>
    <w:uiPriority w:val="39"/>
    <w:unhideWhenUsed/>
    <w:rsid w:val="0017770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390/su15129834" TargetMode="External"/><Relationship Id="rId26" Type="http://schemas.openxmlformats.org/officeDocument/2006/relationships/hyperlink" Target="https://doi.org/10.3390/buildings13071785" TargetMode="External"/><Relationship Id="rId3" Type="http://schemas.openxmlformats.org/officeDocument/2006/relationships/styles" Target="styles.xml"/><Relationship Id="rId21" Type="http://schemas.openxmlformats.org/officeDocument/2006/relationships/hyperlink" Target="https://doi.org/10.3390/su1313731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57/s41599-024-03180-5" TargetMode="External"/><Relationship Id="rId25" Type="http://schemas.openxmlformats.org/officeDocument/2006/relationships/hyperlink" Target="https://doi.org/10.1016/j.ifacol.2024.07.35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assets.publishing.service.gov.uk/media/610d63ffe90e0706d92fa282/decarbonising-transport-a-better-greener-britain.pdf" TargetMode="External"/><Relationship Id="rId29" Type="http://schemas.openxmlformats.org/officeDocument/2006/relationships/hyperlink" Target="https://doi.org/10.1016/j.trd.2024.1044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09/TITS.2021.3084907"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16/j.ijproman.2023.102437" TargetMode="External"/><Relationship Id="rId28" Type="http://schemas.openxmlformats.org/officeDocument/2006/relationships/hyperlink" Target="https://doi.org/10.1016/j.autcon.2024.105381" TargetMode="External"/><Relationship Id="rId10" Type="http://schemas.openxmlformats.org/officeDocument/2006/relationships/image" Target="media/image3.png"/><Relationship Id="rId19" Type="http://schemas.openxmlformats.org/officeDocument/2006/relationships/hyperlink" Target="https://doi.org/10.3390/app10041386"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2298/CSIS211105024L" TargetMode="External"/><Relationship Id="rId27" Type="http://schemas.openxmlformats.org/officeDocument/2006/relationships/hyperlink" Target="https://doi.org/10.1016/j.ijproman.2020.08.003" TargetMode="External"/><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20</Pages>
  <Words>4550</Words>
  <Characters>25936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30426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01-134222-134</cp:lastModifiedBy>
  <cp:revision>42</cp:revision>
  <dcterms:created xsi:type="dcterms:W3CDTF">2026-07-04T09:25:00Z</dcterms:created>
  <dcterms:modified xsi:type="dcterms:W3CDTF">2026-07-04T10:23:00Z</dcterms:modified>
  <cp:category/>
</cp:coreProperties>
</file>