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14:paraId="537E0DCC" w14:textId="77777777" w:rsidR="00B142D9" w:rsidRDefault="00DF6DD4">
      <w:pPr>
        <w:pBdr>
          <w:top w:val="nil"/>
          <w:left w:val="nil"/>
          <w:bottom w:val="nil"/>
          <w:right w:val="nil"/>
          <w:between w:val="nil"/>
        </w:pBdr>
        <w:spacing w:before="0" w:line="360" w:lineRule="auto"/>
        <w:rPr>
          <w:rFonts w:ascii="Georgia" w:eastAsia="Georgia" w:hAnsi="Georgia" w:cs="Georgia"/>
          <w:color w:val="434343"/>
        </w:rPr>
      </w:pPr>
      <w:r>
        <w:rPr>
          <w:rFonts w:ascii="Georgia" w:eastAsia="Georgia" w:hAnsi="Georgia" w:cs="Georgia"/>
          <w:b/>
          <w:color w:val="434343"/>
        </w:rPr>
        <w:t>BA ARCHITECTURAL ARTS</w:t>
      </w:r>
      <w:r>
        <w:rPr>
          <w:rFonts w:ascii="Georgia" w:eastAsia="Georgia" w:hAnsi="Georgia" w:cs="Georgia"/>
          <w:color w:val="434343"/>
        </w:rPr>
        <w:t>: GLASS</w:t>
      </w:r>
    </w:p>
    <w:p w14:paraId="25E424CD" w14:textId="77777777" w:rsidR="00B142D9" w:rsidRDefault="00DF6DD4">
      <w:pPr>
        <w:pBdr>
          <w:top w:val="nil"/>
          <w:left w:val="nil"/>
          <w:bottom w:val="nil"/>
          <w:right w:val="nil"/>
          <w:between w:val="nil"/>
        </w:pBdr>
        <w:spacing w:before="0" w:line="360" w:lineRule="auto"/>
        <w:rPr>
          <w:rFonts w:ascii="Georgia" w:eastAsia="Georgia" w:hAnsi="Georgia" w:cs="Georgia"/>
          <w:color w:val="434343"/>
        </w:rPr>
      </w:pPr>
      <w:r>
        <w:rPr>
          <w:rFonts w:ascii="Georgia" w:eastAsia="Georgia" w:hAnsi="Georgia" w:cs="Georgia"/>
          <w:color w:val="434343"/>
        </w:rPr>
        <w:t>JULIA LOCKHEART</w:t>
      </w:r>
    </w:p>
    <w:p w14:paraId="3C649035" w14:textId="77777777" w:rsidR="00B142D9" w:rsidRDefault="00DF6DD4" w:rsidP="0057798D">
      <w:pPr>
        <w:pStyle w:val="Title"/>
        <w:pBdr>
          <w:top w:val="nil"/>
          <w:left w:val="nil"/>
          <w:bottom w:val="nil"/>
          <w:right w:val="nil"/>
          <w:between w:val="nil"/>
        </w:pBdr>
        <w:rPr>
          <w:rFonts w:ascii="Georgia" w:eastAsia="Georgia" w:hAnsi="Georgia" w:cs="Georgia"/>
          <w:color w:val="434343"/>
        </w:rPr>
      </w:pPr>
      <w:bookmarkStart w:id="0" w:name="_g6nr81xnwjj7" w:colFirst="0" w:colLast="0"/>
      <w:bookmarkEnd w:id="0"/>
      <w:r>
        <w:rPr>
          <w:rFonts w:ascii="Georgia" w:eastAsia="Georgia" w:hAnsi="Georgia" w:cs="Georgia"/>
          <w:color w:val="434343"/>
        </w:rPr>
        <w:t>DISSERTATION</w:t>
      </w:r>
      <w:r>
        <w:rPr>
          <w:rFonts w:ascii="Georgia" w:eastAsia="Georgia" w:hAnsi="Georgia" w:cs="Georgia"/>
          <w:color w:val="434343"/>
        </w:rPr>
        <w:br/>
        <w:t>PROPOSAL</w:t>
      </w:r>
    </w:p>
    <w:p w14:paraId="78FD22E2" w14:textId="66BCA083" w:rsidR="00B142D9" w:rsidRDefault="00DF6DD4">
      <w:pPr>
        <w:pStyle w:val="Subtitle"/>
        <w:pBdr>
          <w:top w:val="nil"/>
          <w:left w:val="nil"/>
          <w:bottom w:val="nil"/>
          <w:right w:val="nil"/>
          <w:between w:val="nil"/>
        </w:pBdr>
        <w:spacing w:line="360" w:lineRule="auto"/>
        <w:rPr>
          <w:rFonts w:ascii="Georgia" w:eastAsia="Georgia" w:hAnsi="Georgia" w:cs="Georgia"/>
          <w:color w:val="434343"/>
        </w:rPr>
      </w:pPr>
      <w:bookmarkStart w:id="1" w:name="_goxd7kpxzjw3" w:colFirst="0" w:colLast="0"/>
      <w:bookmarkEnd w:id="1"/>
      <w:r>
        <w:rPr>
          <w:rFonts w:ascii="Georgia" w:eastAsia="Georgia" w:hAnsi="Georgia" w:cs="Georgia"/>
          <w:color w:val="434343"/>
        </w:rPr>
        <w:t>By Jacqui Fowler, 1703065</w:t>
      </w:r>
      <w:r w:rsidR="00EC0548">
        <w:rPr>
          <w:rFonts w:ascii="Georgia" w:eastAsia="Georgia" w:hAnsi="Georgia" w:cs="Georgia"/>
          <w:color w:val="434343"/>
        </w:rPr>
        <w:tab/>
      </w:r>
      <w:r w:rsidR="00EC0548">
        <w:rPr>
          <w:rFonts w:ascii="Georgia" w:eastAsia="Georgia" w:hAnsi="Georgia" w:cs="Georgia"/>
          <w:color w:val="434343"/>
        </w:rPr>
        <w:tab/>
      </w:r>
      <w:r w:rsidR="00EC0548">
        <w:rPr>
          <w:rFonts w:ascii="Georgia" w:eastAsia="Georgia" w:hAnsi="Georgia" w:cs="Georgia"/>
          <w:color w:val="434343"/>
        </w:rPr>
        <w:tab/>
      </w:r>
      <w:r w:rsidR="00EC0548">
        <w:rPr>
          <w:rFonts w:ascii="Georgia" w:eastAsia="Georgia" w:hAnsi="Georgia" w:cs="Georgia"/>
          <w:color w:val="434343"/>
        </w:rPr>
        <w:tab/>
        <w:t>Words: 2381</w:t>
      </w:r>
      <w:r w:rsidR="00EC0548">
        <w:rPr>
          <w:rFonts w:ascii="Georgia" w:eastAsia="Georgia" w:hAnsi="Georgia" w:cs="Georgia"/>
          <w:color w:val="434343"/>
        </w:rPr>
        <w:tab/>
      </w:r>
    </w:p>
    <w:p w14:paraId="22302BF1" w14:textId="77777777" w:rsidR="00B142D9" w:rsidRDefault="00DF6DD4">
      <w:pPr>
        <w:pBdr>
          <w:top w:val="nil"/>
          <w:left w:val="nil"/>
          <w:bottom w:val="nil"/>
          <w:right w:val="nil"/>
          <w:between w:val="nil"/>
        </w:pBdr>
        <w:spacing w:line="360" w:lineRule="auto"/>
        <w:jc w:val="center"/>
        <w:rPr>
          <w:rFonts w:ascii="Georgia" w:eastAsia="Georgia" w:hAnsi="Georgia" w:cs="Georgia"/>
          <w:color w:val="434343"/>
        </w:rPr>
      </w:pPr>
      <w:r>
        <w:rPr>
          <w:rFonts w:ascii="Georgia" w:eastAsia="Georgia" w:hAnsi="Georgia" w:cs="Georgia"/>
          <w:noProof/>
          <w:color w:val="434343"/>
          <w:lang w:val="en-GB"/>
        </w:rPr>
        <w:drawing>
          <wp:inline distT="114300" distB="114300" distL="114300" distR="114300" wp14:anchorId="0856325C" wp14:editId="6DD6B2A9">
            <wp:extent cx="5938838" cy="2860144"/>
            <wp:effectExtent l="0" t="0" r="0" b="0"/>
            <wp:docPr id="4" name="image5.jpg" descr="Placeholder image"/>
            <wp:cNvGraphicFramePr/>
            <a:graphic xmlns:a="http://schemas.openxmlformats.org/drawingml/2006/main">
              <a:graphicData uri="http://schemas.openxmlformats.org/drawingml/2006/picture">
                <pic:pic xmlns:pic="http://schemas.openxmlformats.org/drawingml/2006/picture">
                  <pic:nvPicPr>
                    <pic:cNvPr id="0" name="image5.jpg" descr="Placeholder image"/>
                    <pic:cNvPicPr preferRelativeResize="0"/>
                  </pic:nvPicPr>
                  <pic:blipFill>
                    <a:blip r:embed="rId7"/>
                    <a:srcRect t="7859" b="19900"/>
                    <a:stretch>
                      <a:fillRect/>
                    </a:stretch>
                  </pic:blipFill>
                  <pic:spPr>
                    <a:xfrm>
                      <a:off x="0" y="0"/>
                      <a:ext cx="5938838" cy="2860144"/>
                    </a:xfrm>
                    <a:prstGeom prst="rect">
                      <a:avLst/>
                    </a:prstGeom>
                    <a:ln/>
                  </pic:spPr>
                </pic:pic>
              </a:graphicData>
            </a:graphic>
          </wp:inline>
        </w:drawing>
      </w:r>
    </w:p>
    <w:p w14:paraId="2D128F7F" w14:textId="77777777" w:rsidR="00B142D9" w:rsidRDefault="00DF6DD4">
      <w:pPr>
        <w:pStyle w:val="Heading2"/>
      </w:pPr>
      <w:bookmarkStart w:id="2" w:name="_ezioxomjx0vv" w:colFirst="0" w:colLast="0"/>
      <w:bookmarkEnd w:id="2"/>
      <w:r>
        <w:t>Context</w:t>
      </w:r>
    </w:p>
    <w:p w14:paraId="3C17D7E6" w14:textId="77777777" w:rsidR="00B142D9" w:rsidRDefault="00DF6DD4">
      <w:p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color w:val="434343"/>
        </w:rPr>
        <w:t>My research takes three keywords; ‘invisible’, ‘glory’ and ‘reconstruction’, and uses them to explore the role of women in the replenishing of Britain’s stained-glass after the second world war.  These keywords were chosen because I have come across very few examples of female stained-glass artists from the mid-20th Century during my studies and years of appreciating stained-glass. I am curious as to whether there were any female stained-glass artists of interest during this period that have been written out of history. I do hope to find some interesting characters and be able to give them some of the glory they deserve.</w:t>
      </w:r>
    </w:p>
    <w:p w14:paraId="79C26772" w14:textId="77777777" w:rsidR="00B142D9" w:rsidRDefault="00DF6DD4">
      <w:pPr>
        <w:pStyle w:val="Heading2"/>
        <w:pBdr>
          <w:top w:val="nil"/>
          <w:left w:val="nil"/>
          <w:bottom w:val="nil"/>
          <w:right w:val="nil"/>
          <w:between w:val="nil"/>
        </w:pBdr>
      </w:pPr>
      <w:bookmarkStart w:id="3" w:name="_owurcdmex9tk" w:colFirst="0" w:colLast="0"/>
      <w:bookmarkEnd w:id="3"/>
      <w:r>
        <w:lastRenderedPageBreak/>
        <w:t>Invisible</w:t>
      </w:r>
    </w:p>
    <w:p w14:paraId="320778E6" w14:textId="77777777" w:rsidR="00B142D9" w:rsidRDefault="00DF6DD4">
      <w:p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color w:val="434343"/>
        </w:rPr>
        <w:t>The word invisible has several connotations. According to The Oxford English Dictionary (2019), ‘Invisible’ is defined as “concealed from sight and hidden”, like oxygen, electricity, gravity and pollution; things that are unseen, but hugely important. In Brexit reporting, the border between Northern and Southern Ireland is regularly referred to as ‘invisible’, and that it should remain unmarked even after the UK leaves the European Union as the peace agreement depends upon these arrangements (Hain and Murphy, 2019).  We are reminded that things often taken for granted and treated as invisible can be so important that wars have been fought over their status.</w:t>
      </w:r>
    </w:p>
    <w:p w14:paraId="63B5EC64" w14:textId="77777777" w:rsidR="00B142D9" w:rsidRDefault="00DF6DD4">
      <w:p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color w:val="434343"/>
        </w:rPr>
        <w:t>More relevant to this proposal, however, is the second definition of the word invisible: “treated as if unable to be seen; ignored or not taken into consideration” (Oxford English Dictionary, 2019). This meaning brings to mind the imbalance of power asserted over those who have less of a voice, like the indigenous people of colonised countries, the underclasses and the disenfranchised. The online version of the Oxford English Dictionary gives the following example sentence: “before 1971 women artists were pretty well invisible” (Oxford English Dictionary: 2019).  The under-representation of female artists is so well recognised that it is used as a prime example to describe the word ‘invisible’ in the dictionary.</w:t>
      </w:r>
    </w:p>
    <w:p w14:paraId="553A9430" w14:textId="77777777" w:rsidR="00B142D9" w:rsidRDefault="00DF6DD4">
      <w:p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color w:val="434343"/>
        </w:rPr>
        <w:t xml:space="preserve">In her seminal text, “Why are there no great female artists?” Linda Nochlin (1992) raised this rhetorical question to illustrate the point that, as art history tended to be documented by “white, western males”, a conscious or unconscious choice was being made not to document the achievements of female artists, rendering them invisible. In other words, there are no great female artists, because no-one has recorded them as such. Nearly fifty years later there are still far fewer books written about female artists than their male counterparts.  Of the 20 biographies of stained-glass artists in the University of Wales Trinity St David art library, only two are about women; Wilhelmena Geddes, Life and Works (Bowe, 2015) and an autobiography, Extra Virgin (Schaechter: 2006).  Until this imbalance is taken note of and corrected then the status quo of invisible female artists will continue.  </w:t>
      </w:r>
    </w:p>
    <w:p w14:paraId="4353E9CD" w14:textId="77777777" w:rsidR="00B142D9" w:rsidRDefault="00DF6DD4">
      <w:p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color w:val="434343"/>
        </w:rPr>
        <w:t xml:space="preserve">It has been noticeable over the past few years, particularly as the centenary of  women’s voting rights has been celebrated, that more female focused books about art and science have been published. Extensive research has been done by Fortune et al., (2009) throughout the public museums and art collections of Florence, Italy.  The notable contributions of female artists of the 16th and 17th Centuries, that would otherwise have gone unrecognised, have been published with the title “Invisible Women”. Personal and in-depth details of the life and work of female artists can be difficult to research, especially those not within living memory. Unless they were titled nobility, or a wife or mistress of a male artist, their achievements are highly unlikely to </w:t>
      </w:r>
      <w:r>
        <w:rPr>
          <w:rFonts w:ascii="Georgia" w:eastAsia="Georgia" w:hAnsi="Georgia" w:cs="Georgia"/>
          <w:color w:val="434343"/>
        </w:rPr>
        <w:lastRenderedPageBreak/>
        <w:t>have been documented or taken seriously at the time (Chadwick, 1996, p. 87).  This is what makes books like “Invisible Women” so remarkable and unusual.  This author raises the issue of a literary gap on publications about the life and work of ‘invisible’ female artists, and especially those working in stained-glass.</w:t>
      </w:r>
    </w:p>
    <w:p w14:paraId="053D3AB0" w14:textId="77777777" w:rsidR="00B142D9" w:rsidRDefault="00DF6DD4">
      <w:pPr>
        <w:pBdr>
          <w:top w:val="nil"/>
          <w:left w:val="nil"/>
          <w:bottom w:val="nil"/>
          <w:right w:val="nil"/>
          <w:between w:val="nil"/>
        </w:pBdr>
        <w:spacing w:line="360" w:lineRule="auto"/>
        <w:jc w:val="center"/>
        <w:rPr>
          <w:rFonts w:ascii="Georgia" w:eastAsia="Georgia" w:hAnsi="Georgia" w:cs="Georgia"/>
          <w:i/>
          <w:color w:val="434343"/>
          <w:sz w:val="18"/>
          <w:szCs w:val="18"/>
        </w:rPr>
      </w:pPr>
      <w:r>
        <w:rPr>
          <w:rFonts w:ascii="Georgia" w:eastAsia="Georgia" w:hAnsi="Georgia" w:cs="Georgia"/>
          <w:b/>
          <w:i/>
          <w:color w:val="434343"/>
          <w:sz w:val="18"/>
          <w:szCs w:val="18"/>
        </w:rPr>
        <w:t>Figure 1:</w:t>
      </w:r>
      <w:r>
        <w:rPr>
          <w:rFonts w:ascii="Georgia" w:eastAsia="Georgia" w:hAnsi="Georgia" w:cs="Georgia"/>
          <w:i/>
          <w:color w:val="434343"/>
          <w:sz w:val="18"/>
          <w:szCs w:val="18"/>
        </w:rPr>
        <w:t xml:space="preserve"> Chapel of Unity, Coventry Cathedral (Traherne: 1962)</w:t>
      </w:r>
    </w:p>
    <w:p w14:paraId="190123EB" w14:textId="77777777" w:rsidR="00B142D9" w:rsidRDefault="00DF6DD4">
      <w:pPr>
        <w:pBdr>
          <w:top w:val="nil"/>
          <w:left w:val="nil"/>
          <w:bottom w:val="nil"/>
          <w:right w:val="nil"/>
          <w:between w:val="nil"/>
        </w:pBdr>
        <w:spacing w:line="360" w:lineRule="auto"/>
        <w:jc w:val="center"/>
        <w:rPr>
          <w:rFonts w:ascii="Georgia" w:eastAsia="Georgia" w:hAnsi="Georgia" w:cs="Georgia"/>
          <w:color w:val="434343"/>
        </w:rPr>
      </w:pPr>
      <w:r>
        <w:rPr>
          <w:rFonts w:ascii="Georgia" w:eastAsia="Georgia" w:hAnsi="Georgia" w:cs="Georgia"/>
          <w:noProof/>
          <w:color w:val="434343"/>
          <w:lang w:val="en-GB"/>
        </w:rPr>
        <w:drawing>
          <wp:inline distT="114300" distB="114300" distL="114300" distR="114300" wp14:anchorId="6090E2EC" wp14:editId="315E565F">
            <wp:extent cx="2537142" cy="4038717"/>
            <wp:effectExtent l="750787" t="-750787" r="750787" b="-750787"/>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rot="5400000">
                      <a:off x="0" y="0"/>
                      <a:ext cx="2537142" cy="4038717"/>
                    </a:xfrm>
                    <a:prstGeom prst="rect">
                      <a:avLst/>
                    </a:prstGeom>
                    <a:ln/>
                  </pic:spPr>
                </pic:pic>
              </a:graphicData>
            </a:graphic>
          </wp:inline>
        </w:drawing>
      </w:r>
    </w:p>
    <w:p w14:paraId="5BCBA7C4" w14:textId="77777777" w:rsidR="00B142D9" w:rsidRDefault="00DF6DD4">
      <w:p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color w:val="434343"/>
        </w:rPr>
        <w:t>One such stained-glass artist is Margaret Traherne, who specialised in the Dalle de Vere technique in the 1960s and 70s (Chamberlaine-Brothers, et. al., 2012).  Figure 1 shows the stunning effect of light and colour, designed by Traherne, in the Chapel of Unity of Coventry Cathedral, rebuilt following the bombing of Coventry in 1940. In his article about the Dalle De Vere technique Turner-Bishop states:</w:t>
      </w:r>
    </w:p>
    <w:p w14:paraId="2EEFE94A" w14:textId="77777777" w:rsidR="00B142D9" w:rsidRDefault="00DF6DD4">
      <w:pPr>
        <w:pBdr>
          <w:top w:val="nil"/>
          <w:left w:val="nil"/>
          <w:bottom w:val="nil"/>
          <w:right w:val="nil"/>
          <w:between w:val="nil"/>
        </w:pBdr>
        <w:spacing w:line="360" w:lineRule="auto"/>
        <w:ind w:left="705"/>
        <w:rPr>
          <w:rFonts w:ascii="Georgia" w:eastAsia="Georgia" w:hAnsi="Georgia" w:cs="Georgia"/>
          <w:color w:val="434343"/>
        </w:rPr>
      </w:pPr>
      <w:r>
        <w:rPr>
          <w:rFonts w:ascii="Georgia" w:eastAsia="Georgia" w:hAnsi="Georgia" w:cs="Georgia"/>
          <w:i/>
          <w:color w:val="434343"/>
        </w:rPr>
        <w:t>The abstract glass windows became prominent in Britain during the construction of Basil Spence’s Coventry Cathedral. Spence commissioned John Piper, Patrick Reyntiens, Geoffrey Clarke and Keith New, with Lawrence Lee, to design the cathedral’s windows.</w:t>
      </w:r>
      <w:r>
        <w:rPr>
          <w:rFonts w:ascii="Georgia" w:eastAsia="Georgia" w:hAnsi="Georgia" w:cs="Georgia"/>
          <w:i/>
          <w:color w:val="434343"/>
        </w:rPr>
        <w:br/>
      </w:r>
      <w:r>
        <w:rPr>
          <w:rFonts w:ascii="Georgia" w:eastAsia="Georgia" w:hAnsi="Georgia" w:cs="Georgia"/>
          <w:color w:val="434343"/>
        </w:rPr>
        <w:t>(Turner-Bishop, 2018)</w:t>
      </w:r>
    </w:p>
    <w:p w14:paraId="44D5829D"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The irony of this statement is that, although it is true that these eminent male stained-glass artists did design and make most of the stained-glass of Coventry Cathedral, they did not design the Dalle De Vere windows that the article focuses on. Those windows were designed by Margaret Traherne, who isn’t mentioned in the context of Coventry Cathedral – another ‘invisible woman’. Fortunately, she has not been so shabbily treated by the writers of the Cat</w:t>
      </w:r>
      <w:r w:rsidR="0057798D">
        <w:rPr>
          <w:rFonts w:ascii="Georgia" w:eastAsia="Georgia" w:hAnsi="Georgia" w:cs="Georgia"/>
          <w:color w:val="434343"/>
        </w:rPr>
        <w:t>hedral’s booklet on The Stained-</w:t>
      </w:r>
      <w:r>
        <w:rPr>
          <w:rFonts w:ascii="Georgia" w:eastAsia="Georgia" w:hAnsi="Georgia" w:cs="Georgia"/>
          <w:color w:val="434343"/>
        </w:rPr>
        <w:t>Glass of Coventry Cathedral, which includes a detailed explanation of the design and short biography written by Dianne Morris (Chamberlain-Brothers et al. 2012).</w:t>
      </w:r>
    </w:p>
    <w:p w14:paraId="4E00ACDB" w14:textId="77777777" w:rsidR="00B142D9" w:rsidRDefault="00DF6DD4">
      <w:pPr>
        <w:pStyle w:val="Heading2"/>
        <w:pBdr>
          <w:top w:val="nil"/>
          <w:left w:val="nil"/>
          <w:bottom w:val="nil"/>
          <w:right w:val="nil"/>
          <w:between w:val="nil"/>
        </w:pBdr>
      </w:pPr>
      <w:bookmarkStart w:id="4" w:name="_7ucxaf5zvszr" w:colFirst="0" w:colLast="0"/>
      <w:bookmarkEnd w:id="4"/>
      <w:r>
        <w:t>Glory</w:t>
      </w:r>
    </w:p>
    <w:p w14:paraId="0AF43603" w14:textId="29B67335" w:rsidR="00B142D9" w:rsidRDefault="00DF6DD4">
      <w:p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color w:val="434343"/>
        </w:rPr>
        <w:t>Glory is defined in the Oxford English Dictionary</w:t>
      </w:r>
      <w:r w:rsidR="00E46D27">
        <w:rPr>
          <w:rFonts w:ascii="Georgia" w:eastAsia="Georgia" w:hAnsi="Georgia" w:cs="Georgia"/>
          <w:color w:val="434343"/>
        </w:rPr>
        <w:t xml:space="preserve"> (2019)</w:t>
      </w:r>
      <w:bookmarkStart w:id="5" w:name="_GoBack"/>
      <w:bookmarkEnd w:id="5"/>
      <w:r>
        <w:rPr>
          <w:rFonts w:ascii="Georgia" w:eastAsia="Georgia" w:hAnsi="Georgia" w:cs="Georgia"/>
          <w:color w:val="434343"/>
        </w:rPr>
        <w:t xml:space="preserve"> as “high renown or honour won by notable achievements”. The term is often used to describe successful athletes; Olympians elevated to the status of gods, basking in glory as though it is the warm glow of the sun </w:t>
      </w:r>
      <w:r>
        <w:rPr>
          <w:rFonts w:ascii="Georgia" w:eastAsia="Georgia" w:hAnsi="Georgia" w:cs="Georgia"/>
          <w:color w:val="434343"/>
        </w:rPr>
        <w:lastRenderedPageBreak/>
        <w:t>(MacDonald: 2002). As a symbol of glory Olympians are given laurel wreaths to wear and a medal as a badge of great honour, coveted gold or more modest silver and bronze to indicate their level of achievement. Athletes work toward the gold standard in order to achieve the highest accolades.</w:t>
      </w:r>
    </w:p>
    <w:p w14:paraId="55C8CC82" w14:textId="77777777" w:rsidR="00B142D9" w:rsidRDefault="00DF6DD4">
      <w:p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color w:val="434343"/>
        </w:rPr>
        <w:t>Glory is also given to those who give their lives for others; soldiers, martyrs, and heroes. They are given medals, have monuments erected in their honour, and stained-glass windows commissioned to ensure that their name is recorded in perpetuity. It can be argued that not enough glory and honour is given to those who serve but did not make the ultimate sacrifice, those who lost limbs or their mental health and who struggle with life’s challenges as a result (Shoemaker: 2012).</w:t>
      </w:r>
    </w:p>
    <w:p w14:paraId="135A72A4" w14:textId="77777777" w:rsidR="00B142D9" w:rsidRDefault="00DF6DD4">
      <w:pPr>
        <w:spacing w:line="360" w:lineRule="auto"/>
        <w:jc w:val="center"/>
        <w:rPr>
          <w:rFonts w:ascii="Georgia" w:eastAsia="Georgia" w:hAnsi="Georgia" w:cs="Georgia"/>
          <w:i/>
          <w:color w:val="434343"/>
          <w:sz w:val="18"/>
          <w:szCs w:val="18"/>
        </w:rPr>
      </w:pPr>
      <w:r>
        <w:rPr>
          <w:rFonts w:ascii="Georgia" w:eastAsia="Georgia" w:hAnsi="Georgia" w:cs="Georgia"/>
          <w:b/>
          <w:i/>
          <w:color w:val="434343"/>
          <w:sz w:val="18"/>
          <w:szCs w:val="18"/>
        </w:rPr>
        <w:t>Figure 2:</w:t>
      </w:r>
      <w:r>
        <w:rPr>
          <w:rFonts w:ascii="Georgia" w:eastAsia="Georgia" w:hAnsi="Georgia" w:cs="Georgia"/>
          <w:i/>
          <w:color w:val="434343"/>
          <w:sz w:val="18"/>
          <w:szCs w:val="18"/>
        </w:rPr>
        <w:t xml:space="preserve"> Virgin and Child (Traherne: 1956)</w:t>
      </w:r>
    </w:p>
    <w:p w14:paraId="0FECC823" w14:textId="77777777" w:rsidR="00B142D9" w:rsidRDefault="00DF6DD4">
      <w:pPr>
        <w:pBdr>
          <w:top w:val="nil"/>
          <w:left w:val="nil"/>
          <w:bottom w:val="nil"/>
          <w:right w:val="nil"/>
          <w:between w:val="nil"/>
        </w:pBdr>
        <w:spacing w:line="360" w:lineRule="auto"/>
        <w:jc w:val="center"/>
        <w:rPr>
          <w:rFonts w:ascii="Georgia" w:eastAsia="Georgia" w:hAnsi="Georgia" w:cs="Georgia"/>
          <w:color w:val="434343"/>
        </w:rPr>
      </w:pPr>
      <w:r>
        <w:rPr>
          <w:rFonts w:ascii="Georgia" w:eastAsia="Georgia" w:hAnsi="Georgia" w:cs="Georgia"/>
          <w:noProof/>
          <w:color w:val="434343"/>
          <w:lang w:val="en-GB"/>
        </w:rPr>
        <w:drawing>
          <wp:inline distT="114300" distB="114300" distL="114300" distR="114300" wp14:anchorId="0B243DCD" wp14:editId="0863994C">
            <wp:extent cx="1881914" cy="264191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881914" cy="2641918"/>
                    </a:xfrm>
                    <a:prstGeom prst="rect">
                      <a:avLst/>
                    </a:prstGeom>
                    <a:ln/>
                  </pic:spPr>
                </pic:pic>
              </a:graphicData>
            </a:graphic>
          </wp:inline>
        </w:drawing>
      </w:r>
    </w:p>
    <w:p w14:paraId="09C68FEE"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The term ‘Glory’ also describes the splendour and bliss of heaven (Oxford English Dictionary: 2019). Glory is an ancient concept, invisible, something that is spoken about but not physically seen.  It is symbolised by a luminous ring or halo, especially as depicted around the head of deities, Christ or saints. The laurel wreath and royal crown have similar connotations. Figure 2 shows the halo around Mary the mother of Jesus by Margaret Traherne. The pie</w:t>
      </w:r>
      <w:r w:rsidR="0057798D">
        <w:rPr>
          <w:rFonts w:ascii="Georgia" w:eastAsia="Georgia" w:hAnsi="Georgia" w:cs="Georgia"/>
          <w:color w:val="434343"/>
        </w:rPr>
        <w:t>ce is in storage at Ely Stained-</w:t>
      </w:r>
      <w:r>
        <w:rPr>
          <w:rFonts w:ascii="Georgia" w:eastAsia="Georgia" w:hAnsi="Georgia" w:cs="Georgia"/>
          <w:color w:val="434343"/>
        </w:rPr>
        <w:t xml:space="preserve">Glass Museum, to be viewed by appointment. </w:t>
      </w:r>
    </w:p>
    <w:p w14:paraId="218C4D31"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Glory has, in the past, been something to strive for; hard to obtain and worth achieving. In our throwaway society praise can be trivialised with over-used expressions like ‘amazing’, ‘incredible’, ‘fantastic’, ‘brilliant’, ‘awesome’, ‘absolutely fabulous’ with as many exclamation marks as possible. Social media generates a craving for approval in the form of ‘likes’ or positive emojis, which can seem to belittle and trivialise the sense of achievement (Bono, 2018, p. 14). </w:t>
      </w:r>
      <w:r>
        <w:rPr>
          <w:rFonts w:ascii="Georgia" w:eastAsia="Georgia" w:hAnsi="Georgia" w:cs="Georgia"/>
          <w:color w:val="434343"/>
        </w:rPr>
        <w:lastRenderedPageBreak/>
        <w:t>Hans Christian Anderson (1837) tells a cautionary tale - The Emperor’s New Clothes warns of both giving and receiving undeserved praise, particularly for the financial benefit of the one giving the flattery.</w:t>
      </w:r>
    </w:p>
    <w:p w14:paraId="1E7A1F54"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Artists worthy of honour have their achievements recorded in the canons – another invisible phenomenon that is given life by positive reviews written by art critics, biographies written by art historians, high demand for exhibitions by gallery curators, and considerable monetary value placed on pieces of work (Carrier, 1993). Artists as well known and celebrated as Turner, Constable, Rembrandt and Michelangelo are placed on a metaphorical pedestal and revered as The Great Masters who paint masterpieces… such masculine terms (Nochlin, 1989).</w:t>
      </w:r>
    </w:p>
    <w:p w14:paraId="4E109AC7"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It is well recognised that female artists are under-represented in art galleries. Naomi Polonski (2019) notes in her article celebrating the air-time female artists are getting as a result of the centenary of Votes for Women, that when the National Portrait Gallery added Artemisia Gentileschi’s self-portrait to their collection in 2018 it increased the number of works by female artists from 23 to 24 out of more than 2,300 in total. Just another way female artists are kept invisible and not given the glory and honour they deserve.</w:t>
      </w:r>
    </w:p>
    <w:p w14:paraId="6E0EA626"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Carrier, in his explanation of how the canons work, points out:</w:t>
      </w:r>
    </w:p>
    <w:p w14:paraId="4308E230" w14:textId="77777777" w:rsidR="00B142D9" w:rsidRDefault="00DF6DD4">
      <w:pPr>
        <w:pBdr>
          <w:top w:val="nil"/>
          <w:left w:val="nil"/>
          <w:bottom w:val="nil"/>
          <w:right w:val="nil"/>
          <w:between w:val="nil"/>
        </w:pBdr>
        <w:spacing w:line="360" w:lineRule="auto"/>
        <w:ind w:left="720"/>
        <w:rPr>
          <w:rFonts w:ascii="Georgia" w:eastAsia="Georgia" w:hAnsi="Georgia" w:cs="Georgia"/>
          <w:color w:val="434343"/>
        </w:rPr>
      </w:pPr>
      <w:r>
        <w:rPr>
          <w:rFonts w:ascii="Georgia" w:eastAsia="Georgia" w:hAnsi="Georgia" w:cs="Georgia"/>
          <w:i/>
          <w:color w:val="434343"/>
        </w:rPr>
        <w:t>Raphael and Manet can co-exist with Artemisia Gentileschi and Berthe Morisot … To find room for work by women (and African artefacts and Japanese painting and Buddhist sculpture) in the canon, it is not necessary to expel Raphael and Manet.</w:t>
      </w:r>
      <w:r>
        <w:rPr>
          <w:rFonts w:ascii="Georgia" w:eastAsia="Georgia" w:hAnsi="Georgia" w:cs="Georgia"/>
          <w:color w:val="434343"/>
        </w:rPr>
        <w:br/>
        <w:t>Carrier, 1993, p. 524</w:t>
      </w:r>
    </w:p>
    <w:p w14:paraId="46DA11F2"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The notion of glory can be nebulous and fleeting. This author proposes that it is not acceptable to give female artists 15 minutes of fame and then forget them again just because of a centenary. We need terms for great artists that are inclusive and gender neutral as other professions have done; firefighters, actors, head teachers.  Linda Nochlin (1992) raised this as an issue, as have other feminist writers (Gretzel: 2013, Frazer: 2014) who assert that women and girls need role models to aspire to.</w:t>
      </w:r>
    </w:p>
    <w:p w14:paraId="36EF47D5" w14:textId="77777777" w:rsidR="00B142D9" w:rsidRDefault="00DF6DD4">
      <w:pPr>
        <w:pStyle w:val="Heading2"/>
      </w:pPr>
      <w:bookmarkStart w:id="6" w:name="_e1wfyp7szeh3" w:colFirst="0" w:colLast="0"/>
      <w:bookmarkEnd w:id="6"/>
      <w:r>
        <w:t>Reconstruction</w:t>
      </w:r>
    </w:p>
    <w:p w14:paraId="14A384D5" w14:textId="77777777" w:rsidR="00B142D9" w:rsidRDefault="00DF6DD4">
      <w:p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color w:val="434343"/>
        </w:rPr>
        <w:t xml:space="preserve">The term ‘reconstruction’ is defined in the Oxford English Dictionary (2019) as “a thing that has been rebuilt after being damaged or destroyed”.  For the purposes of this piece of writing the author will concentrate on the destruction that happened during the second world war (WWII), </w:t>
      </w:r>
      <w:r>
        <w:rPr>
          <w:rFonts w:ascii="Georgia" w:eastAsia="Georgia" w:hAnsi="Georgia" w:cs="Georgia"/>
          <w:color w:val="434343"/>
        </w:rPr>
        <w:lastRenderedPageBreak/>
        <w:t xml:space="preserve">and both the reconstruction of lost heritage and emotional resilience using the medium of stained-glass.  </w:t>
      </w:r>
    </w:p>
    <w:p w14:paraId="602B99AC" w14:textId="77777777" w:rsidR="00B142D9" w:rsidRDefault="00DF6DD4">
      <w:p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color w:val="434343"/>
        </w:rPr>
        <w:t>According to Keith Lowe almost 50,000 tons of bombs were dropped by the Luftwaffe during the Blitz, destroying 202,000 homes and damaging 4.5 million more.  “The ferocity of the attacks on Coventry gave birth to a new German verb, coventriren, to coventrate or destroy utterly” (Lowe, 2012, p.6).</w:t>
      </w:r>
    </w:p>
    <w:p w14:paraId="03B34177" w14:textId="77777777" w:rsidR="00B142D9" w:rsidRDefault="00DF6DD4">
      <w:pPr>
        <w:spacing w:line="360" w:lineRule="auto"/>
        <w:jc w:val="center"/>
        <w:rPr>
          <w:rFonts w:ascii="Georgia" w:eastAsia="Georgia" w:hAnsi="Georgia" w:cs="Georgia"/>
          <w:color w:val="434343"/>
        </w:rPr>
      </w:pPr>
      <w:r>
        <w:rPr>
          <w:rFonts w:ascii="Georgia" w:eastAsia="Georgia" w:hAnsi="Georgia" w:cs="Georgia"/>
          <w:b/>
          <w:i/>
          <w:color w:val="434343"/>
          <w:sz w:val="18"/>
          <w:szCs w:val="18"/>
        </w:rPr>
        <w:t>Figure 3:</w:t>
      </w:r>
      <w:r>
        <w:rPr>
          <w:rFonts w:ascii="Georgia" w:eastAsia="Georgia" w:hAnsi="Georgia" w:cs="Georgia"/>
          <w:i/>
          <w:color w:val="434343"/>
          <w:sz w:val="18"/>
          <w:szCs w:val="18"/>
        </w:rPr>
        <w:t xml:space="preserve"> Notre Dame Cathedral, Paris (2019)</w:t>
      </w:r>
    </w:p>
    <w:p w14:paraId="0EE32DE0" w14:textId="77777777" w:rsidR="00B142D9" w:rsidRDefault="00DF6DD4">
      <w:pPr>
        <w:pBdr>
          <w:top w:val="nil"/>
          <w:left w:val="nil"/>
          <w:bottom w:val="nil"/>
          <w:right w:val="nil"/>
          <w:between w:val="nil"/>
        </w:pBdr>
        <w:spacing w:line="360" w:lineRule="auto"/>
        <w:jc w:val="center"/>
        <w:rPr>
          <w:rFonts w:ascii="Georgia" w:eastAsia="Georgia" w:hAnsi="Georgia" w:cs="Georgia"/>
          <w:color w:val="434343"/>
        </w:rPr>
      </w:pPr>
      <w:r>
        <w:rPr>
          <w:rFonts w:ascii="Georgia" w:eastAsia="Georgia" w:hAnsi="Georgia" w:cs="Georgia"/>
          <w:noProof/>
          <w:color w:val="434343"/>
          <w:lang w:val="en-GB"/>
        </w:rPr>
        <w:drawing>
          <wp:inline distT="114300" distB="114300" distL="114300" distR="114300" wp14:anchorId="6FFCB872" wp14:editId="4D3CE453">
            <wp:extent cx="5129364" cy="2851468"/>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129364" cy="2851468"/>
                    </a:xfrm>
                    <a:prstGeom prst="rect">
                      <a:avLst/>
                    </a:prstGeom>
                    <a:ln/>
                  </pic:spPr>
                </pic:pic>
              </a:graphicData>
            </a:graphic>
          </wp:inline>
        </w:drawing>
      </w:r>
    </w:p>
    <w:p w14:paraId="3C63B454" w14:textId="77777777" w:rsidR="00B142D9" w:rsidRDefault="00DF6DD4">
      <w:p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color w:val="434343"/>
        </w:rPr>
        <w:t>As much as the destruction across Britain was devastating, the loss of homes, religious buildings, and public buildings across Europe during and immediately following WWII was catastrophic (Lowe, 2012, p. 8).  On Monday 15th April 2019, the world watched, horrified, as Notre Dame Cathedral in Paris burned due to an accident whilst restoration works were underway (Giordano, 2019). The emotion expressed during the week following the accident was immense. The sense of loss to family, friends, history, and heritage across the whole of Europe following the war is too awful to even try to imagine.</w:t>
      </w:r>
    </w:p>
    <w:p w14:paraId="6D66B32E" w14:textId="77777777" w:rsidR="00EC0548" w:rsidRDefault="00EC0548">
      <w:pPr>
        <w:spacing w:line="360" w:lineRule="auto"/>
        <w:jc w:val="center"/>
        <w:rPr>
          <w:rFonts w:ascii="Georgia" w:eastAsia="Georgia" w:hAnsi="Georgia" w:cs="Georgia"/>
          <w:b/>
          <w:i/>
          <w:color w:val="434343"/>
          <w:sz w:val="18"/>
          <w:szCs w:val="18"/>
        </w:rPr>
      </w:pPr>
    </w:p>
    <w:p w14:paraId="17F4D3A4" w14:textId="77777777" w:rsidR="00EC0548" w:rsidRDefault="00EC0548">
      <w:pPr>
        <w:spacing w:line="360" w:lineRule="auto"/>
        <w:jc w:val="center"/>
        <w:rPr>
          <w:rFonts w:ascii="Georgia" w:eastAsia="Georgia" w:hAnsi="Georgia" w:cs="Georgia"/>
          <w:b/>
          <w:i/>
          <w:color w:val="434343"/>
          <w:sz w:val="18"/>
          <w:szCs w:val="18"/>
        </w:rPr>
      </w:pPr>
    </w:p>
    <w:p w14:paraId="2667EBA8" w14:textId="77777777" w:rsidR="00EC0548" w:rsidRDefault="00EC0548">
      <w:pPr>
        <w:spacing w:line="360" w:lineRule="auto"/>
        <w:jc w:val="center"/>
        <w:rPr>
          <w:rFonts w:ascii="Georgia" w:eastAsia="Georgia" w:hAnsi="Georgia" w:cs="Georgia"/>
          <w:b/>
          <w:i/>
          <w:color w:val="434343"/>
          <w:sz w:val="18"/>
          <w:szCs w:val="18"/>
        </w:rPr>
      </w:pPr>
    </w:p>
    <w:p w14:paraId="7BC864E5" w14:textId="77777777" w:rsidR="00EC0548" w:rsidRDefault="00EC0548">
      <w:pPr>
        <w:spacing w:line="360" w:lineRule="auto"/>
        <w:jc w:val="center"/>
        <w:rPr>
          <w:rFonts w:ascii="Georgia" w:eastAsia="Georgia" w:hAnsi="Georgia" w:cs="Georgia"/>
          <w:b/>
          <w:i/>
          <w:color w:val="434343"/>
          <w:sz w:val="18"/>
          <w:szCs w:val="18"/>
        </w:rPr>
      </w:pPr>
    </w:p>
    <w:p w14:paraId="51D38F5D" w14:textId="77777777" w:rsidR="00EC0548" w:rsidRDefault="00EC0548">
      <w:pPr>
        <w:spacing w:line="360" w:lineRule="auto"/>
        <w:jc w:val="center"/>
        <w:rPr>
          <w:rFonts w:ascii="Georgia" w:eastAsia="Georgia" w:hAnsi="Georgia" w:cs="Georgia"/>
          <w:b/>
          <w:i/>
          <w:color w:val="434343"/>
          <w:sz w:val="18"/>
          <w:szCs w:val="18"/>
        </w:rPr>
      </w:pPr>
    </w:p>
    <w:p w14:paraId="3C2FCB76" w14:textId="77777777" w:rsidR="00EC0548" w:rsidRDefault="00EC0548">
      <w:pPr>
        <w:spacing w:line="360" w:lineRule="auto"/>
        <w:jc w:val="center"/>
        <w:rPr>
          <w:rFonts w:ascii="Georgia" w:eastAsia="Georgia" w:hAnsi="Georgia" w:cs="Georgia"/>
          <w:b/>
          <w:i/>
          <w:color w:val="434343"/>
          <w:sz w:val="18"/>
          <w:szCs w:val="18"/>
        </w:rPr>
      </w:pPr>
    </w:p>
    <w:p w14:paraId="109D3E32" w14:textId="77777777" w:rsidR="00EC0548" w:rsidRDefault="00EC0548">
      <w:pPr>
        <w:spacing w:line="360" w:lineRule="auto"/>
        <w:jc w:val="center"/>
        <w:rPr>
          <w:rFonts w:ascii="Georgia" w:eastAsia="Georgia" w:hAnsi="Georgia" w:cs="Georgia"/>
          <w:b/>
          <w:i/>
          <w:color w:val="434343"/>
          <w:sz w:val="18"/>
          <w:szCs w:val="18"/>
        </w:rPr>
      </w:pPr>
    </w:p>
    <w:p w14:paraId="7B67ACD9" w14:textId="77777777" w:rsidR="00EC0548" w:rsidRDefault="00EC0548">
      <w:pPr>
        <w:spacing w:line="360" w:lineRule="auto"/>
        <w:jc w:val="center"/>
        <w:rPr>
          <w:rFonts w:ascii="Georgia" w:eastAsia="Georgia" w:hAnsi="Georgia" w:cs="Georgia"/>
          <w:b/>
          <w:i/>
          <w:color w:val="434343"/>
          <w:sz w:val="18"/>
          <w:szCs w:val="18"/>
        </w:rPr>
      </w:pPr>
    </w:p>
    <w:p w14:paraId="5809DF11" w14:textId="77777777" w:rsidR="00B142D9" w:rsidRDefault="00DF6DD4">
      <w:pPr>
        <w:spacing w:line="360" w:lineRule="auto"/>
        <w:jc w:val="center"/>
        <w:rPr>
          <w:rFonts w:ascii="Georgia" w:eastAsia="Georgia" w:hAnsi="Georgia" w:cs="Georgia"/>
          <w:color w:val="434343"/>
        </w:rPr>
      </w:pPr>
      <w:r>
        <w:rPr>
          <w:rFonts w:ascii="Georgia" w:eastAsia="Georgia" w:hAnsi="Georgia" w:cs="Georgia"/>
          <w:b/>
          <w:i/>
          <w:color w:val="434343"/>
          <w:sz w:val="18"/>
          <w:szCs w:val="18"/>
        </w:rPr>
        <w:t xml:space="preserve">Figure 4: </w:t>
      </w:r>
      <w:r>
        <w:rPr>
          <w:rFonts w:ascii="Georgia" w:eastAsia="Georgia" w:hAnsi="Georgia" w:cs="Georgia"/>
          <w:i/>
          <w:color w:val="434343"/>
          <w:sz w:val="18"/>
          <w:szCs w:val="18"/>
        </w:rPr>
        <w:t>Fire window, Manchester Cathedral (Traherne: 1966)</w:t>
      </w:r>
    </w:p>
    <w:p w14:paraId="0DBF863D" w14:textId="77777777" w:rsidR="00B142D9" w:rsidRDefault="00DF6DD4">
      <w:pPr>
        <w:pBdr>
          <w:top w:val="nil"/>
          <w:left w:val="nil"/>
          <w:bottom w:val="nil"/>
          <w:right w:val="nil"/>
          <w:between w:val="nil"/>
        </w:pBdr>
        <w:spacing w:line="360" w:lineRule="auto"/>
        <w:jc w:val="center"/>
        <w:rPr>
          <w:rFonts w:ascii="Georgia" w:eastAsia="Georgia" w:hAnsi="Georgia" w:cs="Georgia"/>
          <w:color w:val="434343"/>
        </w:rPr>
      </w:pPr>
      <w:r>
        <w:rPr>
          <w:rFonts w:ascii="Georgia" w:eastAsia="Georgia" w:hAnsi="Georgia" w:cs="Georgia"/>
          <w:noProof/>
          <w:color w:val="434343"/>
          <w:lang w:val="en-GB"/>
        </w:rPr>
        <w:drawing>
          <wp:inline distT="114300" distB="114300" distL="114300" distR="114300" wp14:anchorId="3410282F" wp14:editId="6AE2595B">
            <wp:extent cx="3605213" cy="388090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605213" cy="3880905"/>
                    </a:xfrm>
                    <a:prstGeom prst="rect">
                      <a:avLst/>
                    </a:prstGeom>
                    <a:ln/>
                  </pic:spPr>
                </pic:pic>
              </a:graphicData>
            </a:graphic>
          </wp:inline>
        </w:drawing>
      </w:r>
    </w:p>
    <w:p w14:paraId="078D9DB1" w14:textId="77777777" w:rsidR="00B142D9" w:rsidRDefault="00DF6DD4">
      <w:p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color w:val="434343"/>
        </w:rPr>
        <w:t>Another definition of the word ‘reconstruction’ is “an impression, model, or re-enactment of a past event formed from the available evidence” (Oxford English Dictionary, 2019).  Figure 4 shows a reconstruction in glass of a past event.  When the windows of Manchester Cathedral were destroyed by fire as a result of the blitz in 1941, Margaret Traherne designed the ‘Fire Window’. Ironically, Traherne had to remake the window due to destruction by an IRA bomb in 1996, (Pitt, 2006). It should not go unnoticed that the design imitates the effect of flames. Better the imitation in glass than the real thing as portrayed in Figure 3.</w:t>
      </w:r>
    </w:p>
    <w:p w14:paraId="698397C1" w14:textId="187E178C" w:rsidR="00B142D9" w:rsidRDefault="00DF6DD4" w:rsidP="00AF7E37">
      <w:p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color w:val="434343"/>
        </w:rPr>
        <w:t>Faith communities tend to be emotionally invested in their art and artefacts, not least their stained-glass.  The world waited in anticipation to hear what had been lost and what had been saved at Notre Dame Cathedral. Giordarno assures readers that the 7000-pipe organ is unharmed, as is the gold cross and the medieval rose windows (Giordarno, 2019).</w:t>
      </w:r>
      <w:r w:rsidR="00AF7E37">
        <w:rPr>
          <w:rFonts w:ascii="Georgia" w:eastAsia="Georgia" w:hAnsi="Georgia" w:cs="Georgia"/>
          <w:color w:val="434343"/>
        </w:rPr>
        <w:t xml:space="preserve"> </w:t>
      </w:r>
      <w:r>
        <w:rPr>
          <w:rFonts w:ascii="Georgia" w:eastAsia="Georgia" w:hAnsi="Georgia" w:cs="Georgia"/>
          <w:color w:val="434343"/>
        </w:rPr>
        <w:t xml:space="preserve">Gray tells a heartening story of a church congregation in Oklahoma, who showed such resolve to reconstruct their damaged stained-glass: “A terrorist may have blown these stained-glass windows from their frames, but the First Baptist congregation was determined to have God's light shine once </w:t>
      </w:r>
      <w:r>
        <w:rPr>
          <w:rFonts w:ascii="Georgia" w:eastAsia="Georgia" w:hAnsi="Georgia" w:cs="Georgia"/>
          <w:color w:val="434343"/>
        </w:rPr>
        <w:lastRenderedPageBreak/>
        <w:t xml:space="preserve">again into their worship” (Gray, 1996). The wellbeing of communities following trauma relies on the hope and resolve to return to a sense of normality, of being able to grieve and move on (Robbins, 2008, p. 154). Memorial windows can be an aide to achieving inner peace, and so it is not surprising that so many were commissioned in the post-war years.  </w:t>
      </w:r>
    </w:p>
    <w:p w14:paraId="7861C0DE" w14:textId="77777777" w:rsidR="00B142D9" w:rsidRDefault="00DF6DD4">
      <w:p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color w:val="434343"/>
        </w:rPr>
        <w:t>Some places of worship destroyed in the blitz were not salvageable, either because of the extent of the damage or excessive rebuild costs. Those that could be reconstructed required considerable funding over and above that provided by war damage compensation ((Robbins, 2008, p. 298). As part of my dissertation research, I will investigate the relationship between the desire to reconstruct lost stained-glass as well as create new memorial windows during post-war years of austerity, and the potential difference in cost between male and female stained-glass artists/designers. Margaret Traherne was approached by Architect, Sir Basil Spence, to design a scheme for the Chapel of Unity at the new Coventry Cathedral after the previous designs were rejected for being too costly (Chamberlain-Brothers, et al., 2012, p. 12). This leads me to question whether female artists of the post-war era quoted less for their work than their male contemporaries, potentially making them the first choice for more cost-conscious commissioners.</w:t>
      </w:r>
    </w:p>
    <w:p w14:paraId="59310B38" w14:textId="77777777" w:rsidR="00B142D9" w:rsidRDefault="00DF6DD4">
      <w:pPr>
        <w:pStyle w:val="Heading2"/>
      </w:pPr>
      <w:bookmarkStart w:id="7" w:name="_ddd1ko6u7xdw" w:colFirst="0" w:colLast="0"/>
      <w:bookmarkEnd w:id="7"/>
      <w:r>
        <w:t xml:space="preserve">Conclusion </w:t>
      </w:r>
    </w:p>
    <w:p w14:paraId="498845E0" w14:textId="77777777" w:rsidR="00B142D9" w:rsidRDefault="00DF6DD4">
      <w:p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color w:val="434343"/>
        </w:rPr>
        <w:t>The work of famous and highly regarded male stained-glass artists, in the rebuilding of Britain following the extensive destruction in the mid-20th Century is very well documented. John Piper, Lawrence Lee, Patrick Reyntiens, Keith New and Geoffrey Clarke played a huge part in rebuilding the damaged cathedrals of Coventry, Liverpool, Manchester and Norwich (Crampin, 2014, pp. 261-262). This proposal has illustrated three pieces of impressive architectural glass by the female stained-glass artist Margaret Traherne. Although there are two articles about her</w:t>
      </w:r>
      <w:r w:rsidR="0057798D">
        <w:rPr>
          <w:rFonts w:ascii="Georgia" w:eastAsia="Georgia" w:hAnsi="Georgia" w:cs="Georgia"/>
          <w:color w:val="434343"/>
        </w:rPr>
        <w:t xml:space="preserve"> work in the Journal of Stained-</w:t>
      </w:r>
      <w:r>
        <w:rPr>
          <w:rFonts w:ascii="Georgia" w:eastAsia="Georgia" w:hAnsi="Georgia" w:cs="Georgia"/>
          <w:color w:val="434343"/>
        </w:rPr>
        <w:t>Glass, one of which is her obituary (Pitt, 1996 and Harrod, 2006), there are no books written about her, no exhibitions to visit, and not even a Wikipedia entry.</w:t>
      </w:r>
    </w:p>
    <w:p w14:paraId="0BED76BF" w14:textId="77777777" w:rsidR="00B142D9" w:rsidRDefault="00DF6DD4">
      <w:p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color w:val="434343"/>
        </w:rPr>
        <w:t xml:space="preserve">Unlike the Irish border, which is shown on a map but does not currently physically exist, female stained-glass artists were physically there, using their talents to bring healing light and colour to brighten our world, but there is little or no ‘line on a map’ or recording in the canons to be found. For my dissertation, I </w:t>
      </w:r>
      <w:r w:rsidR="006E0A0D" w:rsidRPr="006E0A0D">
        <w:rPr>
          <w:rFonts w:ascii="Georgia" w:eastAsia="Georgia" w:hAnsi="Georgia" w:cs="Georgia"/>
          <w:color w:val="434343"/>
        </w:rPr>
        <w:t>intend</w:t>
      </w:r>
      <w:r>
        <w:rPr>
          <w:rFonts w:ascii="Georgia" w:eastAsia="Georgia" w:hAnsi="Georgia" w:cs="Georgia"/>
          <w:color w:val="434343"/>
        </w:rPr>
        <w:t xml:space="preserve"> to find details of the </w:t>
      </w:r>
      <w:r w:rsidR="006E0A0D">
        <w:rPr>
          <w:rFonts w:ascii="Georgia" w:eastAsia="Georgia" w:hAnsi="Georgia" w:cs="Georgia"/>
          <w:color w:val="434343"/>
        </w:rPr>
        <w:t>‘invisible’</w:t>
      </w:r>
      <w:r>
        <w:rPr>
          <w:rFonts w:ascii="Georgia" w:eastAsia="Georgia" w:hAnsi="Georgia" w:cs="Georgia"/>
          <w:color w:val="434343"/>
        </w:rPr>
        <w:t xml:space="preserve"> female stained-glass artists of the Mi</w:t>
      </w:r>
      <w:r w:rsidR="006E0A0D">
        <w:rPr>
          <w:rFonts w:ascii="Georgia" w:eastAsia="Georgia" w:hAnsi="Georgia" w:cs="Georgia"/>
          <w:color w:val="434343"/>
        </w:rPr>
        <w:t>d-20th Century, who helped with the</w:t>
      </w:r>
      <w:r>
        <w:rPr>
          <w:rFonts w:ascii="Georgia" w:eastAsia="Georgia" w:hAnsi="Georgia" w:cs="Georgia"/>
          <w:color w:val="434343"/>
        </w:rPr>
        <w:t xml:space="preserve"> </w:t>
      </w:r>
      <w:r w:rsidR="006E0A0D">
        <w:rPr>
          <w:rFonts w:ascii="Georgia" w:eastAsia="Georgia" w:hAnsi="Georgia" w:cs="Georgia"/>
          <w:color w:val="434343"/>
        </w:rPr>
        <w:t>‘</w:t>
      </w:r>
      <w:r>
        <w:rPr>
          <w:rFonts w:ascii="Georgia" w:eastAsia="Georgia" w:hAnsi="Georgia" w:cs="Georgia"/>
          <w:color w:val="434343"/>
        </w:rPr>
        <w:t>reconstruct</w:t>
      </w:r>
      <w:r w:rsidR="006E0A0D">
        <w:rPr>
          <w:rFonts w:ascii="Georgia" w:eastAsia="Georgia" w:hAnsi="Georgia" w:cs="Georgia"/>
          <w:color w:val="434343"/>
        </w:rPr>
        <w:t>ion’ of</w:t>
      </w:r>
      <w:r>
        <w:rPr>
          <w:rFonts w:ascii="Georgia" w:eastAsia="Georgia" w:hAnsi="Georgia" w:cs="Georgia"/>
          <w:color w:val="434343"/>
        </w:rPr>
        <w:t xml:space="preserve"> Britain, both physically and emotionally, in order to highlight their achievements and ensure they get the </w:t>
      </w:r>
      <w:r w:rsidR="006E0A0D">
        <w:rPr>
          <w:rFonts w:ascii="Georgia" w:eastAsia="Georgia" w:hAnsi="Georgia" w:cs="Georgia"/>
          <w:color w:val="434343"/>
        </w:rPr>
        <w:t>‘</w:t>
      </w:r>
      <w:r w:rsidRPr="006E0A0D">
        <w:rPr>
          <w:rFonts w:ascii="Georgia" w:eastAsia="Georgia" w:hAnsi="Georgia" w:cs="Georgia"/>
          <w:color w:val="434343"/>
        </w:rPr>
        <w:t>glory</w:t>
      </w:r>
      <w:r w:rsidR="006E0A0D" w:rsidRPr="006E0A0D">
        <w:rPr>
          <w:rFonts w:ascii="Georgia" w:eastAsia="Georgia" w:hAnsi="Georgia" w:cs="Georgia"/>
          <w:color w:val="434343"/>
        </w:rPr>
        <w:t>’</w:t>
      </w:r>
      <w:r>
        <w:rPr>
          <w:rFonts w:ascii="Georgia" w:eastAsia="Georgia" w:hAnsi="Georgia" w:cs="Georgia"/>
          <w:color w:val="434343"/>
        </w:rPr>
        <w:t xml:space="preserve"> they deserve.</w:t>
      </w:r>
      <w:r w:rsidR="006E0A0D">
        <w:rPr>
          <w:rFonts w:ascii="Georgia" w:eastAsia="Georgia" w:hAnsi="Georgia" w:cs="Georgia"/>
          <w:color w:val="434343"/>
        </w:rPr>
        <w:t xml:space="preserve">  </w:t>
      </w:r>
    </w:p>
    <w:p w14:paraId="2FF14518" w14:textId="77777777" w:rsidR="00B142D9" w:rsidRDefault="00DF6DD4">
      <w:pPr>
        <w:pStyle w:val="Heading2"/>
      </w:pPr>
      <w:bookmarkStart w:id="8" w:name="_q41rmqf4fxs7" w:colFirst="0" w:colLast="0"/>
      <w:bookmarkEnd w:id="8"/>
      <w:r>
        <w:lastRenderedPageBreak/>
        <w:t>Proposed Title</w:t>
      </w:r>
    </w:p>
    <w:p w14:paraId="55F47D0A" w14:textId="77777777" w:rsidR="00B142D9" w:rsidRDefault="00DF6DD4">
      <w:p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b/>
          <w:color w:val="434343"/>
        </w:rPr>
        <w:t>Hope and Glory</w:t>
      </w:r>
      <w:r>
        <w:rPr>
          <w:rFonts w:ascii="Georgia" w:eastAsia="Georgia" w:hAnsi="Georgia" w:cs="Georgia"/>
          <w:color w:val="434343"/>
        </w:rPr>
        <w:t>: An investigation into the involvement of female stained-glass designers and artists in the replenishing of Britain’s stained-glass heritage following the destruction of the first half of the 20th Century.</w:t>
      </w:r>
    </w:p>
    <w:p w14:paraId="1F6DC1E0" w14:textId="77777777" w:rsidR="00B142D9" w:rsidRDefault="00DF6DD4">
      <w:pPr>
        <w:numPr>
          <w:ilvl w:val="0"/>
          <w:numId w:val="1"/>
        </w:numPr>
        <w:pBdr>
          <w:top w:val="nil"/>
          <w:left w:val="nil"/>
          <w:bottom w:val="nil"/>
          <w:right w:val="nil"/>
          <w:between w:val="nil"/>
        </w:pBdr>
        <w:spacing w:line="360" w:lineRule="auto"/>
        <w:rPr>
          <w:rFonts w:ascii="Georgia" w:eastAsia="Georgia" w:hAnsi="Georgia" w:cs="Georgia"/>
          <w:color w:val="434343"/>
        </w:rPr>
      </w:pPr>
      <w:r>
        <w:rPr>
          <w:rFonts w:ascii="Georgia" w:eastAsia="Georgia" w:hAnsi="Georgia" w:cs="Georgia"/>
          <w:color w:val="434343"/>
        </w:rPr>
        <w:t>What was the extent of the role of female stained-glass designers/artists in the rebuilding of Britain following the destruction of the world wars?</w:t>
      </w:r>
    </w:p>
    <w:p w14:paraId="50B36EAA" w14:textId="77777777" w:rsidR="00B142D9" w:rsidRDefault="00DF6DD4">
      <w:pPr>
        <w:numPr>
          <w:ilvl w:val="0"/>
          <w:numId w:val="1"/>
        </w:numPr>
        <w:pBdr>
          <w:top w:val="nil"/>
          <w:left w:val="nil"/>
          <w:bottom w:val="nil"/>
          <w:right w:val="nil"/>
          <w:between w:val="nil"/>
        </w:pBdr>
        <w:spacing w:before="0" w:line="360" w:lineRule="auto"/>
        <w:rPr>
          <w:rFonts w:ascii="Georgia" w:eastAsia="Georgia" w:hAnsi="Georgia" w:cs="Georgia"/>
          <w:color w:val="434343"/>
        </w:rPr>
      </w:pPr>
      <w:r>
        <w:rPr>
          <w:rFonts w:ascii="Georgia" w:eastAsia="Georgia" w:hAnsi="Georgia" w:cs="Georgia"/>
          <w:color w:val="434343"/>
        </w:rPr>
        <w:t>Are these women really as invisible as is first suspected?</w:t>
      </w:r>
    </w:p>
    <w:p w14:paraId="0EA943C1" w14:textId="77777777" w:rsidR="00B142D9" w:rsidRDefault="00DF6DD4">
      <w:pPr>
        <w:numPr>
          <w:ilvl w:val="0"/>
          <w:numId w:val="1"/>
        </w:numPr>
        <w:pBdr>
          <w:top w:val="nil"/>
          <w:left w:val="nil"/>
          <w:bottom w:val="nil"/>
          <w:right w:val="nil"/>
          <w:between w:val="nil"/>
        </w:pBdr>
        <w:spacing w:before="0" w:line="360" w:lineRule="auto"/>
        <w:rPr>
          <w:rFonts w:ascii="Georgia" w:eastAsia="Georgia" w:hAnsi="Georgia" w:cs="Georgia"/>
          <w:color w:val="434343"/>
        </w:rPr>
      </w:pPr>
      <w:r>
        <w:rPr>
          <w:rFonts w:ascii="Georgia" w:eastAsia="Georgia" w:hAnsi="Georgia" w:cs="Georgia"/>
          <w:color w:val="434343"/>
        </w:rPr>
        <w:t>What were the economic and social factors that aided, or hindered, their success?</w:t>
      </w:r>
    </w:p>
    <w:p w14:paraId="0E990E58" w14:textId="77777777" w:rsidR="00B142D9" w:rsidRDefault="00DF6DD4">
      <w:pPr>
        <w:numPr>
          <w:ilvl w:val="0"/>
          <w:numId w:val="1"/>
        </w:numPr>
        <w:pBdr>
          <w:top w:val="nil"/>
          <w:left w:val="nil"/>
          <w:bottom w:val="nil"/>
          <w:right w:val="nil"/>
          <w:between w:val="nil"/>
        </w:pBdr>
        <w:spacing w:before="0" w:line="360" w:lineRule="auto"/>
        <w:rPr>
          <w:rFonts w:ascii="Georgia" w:eastAsia="Georgia" w:hAnsi="Georgia" w:cs="Georgia"/>
          <w:color w:val="434343"/>
        </w:rPr>
      </w:pPr>
      <w:r>
        <w:rPr>
          <w:rFonts w:ascii="Georgia" w:eastAsia="Georgia" w:hAnsi="Georgia" w:cs="Georgia"/>
          <w:color w:val="434343"/>
        </w:rPr>
        <w:t>What evidence can be found of the networks and collaboration that supported their work?</w:t>
      </w:r>
    </w:p>
    <w:p w14:paraId="20C80789" w14:textId="77777777" w:rsidR="00B142D9" w:rsidRDefault="00DF6DD4">
      <w:pPr>
        <w:numPr>
          <w:ilvl w:val="0"/>
          <w:numId w:val="1"/>
        </w:numPr>
        <w:pBdr>
          <w:top w:val="nil"/>
          <w:left w:val="nil"/>
          <w:bottom w:val="nil"/>
          <w:right w:val="nil"/>
          <w:between w:val="nil"/>
        </w:pBdr>
        <w:spacing w:before="0" w:line="360" w:lineRule="auto"/>
        <w:rPr>
          <w:rFonts w:ascii="Georgia" w:eastAsia="Georgia" w:hAnsi="Georgia" w:cs="Georgia"/>
          <w:color w:val="434343"/>
        </w:rPr>
      </w:pPr>
      <w:r>
        <w:rPr>
          <w:rFonts w:ascii="Georgia" w:eastAsia="Georgia" w:hAnsi="Georgia" w:cs="Georgia"/>
          <w:color w:val="434343"/>
        </w:rPr>
        <w:t>What were the trends, art movements or artists that influenced their practice?</w:t>
      </w:r>
    </w:p>
    <w:p w14:paraId="34D5C3C6" w14:textId="77777777" w:rsidR="00B142D9" w:rsidRDefault="00DF6DD4">
      <w:pPr>
        <w:numPr>
          <w:ilvl w:val="0"/>
          <w:numId w:val="1"/>
        </w:numPr>
        <w:pBdr>
          <w:top w:val="nil"/>
          <w:left w:val="nil"/>
          <w:bottom w:val="nil"/>
          <w:right w:val="nil"/>
          <w:between w:val="nil"/>
        </w:pBdr>
        <w:spacing w:before="0" w:line="360" w:lineRule="auto"/>
        <w:rPr>
          <w:rFonts w:ascii="Georgia" w:eastAsia="Georgia" w:hAnsi="Georgia" w:cs="Georgia"/>
          <w:color w:val="434343"/>
        </w:rPr>
      </w:pPr>
      <w:r>
        <w:rPr>
          <w:rFonts w:ascii="Georgia" w:eastAsia="Georgia" w:hAnsi="Georgia" w:cs="Georgia"/>
          <w:color w:val="434343"/>
        </w:rPr>
        <w:t>Where did they train in the craft of stained-glass: who were their tutors and mentors?</w:t>
      </w:r>
    </w:p>
    <w:p w14:paraId="07C454D4" w14:textId="77777777" w:rsidR="00B142D9" w:rsidRDefault="00DF6DD4">
      <w:pPr>
        <w:numPr>
          <w:ilvl w:val="0"/>
          <w:numId w:val="1"/>
        </w:numPr>
        <w:pBdr>
          <w:top w:val="nil"/>
          <w:left w:val="nil"/>
          <w:bottom w:val="nil"/>
          <w:right w:val="nil"/>
          <w:between w:val="nil"/>
        </w:pBdr>
        <w:spacing w:before="0" w:line="360" w:lineRule="auto"/>
        <w:rPr>
          <w:rFonts w:ascii="Georgia" w:eastAsia="Georgia" w:hAnsi="Georgia" w:cs="Georgia"/>
          <w:color w:val="434343"/>
        </w:rPr>
      </w:pPr>
      <w:r>
        <w:rPr>
          <w:rFonts w:ascii="Georgia" w:eastAsia="Georgia" w:hAnsi="Georgia" w:cs="Georgia"/>
          <w:color w:val="434343"/>
        </w:rPr>
        <w:t>What can be done to give them the honour and glory that they deserve?</w:t>
      </w:r>
    </w:p>
    <w:p w14:paraId="11F710F3" w14:textId="77777777" w:rsidR="00B142D9" w:rsidRDefault="00DF6DD4">
      <w:pPr>
        <w:pStyle w:val="Heading2"/>
        <w:ind w:left="0"/>
      </w:pPr>
      <w:bookmarkStart w:id="9" w:name="_q3yp0eeepa4s" w:colFirst="0" w:colLast="0"/>
      <w:bookmarkEnd w:id="9"/>
      <w:r>
        <w:br w:type="page"/>
      </w:r>
    </w:p>
    <w:p w14:paraId="4E51FC24" w14:textId="77777777" w:rsidR="00B142D9" w:rsidRDefault="00DF6DD4">
      <w:pPr>
        <w:pStyle w:val="Heading2"/>
        <w:ind w:left="0"/>
      </w:pPr>
      <w:bookmarkStart w:id="10" w:name="_52rum7mx5jbd" w:colFirst="0" w:colLast="0"/>
      <w:bookmarkEnd w:id="10"/>
      <w:r>
        <w:lastRenderedPageBreak/>
        <w:t>Image credits</w:t>
      </w:r>
    </w:p>
    <w:p w14:paraId="3A42BDF5"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i/>
          <w:color w:val="434343"/>
        </w:rPr>
        <w:t>Cover image:</w:t>
      </w:r>
      <w:r>
        <w:rPr>
          <w:rFonts w:ascii="Georgia" w:eastAsia="Georgia" w:hAnsi="Georgia" w:cs="Georgia"/>
          <w:color w:val="434343"/>
        </w:rPr>
        <w:t xml:space="preserve"> Photograph of The Fire Window by Margaret Traherne in Manchester Cathedral (©Pauline &amp; John Grimshaw, Flickr.com)</w:t>
      </w:r>
    </w:p>
    <w:p w14:paraId="2D7E216B"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i/>
          <w:color w:val="434343"/>
        </w:rPr>
        <w:t>Figure 1:</w:t>
      </w:r>
      <w:r>
        <w:rPr>
          <w:rFonts w:ascii="Georgia" w:eastAsia="Georgia" w:hAnsi="Georgia" w:cs="Georgia"/>
          <w:color w:val="434343"/>
        </w:rPr>
        <w:t xml:space="preserve"> Photograph of the Dalle de Vere lights by Margaret Traherne in the Chapel of Unity, Coventry Cathedral (©Jacqui Fowler)</w:t>
      </w:r>
    </w:p>
    <w:p w14:paraId="5AD4CF4D"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i/>
          <w:color w:val="434343"/>
        </w:rPr>
        <w:t>Figure 2:</w:t>
      </w:r>
      <w:r>
        <w:rPr>
          <w:rFonts w:ascii="Georgia" w:eastAsia="Georgia" w:hAnsi="Georgia" w:cs="Georgia"/>
          <w:color w:val="434343"/>
        </w:rPr>
        <w:t xml:space="preserve"> Photograph of Virgin and Child by </w:t>
      </w:r>
      <w:r w:rsidR="0057798D">
        <w:rPr>
          <w:rFonts w:ascii="Georgia" w:eastAsia="Georgia" w:hAnsi="Georgia" w:cs="Georgia"/>
          <w:color w:val="434343"/>
        </w:rPr>
        <w:t>Margaret Traherne (©Ely Stained-</w:t>
      </w:r>
      <w:r>
        <w:rPr>
          <w:rFonts w:ascii="Georgia" w:eastAsia="Georgia" w:hAnsi="Georgia" w:cs="Georgia"/>
          <w:color w:val="434343"/>
        </w:rPr>
        <w:t>Glass Museum)</w:t>
      </w:r>
    </w:p>
    <w:p w14:paraId="3121971D"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i/>
          <w:color w:val="434343"/>
        </w:rPr>
        <w:t>Figure 3:</w:t>
      </w:r>
      <w:r>
        <w:rPr>
          <w:rFonts w:ascii="Georgia" w:eastAsia="Georgia" w:hAnsi="Georgia" w:cs="Georgia"/>
          <w:color w:val="434343"/>
        </w:rPr>
        <w:t xml:space="preserve"> Photograph of Notre Dame Cathedral as it burns in Paris, 15 April 2019. (©Associated Press)</w:t>
      </w:r>
    </w:p>
    <w:p w14:paraId="70AEFAB7" w14:textId="66295D53"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i/>
          <w:color w:val="434343"/>
        </w:rPr>
        <w:t>Figure 4:</w:t>
      </w:r>
      <w:r>
        <w:rPr>
          <w:rFonts w:ascii="Georgia" w:eastAsia="Georgia" w:hAnsi="Georgia" w:cs="Georgia"/>
          <w:color w:val="434343"/>
        </w:rPr>
        <w:t xml:space="preserve"> Photograph of The Fire Window by Margaret Traherne </w:t>
      </w:r>
      <w:r w:rsidR="00DB2882">
        <w:rPr>
          <w:rFonts w:ascii="Georgia" w:eastAsia="Georgia" w:hAnsi="Georgia" w:cs="Georgia"/>
          <w:color w:val="434343"/>
        </w:rPr>
        <w:t>in Manchester Cathedral (©Pauline &amp; John Grimshaw, Flickr.com</w:t>
      </w:r>
      <w:r>
        <w:rPr>
          <w:rFonts w:ascii="Georgia" w:eastAsia="Georgia" w:hAnsi="Georgia" w:cs="Georgia"/>
          <w:color w:val="434343"/>
        </w:rPr>
        <w:t>)</w:t>
      </w:r>
    </w:p>
    <w:p w14:paraId="03D52DC1" w14:textId="77777777" w:rsidR="00B142D9" w:rsidRDefault="00DF6DD4">
      <w:pPr>
        <w:pStyle w:val="Heading2"/>
        <w:ind w:left="0"/>
      </w:pPr>
      <w:bookmarkStart w:id="11" w:name="_d8h4tub5ri4t" w:colFirst="0" w:colLast="0"/>
      <w:bookmarkEnd w:id="11"/>
      <w:r>
        <w:t>Bibliography</w:t>
      </w:r>
    </w:p>
    <w:p w14:paraId="2448EE8D"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Álvarez, E. and Gómez, C. (2017) ‘The invisible women’, </w:t>
      </w:r>
      <w:r w:rsidRPr="000906BA">
        <w:rPr>
          <w:rFonts w:ascii="Georgia" w:eastAsia="Georgia" w:hAnsi="Georgia" w:cs="Georgia"/>
          <w:i/>
          <w:color w:val="434343"/>
        </w:rPr>
        <w:t>The Architectural Review</w:t>
      </w:r>
      <w:r>
        <w:rPr>
          <w:rFonts w:ascii="Georgia" w:eastAsia="Georgia" w:hAnsi="Georgia" w:cs="Georgia"/>
          <w:color w:val="434343"/>
        </w:rPr>
        <w:t>, 241(1439), p. 52.</w:t>
      </w:r>
    </w:p>
    <w:p w14:paraId="1CF45BDC"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Ahmed, N. (2017) ‘</w:t>
      </w:r>
      <w:r w:rsidR="0057798D">
        <w:rPr>
          <w:rFonts w:ascii="Georgia" w:eastAsia="Georgia" w:hAnsi="Georgia" w:cs="Georgia"/>
          <w:color w:val="434343"/>
        </w:rPr>
        <w:t>Living, changing light: Stained-</w:t>
      </w:r>
      <w:r>
        <w:rPr>
          <w:rFonts w:ascii="Georgia" w:eastAsia="Georgia" w:hAnsi="Georgia" w:cs="Georgia"/>
          <w:color w:val="434343"/>
        </w:rPr>
        <w:t xml:space="preserve">glass art and gendered creativity in the suburban church’, </w:t>
      </w:r>
      <w:r w:rsidRPr="000906BA">
        <w:rPr>
          <w:rFonts w:ascii="Georgia" w:eastAsia="Georgia" w:hAnsi="Georgia" w:cs="Georgia"/>
          <w:i/>
          <w:color w:val="434343"/>
        </w:rPr>
        <w:t>Culture and Religion</w:t>
      </w:r>
      <w:r>
        <w:rPr>
          <w:rFonts w:ascii="Georgia" w:eastAsia="Georgia" w:hAnsi="Georgia" w:cs="Georgia"/>
          <w:color w:val="434343"/>
        </w:rPr>
        <w:t>, 18(4), pp. 371–388.</w:t>
      </w:r>
    </w:p>
    <w:p w14:paraId="6574C915"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Andrieu, J. (1957) ‘France rebuilds her churches’, </w:t>
      </w:r>
      <w:r w:rsidRPr="000906BA">
        <w:rPr>
          <w:rFonts w:ascii="Georgia" w:eastAsia="Georgia" w:hAnsi="Georgia" w:cs="Georgia"/>
          <w:i/>
          <w:color w:val="434343"/>
        </w:rPr>
        <w:t>America</w:t>
      </w:r>
      <w:r>
        <w:rPr>
          <w:rFonts w:ascii="Georgia" w:eastAsia="Georgia" w:hAnsi="Georgia" w:cs="Georgia"/>
          <w:color w:val="434343"/>
        </w:rPr>
        <w:t>, 96(15), pp. 420–424.</w:t>
      </w:r>
    </w:p>
    <w:p w14:paraId="4C531361"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Anon, (2019) ‘Invisible women: Data bias in a world designed for men’, </w:t>
      </w:r>
      <w:r w:rsidRPr="000906BA">
        <w:rPr>
          <w:rFonts w:ascii="Georgia" w:eastAsia="Georgia" w:hAnsi="Georgia" w:cs="Georgia"/>
          <w:i/>
          <w:color w:val="434343"/>
        </w:rPr>
        <w:t>Publishers Weekly</w:t>
      </w:r>
      <w:r>
        <w:rPr>
          <w:rFonts w:ascii="Georgia" w:eastAsia="Georgia" w:hAnsi="Georgia" w:cs="Georgia"/>
          <w:color w:val="434343"/>
        </w:rPr>
        <w:t>, 266(4), p. 88.</w:t>
      </w:r>
    </w:p>
    <w:p w14:paraId="2A1B4788"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Barnard, C. (1996) ‘Inspiring heights’, </w:t>
      </w:r>
      <w:r w:rsidRPr="000906BA">
        <w:rPr>
          <w:rFonts w:ascii="Georgia" w:eastAsia="Georgia" w:hAnsi="Georgia" w:cs="Georgia"/>
          <w:i/>
          <w:color w:val="434343"/>
        </w:rPr>
        <w:t>In Britain</w:t>
      </w:r>
      <w:r>
        <w:rPr>
          <w:rFonts w:ascii="Georgia" w:eastAsia="Georgia" w:hAnsi="Georgia" w:cs="Georgia"/>
          <w:color w:val="434343"/>
        </w:rPr>
        <w:t>, 6(1), pp. 40–44.</w:t>
      </w:r>
    </w:p>
    <w:p w14:paraId="7393F755" w14:textId="5A6C28A3"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BBC News (2019) ‘Fire window: In pictures - Manchester</w:t>
      </w:r>
      <w:r w:rsidR="00DB2882">
        <w:rPr>
          <w:rFonts w:ascii="Georgia" w:eastAsia="Georgia" w:hAnsi="Georgia" w:cs="Georgia"/>
          <w:color w:val="434343"/>
        </w:rPr>
        <w:t xml:space="preserve"> Cathedral’,</w:t>
      </w:r>
      <w:r>
        <w:rPr>
          <w:rFonts w:ascii="Georgia" w:eastAsia="Georgia" w:hAnsi="Georgia" w:cs="Georgia"/>
          <w:color w:val="434343"/>
        </w:rPr>
        <w:t xml:space="preserve"> </w:t>
      </w:r>
      <w:r w:rsidRPr="000906BA">
        <w:rPr>
          <w:rFonts w:ascii="Georgia" w:eastAsia="Georgia" w:hAnsi="Georgia" w:cs="Georgia"/>
          <w:i/>
          <w:color w:val="434343"/>
        </w:rPr>
        <w:t>BBC News</w:t>
      </w:r>
      <w:r>
        <w:rPr>
          <w:rFonts w:ascii="Georgia" w:eastAsia="Georgia" w:hAnsi="Georgia" w:cs="Georgia"/>
          <w:color w:val="434343"/>
        </w:rPr>
        <w:t xml:space="preserve">. Available online: </w:t>
      </w:r>
      <w:hyperlink r:id="rId12">
        <w:r>
          <w:rPr>
            <w:rFonts w:ascii="Georgia" w:eastAsia="Georgia" w:hAnsi="Georgia" w:cs="Georgia"/>
            <w:color w:val="1155CC"/>
            <w:u w:val="single"/>
          </w:rPr>
          <w:t>http://news.bbc.co.uk/1/shared/spl/hi/pop_ups/05/uk_manchester_cathedral/html/6.stm</w:t>
        </w:r>
      </w:hyperlink>
      <w:r>
        <w:rPr>
          <w:rFonts w:ascii="Georgia" w:eastAsia="Georgia" w:hAnsi="Georgia" w:cs="Georgia"/>
          <w:color w:val="434343"/>
        </w:rPr>
        <w:br/>
        <w:t>(Accessed: 25 April 2019).</w:t>
      </w:r>
    </w:p>
    <w:p w14:paraId="0E846A4C"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Bono, T. (2018) </w:t>
      </w:r>
      <w:r w:rsidRPr="000906BA">
        <w:rPr>
          <w:rFonts w:ascii="Georgia" w:eastAsia="Georgia" w:hAnsi="Georgia" w:cs="Georgia"/>
          <w:i/>
          <w:color w:val="434343"/>
        </w:rPr>
        <w:t>When Likes Aren’t Enough: A Crash Course in the Science of Happiness</w:t>
      </w:r>
      <w:r>
        <w:rPr>
          <w:rFonts w:ascii="Georgia" w:eastAsia="Georgia" w:hAnsi="Georgia" w:cs="Georgia"/>
          <w:color w:val="434343"/>
        </w:rPr>
        <w:t>. Washington: Grand Central Life and Style.</w:t>
      </w:r>
    </w:p>
    <w:p w14:paraId="08EEA72D"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Borzello, F. (2000) </w:t>
      </w:r>
      <w:r w:rsidRPr="00DB2882">
        <w:rPr>
          <w:rFonts w:ascii="Georgia" w:eastAsia="Georgia" w:hAnsi="Georgia" w:cs="Georgia"/>
          <w:i/>
          <w:color w:val="434343"/>
        </w:rPr>
        <w:t>A World of Our Own: Women as Artists</w:t>
      </w:r>
      <w:r>
        <w:rPr>
          <w:rFonts w:ascii="Georgia" w:eastAsia="Georgia" w:hAnsi="Georgia" w:cs="Georgia"/>
          <w:color w:val="434343"/>
        </w:rPr>
        <w:t>. London: Thames and Hudson.</w:t>
      </w:r>
    </w:p>
    <w:p w14:paraId="46901A5A" w14:textId="367A9D5D"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lastRenderedPageBreak/>
        <w:t>Bowe, N.G. (1988) ‘Wilhelmina Geddes, Harry Clarke, and their part in the Arts and Crafts Movement in Ireland</w:t>
      </w:r>
      <w:r w:rsidR="000906BA">
        <w:rPr>
          <w:rFonts w:ascii="Georgia" w:eastAsia="Georgia" w:hAnsi="Georgia" w:cs="Georgia"/>
          <w:color w:val="434343"/>
        </w:rPr>
        <w:t>’</w:t>
      </w:r>
      <w:r>
        <w:rPr>
          <w:rFonts w:ascii="Georgia" w:eastAsia="Georgia" w:hAnsi="Georgia" w:cs="Georgia"/>
          <w:color w:val="434343"/>
        </w:rPr>
        <w:t xml:space="preserve">, </w:t>
      </w:r>
      <w:r w:rsidRPr="000906BA">
        <w:rPr>
          <w:rFonts w:ascii="Georgia" w:eastAsia="Georgia" w:hAnsi="Georgia" w:cs="Georgia"/>
          <w:i/>
          <w:color w:val="434343"/>
        </w:rPr>
        <w:t>The Journal of Decorative and Propaganda Arts</w:t>
      </w:r>
      <w:r>
        <w:rPr>
          <w:rFonts w:ascii="Georgia" w:eastAsia="Georgia" w:hAnsi="Georgia" w:cs="Georgia"/>
          <w:color w:val="434343"/>
        </w:rPr>
        <w:t>, (8) pp. 58-79.</w:t>
      </w:r>
    </w:p>
    <w:p w14:paraId="214FC098" w14:textId="5935403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Bowe, N.G. (2015) </w:t>
      </w:r>
      <w:r w:rsidRPr="000906BA">
        <w:rPr>
          <w:rFonts w:ascii="Georgia" w:eastAsia="Georgia" w:hAnsi="Georgia" w:cs="Georgia"/>
          <w:i/>
          <w:color w:val="434343"/>
        </w:rPr>
        <w:t>W</w:t>
      </w:r>
      <w:r w:rsidR="000906BA" w:rsidRPr="000906BA">
        <w:rPr>
          <w:rFonts w:ascii="Georgia" w:eastAsia="Georgia" w:hAnsi="Georgia" w:cs="Georgia"/>
          <w:i/>
          <w:color w:val="434343"/>
        </w:rPr>
        <w:t>ilhelmina Geddes: Life and Work</w:t>
      </w:r>
      <w:r w:rsidR="000906BA">
        <w:rPr>
          <w:rFonts w:ascii="Georgia" w:eastAsia="Georgia" w:hAnsi="Georgia" w:cs="Georgia"/>
          <w:color w:val="434343"/>
        </w:rPr>
        <w:t>.</w:t>
      </w:r>
      <w:r>
        <w:rPr>
          <w:rFonts w:ascii="Georgia" w:eastAsia="Georgia" w:hAnsi="Georgia" w:cs="Georgia"/>
          <w:color w:val="434343"/>
        </w:rPr>
        <w:t xml:space="preserve"> Dublin: Four Courts Press.</w:t>
      </w:r>
    </w:p>
    <w:p w14:paraId="06954D09"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Brookes, G. (2015) </w:t>
      </w:r>
      <w:r w:rsidRPr="000906BA">
        <w:rPr>
          <w:rFonts w:ascii="Georgia" w:eastAsia="Georgia" w:hAnsi="Georgia" w:cs="Georgia"/>
          <w:i/>
          <w:color w:val="434343"/>
        </w:rPr>
        <w:t>Swansea in the 1950s: Ten Years that Changed a City</w:t>
      </w:r>
      <w:r>
        <w:rPr>
          <w:rFonts w:ascii="Georgia" w:eastAsia="Georgia" w:hAnsi="Georgia" w:cs="Georgia"/>
          <w:color w:val="434343"/>
        </w:rPr>
        <w:t>. Stroud: Amberley Publishing.</w:t>
      </w:r>
    </w:p>
    <w:p w14:paraId="28B8F8C9"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Buckley, C. (1993) ‘She does windows’, </w:t>
      </w:r>
      <w:r w:rsidRPr="00197741">
        <w:rPr>
          <w:rFonts w:ascii="Georgia" w:eastAsia="Georgia" w:hAnsi="Georgia" w:cs="Georgia"/>
          <w:i/>
          <w:color w:val="434343"/>
        </w:rPr>
        <w:t>Forbes</w:t>
      </w:r>
      <w:r>
        <w:rPr>
          <w:rFonts w:ascii="Georgia" w:eastAsia="Georgia" w:hAnsi="Georgia" w:cs="Georgia"/>
          <w:color w:val="434343"/>
        </w:rPr>
        <w:t>, pp. 178–180.</w:t>
      </w:r>
    </w:p>
    <w:p w14:paraId="5B2CF86E"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Camus, T. (2019) ‘Photograph of Notre Dame Cathedral as it burns’, </w:t>
      </w:r>
      <w:r w:rsidRPr="00197741">
        <w:rPr>
          <w:rFonts w:ascii="Georgia" w:eastAsia="Georgia" w:hAnsi="Georgia" w:cs="Georgia"/>
          <w:i/>
          <w:color w:val="434343"/>
        </w:rPr>
        <w:t>Associated Press</w:t>
      </w:r>
      <w:r>
        <w:rPr>
          <w:rFonts w:ascii="Georgia" w:eastAsia="Georgia" w:hAnsi="Georgia" w:cs="Georgia"/>
          <w:color w:val="434343"/>
        </w:rPr>
        <w:t>. Available online: www.oilcity.news/associated-press/2019/04/15 (Accessed: 1 May 2019).</w:t>
      </w:r>
    </w:p>
    <w:p w14:paraId="674383C0"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Carrier, D. (1993) ‘Art and its canons’, </w:t>
      </w:r>
      <w:r w:rsidRPr="00197741">
        <w:rPr>
          <w:rFonts w:ascii="Georgia" w:eastAsia="Georgia" w:hAnsi="Georgia" w:cs="Georgia"/>
          <w:i/>
          <w:color w:val="434343"/>
        </w:rPr>
        <w:t>Monist</w:t>
      </w:r>
      <w:r>
        <w:rPr>
          <w:rFonts w:ascii="Georgia" w:eastAsia="Georgia" w:hAnsi="Georgia" w:cs="Georgia"/>
          <w:color w:val="434343"/>
        </w:rPr>
        <w:t>, 76(4), pp. 524–536.</w:t>
      </w:r>
    </w:p>
    <w:p w14:paraId="24225D41"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Chadwick, W. (1996) </w:t>
      </w:r>
      <w:r w:rsidRPr="00197741">
        <w:rPr>
          <w:rFonts w:ascii="Georgia" w:eastAsia="Georgia" w:hAnsi="Georgia" w:cs="Georgia"/>
          <w:i/>
          <w:color w:val="434343"/>
        </w:rPr>
        <w:t>Women, Art and Society</w:t>
      </w:r>
      <w:r>
        <w:rPr>
          <w:rFonts w:ascii="Georgia" w:eastAsia="Georgia" w:hAnsi="Georgia" w:cs="Georgia"/>
          <w:color w:val="434343"/>
        </w:rPr>
        <w:t>, 4th ed. London: Thames and Hudson.</w:t>
      </w:r>
    </w:p>
    <w:p w14:paraId="55604DCB" w14:textId="346591EB"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Christian Anderson, H. (1837)</w:t>
      </w:r>
      <w:r w:rsidR="00DB2882">
        <w:rPr>
          <w:rFonts w:ascii="Georgia" w:eastAsia="Georgia" w:hAnsi="Georgia" w:cs="Georgia"/>
          <w:color w:val="434343"/>
        </w:rPr>
        <w:t xml:space="preserve"> ‘The emperor’s new clothes’,</w:t>
      </w:r>
      <w:r>
        <w:rPr>
          <w:rFonts w:ascii="Georgia" w:eastAsia="Georgia" w:hAnsi="Georgia" w:cs="Georgia"/>
          <w:color w:val="434343"/>
        </w:rPr>
        <w:t xml:space="preserve"> </w:t>
      </w:r>
      <w:r w:rsidRPr="00197741">
        <w:rPr>
          <w:rFonts w:ascii="Georgia" w:eastAsia="Georgia" w:hAnsi="Georgia" w:cs="Georgia"/>
          <w:i/>
          <w:color w:val="434343"/>
        </w:rPr>
        <w:t>Fairy Tales Told for Children, First Collection</w:t>
      </w:r>
      <w:r>
        <w:rPr>
          <w:rFonts w:ascii="Georgia" w:eastAsia="Georgia" w:hAnsi="Georgia" w:cs="Georgia"/>
          <w:color w:val="434343"/>
        </w:rPr>
        <w:t>. Denmark: C.A. Reitzel.</w:t>
      </w:r>
    </w:p>
    <w:p w14:paraId="6A955403"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Chamberlain-Brothers, R., Legrove, J., Morris, D., Reyntiens, P. and</w:t>
      </w:r>
      <w:r w:rsidR="0057798D">
        <w:rPr>
          <w:rFonts w:ascii="Georgia" w:eastAsia="Georgia" w:hAnsi="Georgia" w:cs="Georgia"/>
          <w:color w:val="434343"/>
        </w:rPr>
        <w:t xml:space="preserve"> Walford, S. (2012) </w:t>
      </w:r>
      <w:r w:rsidR="0057798D" w:rsidRPr="00197741">
        <w:rPr>
          <w:rFonts w:ascii="Georgia" w:eastAsia="Georgia" w:hAnsi="Georgia" w:cs="Georgia"/>
          <w:i/>
          <w:color w:val="434343"/>
        </w:rPr>
        <w:t>The Stained-</w:t>
      </w:r>
      <w:r w:rsidRPr="00197741">
        <w:rPr>
          <w:rFonts w:ascii="Georgia" w:eastAsia="Georgia" w:hAnsi="Georgia" w:cs="Georgia"/>
          <w:i/>
          <w:color w:val="434343"/>
        </w:rPr>
        <w:t>Glass of Coventry Cathedral: Its Making and Meaning</w:t>
      </w:r>
      <w:r>
        <w:rPr>
          <w:rFonts w:ascii="Georgia" w:eastAsia="Georgia" w:hAnsi="Georgia" w:cs="Georgia"/>
          <w:color w:val="434343"/>
        </w:rPr>
        <w:t>. Coventry: Coventry Cathedral.</w:t>
      </w:r>
    </w:p>
    <w:p w14:paraId="7DC4ED2C"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Chapman, C. (2018) ‘The female gaze made flesh: There were many obstacles preventing women from becoming artists in the 18th century, but those who overcame them created some of the most influential art of their time’, </w:t>
      </w:r>
      <w:r w:rsidRPr="00197741">
        <w:rPr>
          <w:rFonts w:ascii="Georgia" w:eastAsia="Georgia" w:hAnsi="Georgia" w:cs="Georgia"/>
          <w:i/>
          <w:color w:val="434343"/>
        </w:rPr>
        <w:t>History Today</w:t>
      </w:r>
      <w:r>
        <w:rPr>
          <w:rFonts w:ascii="Georgia" w:eastAsia="Georgia" w:hAnsi="Georgia" w:cs="Georgia"/>
          <w:color w:val="434343"/>
        </w:rPr>
        <w:t>, 68(5), pp. 64–78.</w:t>
      </w:r>
    </w:p>
    <w:p w14:paraId="06CBBB61"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Clarke, P.F. (2004) </w:t>
      </w:r>
      <w:r w:rsidRPr="00197741">
        <w:rPr>
          <w:rFonts w:ascii="Georgia" w:eastAsia="Georgia" w:hAnsi="Georgia" w:cs="Georgia"/>
          <w:i/>
          <w:color w:val="434343"/>
        </w:rPr>
        <w:t>Hope and Glory: Britain, 1900-2000, 2nd ed</w:t>
      </w:r>
      <w:r>
        <w:rPr>
          <w:rFonts w:ascii="Georgia" w:eastAsia="Georgia" w:hAnsi="Georgia" w:cs="Georgia"/>
          <w:color w:val="434343"/>
        </w:rPr>
        <w:t>. London and New York: Penguin.</w:t>
      </w:r>
    </w:p>
    <w:p w14:paraId="50E03E98" w14:textId="77777777" w:rsidR="00B142D9" w:rsidRDefault="0057798D">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Crampin, M. (2014) </w:t>
      </w:r>
      <w:r w:rsidRPr="00197741">
        <w:rPr>
          <w:rFonts w:ascii="Georgia" w:eastAsia="Georgia" w:hAnsi="Georgia" w:cs="Georgia"/>
          <w:i/>
          <w:color w:val="434343"/>
        </w:rPr>
        <w:t>Stained-</w:t>
      </w:r>
      <w:r w:rsidR="00DF6DD4" w:rsidRPr="00197741">
        <w:rPr>
          <w:rFonts w:ascii="Georgia" w:eastAsia="Georgia" w:hAnsi="Georgia" w:cs="Georgia"/>
          <w:i/>
          <w:color w:val="434343"/>
        </w:rPr>
        <w:t>Glass from Welsh Churches</w:t>
      </w:r>
      <w:r w:rsidR="00DF6DD4">
        <w:rPr>
          <w:rFonts w:ascii="Georgia" w:eastAsia="Georgia" w:hAnsi="Georgia" w:cs="Georgia"/>
          <w:color w:val="434343"/>
        </w:rPr>
        <w:t>. Ceredigion, Wales: Y Lolfa Cyf.</w:t>
      </w:r>
    </w:p>
    <w:p w14:paraId="45CE3C90"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Dimbleby, D. (2007) </w:t>
      </w:r>
      <w:r w:rsidRPr="00197741">
        <w:rPr>
          <w:rFonts w:ascii="Georgia" w:eastAsia="Georgia" w:hAnsi="Georgia" w:cs="Georgia"/>
          <w:i/>
          <w:color w:val="434343"/>
        </w:rPr>
        <w:t>How We Built Britain</w:t>
      </w:r>
      <w:r>
        <w:rPr>
          <w:rFonts w:ascii="Georgia" w:eastAsia="Georgia" w:hAnsi="Georgia" w:cs="Georgia"/>
          <w:color w:val="434343"/>
        </w:rPr>
        <w:t>. London: Bloomsbury Publishing Co. PLc.</w:t>
      </w:r>
    </w:p>
    <w:p w14:paraId="13F63702"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Douglas, S. (2009) ‘Invisible women’, </w:t>
      </w:r>
      <w:r w:rsidRPr="00197741">
        <w:rPr>
          <w:rFonts w:ascii="Georgia" w:eastAsia="Georgia" w:hAnsi="Georgia" w:cs="Georgia"/>
          <w:i/>
          <w:color w:val="434343"/>
        </w:rPr>
        <w:t>In These Times</w:t>
      </w:r>
      <w:r>
        <w:rPr>
          <w:rFonts w:ascii="Georgia" w:eastAsia="Georgia" w:hAnsi="Georgia" w:cs="Georgia"/>
          <w:color w:val="434343"/>
        </w:rPr>
        <w:t>, 33(1), p. 14.</w:t>
      </w:r>
    </w:p>
    <w:p w14:paraId="67A90145"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Ellwood, D.W. (1992) </w:t>
      </w:r>
      <w:r w:rsidRPr="00197741">
        <w:rPr>
          <w:rFonts w:ascii="Georgia" w:eastAsia="Georgia" w:hAnsi="Georgia" w:cs="Georgia"/>
          <w:i/>
          <w:color w:val="434343"/>
        </w:rPr>
        <w:t>Rebuilding Europe: Western Europe, America, and Post-war Reconstruction</w:t>
      </w:r>
      <w:r>
        <w:rPr>
          <w:rFonts w:ascii="Georgia" w:eastAsia="Georgia" w:hAnsi="Georgia" w:cs="Georgia"/>
          <w:color w:val="434343"/>
        </w:rPr>
        <w:t>. London: Longman.</w:t>
      </w:r>
    </w:p>
    <w:p w14:paraId="59A2A116" w14:textId="5DA7ED0A" w:rsidR="00B142D9" w:rsidRDefault="0057798D">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Ely Stained-</w:t>
      </w:r>
      <w:r w:rsidR="00DF6DD4">
        <w:rPr>
          <w:rFonts w:ascii="Georgia" w:eastAsia="Georgia" w:hAnsi="Georgia" w:cs="Georgia"/>
          <w:color w:val="434343"/>
        </w:rPr>
        <w:t xml:space="preserve">Glass Museum (2019) </w:t>
      </w:r>
      <w:r w:rsidR="00DF6DD4" w:rsidRPr="00197741">
        <w:rPr>
          <w:rFonts w:ascii="Georgia" w:eastAsia="Georgia" w:hAnsi="Georgia" w:cs="Georgia"/>
          <w:i/>
          <w:color w:val="434343"/>
        </w:rPr>
        <w:t>Photograph of Virgin and Child by Margaret Traherne</w:t>
      </w:r>
      <w:r w:rsidR="00DF6DD4">
        <w:rPr>
          <w:rFonts w:ascii="Georgia" w:eastAsia="Georgia" w:hAnsi="Georgia" w:cs="Georgia"/>
          <w:color w:val="434343"/>
        </w:rPr>
        <w:t>. Available at: https://stainedglassmuseum.com/collections/05_2.htm (Accessed: 1 May 2019)</w:t>
      </w:r>
      <w:r w:rsidR="00197741">
        <w:rPr>
          <w:rFonts w:ascii="Georgia" w:eastAsia="Georgia" w:hAnsi="Georgia" w:cs="Georgia"/>
          <w:color w:val="434343"/>
        </w:rPr>
        <w:t>.</w:t>
      </w:r>
    </w:p>
    <w:p w14:paraId="4F0AADD8"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lastRenderedPageBreak/>
        <w:t xml:space="preserve">Ferrante, J. M. (1997) </w:t>
      </w:r>
      <w:r w:rsidRPr="00197741">
        <w:rPr>
          <w:rFonts w:ascii="Georgia" w:eastAsia="Georgia" w:hAnsi="Georgia" w:cs="Georgia"/>
          <w:i/>
          <w:color w:val="434343"/>
        </w:rPr>
        <w:t>To the Glory of her Sex: Women's Roles in the Composition of Medieval Texts</w:t>
      </w:r>
      <w:r>
        <w:rPr>
          <w:rFonts w:ascii="Georgia" w:eastAsia="Georgia" w:hAnsi="Georgia" w:cs="Georgia"/>
          <w:color w:val="434343"/>
        </w:rPr>
        <w:t>.   Indiana: Indiana University Press.</w:t>
      </w:r>
    </w:p>
    <w:p w14:paraId="67BC240A"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Fisher, S. (1995) </w:t>
      </w:r>
      <w:r w:rsidRPr="00197741">
        <w:rPr>
          <w:rFonts w:ascii="Georgia" w:eastAsia="Georgia" w:hAnsi="Georgia" w:cs="Georgia"/>
          <w:i/>
          <w:color w:val="434343"/>
        </w:rPr>
        <w:t>The Square Halo and Other Mysteries of Western Art: Images and the Stories that Inspired Them</w:t>
      </w:r>
      <w:r>
        <w:rPr>
          <w:rFonts w:ascii="Georgia" w:eastAsia="Georgia" w:hAnsi="Georgia" w:cs="Georgia"/>
          <w:color w:val="434343"/>
        </w:rPr>
        <w:t>. New York: Harry N. Abrams.</w:t>
      </w:r>
    </w:p>
    <w:p w14:paraId="37BF750A" w14:textId="2C25298E"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Frazer, H. (2014) ‘Women in leadership: Young women need female </w:t>
      </w:r>
      <w:r w:rsidR="007A7EB6">
        <w:rPr>
          <w:rFonts w:ascii="Georgia" w:eastAsia="Georgia" w:hAnsi="Georgia" w:cs="Georgia"/>
          <w:color w:val="434343"/>
        </w:rPr>
        <w:t>role models to inspire success’,</w:t>
      </w:r>
      <w:r>
        <w:rPr>
          <w:rFonts w:ascii="Georgia" w:eastAsia="Georgia" w:hAnsi="Georgia" w:cs="Georgia"/>
          <w:color w:val="434343"/>
        </w:rPr>
        <w:t xml:space="preserve"> </w:t>
      </w:r>
      <w:r w:rsidRPr="00197741">
        <w:rPr>
          <w:rFonts w:ascii="Georgia" w:eastAsia="Georgia" w:hAnsi="Georgia" w:cs="Georgia"/>
          <w:i/>
          <w:color w:val="434343"/>
        </w:rPr>
        <w:t>The Guardian [blog</w:t>
      </w:r>
      <w:r>
        <w:rPr>
          <w:rFonts w:ascii="Georgia" w:eastAsia="Georgia" w:hAnsi="Georgia" w:cs="Georgia"/>
          <w:color w:val="434343"/>
        </w:rPr>
        <w:t>]. 22 October. Available online: https://www.theguardian.com/women-in-leadership/women-leadership-blog/2014/oct/22/women-role-model-penguin  (Accessed: 27 April 2019).</w:t>
      </w:r>
    </w:p>
    <w:p w14:paraId="46F9DF91"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Fortune, J., Falcone, L., and Bonadio, A. (2009) </w:t>
      </w:r>
      <w:r w:rsidRPr="00197741">
        <w:rPr>
          <w:rFonts w:ascii="Georgia" w:eastAsia="Georgia" w:hAnsi="Georgia" w:cs="Georgia"/>
          <w:i/>
          <w:color w:val="434343"/>
        </w:rPr>
        <w:t>Invisible women</w:t>
      </w:r>
      <w:r>
        <w:rPr>
          <w:rFonts w:ascii="Georgia" w:eastAsia="Georgia" w:hAnsi="Georgia" w:cs="Georgia"/>
          <w:color w:val="434343"/>
        </w:rPr>
        <w:t>. Florence: The Florentine Press.</w:t>
      </w:r>
    </w:p>
    <w:p w14:paraId="7B029CD5"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Gay, J.T. (1997) ‘Rebuilding Europe’, </w:t>
      </w:r>
      <w:r w:rsidRPr="00197741">
        <w:rPr>
          <w:rFonts w:ascii="Georgia" w:eastAsia="Georgia" w:hAnsi="Georgia" w:cs="Georgia"/>
          <w:i/>
          <w:color w:val="434343"/>
        </w:rPr>
        <w:t>American History</w:t>
      </w:r>
      <w:r>
        <w:rPr>
          <w:rFonts w:ascii="Georgia" w:eastAsia="Georgia" w:hAnsi="Georgia" w:cs="Georgia"/>
          <w:color w:val="434343"/>
        </w:rPr>
        <w:t>, 32(2), pp. 44–52.</w:t>
      </w:r>
    </w:p>
    <w:p w14:paraId="2E478B72"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Giordano, C. (2019) ‘Notre Dame: What has been lost and what survived the devastating cathedral fire?’, </w:t>
      </w:r>
      <w:r w:rsidRPr="00197741">
        <w:rPr>
          <w:rFonts w:ascii="Georgia" w:eastAsia="Georgia" w:hAnsi="Georgia" w:cs="Georgia"/>
          <w:i/>
          <w:color w:val="434343"/>
        </w:rPr>
        <w:t>The Independent</w:t>
      </w:r>
      <w:r>
        <w:rPr>
          <w:rFonts w:ascii="Georgia" w:eastAsia="Georgia" w:hAnsi="Georgia" w:cs="Georgia"/>
          <w:color w:val="434343"/>
        </w:rPr>
        <w:t>. Available online: www.independent.co.uk/news/world/europe/notre-dame-fire-cathedral-latest-paris-burned-destroyed-relics-artefacts-a8872786.html (Accessed: 25 April 2019).</w:t>
      </w:r>
    </w:p>
    <w:p w14:paraId="09BD55D5" w14:textId="32A285E6"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Gray, G. M</w:t>
      </w:r>
      <w:r w:rsidR="0057798D">
        <w:rPr>
          <w:rFonts w:ascii="Georgia" w:eastAsia="Georgia" w:hAnsi="Georgia" w:cs="Georgia"/>
          <w:color w:val="434343"/>
        </w:rPr>
        <w:t>. (1996) ‘How to choose stained-</w:t>
      </w:r>
      <w:r w:rsidR="007A7EB6">
        <w:rPr>
          <w:rFonts w:ascii="Georgia" w:eastAsia="Georgia" w:hAnsi="Georgia" w:cs="Georgia"/>
          <w:color w:val="434343"/>
        </w:rPr>
        <w:t>glass’,</w:t>
      </w:r>
      <w:r>
        <w:rPr>
          <w:rFonts w:ascii="Georgia" w:eastAsia="Georgia" w:hAnsi="Georgia" w:cs="Georgia"/>
          <w:color w:val="434343"/>
        </w:rPr>
        <w:t xml:space="preserve"> </w:t>
      </w:r>
      <w:r w:rsidRPr="00197741">
        <w:rPr>
          <w:rFonts w:ascii="Georgia" w:eastAsia="Georgia" w:hAnsi="Georgia" w:cs="Georgia"/>
          <w:i/>
          <w:color w:val="434343"/>
        </w:rPr>
        <w:t>Your Church</w:t>
      </w:r>
      <w:r>
        <w:rPr>
          <w:rFonts w:ascii="Georgia" w:eastAsia="Georgia" w:hAnsi="Georgia" w:cs="Georgia"/>
          <w:color w:val="434343"/>
        </w:rPr>
        <w:t>, 42(1), pp.58–62.</w:t>
      </w:r>
    </w:p>
    <w:p w14:paraId="3F926F72"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Gretzel, U. (2013) ‘Real stories about real women: Communicating role models for female tourism students’, </w:t>
      </w:r>
      <w:r w:rsidRPr="00197741">
        <w:rPr>
          <w:rFonts w:ascii="Georgia" w:eastAsia="Georgia" w:hAnsi="Georgia" w:cs="Georgia"/>
          <w:i/>
          <w:color w:val="434343"/>
        </w:rPr>
        <w:t>Journal of Teaching in Travel and Tourism</w:t>
      </w:r>
      <w:r>
        <w:rPr>
          <w:rFonts w:ascii="Georgia" w:eastAsia="Georgia" w:hAnsi="Georgia" w:cs="Georgia"/>
          <w:color w:val="434343"/>
        </w:rPr>
        <w:t>, 13(2), pp. 170–184.</w:t>
      </w:r>
    </w:p>
    <w:p w14:paraId="6FCA428D"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Hain, P. and Murphy, P. (2019) ‘An invisible Irish border is crucial.  That’s why we support the backstop’, </w:t>
      </w:r>
      <w:r w:rsidRPr="00197741">
        <w:rPr>
          <w:rFonts w:ascii="Georgia" w:eastAsia="Georgia" w:hAnsi="Georgia" w:cs="Georgia"/>
          <w:i/>
          <w:color w:val="434343"/>
        </w:rPr>
        <w:t>The Guardian</w:t>
      </w:r>
      <w:r>
        <w:rPr>
          <w:rFonts w:ascii="Georgia" w:eastAsia="Georgia" w:hAnsi="Georgia" w:cs="Georgia"/>
          <w:color w:val="434343"/>
        </w:rPr>
        <w:t>. Available online: https://www.theguardian.com/commentisfree/2019/jan/04/invisible-irish-border-crucial-support-backstop-brexit-northern-ireland (Accessed: 25 April 2019)</w:t>
      </w:r>
    </w:p>
    <w:p w14:paraId="3D6808C5"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Hall, M. (2015) ‘Poetry in glass and lead’, </w:t>
      </w:r>
      <w:r w:rsidRPr="00197741">
        <w:rPr>
          <w:rFonts w:ascii="Georgia" w:eastAsia="Georgia" w:hAnsi="Georgia" w:cs="Georgia"/>
          <w:i/>
          <w:color w:val="434343"/>
        </w:rPr>
        <w:t>Country Life</w:t>
      </w:r>
      <w:r>
        <w:rPr>
          <w:rFonts w:ascii="Georgia" w:eastAsia="Georgia" w:hAnsi="Georgia" w:cs="Georgia"/>
          <w:color w:val="434343"/>
        </w:rPr>
        <w:t>, p. 110.</w:t>
      </w:r>
    </w:p>
    <w:p w14:paraId="5B25369F"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Hall, M. (2016) ‘Wilhelmina Geddes: Life and work’, </w:t>
      </w:r>
      <w:r w:rsidRPr="00197741">
        <w:rPr>
          <w:rFonts w:ascii="Georgia" w:eastAsia="Georgia" w:hAnsi="Georgia" w:cs="Georgia"/>
          <w:i/>
          <w:color w:val="434343"/>
        </w:rPr>
        <w:t>Country Life</w:t>
      </w:r>
      <w:r>
        <w:rPr>
          <w:rFonts w:ascii="Georgia" w:eastAsia="Georgia" w:hAnsi="Georgia" w:cs="Georgia"/>
          <w:color w:val="434343"/>
        </w:rPr>
        <w:t>, 210(4), p. 89.</w:t>
      </w:r>
    </w:p>
    <w:p w14:paraId="3DAD4F6C"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Harrod, T. (2006) ‘Obituary of Margaret Traherne (</w:t>
      </w:r>
      <w:r w:rsidR="0057798D">
        <w:rPr>
          <w:rFonts w:ascii="Georgia" w:eastAsia="Georgia" w:hAnsi="Georgia" w:cs="Georgia"/>
          <w:color w:val="434343"/>
        </w:rPr>
        <w:t xml:space="preserve">1919-2006)’, </w:t>
      </w:r>
      <w:r w:rsidR="0057798D" w:rsidRPr="00197741">
        <w:rPr>
          <w:rFonts w:ascii="Georgia" w:eastAsia="Georgia" w:hAnsi="Georgia" w:cs="Georgia"/>
          <w:i/>
          <w:color w:val="434343"/>
        </w:rPr>
        <w:t>Journal of Stained-</w:t>
      </w:r>
      <w:r w:rsidRPr="00197741">
        <w:rPr>
          <w:rFonts w:ascii="Georgia" w:eastAsia="Georgia" w:hAnsi="Georgia" w:cs="Georgia"/>
          <w:i/>
          <w:color w:val="434343"/>
        </w:rPr>
        <w:t>Glass</w:t>
      </w:r>
      <w:r>
        <w:rPr>
          <w:rFonts w:ascii="Georgia" w:eastAsia="Georgia" w:hAnsi="Georgia" w:cs="Georgia"/>
          <w:color w:val="434343"/>
        </w:rPr>
        <w:t>, Volume XXX, pp. 267-272.</w:t>
      </w:r>
    </w:p>
    <w:p w14:paraId="3CCCBE06"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Harshav, B., Daniel, G. and Chagall, M. (2003) </w:t>
      </w:r>
      <w:r w:rsidRPr="00197741">
        <w:rPr>
          <w:rFonts w:ascii="Georgia" w:eastAsia="Georgia" w:hAnsi="Georgia" w:cs="Georgia"/>
          <w:i/>
          <w:color w:val="434343"/>
        </w:rPr>
        <w:t>Marc Chagall and his Times: A Documentary Narrative</w:t>
      </w:r>
      <w:r>
        <w:rPr>
          <w:rFonts w:ascii="Georgia" w:eastAsia="Georgia" w:hAnsi="Georgia" w:cs="Georgia"/>
          <w:color w:val="434343"/>
        </w:rPr>
        <w:t>. California: Stanford University Press.</w:t>
      </w:r>
    </w:p>
    <w:p w14:paraId="15A2B337"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lastRenderedPageBreak/>
        <w:t xml:space="preserve">Lowe, K. (2012) </w:t>
      </w:r>
      <w:r w:rsidRPr="00197741">
        <w:rPr>
          <w:rFonts w:ascii="Georgia" w:eastAsia="Georgia" w:hAnsi="Georgia" w:cs="Georgia"/>
          <w:i/>
          <w:color w:val="434343"/>
        </w:rPr>
        <w:t>Savage Continent: Europe in the Aftermath of World War II</w:t>
      </w:r>
      <w:r>
        <w:rPr>
          <w:rFonts w:ascii="Georgia" w:eastAsia="Georgia" w:hAnsi="Georgia" w:cs="Georgia"/>
          <w:color w:val="434343"/>
        </w:rPr>
        <w:t>. London: Penguin Books.</w:t>
      </w:r>
    </w:p>
    <w:p w14:paraId="1DC1FFF4"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MacDonald, J. (2002) ‘Olympian pain and glory’, </w:t>
      </w:r>
      <w:r w:rsidRPr="00197741">
        <w:rPr>
          <w:rFonts w:ascii="Georgia" w:eastAsia="Georgia" w:hAnsi="Georgia" w:cs="Georgia"/>
          <w:i/>
          <w:color w:val="434343"/>
        </w:rPr>
        <w:t>Marketing Magazine</w:t>
      </w:r>
      <w:r>
        <w:rPr>
          <w:rFonts w:ascii="Georgia" w:eastAsia="Georgia" w:hAnsi="Georgia" w:cs="Georgia"/>
          <w:color w:val="434343"/>
        </w:rPr>
        <w:t>, 107(9), pp. 6–7.</w:t>
      </w:r>
    </w:p>
    <w:p w14:paraId="3684E53E"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McBrinn, J. (2009) ‘A populous solitude: The life and art of Sophia Rosamond Praeger, 1867-1954’, </w:t>
      </w:r>
      <w:r w:rsidRPr="00197741">
        <w:rPr>
          <w:rFonts w:ascii="Georgia" w:eastAsia="Georgia" w:hAnsi="Georgia" w:cs="Georgia"/>
          <w:i/>
          <w:color w:val="434343"/>
        </w:rPr>
        <w:t>Women's History Review</w:t>
      </w:r>
      <w:r>
        <w:rPr>
          <w:rFonts w:ascii="Georgia" w:eastAsia="Georgia" w:hAnsi="Georgia" w:cs="Georgia"/>
          <w:color w:val="434343"/>
        </w:rPr>
        <w:t>, 18(4), pp. 577-597.</w:t>
      </w:r>
    </w:p>
    <w:p w14:paraId="235B5ECE"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Nochlin, L., Fraser, A., Jones, A. and Cameron D. (2003) ‘Feminism and art: Nine views’, </w:t>
      </w:r>
      <w:r w:rsidRPr="00197741">
        <w:rPr>
          <w:rFonts w:ascii="Georgia" w:eastAsia="Georgia" w:hAnsi="Georgia" w:cs="Georgia"/>
          <w:i/>
          <w:color w:val="434343"/>
        </w:rPr>
        <w:t>Artforum International</w:t>
      </w:r>
      <w:r>
        <w:rPr>
          <w:rFonts w:ascii="Georgia" w:eastAsia="Georgia" w:hAnsi="Georgia" w:cs="Georgia"/>
          <w:color w:val="434343"/>
        </w:rPr>
        <w:t>, 42(2), pp. 141–149.</w:t>
      </w:r>
    </w:p>
    <w:p w14:paraId="0350D22A"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Nochlin, L. (2005) ‘Venice Biennale: What Befits a Woman?’, </w:t>
      </w:r>
      <w:r w:rsidRPr="00197741">
        <w:rPr>
          <w:rFonts w:ascii="Georgia" w:eastAsia="Georgia" w:hAnsi="Georgia" w:cs="Georgia"/>
          <w:i/>
          <w:color w:val="434343"/>
        </w:rPr>
        <w:t>Art in America</w:t>
      </w:r>
      <w:r>
        <w:rPr>
          <w:rFonts w:ascii="Georgia" w:eastAsia="Georgia" w:hAnsi="Georgia" w:cs="Georgia"/>
          <w:color w:val="434343"/>
        </w:rPr>
        <w:t>, 93(8), pp. 120–125.</w:t>
      </w:r>
    </w:p>
    <w:p w14:paraId="4E9B5A1E"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Nochlin, L. (1992) ‘Why have there been no great women artists?’, </w:t>
      </w:r>
      <w:r w:rsidRPr="00197741">
        <w:rPr>
          <w:rFonts w:ascii="Georgia" w:eastAsia="Georgia" w:hAnsi="Georgia" w:cs="Georgia"/>
          <w:i/>
          <w:color w:val="434343"/>
        </w:rPr>
        <w:t>ARTnews</w:t>
      </w:r>
      <w:r>
        <w:rPr>
          <w:rFonts w:ascii="Georgia" w:eastAsia="Georgia" w:hAnsi="Georgia" w:cs="Georgia"/>
          <w:color w:val="434343"/>
        </w:rPr>
        <w:t>, 91(9), p. 114.</w:t>
      </w:r>
    </w:p>
    <w:p w14:paraId="38DD07F8"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Nochlin, L. (1989) </w:t>
      </w:r>
      <w:r w:rsidRPr="00197741">
        <w:rPr>
          <w:rFonts w:ascii="Georgia" w:eastAsia="Georgia" w:hAnsi="Georgia" w:cs="Georgia"/>
          <w:i/>
          <w:color w:val="434343"/>
        </w:rPr>
        <w:t>Women, Art, and Power: And Other Essays</w:t>
      </w:r>
      <w:r>
        <w:rPr>
          <w:rFonts w:ascii="Georgia" w:eastAsia="Georgia" w:hAnsi="Georgia" w:cs="Georgia"/>
          <w:color w:val="434343"/>
        </w:rPr>
        <w:t>. London: Thames and Hudson.</w:t>
      </w:r>
    </w:p>
    <w:p w14:paraId="12878220" w14:textId="3610561E"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Oxford English Dictionary</w:t>
      </w:r>
      <w:r w:rsidR="009119F9">
        <w:rPr>
          <w:rFonts w:ascii="Georgia" w:eastAsia="Georgia" w:hAnsi="Georgia" w:cs="Georgia"/>
          <w:color w:val="434343"/>
        </w:rPr>
        <w:t xml:space="preserve"> </w:t>
      </w:r>
      <w:r>
        <w:rPr>
          <w:rFonts w:ascii="Georgia" w:eastAsia="Georgia" w:hAnsi="Georgia" w:cs="Georgia"/>
          <w:color w:val="434343"/>
        </w:rPr>
        <w:t>(2019)</w:t>
      </w:r>
      <w:r w:rsidR="009119F9">
        <w:rPr>
          <w:rFonts w:ascii="Georgia" w:eastAsia="Georgia" w:hAnsi="Georgia" w:cs="Georgia"/>
          <w:color w:val="434343"/>
        </w:rPr>
        <w:t xml:space="preserve"> Available online: </w:t>
      </w:r>
      <w:hyperlink r:id="rId13" w:history="1">
        <w:r w:rsidR="009119F9" w:rsidRPr="00E870A3">
          <w:rPr>
            <w:rStyle w:val="Hyperlink"/>
            <w:rFonts w:ascii="Georgia" w:eastAsia="Georgia" w:hAnsi="Georgia" w:cs="Georgia"/>
          </w:rPr>
          <w:t>https://www.oxforddictionaries.com/oed</w:t>
        </w:r>
      </w:hyperlink>
      <w:r w:rsidR="009119F9">
        <w:rPr>
          <w:rFonts w:ascii="Georgia" w:eastAsia="Georgia" w:hAnsi="Georgia" w:cs="Georgia"/>
          <w:color w:val="434343"/>
        </w:rPr>
        <w:t xml:space="preserve"> (Accessed: 8 May 2019).</w:t>
      </w:r>
    </w:p>
    <w:p w14:paraId="7397AE9C"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Pitt, S. (1996) The art of Margaret Traherne: A pe</w:t>
      </w:r>
      <w:r w:rsidR="0057798D">
        <w:rPr>
          <w:rFonts w:ascii="Georgia" w:eastAsia="Georgia" w:hAnsi="Georgia" w:cs="Georgia"/>
          <w:color w:val="434343"/>
        </w:rPr>
        <w:t xml:space="preserve">rsonal view, </w:t>
      </w:r>
      <w:r w:rsidR="0057798D" w:rsidRPr="00BD063E">
        <w:rPr>
          <w:rFonts w:ascii="Georgia" w:eastAsia="Georgia" w:hAnsi="Georgia" w:cs="Georgia"/>
          <w:i/>
          <w:color w:val="434343"/>
        </w:rPr>
        <w:t>Journal of Stained-</w:t>
      </w:r>
      <w:r w:rsidRPr="00BD063E">
        <w:rPr>
          <w:rFonts w:ascii="Georgia" w:eastAsia="Georgia" w:hAnsi="Georgia" w:cs="Georgia"/>
          <w:i/>
          <w:color w:val="434343"/>
        </w:rPr>
        <w:t>Glass</w:t>
      </w:r>
      <w:r>
        <w:rPr>
          <w:rFonts w:ascii="Georgia" w:eastAsia="Georgia" w:hAnsi="Georgia" w:cs="Georgia"/>
          <w:color w:val="434343"/>
        </w:rPr>
        <w:t>, Volume XX pp. 74-89.</w:t>
      </w:r>
    </w:p>
    <w:p w14:paraId="1D127E3A"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Pollock, G. (1999) </w:t>
      </w:r>
      <w:r w:rsidRPr="00BD063E">
        <w:rPr>
          <w:rFonts w:ascii="Georgia" w:eastAsia="Georgia" w:hAnsi="Georgia" w:cs="Georgia"/>
          <w:i/>
          <w:color w:val="434343"/>
        </w:rPr>
        <w:t>Differencing the Canon: Feminist Desire and the Writing of Art's Histories</w:t>
      </w:r>
      <w:r>
        <w:rPr>
          <w:rFonts w:ascii="Georgia" w:eastAsia="Georgia" w:hAnsi="Georgia" w:cs="Georgia"/>
          <w:color w:val="434343"/>
        </w:rPr>
        <w:t>. London: Routledge.</w:t>
      </w:r>
    </w:p>
    <w:p w14:paraId="69812BBE"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Polonsky, N. (2019) ‘Female artists are finally in our galleries, let’s keep them there’, </w:t>
      </w:r>
      <w:r w:rsidRPr="00BD063E">
        <w:rPr>
          <w:rFonts w:ascii="Georgia" w:eastAsia="Georgia" w:hAnsi="Georgia" w:cs="Georgia"/>
          <w:i/>
          <w:color w:val="434343"/>
        </w:rPr>
        <w:t>The Guardian</w:t>
      </w:r>
      <w:r>
        <w:rPr>
          <w:rFonts w:ascii="Georgia" w:eastAsia="Georgia" w:hAnsi="Georgia" w:cs="Georgia"/>
          <w:color w:val="434343"/>
        </w:rPr>
        <w:t>. Available online: https://www.theguardian.com/artanddesign/2019/jan/31/female-artists-are-finally-in-our-galleries-lets-keep-them-there (Accessed: 24 April 2019).</w:t>
      </w:r>
    </w:p>
    <w:p w14:paraId="1B780C77" w14:textId="6955AF2A"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Rande</w:t>
      </w:r>
      <w:r w:rsidR="007A7EB6">
        <w:rPr>
          <w:rFonts w:ascii="Georgia" w:eastAsia="Georgia" w:hAnsi="Georgia" w:cs="Georgia"/>
          <w:color w:val="434343"/>
        </w:rPr>
        <w:t>ll, S. (2018) ‘Invisible women’,</w:t>
      </w:r>
      <w:r>
        <w:rPr>
          <w:rFonts w:ascii="Georgia" w:eastAsia="Georgia" w:hAnsi="Georgia" w:cs="Georgia"/>
          <w:color w:val="434343"/>
        </w:rPr>
        <w:t xml:space="preserve"> </w:t>
      </w:r>
      <w:r w:rsidRPr="00BD063E">
        <w:rPr>
          <w:rFonts w:ascii="Georgia" w:eastAsia="Georgia" w:hAnsi="Georgia" w:cs="Georgia"/>
          <w:i/>
          <w:color w:val="434343"/>
        </w:rPr>
        <w:t>Cosmopolitan Civil Societies: An Interdisciplinary Journal</w:t>
      </w:r>
      <w:r>
        <w:rPr>
          <w:rFonts w:ascii="Georgia" w:eastAsia="Georgia" w:hAnsi="Georgia" w:cs="Georgia"/>
          <w:color w:val="434343"/>
        </w:rPr>
        <w:t>, 9(2), pp. 41-54.</w:t>
      </w:r>
    </w:p>
    <w:p w14:paraId="6782EF0B"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Robbins, K. (2008) </w:t>
      </w:r>
      <w:r w:rsidRPr="00BD063E">
        <w:rPr>
          <w:rFonts w:ascii="Georgia" w:eastAsia="Georgia" w:hAnsi="Georgia" w:cs="Georgia"/>
          <w:i/>
          <w:color w:val="434343"/>
        </w:rPr>
        <w:t>England, Ireland, Scotland, Wales the Christian Church, 1900-2000</w:t>
      </w:r>
      <w:r>
        <w:rPr>
          <w:rFonts w:ascii="Georgia" w:eastAsia="Georgia" w:hAnsi="Georgia" w:cs="Georgia"/>
          <w:color w:val="434343"/>
        </w:rPr>
        <w:t>. Oxford: Oxford University Press.</w:t>
      </w:r>
    </w:p>
    <w:p w14:paraId="25197395"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Robertson, P. (2017) ‘The little-known greatest stained-glass artist of our time', </w:t>
      </w:r>
      <w:r w:rsidRPr="00BD063E">
        <w:rPr>
          <w:rFonts w:ascii="Georgia" w:eastAsia="Georgia" w:hAnsi="Georgia" w:cs="Georgia"/>
          <w:i/>
          <w:color w:val="434343"/>
        </w:rPr>
        <w:t>Anglican Journal</w:t>
      </w:r>
      <w:r>
        <w:rPr>
          <w:rFonts w:ascii="Georgia" w:eastAsia="Georgia" w:hAnsi="Georgia" w:cs="Georgia"/>
          <w:color w:val="434343"/>
        </w:rPr>
        <w:t>, 143(7), p. 19.</w:t>
      </w:r>
    </w:p>
    <w:p w14:paraId="5C73D4E6"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Schaechter, J. and Baker, A. (</w:t>
      </w:r>
      <w:r w:rsidR="0057798D">
        <w:rPr>
          <w:rFonts w:ascii="Georgia" w:eastAsia="Georgia" w:hAnsi="Georgia" w:cs="Georgia"/>
          <w:color w:val="434343"/>
        </w:rPr>
        <w:t xml:space="preserve">2006) </w:t>
      </w:r>
      <w:r w:rsidR="0057798D" w:rsidRPr="00BD063E">
        <w:rPr>
          <w:rFonts w:ascii="Georgia" w:eastAsia="Georgia" w:hAnsi="Georgia" w:cs="Georgia"/>
          <w:i/>
          <w:color w:val="434343"/>
        </w:rPr>
        <w:t>Extra Virgin: The Stained-</w:t>
      </w:r>
      <w:r w:rsidRPr="00BD063E">
        <w:rPr>
          <w:rFonts w:ascii="Georgia" w:eastAsia="Georgia" w:hAnsi="Georgia" w:cs="Georgia"/>
          <w:i/>
          <w:color w:val="434343"/>
        </w:rPr>
        <w:t>Glass of Judith Schaechter</w:t>
      </w:r>
      <w:r>
        <w:rPr>
          <w:rFonts w:ascii="Georgia" w:eastAsia="Georgia" w:hAnsi="Georgia" w:cs="Georgia"/>
          <w:color w:val="434343"/>
        </w:rPr>
        <w:t>. Philadelphia, PA: Free News Projects.</w:t>
      </w:r>
    </w:p>
    <w:p w14:paraId="62BB571E"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lastRenderedPageBreak/>
        <w:t xml:space="preserve">Sellers, L. (2017) </w:t>
      </w:r>
      <w:r w:rsidRPr="00BD063E">
        <w:rPr>
          <w:rFonts w:ascii="Georgia" w:eastAsia="Georgia" w:hAnsi="Georgia" w:cs="Georgia"/>
          <w:i/>
          <w:color w:val="434343"/>
        </w:rPr>
        <w:t>Women Design: Pioneers in Architecture, Industrial, Graphic and Digital Design from the 20th Century to the Present Day</w:t>
      </w:r>
      <w:r>
        <w:rPr>
          <w:rFonts w:ascii="Georgia" w:eastAsia="Georgia" w:hAnsi="Georgia" w:cs="Georgia"/>
          <w:color w:val="434343"/>
        </w:rPr>
        <w:t>. London: Quarto Publishing plc.</w:t>
      </w:r>
    </w:p>
    <w:p w14:paraId="4809F263"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Shoemaker, T. (2012) ‘God, guts, and glory: An investigation of relational support mechanisms for war veterans provided by religious communities’, </w:t>
      </w:r>
      <w:r w:rsidRPr="00BD063E">
        <w:rPr>
          <w:rFonts w:ascii="Georgia" w:eastAsia="Georgia" w:hAnsi="Georgia" w:cs="Georgia"/>
          <w:i/>
          <w:color w:val="434343"/>
        </w:rPr>
        <w:t>Interdisciplinary Journal of Research on Religion</w:t>
      </w:r>
      <w:r>
        <w:rPr>
          <w:rFonts w:ascii="Georgia" w:eastAsia="Georgia" w:hAnsi="Georgia" w:cs="Georgia"/>
          <w:color w:val="434343"/>
        </w:rPr>
        <w:t>, 8(10), pp. 1-21.</w:t>
      </w:r>
    </w:p>
    <w:p w14:paraId="40A4ADA9"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Skipwith, P. (2015) ‘Wonder Whall’, </w:t>
      </w:r>
      <w:r w:rsidRPr="00BD063E">
        <w:rPr>
          <w:rFonts w:ascii="Georgia" w:eastAsia="Georgia" w:hAnsi="Georgia" w:cs="Georgia"/>
          <w:i/>
          <w:color w:val="434343"/>
        </w:rPr>
        <w:t>Apollo</w:t>
      </w:r>
      <w:r>
        <w:rPr>
          <w:rFonts w:ascii="Georgia" w:eastAsia="Georgia" w:hAnsi="Georgia" w:cs="Georgia"/>
          <w:color w:val="434343"/>
        </w:rPr>
        <w:t>, 182(633), pp. 106–107.</w:t>
      </w:r>
    </w:p>
    <w:p w14:paraId="08A7033D" w14:textId="55C4C626"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Turner-Bishop</w:t>
      </w:r>
      <w:r w:rsidR="007A7EB6">
        <w:rPr>
          <w:rFonts w:ascii="Georgia" w:eastAsia="Georgia" w:hAnsi="Georgia" w:cs="Georgia"/>
          <w:color w:val="434343"/>
        </w:rPr>
        <w:t>, A. (2018) ‘Light, more light’,</w:t>
      </w:r>
      <w:r>
        <w:rPr>
          <w:rFonts w:ascii="Georgia" w:eastAsia="Georgia" w:hAnsi="Georgia" w:cs="Georgia"/>
          <w:color w:val="434343"/>
        </w:rPr>
        <w:t xml:space="preserve"> </w:t>
      </w:r>
      <w:r w:rsidRPr="00BD063E">
        <w:rPr>
          <w:rFonts w:ascii="Georgia" w:eastAsia="Georgia" w:hAnsi="Georgia" w:cs="Georgia"/>
          <w:i/>
          <w:color w:val="434343"/>
        </w:rPr>
        <w:t>The Modernist</w:t>
      </w:r>
      <w:r>
        <w:rPr>
          <w:rFonts w:ascii="Georgia" w:eastAsia="Georgia" w:hAnsi="Georgia" w:cs="Georgia"/>
          <w:color w:val="434343"/>
        </w:rPr>
        <w:t>, Issue 2, Available online: https://www.the-modernist.org/news/2018/4/21/light-more-light (Accessed on: 1 May 2019).</w:t>
      </w:r>
    </w:p>
    <w:p w14:paraId="0A3402A5" w14:textId="77777777" w:rsidR="00B142D9" w:rsidRDefault="00DF6DD4">
      <w:pPr>
        <w:pBdr>
          <w:top w:val="nil"/>
          <w:left w:val="nil"/>
          <w:bottom w:val="nil"/>
          <w:right w:val="nil"/>
          <w:between w:val="nil"/>
        </w:pBdr>
        <w:spacing w:line="360" w:lineRule="auto"/>
        <w:ind w:left="0"/>
        <w:rPr>
          <w:rFonts w:ascii="Georgia" w:eastAsia="Georgia" w:hAnsi="Georgia" w:cs="Georgia"/>
          <w:color w:val="434343"/>
        </w:rPr>
      </w:pPr>
      <w:r>
        <w:rPr>
          <w:rFonts w:ascii="Georgia" w:eastAsia="Georgia" w:hAnsi="Georgia" w:cs="Georgia"/>
          <w:color w:val="434343"/>
        </w:rPr>
        <w:t xml:space="preserve">Walker, T. (2016) ‘A leading light’, </w:t>
      </w:r>
      <w:r w:rsidRPr="00BD063E">
        <w:rPr>
          <w:rFonts w:ascii="Georgia" w:eastAsia="Georgia" w:hAnsi="Georgia" w:cs="Georgia"/>
          <w:i/>
          <w:color w:val="434343"/>
        </w:rPr>
        <w:t>Apollo</w:t>
      </w:r>
      <w:r>
        <w:rPr>
          <w:rFonts w:ascii="Georgia" w:eastAsia="Georgia" w:hAnsi="Georgia" w:cs="Georgia"/>
          <w:color w:val="434343"/>
        </w:rPr>
        <w:t>, 183(638), pp. 92–93.</w:t>
      </w:r>
    </w:p>
    <w:sectPr w:rsidR="00B142D9">
      <w:headerReference w:type="default" r:id="rId14"/>
      <w:headerReference w:type="first" r:id="rId15"/>
      <w:footerReference w:type="first" r:id="rId16"/>
      <w:pgSz w:w="12240" w:h="15840"/>
      <w:pgMar w:top="1152" w:right="1440" w:bottom="1152" w:left="1440" w:header="0" w:footer="720" w:gutter="0"/>
      <w:pgNumType w:start="1"/>
      <w:cols w:space="720"/>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FC1D4E" w14:textId="77777777" w:rsidR="00A40CD8" w:rsidRDefault="00A40CD8">
      <w:pPr>
        <w:spacing w:before="0" w:line="240" w:lineRule="auto"/>
      </w:pPr>
      <w:r>
        <w:separator/>
      </w:r>
    </w:p>
  </w:endnote>
  <w:endnote w:type="continuationSeparator" w:id="0">
    <w:p w14:paraId="179ED97B" w14:textId="77777777" w:rsidR="00A40CD8" w:rsidRDefault="00A40CD8">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PT Serif">
    <w:panose1 w:val="020A0603040505020204"/>
    <w:charset w:val="00"/>
    <w:family w:val="auto"/>
    <w:pitch w:val="variable"/>
    <w:sig w:usb0="A00002EF" w:usb1="5000204B" w:usb2="00000000" w:usb3="00000000" w:csb0="00000097" w:csb1="00000000"/>
  </w:font>
  <w:font w:name="Old Standard TT">
    <w:altName w:val="Times New Roman"/>
    <w:charset w:val="00"/>
    <w:family w:val="auto"/>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F5ABC9" w14:textId="77777777" w:rsidR="00B142D9" w:rsidRDefault="00B142D9">
    <w:pPr>
      <w:pBdr>
        <w:top w:val="nil"/>
        <w:left w:val="nil"/>
        <w:bottom w:val="nil"/>
        <w:right w:val="nil"/>
        <w:between w:val="nil"/>
      </w:pBd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A2A9FD" w14:textId="77777777" w:rsidR="00A40CD8" w:rsidRDefault="00A40CD8">
      <w:pPr>
        <w:spacing w:before="0" w:line="240" w:lineRule="auto"/>
      </w:pPr>
      <w:r>
        <w:separator/>
      </w:r>
    </w:p>
  </w:footnote>
  <w:footnote w:type="continuationSeparator" w:id="0">
    <w:p w14:paraId="16E7D2CF" w14:textId="77777777" w:rsidR="00A40CD8" w:rsidRDefault="00A40CD8">
      <w:pPr>
        <w:spacing w:before="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038E29" w14:textId="77777777" w:rsidR="00B142D9" w:rsidRDefault="00B142D9">
    <w:pPr>
      <w:pStyle w:val="Heading6"/>
      <w:pBdr>
        <w:top w:val="nil"/>
        <w:left w:val="nil"/>
        <w:bottom w:val="nil"/>
        <w:right w:val="nil"/>
        <w:between w:val="nil"/>
      </w:pBdr>
      <w:spacing w:before="0"/>
    </w:pPr>
    <w:bookmarkStart w:id="12" w:name="_2mzs7k926ll" w:colFirst="0" w:colLast="0"/>
    <w:bookmarkEnd w:id="12"/>
  </w:p>
  <w:bookmarkStart w:id="13" w:name="_k2z3n45ztaex" w:colFirst="0" w:colLast="0"/>
  <w:bookmarkEnd w:id="13"/>
  <w:p w14:paraId="4A719063" w14:textId="77777777" w:rsidR="00B142D9" w:rsidRDefault="00DF6DD4">
    <w:pPr>
      <w:pStyle w:val="Heading6"/>
      <w:pBdr>
        <w:top w:val="nil"/>
        <w:left w:val="nil"/>
        <w:bottom w:val="nil"/>
        <w:right w:val="nil"/>
        <w:between w:val="nil"/>
      </w:pBdr>
      <w:jc w:val="right"/>
      <w:rPr>
        <w:rFonts w:ascii="Georgia" w:eastAsia="Georgia" w:hAnsi="Georgia" w:cs="Georgia"/>
        <w:sz w:val="28"/>
        <w:szCs w:val="28"/>
      </w:rPr>
    </w:pPr>
    <w:r>
      <w:rPr>
        <w:rFonts w:ascii="Georgia" w:eastAsia="Georgia" w:hAnsi="Georgia" w:cs="Georgia"/>
        <w:sz w:val="28"/>
        <w:szCs w:val="28"/>
      </w:rPr>
      <w:fldChar w:fldCharType="begin"/>
    </w:r>
    <w:r>
      <w:rPr>
        <w:rFonts w:ascii="Georgia" w:eastAsia="Georgia" w:hAnsi="Georgia" w:cs="Georgia"/>
        <w:sz w:val="28"/>
        <w:szCs w:val="28"/>
      </w:rPr>
      <w:instrText>PAGE</w:instrText>
    </w:r>
    <w:r>
      <w:rPr>
        <w:rFonts w:ascii="Georgia" w:eastAsia="Georgia" w:hAnsi="Georgia" w:cs="Georgia"/>
        <w:sz w:val="28"/>
        <w:szCs w:val="28"/>
      </w:rPr>
      <w:fldChar w:fldCharType="separate"/>
    </w:r>
    <w:r w:rsidR="00E46D27">
      <w:rPr>
        <w:rFonts w:ascii="Georgia" w:eastAsia="Georgia" w:hAnsi="Georgia" w:cs="Georgia"/>
        <w:noProof/>
        <w:sz w:val="28"/>
        <w:szCs w:val="28"/>
      </w:rPr>
      <w:t>4</w:t>
    </w:r>
    <w:r>
      <w:rPr>
        <w:rFonts w:ascii="Georgia" w:eastAsia="Georgia" w:hAnsi="Georgia" w:cs="Georgia"/>
        <w:sz w:val="28"/>
        <w:szCs w:val="28"/>
      </w:rPr>
      <w:fldChar w:fldCharType="end"/>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2122D3" w14:textId="77777777" w:rsidR="00B142D9" w:rsidRDefault="00B142D9">
    <w:pPr>
      <w:pBdr>
        <w:top w:val="nil"/>
        <w:left w:val="nil"/>
        <w:bottom w:val="nil"/>
        <w:right w:val="nil"/>
        <w:between w:val="nil"/>
      </w:pBdr>
      <w:spacing w:before="0" w:line="240" w:lineRule="auto"/>
      <w:rPr>
        <w:sz w:val="12"/>
        <w:szCs w:val="12"/>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BB17C22"/>
    <w:multiLevelType w:val="multilevel"/>
    <w:tmpl w:val="EF202F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7"/>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42D9"/>
    <w:rsid w:val="000906BA"/>
    <w:rsid w:val="000A5248"/>
    <w:rsid w:val="00197741"/>
    <w:rsid w:val="0057798D"/>
    <w:rsid w:val="006E0A0D"/>
    <w:rsid w:val="007A7EB6"/>
    <w:rsid w:val="009119F9"/>
    <w:rsid w:val="00A40CD8"/>
    <w:rsid w:val="00AF7E37"/>
    <w:rsid w:val="00B142D9"/>
    <w:rsid w:val="00BD063E"/>
    <w:rsid w:val="00DB2882"/>
    <w:rsid w:val="00DF6DD4"/>
    <w:rsid w:val="00E46D27"/>
    <w:rsid w:val="00EC0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A24AA"/>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PT Serif" w:eastAsia="PT Serif" w:hAnsi="PT Serif" w:cs="PT Serif"/>
        <w:sz w:val="22"/>
        <w:szCs w:val="22"/>
        <w:lang w:val="en" w:eastAsia="en-GB" w:bidi="ar-SA"/>
      </w:rPr>
    </w:rPrDefault>
    <w:pPrDefault>
      <w:pPr>
        <w:spacing w:before="200" w:line="312" w:lineRule="auto"/>
        <w:ind w:left="-15" w:right="-15"/>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style>
  <w:style w:type="paragraph" w:styleId="Heading1">
    <w:name w:val="heading 1"/>
    <w:basedOn w:val="Normal"/>
    <w:next w:val="Normal"/>
    <w:pPr>
      <w:keepNext/>
      <w:keepLines/>
      <w:spacing w:before="320" w:line="240" w:lineRule="auto"/>
      <w:outlineLvl w:val="0"/>
    </w:pPr>
    <w:rPr>
      <w:rFonts w:ascii="Old Standard TT" w:eastAsia="Old Standard TT" w:hAnsi="Old Standard TT" w:cs="Old Standard TT"/>
      <w:b/>
      <w:sz w:val="36"/>
      <w:szCs w:val="36"/>
    </w:rPr>
  </w:style>
  <w:style w:type="paragraph" w:styleId="Heading2">
    <w:name w:val="heading 2"/>
    <w:basedOn w:val="Normal"/>
    <w:next w:val="Normal"/>
    <w:pPr>
      <w:keepNext/>
      <w:keepLines/>
      <w:spacing w:before="480" w:line="360" w:lineRule="auto"/>
      <w:outlineLvl w:val="1"/>
    </w:pPr>
    <w:rPr>
      <w:rFonts w:ascii="Georgia" w:eastAsia="Georgia" w:hAnsi="Georgia" w:cs="Georgia"/>
      <w:b/>
      <w:color w:val="434343"/>
      <w:sz w:val="28"/>
      <w:szCs w:val="28"/>
    </w:rPr>
  </w:style>
  <w:style w:type="paragraph" w:styleId="Heading3">
    <w:name w:val="heading 3"/>
    <w:basedOn w:val="Normal"/>
    <w:next w:val="Normal"/>
    <w:pPr>
      <w:keepNext/>
      <w:keepLines/>
      <w:widowControl w:val="0"/>
      <w:spacing w:line="240" w:lineRule="auto"/>
      <w:ind w:right="780"/>
      <w:outlineLvl w:val="2"/>
    </w:pPr>
    <w:rPr>
      <w:rFonts w:ascii="Old Standard TT" w:eastAsia="Old Standard TT" w:hAnsi="Old Standard TT" w:cs="Old Standard TT"/>
      <w:b/>
      <w:color w:val="01857B"/>
      <w:sz w:val="26"/>
      <w:szCs w:val="26"/>
    </w:rPr>
  </w:style>
  <w:style w:type="paragraph" w:styleId="Heading4">
    <w:name w:val="heading 4"/>
    <w:basedOn w:val="Normal"/>
    <w:next w:val="Normal"/>
    <w:pPr>
      <w:keepNext/>
      <w:keepLines/>
      <w:spacing w:line="240" w:lineRule="auto"/>
      <w:outlineLvl w:val="3"/>
    </w:pPr>
    <w:rPr>
      <w:color w:val="01857B"/>
    </w:rPr>
  </w:style>
  <w:style w:type="paragraph" w:styleId="Heading5">
    <w:name w:val="heading 5"/>
    <w:basedOn w:val="Normal"/>
    <w:next w:val="Normal"/>
    <w:pPr>
      <w:keepNext/>
      <w:keepLines/>
      <w:widowControl w:val="0"/>
      <w:spacing w:before="0" w:line="240" w:lineRule="auto"/>
      <w:ind w:left="-45" w:right="960"/>
      <w:outlineLvl w:val="4"/>
    </w:pPr>
    <w:rPr>
      <w:rFonts w:ascii="Old Standard TT" w:eastAsia="Old Standard TT" w:hAnsi="Old Standard TT" w:cs="Old Standard TT"/>
    </w:rPr>
  </w:style>
  <w:style w:type="paragraph" w:styleId="Heading6">
    <w:name w:val="heading 6"/>
    <w:basedOn w:val="Normal"/>
    <w:next w:val="Normal"/>
    <w:pPr>
      <w:keepNext/>
      <w:keepLines/>
      <w:spacing w:line="240" w:lineRule="auto"/>
      <w:outlineLvl w:val="5"/>
    </w:pPr>
    <w:rPr>
      <w:rFonts w:ascii="Old Standard TT" w:eastAsia="Old Standard TT" w:hAnsi="Old Standard TT" w:cs="Old Standard TT"/>
      <w:color w:val="666666"/>
      <w:sz w:val="12"/>
      <w:szCs w:val="1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before="320" w:line="240" w:lineRule="auto"/>
    </w:pPr>
    <w:rPr>
      <w:rFonts w:ascii="Old Standard TT" w:eastAsia="Old Standard TT" w:hAnsi="Old Standard TT" w:cs="Old Standard TT"/>
      <w:b/>
      <w:color w:val="00A797"/>
      <w:sz w:val="72"/>
      <w:szCs w:val="72"/>
    </w:rPr>
  </w:style>
  <w:style w:type="paragraph" w:styleId="Subtitle">
    <w:name w:val="Subtitle"/>
    <w:basedOn w:val="Normal"/>
    <w:next w:val="Normal"/>
    <w:pPr>
      <w:spacing w:before="320"/>
    </w:pPr>
    <w:rPr>
      <w:rFonts w:ascii="Old Standard TT" w:eastAsia="Old Standard TT" w:hAnsi="Old Standard TT" w:cs="Old Standard TT"/>
      <w:b/>
      <w:sz w:val="26"/>
      <w:szCs w:val="26"/>
    </w:rPr>
  </w:style>
  <w:style w:type="character" w:styleId="Hyperlink">
    <w:name w:val="Hyperlink"/>
    <w:basedOn w:val="DefaultParagraphFont"/>
    <w:uiPriority w:val="99"/>
    <w:unhideWhenUsed/>
    <w:rsid w:val="009119F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2" Type="http://schemas.openxmlformats.org/officeDocument/2006/relationships/hyperlink" Target="http://news.bbc.co.uk/1/shared/spl/hi/pop_ups/05/uk_manchester_cathedral/html/6.stm" TargetMode="External"/><Relationship Id="rId13" Type="http://schemas.openxmlformats.org/officeDocument/2006/relationships/hyperlink" Target="https://www.oxforddictionaries.com/oed" TargetMode="External"/><Relationship Id="rId14" Type="http://schemas.openxmlformats.org/officeDocument/2006/relationships/header" Target="header1.xml"/><Relationship Id="rId15" Type="http://schemas.openxmlformats.org/officeDocument/2006/relationships/header" Target="header2.xml"/><Relationship Id="rId16" Type="http://schemas.openxmlformats.org/officeDocument/2006/relationships/footer" Target="foot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32</TotalTime>
  <Pages>14</Pages>
  <Words>3600</Words>
  <Characters>20526</Characters>
  <Application>Microsoft Macintosh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24078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Michele Russell (1705196)</cp:lastModifiedBy>
  <cp:revision>7</cp:revision>
  <dcterms:created xsi:type="dcterms:W3CDTF">2019-05-08T09:17:00Z</dcterms:created>
  <dcterms:modified xsi:type="dcterms:W3CDTF">2019-05-08T09:51:00Z</dcterms:modified>
</cp:coreProperties>
</file>