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45CFD" w14:textId="77777777" w:rsidR="005478AA" w:rsidRDefault="005478AA">
      <w:pPr>
        <w:rPr>
          <w:rFonts w:ascii="Arial" w:hAnsi="Arial" w:cs="Arial"/>
          <w:sz w:val="22"/>
          <w:szCs w:val="22"/>
        </w:rPr>
      </w:pPr>
    </w:p>
    <w:p w14:paraId="64BD185F" w14:textId="77777777" w:rsidR="005478AA" w:rsidRDefault="005478AA">
      <w:pPr>
        <w:rPr>
          <w:rFonts w:ascii="Arial" w:hAnsi="Arial" w:cs="Arial"/>
          <w:sz w:val="22"/>
          <w:szCs w:val="22"/>
        </w:rPr>
      </w:pPr>
    </w:p>
    <w:p w14:paraId="16CC48B2" w14:textId="77777777" w:rsidR="005478AA" w:rsidRDefault="005478AA">
      <w:pPr>
        <w:rPr>
          <w:rFonts w:ascii="Arial" w:hAnsi="Arial" w:cs="Arial"/>
          <w:sz w:val="22"/>
          <w:szCs w:val="22"/>
        </w:rPr>
      </w:pPr>
    </w:p>
    <w:p w14:paraId="402C9EC0" w14:textId="77777777" w:rsidR="005478AA" w:rsidRDefault="005478AA">
      <w:pPr>
        <w:rPr>
          <w:rFonts w:ascii="Arial" w:hAnsi="Arial" w:cs="Arial"/>
          <w:sz w:val="22"/>
          <w:szCs w:val="22"/>
        </w:rPr>
      </w:pPr>
    </w:p>
    <w:p w14:paraId="7CF8043A" w14:textId="4736B80D" w:rsidR="009E2DE7" w:rsidRPr="00726007" w:rsidRDefault="009E2DE7" w:rsidP="009E2DE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26007">
        <w:rPr>
          <w:rFonts w:ascii="Arial" w:hAnsi="Arial" w:cs="Arial"/>
          <w:b/>
          <w:bCs/>
          <w:sz w:val="44"/>
          <w:szCs w:val="44"/>
        </w:rPr>
        <w:t>(</w:t>
      </w:r>
      <w:r w:rsidR="00360287" w:rsidRPr="00360287">
        <w:rPr>
          <w:rFonts w:ascii="Arial" w:hAnsi="Arial" w:cs="Arial"/>
          <w:b/>
          <w:bCs/>
          <w:sz w:val="44"/>
          <w:szCs w:val="44"/>
        </w:rPr>
        <w:t>BMHP6029</w:t>
      </w:r>
      <w:r w:rsidRPr="00726007">
        <w:rPr>
          <w:rFonts w:ascii="Arial" w:hAnsi="Arial" w:cs="Arial"/>
          <w:b/>
          <w:bCs/>
          <w:sz w:val="44"/>
          <w:szCs w:val="44"/>
        </w:rPr>
        <w:t xml:space="preserve">_BIRM) </w:t>
      </w:r>
      <w:r w:rsidR="00195FD3" w:rsidRPr="00195FD3">
        <w:rPr>
          <w:rFonts w:ascii="Arial" w:hAnsi="Arial" w:cs="Arial"/>
          <w:b/>
          <w:bCs/>
          <w:sz w:val="44"/>
          <w:szCs w:val="44"/>
        </w:rPr>
        <w:t>Psychological Classifications and Provisions</w:t>
      </w:r>
    </w:p>
    <w:p w14:paraId="51C732FC" w14:textId="77777777" w:rsidR="009E2DE7" w:rsidRPr="00726007" w:rsidRDefault="009E2DE7" w:rsidP="009E2DE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26007">
        <w:rPr>
          <w:rFonts w:ascii="Arial" w:hAnsi="Arial" w:cs="Arial"/>
          <w:b/>
          <w:bCs/>
          <w:sz w:val="44"/>
          <w:szCs w:val="44"/>
        </w:rPr>
        <w:t>Student Number: 2328226</w:t>
      </w:r>
    </w:p>
    <w:p w14:paraId="61FBC895" w14:textId="77777777" w:rsidR="009E2DE7" w:rsidRPr="00726007" w:rsidRDefault="009E2DE7" w:rsidP="009E2DE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26007">
        <w:rPr>
          <w:rFonts w:ascii="Arial" w:hAnsi="Arial" w:cs="Arial"/>
          <w:b/>
          <w:bCs/>
          <w:sz w:val="44"/>
          <w:szCs w:val="44"/>
        </w:rPr>
        <w:t>Student Name: Cherelle Moran</w:t>
      </w:r>
    </w:p>
    <w:p w14:paraId="134AF092" w14:textId="5676B533" w:rsidR="009E2DE7" w:rsidRPr="00726007" w:rsidRDefault="009E2DE7" w:rsidP="009E2DE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26007">
        <w:rPr>
          <w:rFonts w:ascii="Arial" w:hAnsi="Arial" w:cs="Arial"/>
          <w:b/>
          <w:bCs/>
          <w:sz w:val="44"/>
          <w:szCs w:val="44"/>
        </w:rPr>
        <w:t xml:space="preserve">Tutor Details: </w:t>
      </w:r>
      <w:r w:rsidR="00B63517" w:rsidRPr="00B63517">
        <w:rPr>
          <w:rFonts w:ascii="Arial" w:hAnsi="Arial" w:cs="Arial"/>
          <w:b/>
          <w:bCs/>
          <w:sz w:val="44"/>
          <w:szCs w:val="44"/>
        </w:rPr>
        <w:t xml:space="preserve">Neale Haddon </w:t>
      </w:r>
    </w:p>
    <w:p w14:paraId="3CFBCEDB" w14:textId="50150C2B" w:rsidR="009E2DE7" w:rsidRPr="00726007" w:rsidRDefault="009E2DE7" w:rsidP="009E2DE7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726007">
        <w:rPr>
          <w:rFonts w:ascii="Arial" w:hAnsi="Arial" w:cs="Arial"/>
          <w:b/>
          <w:bCs/>
          <w:sz w:val="44"/>
          <w:szCs w:val="44"/>
        </w:rPr>
        <w:t xml:space="preserve">Submission Date: </w:t>
      </w:r>
      <w:r w:rsidR="00B63517">
        <w:rPr>
          <w:rFonts w:ascii="Arial" w:hAnsi="Arial" w:cs="Arial"/>
          <w:b/>
          <w:bCs/>
          <w:sz w:val="44"/>
          <w:szCs w:val="44"/>
        </w:rPr>
        <w:t>6</w:t>
      </w:r>
      <w:r w:rsidRPr="00DD5479">
        <w:rPr>
          <w:rFonts w:ascii="Arial" w:hAnsi="Arial" w:cs="Arial"/>
          <w:b/>
          <w:bCs/>
          <w:sz w:val="44"/>
          <w:szCs w:val="44"/>
          <w:vertAlign w:val="superscript"/>
        </w:rPr>
        <w:t>th</w:t>
      </w:r>
      <w:r>
        <w:rPr>
          <w:rFonts w:ascii="Arial" w:hAnsi="Arial" w:cs="Arial"/>
          <w:b/>
          <w:bCs/>
          <w:sz w:val="44"/>
          <w:szCs w:val="44"/>
        </w:rPr>
        <w:t xml:space="preserve"> July </w:t>
      </w:r>
      <w:r w:rsidRPr="00726007">
        <w:rPr>
          <w:rFonts w:ascii="Arial" w:hAnsi="Arial" w:cs="Arial"/>
          <w:b/>
          <w:bCs/>
          <w:sz w:val="44"/>
          <w:szCs w:val="44"/>
        </w:rPr>
        <w:t>2026</w:t>
      </w:r>
    </w:p>
    <w:p w14:paraId="5C79044D" w14:textId="628C32FD" w:rsidR="005478AA" w:rsidRDefault="005478AA">
      <w:pPr>
        <w:rPr>
          <w:rFonts w:ascii="Arial" w:hAnsi="Arial" w:cs="Arial"/>
          <w:sz w:val="22"/>
          <w:szCs w:val="22"/>
        </w:rPr>
      </w:pPr>
    </w:p>
    <w:p w14:paraId="04556E56" w14:textId="4CCC9549" w:rsidR="005478AA" w:rsidRDefault="008027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0" behindDoc="0" locked="0" layoutInCell="1" allowOverlap="1" wp14:anchorId="6ADF4C7C" wp14:editId="625F6EA2">
            <wp:simplePos x="0" y="0"/>
            <wp:positionH relativeFrom="margin">
              <wp:posOffset>-563526</wp:posOffset>
            </wp:positionH>
            <wp:positionV relativeFrom="paragraph">
              <wp:posOffset>487</wp:posOffset>
            </wp:positionV>
            <wp:extent cx="6878955" cy="9256543"/>
            <wp:effectExtent l="0" t="0" r="3810" b="1905"/>
            <wp:wrapTopAndBottom/>
            <wp:docPr id="13556761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676185" name="Picture 135567618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78955" cy="92565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0F745C" w14:textId="524BD569" w:rsidR="005478AA" w:rsidRDefault="005478AA">
      <w:pPr>
        <w:rPr>
          <w:rFonts w:ascii="Arial" w:hAnsi="Arial" w:cs="Arial"/>
          <w:sz w:val="22"/>
          <w:szCs w:val="22"/>
        </w:rPr>
      </w:pPr>
    </w:p>
    <w:p w14:paraId="6BCEA229" w14:textId="1D6BF968" w:rsidR="0007610C" w:rsidRPr="00C507D2" w:rsidRDefault="002D0AB8">
      <w:pPr>
        <w:rPr>
          <w:rFonts w:ascii="Arial" w:hAnsi="Arial" w:cs="Arial"/>
          <w:b/>
          <w:bCs/>
          <w:sz w:val="22"/>
          <w:szCs w:val="22"/>
        </w:rPr>
      </w:pPr>
      <w:r w:rsidRPr="00C507D2">
        <w:rPr>
          <w:rFonts w:ascii="Arial" w:hAnsi="Arial" w:cs="Arial"/>
          <w:b/>
          <w:bCs/>
          <w:sz w:val="22"/>
          <w:szCs w:val="22"/>
        </w:rPr>
        <w:t>References</w:t>
      </w:r>
    </w:p>
    <w:p w14:paraId="25187363" w14:textId="79958EDB" w:rsidR="002D0AB8" w:rsidRPr="002D0AB8" w:rsidRDefault="002D0AB8">
      <w:pPr>
        <w:rPr>
          <w:rFonts w:ascii="Arial" w:hAnsi="Arial" w:cs="Arial"/>
          <w:sz w:val="22"/>
          <w:szCs w:val="22"/>
        </w:rPr>
      </w:pPr>
      <w:r w:rsidRPr="002D0AB8">
        <w:rPr>
          <w:rFonts w:ascii="Arial" w:hAnsi="Arial" w:cs="Arial"/>
          <w:sz w:val="22"/>
          <w:szCs w:val="22"/>
        </w:rPr>
        <w:t xml:space="preserve">Jowett, S., Karatzias, T., Shevlin, M., &amp; Albert, I. (2020). </w:t>
      </w:r>
      <w:r w:rsidR="00824CFF">
        <w:rPr>
          <w:rFonts w:ascii="Arial" w:hAnsi="Arial" w:cs="Arial"/>
          <w:sz w:val="22"/>
          <w:szCs w:val="22"/>
        </w:rPr>
        <w:t>‘</w:t>
      </w:r>
      <w:r w:rsidRPr="002D0AB8">
        <w:rPr>
          <w:rFonts w:ascii="Arial" w:hAnsi="Arial" w:cs="Arial"/>
          <w:sz w:val="22"/>
          <w:szCs w:val="22"/>
        </w:rPr>
        <w:t>Differentiating Symptom Profiles of ICD-11 PTSD, Complex PTSD, and Borderline Personality Disorder: A Latent Class Analysis in a Multiply Traumatized Sample.</w:t>
      </w:r>
      <w:r w:rsidR="00824CFF">
        <w:rPr>
          <w:rFonts w:ascii="Arial" w:hAnsi="Arial" w:cs="Arial"/>
          <w:sz w:val="22"/>
          <w:szCs w:val="22"/>
        </w:rPr>
        <w:t>’</w:t>
      </w:r>
      <w:r w:rsidRPr="002D0AB8">
        <w:rPr>
          <w:rFonts w:ascii="Arial" w:hAnsi="Arial" w:cs="Arial"/>
          <w:sz w:val="22"/>
          <w:szCs w:val="22"/>
        </w:rPr>
        <w:t> </w:t>
      </w:r>
      <w:r w:rsidRPr="002D0AB8">
        <w:rPr>
          <w:rFonts w:ascii="Arial" w:hAnsi="Arial" w:cs="Arial"/>
          <w:i/>
          <w:iCs/>
          <w:sz w:val="22"/>
          <w:szCs w:val="22"/>
        </w:rPr>
        <w:t>Personality Disorders</w:t>
      </w:r>
      <w:r w:rsidRPr="002D0AB8">
        <w:rPr>
          <w:rFonts w:ascii="Arial" w:hAnsi="Arial" w:cs="Arial"/>
          <w:sz w:val="22"/>
          <w:szCs w:val="22"/>
        </w:rPr>
        <w:t>, </w:t>
      </w:r>
      <w:r w:rsidRPr="002D0AB8">
        <w:rPr>
          <w:rFonts w:ascii="Arial" w:hAnsi="Arial" w:cs="Arial"/>
          <w:i/>
          <w:iCs/>
          <w:sz w:val="22"/>
          <w:szCs w:val="22"/>
        </w:rPr>
        <w:t>11</w:t>
      </w:r>
      <w:r w:rsidRPr="002D0AB8">
        <w:rPr>
          <w:rFonts w:ascii="Arial" w:hAnsi="Arial" w:cs="Arial"/>
          <w:sz w:val="22"/>
          <w:szCs w:val="22"/>
        </w:rPr>
        <w:t xml:space="preserve">(1), 36–45. </w:t>
      </w:r>
      <w:r w:rsidR="00A96734">
        <w:rPr>
          <w:rFonts w:ascii="Arial" w:hAnsi="Arial" w:cs="Arial"/>
          <w:sz w:val="22"/>
          <w:szCs w:val="22"/>
        </w:rPr>
        <w:t xml:space="preserve">Available at: </w:t>
      </w:r>
      <w:hyperlink r:id="rId8" w:history="1">
        <w:r w:rsidR="00A96734" w:rsidRPr="00E3723D">
          <w:rPr>
            <w:rStyle w:val="Hyperlink"/>
            <w:rFonts w:ascii="Arial" w:hAnsi="Arial" w:cs="Arial"/>
            <w:sz w:val="22"/>
            <w:szCs w:val="22"/>
          </w:rPr>
          <w:t>https://doi.org/10.1037/per0000346</w:t>
        </w:r>
      </w:hyperlink>
      <w:r w:rsidRPr="002D0AB8">
        <w:rPr>
          <w:rFonts w:ascii="Arial" w:hAnsi="Arial" w:cs="Arial"/>
          <w:sz w:val="22"/>
          <w:szCs w:val="22"/>
        </w:rPr>
        <w:t xml:space="preserve">. Accessed on: </w:t>
      </w:r>
      <w:r w:rsidR="00A96734">
        <w:rPr>
          <w:rFonts w:ascii="Arial" w:hAnsi="Arial" w:cs="Arial"/>
          <w:sz w:val="22"/>
          <w:szCs w:val="22"/>
        </w:rPr>
        <w:t>1</w:t>
      </w:r>
      <w:r w:rsidRPr="002D0AB8">
        <w:rPr>
          <w:rFonts w:ascii="Arial" w:hAnsi="Arial" w:cs="Arial"/>
          <w:sz w:val="22"/>
          <w:szCs w:val="22"/>
        </w:rPr>
        <w:t>9</w:t>
      </w:r>
      <w:r w:rsidRPr="002D0AB8">
        <w:rPr>
          <w:rFonts w:ascii="Arial" w:hAnsi="Arial" w:cs="Arial"/>
          <w:sz w:val="22"/>
          <w:szCs w:val="22"/>
          <w:vertAlign w:val="superscript"/>
        </w:rPr>
        <w:t>th</w:t>
      </w:r>
      <w:r w:rsidRPr="002D0AB8">
        <w:rPr>
          <w:rFonts w:ascii="Arial" w:hAnsi="Arial" w:cs="Arial"/>
          <w:sz w:val="22"/>
          <w:szCs w:val="22"/>
        </w:rPr>
        <w:t xml:space="preserve"> June 2026.</w:t>
      </w:r>
    </w:p>
    <w:p w14:paraId="2914CA10" w14:textId="5DD1756F" w:rsidR="002D0AB8" w:rsidRPr="002D0AB8" w:rsidRDefault="002D0AB8">
      <w:pPr>
        <w:rPr>
          <w:rFonts w:ascii="Arial" w:hAnsi="Arial" w:cs="Arial"/>
          <w:sz w:val="22"/>
          <w:szCs w:val="22"/>
        </w:rPr>
      </w:pPr>
      <w:r w:rsidRPr="002D0AB8">
        <w:rPr>
          <w:rFonts w:ascii="Arial" w:hAnsi="Arial" w:cs="Arial"/>
          <w:sz w:val="22"/>
          <w:szCs w:val="22"/>
        </w:rPr>
        <w:t>Hyland, P., Shevlin, M., Brewin, C. R., Cloitre, M., Downes, A. J., Jumbe, S., Karatzias, T., Bisson, J. I., &amp; Roberts, N. P. (2017). Validation of post</w:t>
      </w:r>
      <w:r w:rsidRPr="002D0AB8">
        <w:rPr>
          <w:rFonts w:ascii="Cambria Math" w:hAnsi="Cambria Math" w:cs="Cambria Math"/>
          <w:sz w:val="22"/>
          <w:szCs w:val="22"/>
        </w:rPr>
        <w:t>‐</w:t>
      </w:r>
      <w:r w:rsidRPr="002D0AB8">
        <w:rPr>
          <w:rFonts w:ascii="Arial" w:hAnsi="Arial" w:cs="Arial"/>
          <w:sz w:val="22"/>
          <w:szCs w:val="22"/>
        </w:rPr>
        <w:t>traumatic stress disorder (PTSD) and complex PTSD using the International Trauma Questionnaire. </w:t>
      </w:r>
      <w:r w:rsidRPr="002D0AB8">
        <w:rPr>
          <w:rFonts w:ascii="Arial" w:hAnsi="Arial" w:cs="Arial"/>
          <w:i/>
          <w:iCs/>
          <w:sz w:val="22"/>
          <w:szCs w:val="22"/>
        </w:rPr>
        <w:t>Acta Psychiatrica Scandinavica</w:t>
      </w:r>
      <w:r w:rsidRPr="002D0AB8">
        <w:rPr>
          <w:rFonts w:ascii="Arial" w:hAnsi="Arial" w:cs="Arial"/>
          <w:sz w:val="22"/>
          <w:szCs w:val="22"/>
        </w:rPr>
        <w:t>, </w:t>
      </w:r>
      <w:r w:rsidRPr="002D0AB8">
        <w:rPr>
          <w:rFonts w:ascii="Arial" w:hAnsi="Arial" w:cs="Arial"/>
          <w:i/>
          <w:iCs/>
          <w:sz w:val="22"/>
          <w:szCs w:val="22"/>
        </w:rPr>
        <w:t>136</w:t>
      </w:r>
      <w:r w:rsidRPr="002D0AB8">
        <w:rPr>
          <w:rFonts w:ascii="Arial" w:hAnsi="Arial" w:cs="Arial"/>
          <w:sz w:val="22"/>
          <w:szCs w:val="22"/>
        </w:rPr>
        <w:t>(3), 313–322.</w:t>
      </w:r>
      <w:r w:rsidR="00A96734">
        <w:rPr>
          <w:rFonts w:ascii="Arial" w:hAnsi="Arial" w:cs="Arial"/>
          <w:sz w:val="22"/>
          <w:szCs w:val="22"/>
        </w:rPr>
        <w:t xml:space="preserve"> Available at:</w:t>
      </w:r>
      <w:r w:rsidRPr="002D0AB8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Pr="002D0AB8">
          <w:rPr>
            <w:rStyle w:val="Hyperlink"/>
            <w:rFonts w:ascii="Arial" w:hAnsi="Arial" w:cs="Arial"/>
            <w:sz w:val="22"/>
            <w:szCs w:val="22"/>
          </w:rPr>
          <w:t>https://doi.org/10.1111/acps.12771</w:t>
        </w:r>
      </w:hyperlink>
      <w:r w:rsidRPr="002D0AB8">
        <w:rPr>
          <w:rFonts w:ascii="Arial" w:hAnsi="Arial" w:cs="Arial"/>
          <w:sz w:val="22"/>
          <w:szCs w:val="22"/>
        </w:rPr>
        <w:t>. Accessed on: 19</w:t>
      </w:r>
      <w:r w:rsidRPr="002D0AB8">
        <w:rPr>
          <w:rFonts w:ascii="Arial" w:hAnsi="Arial" w:cs="Arial"/>
          <w:sz w:val="22"/>
          <w:szCs w:val="22"/>
          <w:vertAlign w:val="superscript"/>
        </w:rPr>
        <w:t>th</w:t>
      </w:r>
      <w:r w:rsidRPr="002D0AB8">
        <w:rPr>
          <w:rFonts w:ascii="Arial" w:hAnsi="Arial" w:cs="Arial"/>
          <w:sz w:val="22"/>
          <w:szCs w:val="22"/>
        </w:rPr>
        <w:t xml:space="preserve"> June 2026.</w:t>
      </w:r>
    </w:p>
    <w:p w14:paraId="5C7B6CBD" w14:textId="06FB3F26" w:rsidR="002D0AB8" w:rsidRDefault="002D0AB8">
      <w:pPr>
        <w:rPr>
          <w:rFonts w:ascii="Arial" w:hAnsi="Arial" w:cs="Arial"/>
          <w:sz w:val="22"/>
          <w:szCs w:val="22"/>
        </w:rPr>
      </w:pPr>
      <w:r w:rsidRPr="002D0AB8">
        <w:rPr>
          <w:rFonts w:ascii="Arial" w:hAnsi="Arial" w:cs="Arial"/>
          <w:sz w:val="22"/>
          <w:szCs w:val="22"/>
        </w:rPr>
        <w:t xml:space="preserve">World Health Organization (2019) ‘Complex Post Traumatic Stress Disorder (6B41)’, </w:t>
      </w:r>
      <w:r w:rsidRPr="002D0AB8">
        <w:rPr>
          <w:rFonts w:ascii="Arial" w:hAnsi="Arial" w:cs="Arial"/>
          <w:i/>
          <w:iCs/>
          <w:sz w:val="22"/>
          <w:szCs w:val="22"/>
        </w:rPr>
        <w:t>in International classification of diseases (11</w:t>
      </w:r>
      <w:r w:rsidRPr="002D0AB8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 w:rsidRPr="002D0AB8">
        <w:rPr>
          <w:rFonts w:ascii="Arial" w:hAnsi="Arial" w:cs="Arial"/>
          <w:i/>
          <w:iCs/>
          <w:sz w:val="22"/>
          <w:szCs w:val="22"/>
        </w:rPr>
        <w:t xml:space="preserve"> edn)</w:t>
      </w:r>
      <w:r w:rsidRPr="002D0AB8">
        <w:rPr>
          <w:rFonts w:ascii="Arial" w:hAnsi="Arial" w:cs="Arial"/>
          <w:sz w:val="22"/>
          <w:szCs w:val="22"/>
        </w:rPr>
        <w:t xml:space="preserve">. Geneva: World Health Organization. Available at: </w:t>
      </w:r>
      <w:hyperlink r:id="rId10" w:history="1">
        <w:r w:rsidRPr="002D0AB8">
          <w:rPr>
            <w:rStyle w:val="Hyperlink"/>
            <w:rFonts w:ascii="Arial" w:hAnsi="Arial" w:cs="Arial"/>
            <w:sz w:val="22"/>
            <w:szCs w:val="22"/>
          </w:rPr>
          <w:t>ICD-11 Coding Tool Mortality and Morbidity Statistics (MMS)</w:t>
        </w:r>
      </w:hyperlink>
      <w:r w:rsidRPr="002D0AB8">
        <w:rPr>
          <w:rFonts w:ascii="Arial" w:hAnsi="Arial" w:cs="Arial"/>
          <w:sz w:val="22"/>
          <w:szCs w:val="22"/>
        </w:rPr>
        <w:t>. Accessed on: 18</w:t>
      </w:r>
      <w:r w:rsidRPr="002D0AB8">
        <w:rPr>
          <w:rFonts w:ascii="Arial" w:hAnsi="Arial" w:cs="Arial"/>
          <w:sz w:val="22"/>
          <w:szCs w:val="22"/>
          <w:vertAlign w:val="superscript"/>
        </w:rPr>
        <w:t>th</w:t>
      </w:r>
      <w:r w:rsidRPr="002D0AB8">
        <w:rPr>
          <w:rFonts w:ascii="Arial" w:hAnsi="Arial" w:cs="Arial"/>
          <w:sz w:val="22"/>
          <w:szCs w:val="22"/>
        </w:rPr>
        <w:t xml:space="preserve"> June 2026.</w:t>
      </w:r>
    </w:p>
    <w:p w14:paraId="2B53CE3B" w14:textId="0E32F1AA" w:rsidR="002D0AB8" w:rsidRDefault="002D0AB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Herman, J. (1992). ‘Complex PTSD: A Syndrome in Survivors of Prolonged and Repeated Trauma</w:t>
      </w:r>
      <w:r w:rsidR="00A96734">
        <w:rPr>
          <w:rFonts w:ascii="Arial" w:hAnsi="Arial" w:cs="Arial"/>
          <w:sz w:val="22"/>
          <w:szCs w:val="22"/>
        </w:rPr>
        <w:t xml:space="preserve">’, </w:t>
      </w:r>
      <w:r w:rsidR="00A96734" w:rsidRPr="00A96734">
        <w:rPr>
          <w:rFonts w:ascii="Arial" w:hAnsi="Arial" w:cs="Arial"/>
          <w:i/>
          <w:iCs/>
          <w:sz w:val="22"/>
          <w:szCs w:val="22"/>
        </w:rPr>
        <w:t>Journal of Traumatic Stress, Vol 5, No 3</w:t>
      </w:r>
      <w:r w:rsidR="00A96734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A96734" w:rsidRPr="00A96734">
          <w:rPr>
            <w:rStyle w:val="Hyperlink"/>
            <w:rFonts w:ascii="Arial" w:hAnsi="Arial" w:cs="Arial"/>
            <w:sz w:val="22"/>
            <w:szCs w:val="22"/>
          </w:rPr>
          <w:t>Complex PTSD: A syndrome in survivors of prolonged and repeated trauma</w:t>
        </w:r>
      </w:hyperlink>
      <w:r w:rsidR="00A96734">
        <w:rPr>
          <w:rFonts w:ascii="Arial" w:hAnsi="Arial" w:cs="Arial"/>
          <w:sz w:val="22"/>
          <w:szCs w:val="22"/>
        </w:rPr>
        <w:t>. Accessed on: 19</w:t>
      </w:r>
      <w:r w:rsidR="00A96734" w:rsidRPr="00A96734">
        <w:rPr>
          <w:rFonts w:ascii="Arial" w:hAnsi="Arial" w:cs="Arial"/>
          <w:sz w:val="22"/>
          <w:szCs w:val="22"/>
          <w:vertAlign w:val="superscript"/>
        </w:rPr>
        <w:t>th</w:t>
      </w:r>
      <w:r w:rsidR="00A96734">
        <w:rPr>
          <w:rFonts w:ascii="Arial" w:hAnsi="Arial" w:cs="Arial"/>
          <w:sz w:val="22"/>
          <w:szCs w:val="22"/>
        </w:rPr>
        <w:t xml:space="preserve"> June 2026.</w:t>
      </w:r>
    </w:p>
    <w:p w14:paraId="3019A2DE" w14:textId="5620FE3D" w:rsidR="00824CFF" w:rsidRDefault="00824CFF">
      <w:pPr>
        <w:rPr>
          <w:rFonts w:ascii="Arial" w:hAnsi="Arial" w:cs="Arial"/>
          <w:sz w:val="22"/>
          <w:szCs w:val="22"/>
        </w:rPr>
      </w:pPr>
      <w:r w:rsidRPr="00824CFF">
        <w:rPr>
          <w:rFonts w:ascii="Arial" w:hAnsi="Arial" w:cs="Arial"/>
          <w:sz w:val="22"/>
          <w:szCs w:val="22"/>
        </w:rPr>
        <w:t xml:space="preserve">Cloitre, M., Stolbach, B. C., Herman, J. L., Kolk, B. van der, Pynoos, R., Wang, J., &amp; Petkova, E. (2009). </w:t>
      </w:r>
      <w:r>
        <w:rPr>
          <w:rFonts w:ascii="Arial" w:hAnsi="Arial" w:cs="Arial"/>
          <w:sz w:val="22"/>
          <w:szCs w:val="22"/>
        </w:rPr>
        <w:t>‘</w:t>
      </w:r>
      <w:r w:rsidRPr="00824CFF">
        <w:rPr>
          <w:rFonts w:ascii="Arial" w:hAnsi="Arial" w:cs="Arial"/>
          <w:sz w:val="22"/>
          <w:szCs w:val="22"/>
        </w:rPr>
        <w:t>A developmental approach to complex PTSD: Childhood and adult cumulative trauma as predictors of symptom complexity.</w:t>
      </w:r>
      <w:r>
        <w:rPr>
          <w:rFonts w:ascii="Arial" w:hAnsi="Arial" w:cs="Arial"/>
          <w:sz w:val="22"/>
          <w:szCs w:val="22"/>
        </w:rPr>
        <w:t>’</w:t>
      </w:r>
      <w:r w:rsidRPr="00824CFF">
        <w:rPr>
          <w:rFonts w:ascii="Arial" w:hAnsi="Arial" w:cs="Arial"/>
          <w:sz w:val="22"/>
          <w:szCs w:val="22"/>
        </w:rPr>
        <w:t> </w:t>
      </w:r>
      <w:r w:rsidRPr="00824CFF">
        <w:rPr>
          <w:rFonts w:ascii="Arial" w:hAnsi="Arial" w:cs="Arial"/>
          <w:i/>
          <w:iCs/>
          <w:sz w:val="22"/>
          <w:szCs w:val="22"/>
        </w:rPr>
        <w:t>Journal of Traumatic Stress</w:t>
      </w:r>
      <w:r w:rsidRPr="00824CFF">
        <w:rPr>
          <w:rFonts w:ascii="Arial" w:hAnsi="Arial" w:cs="Arial"/>
          <w:sz w:val="22"/>
          <w:szCs w:val="22"/>
        </w:rPr>
        <w:t>, </w:t>
      </w:r>
      <w:r w:rsidRPr="00824CFF">
        <w:rPr>
          <w:rFonts w:ascii="Arial" w:hAnsi="Arial" w:cs="Arial"/>
          <w:i/>
          <w:iCs/>
          <w:sz w:val="22"/>
          <w:szCs w:val="22"/>
        </w:rPr>
        <w:t>22</w:t>
      </w:r>
      <w:r w:rsidRPr="00824CFF">
        <w:rPr>
          <w:rFonts w:ascii="Arial" w:hAnsi="Arial" w:cs="Arial"/>
          <w:sz w:val="22"/>
          <w:szCs w:val="22"/>
        </w:rPr>
        <w:t xml:space="preserve">(5), 399–408.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Pr="00E3723D">
          <w:rPr>
            <w:rStyle w:val="Hyperlink"/>
            <w:rFonts w:ascii="Arial" w:hAnsi="Arial" w:cs="Arial"/>
            <w:sz w:val="22"/>
            <w:szCs w:val="22"/>
          </w:rPr>
          <w:t>https://doi.org/10.1002/jts.20444</w:t>
        </w:r>
      </w:hyperlink>
      <w:r>
        <w:rPr>
          <w:rFonts w:ascii="Arial" w:hAnsi="Arial" w:cs="Arial"/>
          <w:sz w:val="22"/>
          <w:szCs w:val="22"/>
        </w:rPr>
        <w:t>. Accessed on: 25</w:t>
      </w:r>
      <w:r w:rsidRPr="00824CFF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June 2026.</w:t>
      </w:r>
    </w:p>
    <w:p w14:paraId="01DE7CE9" w14:textId="76BE83C8" w:rsidR="00824CFF" w:rsidRDefault="008B234C">
      <w:pPr>
        <w:rPr>
          <w:rFonts w:ascii="Arial" w:hAnsi="Arial" w:cs="Arial"/>
          <w:sz w:val="22"/>
          <w:szCs w:val="22"/>
        </w:rPr>
      </w:pPr>
      <w:r w:rsidRPr="008B234C">
        <w:rPr>
          <w:rFonts w:ascii="Arial" w:hAnsi="Arial" w:cs="Arial"/>
          <w:sz w:val="22"/>
          <w:szCs w:val="22"/>
        </w:rPr>
        <w:t xml:space="preserve">Herman, J. (2012). </w:t>
      </w:r>
      <w:r>
        <w:rPr>
          <w:rFonts w:ascii="Arial" w:hAnsi="Arial" w:cs="Arial"/>
          <w:sz w:val="22"/>
          <w:szCs w:val="22"/>
        </w:rPr>
        <w:t>‘</w:t>
      </w:r>
      <w:r w:rsidRPr="008B234C">
        <w:rPr>
          <w:rFonts w:ascii="Arial" w:hAnsi="Arial" w:cs="Arial"/>
          <w:sz w:val="22"/>
          <w:szCs w:val="22"/>
        </w:rPr>
        <w:t>CPTSD is a distinct entity: Comment on Resick et al.</w:t>
      </w:r>
      <w:r>
        <w:rPr>
          <w:rFonts w:ascii="Arial" w:hAnsi="Arial" w:cs="Arial"/>
          <w:sz w:val="22"/>
          <w:szCs w:val="22"/>
        </w:rPr>
        <w:t>’</w:t>
      </w:r>
      <w:r w:rsidR="002B050B">
        <w:rPr>
          <w:rFonts w:ascii="Arial" w:hAnsi="Arial" w:cs="Arial"/>
          <w:sz w:val="22"/>
          <w:szCs w:val="22"/>
        </w:rPr>
        <w:t xml:space="preserve"> </w:t>
      </w:r>
      <w:r w:rsidRPr="008B234C">
        <w:rPr>
          <w:rFonts w:ascii="Arial" w:hAnsi="Arial" w:cs="Arial"/>
          <w:i/>
          <w:iCs/>
          <w:sz w:val="22"/>
          <w:szCs w:val="22"/>
        </w:rPr>
        <w:t>Journal of Traumatic Stress</w:t>
      </w:r>
      <w:r w:rsidRPr="008B234C">
        <w:rPr>
          <w:rFonts w:ascii="Arial" w:hAnsi="Arial" w:cs="Arial"/>
          <w:sz w:val="22"/>
          <w:szCs w:val="22"/>
        </w:rPr>
        <w:t>, </w:t>
      </w:r>
      <w:r w:rsidRPr="008B234C">
        <w:rPr>
          <w:rFonts w:ascii="Arial" w:hAnsi="Arial" w:cs="Arial"/>
          <w:i/>
          <w:iCs/>
          <w:sz w:val="22"/>
          <w:szCs w:val="22"/>
        </w:rPr>
        <w:t>25</w:t>
      </w:r>
      <w:r w:rsidRPr="008B234C">
        <w:rPr>
          <w:rFonts w:ascii="Arial" w:hAnsi="Arial" w:cs="Arial"/>
          <w:sz w:val="22"/>
          <w:szCs w:val="22"/>
        </w:rPr>
        <w:t xml:space="preserve">(3), 256–257.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E3723D">
          <w:rPr>
            <w:rStyle w:val="Hyperlink"/>
            <w:rFonts w:ascii="Arial" w:hAnsi="Arial" w:cs="Arial"/>
            <w:sz w:val="22"/>
            <w:szCs w:val="22"/>
          </w:rPr>
          <w:t>https://doi.org/10.1002/jts.21697</w:t>
        </w:r>
      </w:hyperlink>
      <w:r>
        <w:rPr>
          <w:rFonts w:ascii="Arial" w:hAnsi="Arial" w:cs="Arial"/>
          <w:sz w:val="22"/>
          <w:szCs w:val="22"/>
        </w:rPr>
        <w:t>. Accessed on 25</w:t>
      </w:r>
      <w:r w:rsidRPr="008B234C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June 2026.</w:t>
      </w:r>
    </w:p>
    <w:p w14:paraId="5D1FAEC8" w14:textId="667D3851" w:rsidR="008B234C" w:rsidRDefault="002B050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Davis, S. (2019). ‘</w:t>
      </w:r>
      <w:r w:rsidRPr="002B050B">
        <w:rPr>
          <w:rFonts w:ascii="Arial" w:hAnsi="Arial" w:cs="Arial"/>
          <w:sz w:val="22"/>
          <w:szCs w:val="22"/>
        </w:rPr>
        <w:t>The History of Post-Traumatic Stress Disorder, Complex Post-Traumatic Stress Disorder, and an Introduction to Emotional Flashbacks</w:t>
      </w:r>
      <w:r>
        <w:rPr>
          <w:rFonts w:ascii="Arial" w:hAnsi="Arial" w:cs="Arial"/>
          <w:sz w:val="22"/>
          <w:szCs w:val="22"/>
        </w:rPr>
        <w:t xml:space="preserve">.’ </w:t>
      </w:r>
      <w:r w:rsidRPr="002B050B">
        <w:rPr>
          <w:rFonts w:ascii="Arial" w:hAnsi="Arial" w:cs="Arial"/>
          <w:i/>
          <w:iCs/>
          <w:sz w:val="22"/>
          <w:szCs w:val="22"/>
        </w:rPr>
        <w:t xml:space="preserve">CPTSD Foundation.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2B050B">
          <w:rPr>
            <w:rStyle w:val="Hyperlink"/>
            <w:rFonts w:ascii="Arial" w:hAnsi="Arial" w:cs="Arial"/>
            <w:sz w:val="22"/>
            <w:szCs w:val="22"/>
          </w:rPr>
          <w:t>The History of Post-Traumatic Stress Disorder, Complex Post-Traumatic Stress Disorder, and an Introduction to Emotional Flashbacks | CPTSDfoundation.org</w:t>
        </w:r>
      </w:hyperlink>
      <w:r>
        <w:rPr>
          <w:rFonts w:ascii="Arial" w:hAnsi="Arial" w:cs="Arial"/>
          <w:sz w:val="22"/>
          <w:szCs w:val="22"/>
        </w:rPr>
        <w:t>. Accessed on: 26</w:t>
      </w:r>
      <w:r w:rsidRPr="002B050B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June 2026.</w:t>
      </w:r>
    </w:p>
    <w:p w14:paraId="5EA93D9C" w14:textId="0CE982F7" w:rsidR="002B050B" w:rsidRDefault="00E05DA5">
      <w:pPr>
        <w:rPr>
          <w:rFonts w:ascii="Arial" w:hAnsi="Arial" w:cs="Arial"/>
          <w:sz w:val="22"/>
          <w:szCs w:val="22"/>
        </w:rPr>
      </w:pPr>
      <w:r w:rsidRPr="00E05DA5">
        <w:rPr>
          <w:rFonts w:ascii="Arial" w:hAnsi="Arial" w:cs="Arial"/>
          <w:sz w:val="22"/>
          <w:szCs w:val="22"/>
        </w:rPr>
        <w:t>Greenblatt</w:t>
      </w:r>
      <w:r w:rsidRPr="00E05DA5">
        <w:rPr>
          <w:rFonts w:ascii="Cambria Math" w:hAnsi="Cambria Math" w:cs="Cambria Math"/>
          <w:sz w:val="22"/>
          <w:szCs w:val="22"/>
        </w:rPr>
        <w:t>‐</w:t>
      </w:r>
      <w:r w:rsidRPr="00E05DA5">
        <w:rPr>
          <w:rFonts w:ascii="Arial" w:hAnsi="Arial" w:cs="Arial"/>
          <w:sz w:val="22"/>
          <w:szCs w:val="22"/>
        </w:rPr>
        <w:t>Kimron, L., Karatzias, T., Yonatan, M., Shoham, A., Hyland, P., Ben</w:t>
      </w:r>
      <w:r w:rsidRPr="00E05DA5">
        <w:rPr>
          <w:rFonts w:ascii="Cambria Math" w:hAnsi="Cambria Math" w:cs="Cambria Math"/>
          <w:sz w:val="22"/>
          <w:szCs w:val="22"/>
        </w:rPr>
        <w:t>‐</w:t>
      </w:r>
      <w:r w:rsidRPr="00E05DA5">
        <w:rPr>
          <w:rFonts w:ascii="Arial" w:hAnsi="Arial" w:cs="Arial"/>
          <w:sz w:val="22"/>
          <w:szCs w:val="22"/>
        </w:rPr>
        <w:t xml:space="preserve">Ezra, M., &amp; Shevlin, M. (2023). </w:t>
      </w:r>
      <w:r>
        <w:rPr>
          <w:rFonts w:ascii="Arial" w:hAnsi="Arial" w:cs="Arial"/>
          <w:sz w:val="22"/>
          <w:szCs w:val="22"/>
        </w:rPr>
        <w:t>‘</w:t>
      </w:r>
      <w:r w:rsidRPr="00E05DA5">
        <w:rPr>
          <w:rFonts w:ascii="Arial" w:hAnsi="Arial" w:cs="Arial"/>
          <w:sz w:val="22"/>
          <w:szCs w:val="22"/>
        </w:rPr>
        <w:t>Early maladaptive schemas and ICD</w:t>
      </w:r>
      <w:r w:rsidRPr="00E05DA5">
        <w:rPr>
          <w:rFonts w:ascii="Cambria Math" w:hAnsi="Cambria Math" w:cs="Cambria Math"/>
          <w:sz w:val="22"/>
          <w:szCs w:val="22"/>
        </w:rPr>
        <w:t>‐</w:t>
      </w:r>
      <w:r w:rsidRPr="00E05DA5">
        <w:rPr>
          <w:rFonts w:ascii="Arial" w:hAnsi="Arial" w:cs="Arial"/>
          <w:sz w:val="22"/>
          <w:szCs w:val="22"/>
        </w:rPr>
        <w:t>11 CPTSD symptoms: Treatment considerations.</w:t>
      </w:r>
      <w:r>
        <w:rPr>
          <w:rFonts w:ascii="Arial" w:hAnsi="Arial" w:cs="Arial"/>
          <w:sz w:val="22"/>
          <w:szCs w:val="22"/>
        </w:rPr>
        <w:t>’</w:t>
      </w:r>
      <w:r w:rsidRPr="00E05DA5">
        <w:rPr>
          <w:rFonts w:ascii="Arial" w:hAnsi="Arial" w:cs="Arial"/>
          <w:sz w:val="22"/>
          <w:szCs w:val="22"/>
        </w:rPr>
        <w:t> </w:t>
      </w:r>
      <w:r w:rsidRPr="00E05DA5">
        <w:rPr>
          <w:rFonts w:ascii="Arial" w:hAnsi="Arial" w:cs="Arial"/>
          <w:i/>
          <w:iCs/>
          <w:sz w:val="22"/>
          <w:szCs w:val="22"/>
        </w:rPr>
        <w:t>Psychology and Psychotherapy</w:t>
      </w:r>
      <w:r w:rsidRPr="00E05DA5">
        <w:rPr>
          <w:rFonts w:ascii="Arial" w:hAnsi="Arial" w:cs="Arial"/>
          <w:sz w:val="22"/>
          <w:szCs w:val="22"/>
        </w:rPr>
        <w:t>, </w:t>
      </w:r>
      <w:r w:rsidRPr="00E05DA5">
        <w:rPr>
          <w:rFonts w:ascii="Arial" w:hAnsi="Arial" w:cs="Arial"/>
          <w:i/>
          <w:iCs/>
          <w:sz w:val="22"/>
          <w:szCs w:val="22"/>
        </w:rPr>
        <w:t>96</w:t>
      </w:r>
      <w:r w:rsidRPr="00E05DA5">
        <w:rPr>
          <w:rFonts w:ascii="Arial" w:hAnsi="Arial" w:cs="Arial"/>
          <w:sz w:val="22"/>
          <w:szCs w:val="22"/>
        </w:rPr>
        <w:t xml:space="preserve">(1), 117–128.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Pr="00E3723D">
          <w:rPr>
            <w:rStyle w:val="Hyperlink"/>
            <w:rFonts w:ascii="Arial" w:hAnsi="Arial" w:cs="Arial"/>
            <w:sz w:val="22"/>
            <w:szCs w:val="22"/>
          </w:rPr>
          <w:t>https://doi.org/10.1111/papt.12429</w:t>
        </w:r>
      </w:hyperlink>
      <w:r>
        <w:rPr>
          <w:rFonts w:ascii="Arial" w:hAnsi="Arial" w:cs="Arial"/>
          <w:sz w:val="22"/>
          <w:szCs w:val="22"/>
        </w:rPr>
        <w:t>. Accessed on: 1</w:t>
      </w:r>
      <w:r w:rsidRPr="00E05DA5">
        <w:rPr>
          <w:rFonts w:ascii="Arial" w:hAnsi="Arial" w:cs="Arial"/>
          <w:sz w:val="22"/>
          <w:szCs w:val="22"/>
          <w:vertAlign w:val="superscript"/>
        </w:rPr>
        <w:t>st</w:t>
      </w:r>
      <w:r>
        <w:rPr>
          <w:rFonts w:ascii="Arial" w:hAnsi="Arial" w:cs="Arial"/>
          <w:sz w:val="22"/>
          <w:szCs w:val="22"/>
        </w:rPr>
        <w:t xml:space="preserve"> July 2025</w:t>
      </w:r>
    </w:p>
    <w:p w14:paraId="19BAB27C" w14:textId="09626746" w:rsidR="002B3A2E" w:rsidRDefault="002B3A2E">
      <w:pPr>
        <w:rPr>
          <w:rFonts w:ascii="Arial" w:hAnsi="Arial" w:cs="Arial"/>
          <w:sz w:val="22"/>
          <w:szCs w:val="22"/>
        </w:rPr>
      </w:pPr>
      <w:r w:rsidRPr="002B3A2E">
        <w:rPr>
          <w:rFonts w:ascii="Arial" w:hAnsi="Arial" w:cs="Arial"/>
          <w:sz w:val="22"/>
          <w:szCs w:val="22"/>
        </w:rPr>
        <w:t xml:space="preserve">Murphy, D., Karatzias, T., Busuttil, W., Greenberg, N., &amp; Shevlin, M. (2021). </w:t>
      </w:r>
      <w:r>
        <w:rPr>
          <w:rFonts w:ascii="Arial" w:hAnsi="Arial" w:cs="Arial"/>
          <w:sz w:val="22"/>
          <w:szCs w:val="22"/>
        </w:rPr>
        <w:t>‘</w:t>
      </w:r>
      <w:r w:rsidRPr="002B3A2E">
        <w:rPr>
          <w:rFonts w:ascii="Arial" w:hAnsi="Arial" w:cs="Arial"/>
          <w:sz w:val="22"/>
          <w:szCs w:val="22"/>
        </w:rPr>
        <w:t xml:space="preserve">ICD-11 posttraumatic stress disorder (PTSD) and complex PTSD (CPTSD) in </w:t>
      </w:r>
      <w:r>
        <w:rPr>
          <w:rFonts w:ascii="Arial" w:hAnsi="Arial" w:cs="Arial"/>
          <w:sz w:val="22"/>
          <w:szCs w:val="22"/>
        </w:rPr>
        <w:t>treatment-seeking</w:t>
      </w:r>
      <w:r w:rsidRPr="002B3A2E">
        <w:rPr>
          <w:rFonts w:ascii="Arial" w:hAnsi="Arial" w:cs="Arial"/>
          <w:sz w:val="22"/>
          <w:szCs w:val="22"/>
        </w:rPr>
        <w:t xml:space="preserve"> veterans: risk factors and comorbidity</w:t>
      </w:r>
      <w:r>
        <w:rPr>
          <w:rFonts w:ascii="Arial" w:hAnsi="Arial" w:cs="Arial"/>
          <w:sz w:val="22"/>
          <w:szCs w:val="22"/>
        </w:rPr>
        <w:t>’.</w:t>
      </w:r>
      <w:r w:rsidRPr="002B3A2E">
        <w:rPr>
          <w:rFonts w:ascii="Arial" w:hAnsi="Arial" w:cs="Arial"/>
          <w:sz w:val="22"/>
          <w:szCs w:val="22"/>
        </w:rPr>
        <w:t> </w:t>
      </w:r>
      <w:r w:rsidRPr="002B3A2E">
        <w:rPr>
          <w:rFonts w:ascii="Arial" w:hAnsi="Arial" w:cs="Arial"/>
          <w:i/>
          <w:iCs/>
          <w:sz w:val="22"/>
          <w:szCs w:val="22"/>
        </w:rPr>
        <w:t>Social Psychiatry and Psychiatric Epidemiology</w:t>
      </w:r>
      <w:r w:rsidRPr="002B3A2E">
        <w:rPr>
          <w:rFonts w:ascii="Arial" w:hAnsi="Arial" w:cs="Arial"/>
          <w:sz w:val="22"/>
          <w:szCs w:val="22"/>
        </w:rPr>
        <w:t>, </w:t>
      </w:r>
      <w:r w:rsidRPr="002B3A2E">
        <w:rPr>
          <w:rFonts w:ascii="Arial" w:hAnsi="Arial" w:cs="Arial"/>
          <w:i/>
          <w:iCs/>
          <w:sz w:val="22"/>
          <w:szCs w:val="22"/>
        </w:rPr>
        <w:t>56</w:t>
      </w:r>
      <w:r w:rsidRPr="002B3A2E">
        <w:rPr>
          <w:rFonts w:ascii="Arial" w:hAnsi="Arial" w:cs="Arial"/>
          <w:sz w:val="22"/>
          <w:szCs w:val="22"/>
        </w:rPr>
        <w:t xml:space="preserve">(7), 1289–1298. </w:t>
      </w:r>
      <w:r>
        <w:rPr>
          <w:rFonts w:ascii="Arial" w:hAnsi="Arial" w:cs="Arial"/>
          <w:sz w:val="22"/>
          <w:szCs w:val="22"/>
        </w:rPr>
        <w:t>Available at:</w:t>
      </w:r>
      <w:r w:rsidRPr="002B3A2E">
        <w:rPr>
          <w:rFonts w:ascii="Arial" w:hAnsi="Arial" w:cs="Arial"/>
          <w:sz w:val="22"/>
          <w:szCs w:val="22"/>
        </w:rPr>
        <w:t>https://doi.org/10.1007/s00127-021-02028-6</w:t>
      </w:r>
      <w:r>
        <w:rPr>
          <w:rFonts w:ascii="Arial" w:hAnsi="Arial" w:cs="Arial"/>
          <w:sz w:val="22"/>
          <w:szCs w:val="22"/>
        </w:rPr>
        <w:t>. Accessed on 2</w:t>
      </w:r>
      <w:r w:rsidRPr="002B3A2E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July 2026.</w:t>
      </w:r>
    </w:p>
    <w:p w14:paraId="7CF0720B" w14:textId="4AAA4A3E" w:rsidR="00D51719" w:rsidRDefault="00D51719" w:rsidP="00D51719">
      <w:pPr>
        <w:rPr>
          <w:rFonts w:ascii="Arial" w:hAnsi="Arial" w:cs="Arial"/>
          <w:sz w:val="22"/>
          <w:szCs w:val="22"/>
        </w:rPr>
      </w:pPr>
      <w:r w:rsidRPr="00D51719">
        <w:rPr>
          <w:rFonts w:ascii="Arial" w:hAnsi="Arial" w:cs="Arial"/>
          <w:sz w:val="22"/>
          <w:szCs w:val="22"/>
        </w:rPr>
        <w:t xml:space="preserve">Biernacka, N., Talwar, S., &amp; Billings, J. (2024). </w:t>
      </w:r>
      <w:r>
        <w:rPr>
          <w:rFonts w:ascii="Arial" w:hAnsi="Arial" w:cs="Arial"/>
          <w:sz w:val="22"/>
          <w:szCs w:val="22"/>
        </w:rPr>
        <w:t>‘</w:t>
      </w:r>
      <w:r w:rsidRPr="00D51719">
        <w:rPr>
          <w:rFonts w:ascii="Arial" w:hAnsi="Arial" w:cs="Arial"/>
          <w:sz w:val="22"/>
          <w:szCs w:val="22"/>
        </w:rPr>
        <w:t>Trauma clinicians’ views of physical exercise as part of PTSD and complex PTSD treatment: A qualitative study.</w:t>
      </w:r>
      <w:r>
        <w:rPr>
          <w:rFonts w:ascii="Arial" w:hAnsi="Arial" w:cs="Arial"/>
          <w:sz w:val="22"/>
          <w:szCs w:val="22"/>
        </w:rPr>
        <w:t>’</w:t>
      </w:r>
      <w:r w:rsidRPr="00D51719">
        <w:rPr>
          <w:rFonts w:ascii="Arial" w:hAnsi="Arial" w:cs="Arial"/>
          <w:sz w:val="22"/>
          <w:szCs w:val="22"/>
        </w:rPr>
        <w:t xml:space="preserve"> </w:t>
      </w:r>
      <w:r w:rsidRPr="00D51719">
        <w:rPr>
          <w:rFonts w:ascii="Arial" w:hAnsi="Arial" w:cs="Arial"/>
          <w:i/>
          <w:iCs/>
          <w:sz w:val="22"/>
          <w:szCs w:val="22"/>
        </w:rPr>
        <w:t>PLOS Mental Health</w:t>
      </w:r>
      <w:r w:rsidRPr="00D51719">
        <w:rPr>
          <w:rFonts w:ascii="Arial" w:hAnsi="Arial" w:cs="Arial"/>
          <w:sz w:val="22"/>
          <w:szCs w:val="22"/>
        </w:rPr>
        <w:t xml:space="preserve">, </w:t>
      </w:r>
      <w:r w:rsidRPr="00D51719">
        <w:rPr>
          <w:rFonts w:ascii="Arial" w:hAnsi="Arial" w:cs="Arial"/>
          <w:i/>
          <w:iCs/>
          <w:sz w:val="22"/>
          <w:szCs w:val="22"/>
        </w:rPr>
        <w:lastRenderedPageBreak/>
        <w:t>1</w:t>
      </w:r>
      <w:r w:rsidRPr="00D51719">
        <w:rPr>
          <w:rFonts w:ascii="Arial" w:hAnsi="Arial" w:cs="Arial"/>
          <w:sz w:val="22"/>
          <w:szCs w:val="22"/>
        </w:rPr>
        <w:t xml:space="preserve">(4), e0000114. </w:t>
      </w:r>
      <w:r>
        <w:rPr>
          <w:rFonts w:ascii="Arial" w:hAnsi="Arial" w:cs="Arial"/>
          <w:sz w:val="22"/>
          <w:szCs w:val="22"/>
        </w:rPr>
        <w:t xml:space="preserve">Available at: </w:t>
      </w:r>
      <w:r w:rsidRPr="00D51719">
        <w:rPr>
          <w:rFonts w:ascii="Arial" w:hAnsi="Arial" w:cs="Arial"/>
          <w:sz w:val="22"/>
          <w:szCs w:val="22"/>
        </w:rPr>
        <w:t>https://doi.org/10.1371/journal.pmen.0000114</w:t>
      </w:r>
      <w:r>
        <w:rPr>
          <w:rFonts w:ascii="Arial" w:hAnsi="Arial" w:cs="Arial"/>
          <w:sz w:val="22"/>
          <w:szCs w:val="22"/>
        </w:rPr>
        <w:t>. Accessed on:</w:t>
      </w:r>
      <w:r w:rsidR="00710224">
        <w:rPr>
          <w:rFonts w:ascii="Arial" w:hAnsi="Arial" w:cs="Arial"/>
          <w:sz w:val="22"/>
          <w:szCs w:val="22"/>
        </w:rPr>
        <w:t xml:space="preserve"> 2</w:t>
      </w:r>
      <w:r w:rsidR="00710224" w:rsidRPr="00710224">
        <w:rPr>
          <w:rFonts w:ascii="Arial" w:hAnsi="Arial" w:cs="Arial"/>
          <w:sz w:val="22"/>
          <w:szCs w:val="22"/>
          <w:vertAlign w:val="superscript"/>
        </w:rPr>
        <w:t>nd</w:t>
      </w:r>
      <w:r w:rsidR="00710224">
        <w:rPr>
          <w:rFonts w:ascii="Arial" w:hAnsi="Arial" w:cs="Arial"/>
          <w:sz w:val="22"/>
          <w:szCs w:val="22"/>
        </w:rPr>
        <w:t xml:space="preserve"> July 2026.</w:t>
      </w:r>
    </w:p>
    <w:p w14:paraId="2AD91AA8" w14:textId="6921F8DE" w:rsidR="00E41B00" w:rsidRDefault="00E41B00" w:rsidP="00D51719">
      <w:pPr>
        <w:rPr>
          <w:rFonts w:ascii="Arial" w:hAnsi="Arial" w:cs="Arial"/>
          <w:sz w:val="22"/>
          <w:szCs w:val="22"/>
        </w:rPr>
      </w:pPr>
      <w:r w:rsidRPr="00E41B00">
        <w:rPr>
          <w:rFonts w:ascii="Arial" w:hAnsi="Arial" w:cs="Arial"/>
          <w:sz w:val="22"/>
          <w:szCs w:val="22"/>
        </w:rPr>
        <w:t>Katalan C, Unterrainer HF, Gelo OCG</w:t>
      </w:r>
      <w:r w:rsidR="00033C87">
        <w:rPr>
          <w:rFonts w:ascii="Arial" w:hAnsi="Arial" w:cs="Arial"/>
          <w:sz w:val="22"/>
          <w:szCs w:val="22"/>
        </w:rPr>
        <w:t>.</w:t>
      </w:r>
      <w:r w:rsidR="009241D3">
        <w:rPr>
          <w:rFonts w:ascii="Arial" w:hAnsi="Arial" w:cs="Arial"/>
          <w:sz w:val="22"/>
          <w:szCs w:val="22"/>
        </w:rPr>
        <w:t xml:space="preserve"> (2026). ‘</w:t>
      </w:r>
      <w:r w:rsidRPr="00E41B00">
        <w:rPr>
          <w:rFonts w:ascii="Arial" w:hAnsi="Arial" w:cs="Arial"/>
          <w:sz w:val="22"/>
          <w:szCs w:val="22"/>
        </w:rPr>
        <w:t>Psychotherapy for complex post-traumatic stress disorder: efficacy and therapeutic factors.</w:t>
      </w:r>
      <w:r w:rsidR="009241D3">
        <w:rPr>
          <w:rFonts w:ascii="Arial" w:hAnsi="Arial" w:cs="Arial"/>
          <w:sz w:val="22"/>
          <w:szCs w:val="22"/>
        </w:rPr>
        <w:t>’</w:t>
      </w:r>
      <w:r w:rsidRPr="00E41B00">
        <w:rPr>
          <w:rFonts w:ascii="Arial" w:hAnsi="Arial" w:cs="Arial"/>
          <w:sz w:val="22"/>
          <w:szCs w:val="22"/>
        </w:rPr>
        <w:t xml:space="preserve"> Front Psycho</w:t>
      </w:r>
      <w:r w:rsidR="005E335B">
        <w:rPr>
          <w:rFonts w:ascii="Arial" w:hAnsi="Arial" w:cs="Arial"/>
          <w:sz w:val="22"/>
          <w:szCs w:val="22"/>
        </w:rPr>
        <w:t xml:space="preserve">l. Available at: </w:t>
      </w:r>
      <w:hyperlink r:id="rId16" w:history="1">
        <w:r w:rsidR="00287199" w:rsidRPr="00287199">
          <w:rPr>
            <w:rStyle w:val="Hyperlink"/>
            <w:rFonts w:ascii="Arial" w:hAnsi="Arial" w:cs="Arial"/>
            <w:sz w:val="22"/>
            <w:szCs w:val="22"/>
          </w:rPr>
          <w:t>Psychotherapy for complex post-traumatic stress disorder: efficacy and therapeutic factors - PMC</w:t>
        </w:r>
      </w:hyperlink>
      <w:r w:rsidR="00287199">
        <w:rPr>
          <w:rFonts w:ascii="Arial" w:hAnsi="Arial" w:cs="Arial"/>
          <w:sz w:val="22"/>
          <w:szCs w:val="22"/>
        </w:rPr>
        <w:t>. Accessed on: 2</w:t>
      </w:r>
      <w:r w:rsidR="00287199" w:rsidRPr="00287199">
        <w:rPr>
          <w:rFonts w:ascii="Arial" w:hAnsi="Arial" w:cs="Arial"/>
          <w:sz w:val="22"/>
          <w:szCs w:val="22"/>
          <w:vertAlign w:val="superscript"/>
        </w:rPr>
        <w:t>nd</w:t>
      </w:r>
      <w:r w:rsidR="00287199">
        <w:rPr>
          <w:rFonts w:ascii="Arial" w:hAnsi="Arial" w:cs="Arial"/>
          <w:sz w:val="22"/>
          <w:szCs w:val="22"/>
        </w:rPr>
        <w:t xml:space="preserve"> July 2026.</w:t>
      </w:r>
    </w:p>
    <w:p w14:paraId="776141B0" w14:textId="114C4963" w:rsidR="00033C87" w:rsidRDefault="00BE509A" w:rsidP="00D51719">
      <w:pPr>
        <w:rPr>
          <w:rFonts w:ascii="Arial" w:hAnsi="Arial" w:cs="Arial"/>
          <w:sz w:val="22"/>
          <w:szCs w:val="22"/>
        </w:rPr>
      </w:pPr>
      <w:r w:rsidRPr="00BE509A">
        <w:rPr>
          <w:rFonts w:ascii="Arial" w:hAnsi="Arial" w:cs="Arial"/>
          <w:sz w:val="22"/>
          <w:szCs w:val="22"/>
        </w:rPr>
        <w:t xml:space="preserve">Gahnfelt, H., Weineland, S., Carlsson, P. F. G., &amp; Blomdahl, C. (2025). </w:t>
      </w:r>
      <w:r w:rsidR="00352B4C">
        <w:rPr>
          <w:rFonts w:ascii="Arial" w:hAnsi="Arial" w:cs="Arial"/>
          <w:sz w:val="22"/>
          <w:szCs w:val="22"/>
        </w:rPr>
        <w:t>‘</w:t>
      </w:r>
      <w:r w:rsidRPr="00BE509A">
        <w:rPr>
          <w:rFonts w:ascii="Arial" w:hAnsi="Arial" w:cs="Arial"/>
          <w:sz w:val="22"/>
          <w:szCs w:val="22"/>
        </w:rPr>
        <w:t>8-day intensive treatment programme for PTSD and complex PTSD vs treatment as usual: a clinical trial.</w:t>
      </w:r>
      <w:r w:rsidR="00352B4C">
        <w:rPr>
          <w:rFonts w:ascii="Arial" w:hAnsi="Arial" w:cs="Arial"/>
          <w:sz w:val="22"/>
          <w:szCs w:val="22"/>
        </w:rPr>
        <w:t>’</w:t>
      </w:r>
      <w:r w:rsidRPr="00BE509A">
        <w:rPr>
          <w:rFonts w:ascii="Arial" w:hAnsi="Arial" w:cs="Arial"/>
          <w:sz w:val="22"/>
          <w:szCs w:val="22"/>
        </w:rPr>
        <w:t> </w:t>
      </w:r>
      <w:r w:rsidRPr="00BE509A">
        <w:rPr>
          <w:rFonts w:ascii="Arial" w:hAnsi="Arial" w:cs="Arial"/>
          <w:i/>
          <w:iCs/>
          <w:sz w:val="22"/>
          <w:szCs w:val="22"/>
        </w:rPr>
        <w:t>European Journal of Psychotraumatology</w:t>
      </w:r>
      <w:r w:rsidRPr="00BE509A">
        <w:rPr>
          <w:rFonts w:ascii="Arial" w:hAnsi="Arial" w:cs="Arial"/>
          <w:sz w:val="22"/>
          <w:szCs w:val="22"/>
        </w:rPr>
        <w:t>, </w:t>
      </w:r>
      <w:r w:rsidRPr="00BE509A">
        <w:rPr>
          <w:rFonts w:ascii="Arial" w:hAnsi="Arial" w:cs="Arial"/>
          <w:i/>
          <w:iCs/>
          <w:sz w:val="22"/>
          <w:szCs w:val="22"/>
        </w:rPr>
        <w:t>16</w:t>
      </w:r>
      <w:r w:rsidRPr="00BE509A">
        <w:rPr>
          <w:rFonts w:ascii="Arial" w:hAnsi="Arial" w:cs="Arial"/>
          <w:sz w:val="22"/>
          <w:szCs w:val="22"/>
        </w:rPr>
        <w:t xml:space="preserve">(1), 2553422. </w:t>
      </w:r>
      <w:r w:rsidR="00352B4C">
        <w:rPr>
          <w:rFonts w:ascii="Arial" w:hAnsi="Arial" w:cs="Arial"/>
          <w:sz w:val="22"/>
          <w:szCs w:val="22"/>
        </w:rPr>
        <w:t xml:space="preserve">Available at: </w:t>
      </w:r>
      <w:r w:rsidRPr="00BE509A">
        <w:rPr>
          <w:rFonts w:ascii="Arial" w:hAnsi="Arial" w:cs="Arial"/>
          <w:sz w:val="22"/>
          <w:szCs w:val="22"/>
        </w:rPr>
        <w:t>https://doi.org/10.1080/20008066.2025.2553422</w:t>
      </w:r>
      <w:r w:rsidR="00352B4C">
        <w:rPr>
          <w:rFonts w:ascii="Arial" w:hAnsi="Arial" w:cs="Arial"/>
          <w:sz w:val="22"/>
          <w:szCs w:val="22"/>
        </w:rPr>
        <w:t>. Accessed on: 4</w:t>
      </w:r>
      <w:r w:rsidR="00352B4C" w:rsidRPr="00352B4C">
        <w:rPr>
          <w:rFonts w:ascii="Arial" w:hAnsi="Arial" w:cs="Arial"/>
          <w:sz w:val="22"/>
          <w:szCs w:val="22"/>
          <w:vertAlign w:val="superscript"/>
        </w:rPr>
        <w:t>th</w:t>
      </w:r>
      <w:r w:rsidR="00352B4C">
        <w:rPr>
          <w:rFonts w:ascii="Arial" w:hAnsi="Arial" w:cs="Arial"/>
          <w:sz w:val="22"/>
          <w:szCs w:val="22"/>
        </w:rPr>
        <w:t xml:space="preserve"> July 2026</w:t>
      </w:r>
    </w:p>
    <w:p w14:paraId="15084C75" w14:textId="767DF55A" w:rsidR="00DD6CE4" w:rsidRDefault="00DD6CE4" w:rsidP="00DD6CE4">
      <w:pPr>
        <w:rPr>
          <w:rFonts w:ascii="Arial" w:hAnsi="Arial" w:cs="Arial"/>
          <w:sz w:val="22"/>
          <w:szCs w:val="22"/>
        </w:rPr>
      </w:pPr>
      <w:r w:rsidRPr="00DD6CE4">
        <w:rPr>
          <w:rFonts w:ascii="Arial" w:hAnsi="Arial" w:cs="Arial"/>
          <w:sz w:val="22"/>
          <w:szCs w:val="22"/>
        </w:rPr>
        <w:t xml:space="preserve">Mahfir, A., &amp; Parameswari, J. (2026). </w:t>
      </w:r>
      <w:r w:rsidR="008E7308">
        <w:rPr>
          <w:rFonts w:ascii="Arial" w:hAnsi="Arial" w:cs="Arial"/>
          <w:sz w:val="22"/>
          <w:szCs w:val="22"/>
        </w:rPr>
        <w:t>‘</w:t>
      </w:r>
      <w:r w:rsidRPr="00DD6CE4">
        <w:rPr>
          <w:rFonts w:ascii="Arial" w:hAnsi="Arial" w:cs="Arial"/>
          <w:sz w:val="22"/>
          <w:szCs w:val="22"/>
        </w:rPr>
        <w:t>From Childhood Emotional Maltreatment to Disturbances in Self-Organisation: The Mediating Role of Parental Attachment in Clinically Referred Adolescents.</w:t>
      </w:r>
      <w:r w:rsidR="008E7308">
        <w:rPr>
          <w:rFonts w:ascii="Arial" w:hAnsi="Arial" w:cs="Arial"/>
          <w:sz w:val="22"/>
          <w:szCs w:val="22"/>
        </w:rPr>
        <w:t>’</w:t>
      </w:r>
      <w:r w:rsidRPr="00DD6CE4">
        <w:rPr>
          <w:rFonts w:ascii="Arial" w:hAnsi="Arial" w:cs="Arial"/>
          <w:sz w:val="22"/>
          <w:szCs w:val="22"/>
        </w:rPr>
        <w:t xml:space="preserve"> </w:t>
      </w:r>
      <w:r w:rsidRPr="00DD6CE4">
        <w:rPr>
          <w:rFonts w:ascii="Arial" w:hAnsi="Arial" w:cs="Arial"/>
          <w:i/>
          <w:iCs/>
          <w:sz w:val="22"/>
          <w:szCs w:val="22"/>
        </w:rPr>
        <w:t>International Journal on Child Maltreatment : Research, Policy and Practice</w:t>
      </w:r>
      <w:r w:rsidRPr="00DD6CE4">
        <w:rPr>
          <w:rFonts w:ascii="Arial" w:hAnsi="Arial" w:cs="Arial"/>
          <w:sz w:val="22"/>
          <w:szCs w:val="22"/>
        </w:rPr>
        <w:t xml:space="preserve">, </w:t>
      </w:r>
      <w:r w:rsidRPr="00DD6CE4">
        <w:rPr>
          <w:rFonts w:ascii="Arial" w:hAnsi="Arial" w:cs="Arial"/>
          <w:i/>
          <w:iCs/>
          <w:sz w:val="22"/>
          <w:szCs w:val="22"/>
        </w:rPr>
        <w:t>9</w:t>
      </w:r>
      <w:r w:rsidRPr="00DD6CE4">
        <w:rPr>
          <w:rFonts w:ascii="Arial" w:hAnsi="Arial" w:cs="Arial"/>
          <w:sz w:val="22"/>
          <w:szCs w:val="22"/>
        </w:rPr>
        <w:t xml:space="preserve">(2), 227–246. </w:t>
      </w:r>
      <w:r w:rsidR="008E7308">
        <w:rPr>
          <w:rFonts w:ascii="Arial" w:hAnsi="Arial" w:cs="Arial"/>
          <w:sz w:val="22"/>
          <w:szCs w:val="22"/>
        </w:rPr>
        <w:t xml:space="preserve">Available at: </w:t>
      </w:r>
      <w:r w:rsidRPr="00DD6CE4">
        <w:rPr>
          <w:rFonts w:ascii="Arial" w:hAnsi="Arial" w:cs="Arial"/>
          <w:sz w:val="22"/>
          <w:szCs w:val="22"/>
        </w:rPr>
        <w:t>https://doi.org/10.1007/s42448-026-00254-6</w:t>
      </w:r>
      <w:r w:rsidR="008E7308">
        <w:rPr>
          <w:rFonts w:ascii="Arial" w:hAnsi="Arial" w:cs="Arial"/>
          <w:sz w:val="22"/>
          <w:szCs w:val="22"/>
        </w:rPr>
        <w:t>. Accessed on: 3</w:t>
      </w:r>
      <w:r w:rsidR="008E7308" w:rsidRPr="008E7308">
        <w:rPr>
          <w:rFonts w:ascii="Arial" w:hAnsi="Arial" w:cs="Arial"/>
          <w:sz w:val="22"/>
          <w:szCs w:val="22"/>
          <w:vertAlign w:val="superscript"/>
        </w:rPr>
        <w:t>rd</w:t>
      </w:r>
      <w:r w:rsidR="008E7308">
        <w:rPr>
          <w:rFonts w:ascii="Arial" w:hAnsi="Arial" w:cs="Arial"/>
          <w:sz w:val="22"/>
          <w:szCs w:val="22"/>
        </w:rPr>
        <w:t xml:space="preserve"> July 2026.</w:t>
      </w:r>
    </w:p>
    <w:p w14:paraId="6973FF1E" w14:textId="0F78A238" w:rsidR="0046374E" w:rsidRPr="00DD6CE4" w:rsidRDefault="000E2FEC" w:rsidP="00DD6CE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Kahli</w:t>
      </w:r>
      <w:r w:rsidR="00213B8C">
        <w:rPr>
          <w:rFonts w:ascii="Arial" w:hAnsi="Arial" w:cs="Arial"/>
          <w:sz w:val="22"/>
          <w:szCs w:val="22"/>
        </w:rPr>
        <w:t>q</w:t>
      </w:r>
      <w:r>
        <w:rPr>
          <w:rFonts w:ascii="Arial" w:hAnsi="Arial" w:cs="Arial"/>
          <w:sz w:val="22"/>
          <w:szCs w:val="22"/>
        </w:rPr>
        <w:t xml:space="preserve">, R. (2023). </w:t>
      </w:r>
      <w:r w:rsidR="00213B8C">
        <w:rPr>
          <w:rFonts w:ascii="Arial" w:hAnsi="Arial" w:cs="Arial"/>
          <w:sz w:val="22"/>
          <w:szCs w:val="22"/>
        </w:rPr>
        <w:t>‘</w:t>
      </w:r>
      <w:r w:rsidR="00213B8C" w:rsidRPr="00213B8C">
        <w:rPr>
          <w:rFonts w:ascii="Arial" w:hAnsi="Arial" w:cs="Arial"/>
          <w:sz w:val="22"/>
          <w:szCs w:val="22"/>
        </w:rPr>
        <w:t>What is an Online Complex PTSD Assessment?</w:t>
      </w:r>
      <w:r w:rsidR="00F23AF1">
        <w:rPr>
          <w:rFonts w:ascii="Arial" w:hAnsi="Arial" w:cs="Arial"/>
          <w:sz w:val="22"/>
          <w:szCs w:val="22"/>
        </w:rPr>
        <w:t>’</w:t>
      </w:r>
      <w:r w:rsidR="00213B8C">
        <w:rPr>
          <w:rFonts w:ascii="Arial" w:hAnsi="Arial" w:cs="Arial"/>
          <w:sz w:val="22"/>
          <w:szCs w:val="22"/>
        </w:rPr>
        <w:t xml:space="preserve"> </w:t>
      </w:r>
      <w:r w:rsidR="00B137A8" w:rsidRPr="00B137A8">
        <w:rPr>
          <w:rFonts w:ascii="Arial" w:hAnsi="Arial" w:cs="Arial"/>
          <w:i/>
          <w:iCs/>
          <w:sz w:val="22"/>
          <w:szCs w:val="22"/>
        </w:rPr>
        <w:t>Med Vidi</w:t>
      </w:r>
      <w:r w:rsidR="00B137A8">
        <w:rPr>
          <w:rFonts w:ascii="Arial" w:hAnsi="Arial" w:cs="Arial"/>
          <w:sz w:val="22"/>
          <w:szCs w:val="22"/>
        </w:rPr>
        <w:t xml:space="preserve">. Available at: </w:t>
      </w:r>
      <w:r w:rsidR="00B137A8" w:rsidRPr="00B137A8">
        <w:rPr>
          <w:rFonts w:ascii="Arial" w:hAnsi="Arial" w:cs="Arial"/>
          <w:sz w:val="22"/>
          <w:szCs w:val="22"/>
        </w:rPr>
        <w:t>https://medvidi.com/blog/complex-ptsd-cptsd-test</w:t>
      </w:r>
      <w:r w:rsidR="00B137A8">
        <w:rPr>
          <w:rFonts w:ascii="Arial" w:hAnsi="Arial" w:cs="Arial"/>
          <w:sz w:val="22"/>
          <w:szCs w:val="22"/>
        </w:rPr>
        <w:t>. Accessed on: 4</w:t>
      </w:r>
      <w:r w:rsidR="00B137A8" w:rsidRPr="00B137A8">
        <w:rPr>
          <w:rFonts w:ascii="Arial" w:hAnsi="Arial" w:cs="Arial"/>
          <w:sz w:val="22"/>
          <w:szCs w:val="22"/>
          <w:vertAlign w:val="superscript"/>
        </w:rPr>
        <w:t>th</w:t>
      </w:r>
      <w:r w:rsidR="00B137A8">
        <w:rPr>
          <w:rFonts w:ascii="Arial" w:hAnsi="Arial" w:cs="Arial"/>
          <w:sz w:val="22"/>
          <w:szCs w:val="22"/>
        </w:rPr>
        <w:t xml:space="preserve"> July 2026</w:t>
      </w:r>
    </w:p>
    <w:p w14:paraId="527FF968" w14:textId="77777777" w:rsidR="00DD6CE4" w:rsidRPr="00D51719" w:rsidRDefault="00DD6CE4" w:rsidP="00D51719">
      <w:pPr>
        <w:rPr>
          <w:rFonts w:ascii="Arial" w:hAnsi="Arial" w:cs="Arial"/>
          <w:sz w:val="22"/>
          <w:szCs w:val="22"/>
        </w:rPr>
      </w:pPr>
    </w:p>
    <w:p w14:paraId="35592C95" w14:textId="77777777" w:rsidR="00824CFF" w:rsidRPr="002D0AB8" w:rsidRDefault="00824CFF">
      <w:pPr>
        <w:rPr>
          <w:rFonts w:ascii="Arial" w:hAnsi="Arial" w:cs="Arial"/>
          <w:sz w:val="22"/>
          <w:szCs w:val="22"/>
        </w:rPr>
      </w:pPr>
    </w:p>
    <w:sectPr w:rsidR="00824CFF" w:rsidRPr="002D0A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AB8"/>
    <w:rsid w:val="00033C87"/>
    <w:rsid w:val="0007610C"/>
    <w:rsid w:val="00093531"/>
    <w:rsid w:val="000E2FEC"/>
    <w:rsid w:val="00195FD3"/>
    <w:rsid w:val="00213B8C"/>
    <w:rsid w:val="00287199"/>
    <w:rsid w:val="002B050B"/>
    <w:rsid w:val="002B3A2E"/>
    <w:rsid w:val="002D0AB8"/>
    <w:rsid w:val="002E74CB"/>
    <w:rsid w:val="00352B4C"/>
    <w:rsid w:val="00360287"/>
    <w:rsid w:val="003E6055"/>
    <w:rsid w:val="0046374E"/>
    <w:rsid w:val="004A78A4"/>
    <w:rsid w:val="005478AA"/>
    <w:rsid w:val="00573AFB"/>
    <w:rsid w:val="005E335B"/>
    <w:rsid w:val="00710224"/>
    <w:rsid w:val="00802772"/>
    <w:rsid w:val="00824CFF"/>
    <w:rsid w:val="008B234C"/>
    <w:rsid w:val="008E7308"/>
    <w:rsid w:val="009241D3"/>
    <w:rsid w:val="009E2DE7"/>
    <w:rsid w:val="00A12E72"/>
    <w:rsid w:val="00A96734"/>
    <w:rsid w:val="00B137A8"/>
    <w:rsid w:val="00B63517"/>
    <w:rsid w:val="00BE509A"/>
    <w:rsid w:val="00C03500"/>
    <w:rsid w:val="00C507D2"/>
    <w:rsid w:val="00D51719"/>
    <w:rsid w:val="00DD6CE4"/>
    <w:rsid w:val="00E05DA5"/>
    <w:rsid w:val="00E41B00"/>
    <w:rsid w:val="00EA1336"/>
    <w:rsid w:val="00F23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66B9E"/>
  <w15:chartTrackingRefBased/>
  <w15:docId w15:val="{54ED86C8-7641-4D43-8A10-E0E70ED13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A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0A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A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A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A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A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A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A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0A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0A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0A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0A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A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A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A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A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A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0A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0A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0A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0A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0A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0A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0A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0A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0A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0A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0A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0A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0A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0A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per0000346" TargetMode="External"/><Relationship Id="rId13" Type="http://schemas.openxmlformats.org/officeDocument/2006/relationships/hyperlink" Target="https://doi.org/10.1002/jts.21697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doi.org/10.1002/jts.20444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pmc.ncbi.nlm.nih.gov/articles/PMC12926351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robertduworsphd.com/wp-content/uploads/2022/09/Complex-PTSD-A-Syndrome-in-Survivors-of-Prolonged-and-Repeated-Trauma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111/papt.12429" TargetMode="External"/><Relationship Id="rId10" Type="http://schemas.openxmlformats.org/officeDocument/2006/relationships/hyperlink" Target="https://icd.who.int/ct/icd11_mms/en/release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11/acps.12771" TargetMode="External"/><Relationship Id="rId14" Type="http://schemas.openxmlformats.org/officeDocument/2006/relationships/hyperlink" Target="https://cptsdfoundation.org/2019/06/17/the-history-of-post-traumatic-stress-disorder-complex-post-traumatic-stress-disorder-and-an-introduction-to-emotional-flashbac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7a85f05058ebae9dc3ebb42f739d553c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080e2e472cb913ab1342d54ef6826531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18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A76AFF36-D393-4003-8878-08CAF6C8E5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475871-C6D6-41D6-A69A-04BEC28E78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416730-8EDA-4636-8073-D254FCE25DBE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412</TotalTime>
  <Pages>4</Pages>
  <Words>769</Words>
  <Characters>4389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Cherelle Moran (2328226)</dc:creator>
  <cp:keywords/>
  <dc:description/>
  <cp:lastModifiedBy>Cherelle Moran (2328226)</cp:lastModifiedBy>
  <cp:revision>27</cp:revision>
  <dcterms:created xsi:type="dcterms:W3CDTF">2026-07-02T14:35:00Z</dcterms:created>
  <dcterms:modified xsi:type="dcterms:W3CDTF">2026-07-05T22:50:00Z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d75e64da-8669-4def-a3ab-9e9514ce906e</vt:lpwstr>
  </property>
  <property fmtid="{D5CDD505-2E9C-101B-9397-08002B2CF9AE}" pid="3" name="ContentTypeId">
    <vt:lpwstr>0x010100E3345881D5A19F4FA532CBA535E9E684</vt:lpwstr>
  </property>
</Properties>
</file>