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E6160F" w14:textId="77777777" w:rsidR="000403A2" w:rsidRPr="006E2953" w:rsidRDefault="000403A2" w:rsidP="006E2953">
      <w:pPr>
        <w:spacing w:line="480" w:lineRule="auto"/>
        <w:rPr>
          <w:rFonts w:ascii="Arial" w:hAnsi="Arial" w:cs="Arial"/>
          <w:color w:val="1E1E1E"/>
          <w:sz w:val="24"/>
          <w:szCs w:val="24"/>
          <w:shd w:val="clear" w:color="auto" w:fill="FFFFFF"/>
        </w:rPr>
      </w:pPr>
      <w:r w:rsidRPr="000403A2">
        <w:rPr>
          <w:rFonts w:ascii="Arial" w:hAnsi="Arial" w:cs="Arial"/>
          <w:color w:val="1E1E1E"/>
          <w:sz w:val="24"/>
          <w:szCs w:val="24"/>
          <w:shd w:val="clear" w:color="auto" w:fill="FFFFFF"/>
        </w:rPr>
        <w:t>When analysing the fictional scenarios presented, there are numerous potential offences Vinnie may be liable for; throughout this essay, the appropriate offences will be identified by considering pertinent legislation, the actus reus and mens rea and any applicable case law to gain a comprehensive knowledge of each offence and ascertain Vinnies potential culpability.</w:t>
      </w:r>
    </w:p>
    <w:p w14:paraId="7239B6B4" w14:textId="77777777" w:rsidR="000403A2" w:rsidRPr="000403A2" w:rsidRDefault="000403A2" w:rsidP="006E2953">
      <w:pPr>
        <w:spacing w:line="480" w:lineRule="auto"/>
        <w:rPr>
          <w:rFonts w:ascii="Arial" w:hAnsi="Arial" w:cs="Arial"/>
          <w:color w:val="1E1E1E"/>
          <w:sz w:val="24"/>
          <w:szCs w:val="24"/>
          <w:shd w:val="clear" w:color="auto" w:fill="FFFFFF"/>
        </w:rPr>
      </w:pPr>
    </w:p>
    <w:p w14:paraId="3EE92227" w14:textId="77777777" w:rsidR="000403A2" w:rsidRPr="006E2953" w:rsidRDefault="000403A2" w:rsidP="006E2953">
      <w:pPr>
        <w:spacing w:line="480" w:lineRule="auto"/>
        <w:rPr>
          <w:rFonts w:ascii="Arial" w:hAnsi="Arial" w:cs="Arial"/>
          <w:color w:val="1E1E1E"/>
          <w:sz w:val="24"/>
          <w:szCs w:val="24"/>
          <w:shd w:val="clear" w:color="auto" w:fill="FFFFFF"/>
        </w:rPr>
      </w:pPr>
      <w:r w:rsidRPr="000403A2">
        <w:rPr>
          <w:rFonts w:ascii="Arial" w:hAnsi="Arial" w:cs="Arial"/>
          <w:color w:val="1E1E1E"/>
          <w:sz w:val="24"/>
          <w:szCs w:val="24"/>
          <w:shd w:val="clear" w:color="auto" w:fill="FFFFFF"/>
        </w:rPr>
        <w:t>Due to Vinnie's financial situation, Vinnie took it upon himself to go into one of the bedrooms of an elderly person he cares for to locate a stash of money they had foremost mentioned; despite this, Vinnie was unsuccessful in finding the money he instead uncovered a vintage watch he took in longing of selling it. Disregarding criminal offences, this is immoral; Vinnie had a duty of care to the elderly he looked after and was in a position of power by working at the care home and abused this power. Vinnie may have behaved irrationally due to his financial burden-induced stress; it is integral to regard Vinnie's circumstances and why he did such actions.</w:t>
      </w:r>
    </w:p>
    <w:p w14:paraId="7B5E5E9F" w14:textId="77777777" w:rsidR="000403A2" w:rsidRPr="000403A2" w:rsidRDefault="000403A2" w:rsidP="006E2953">
      <w:pPr>
        <w:spacing w:line="480" w:lineRule="auto"/>
        <w:rPr>
          <w:rFonts w:ascii="Arial" w:hAnsi="Arial" w:cs="Arial"/>
          <w:color w:val="1E1E1E"/>
          <w:sz w:val="24"/>
          <w:szCs w:val="24"/>
          <w:shd w:val="clear" w:color="auto" w:fill="FFFFFF"/>
        </w:rPr>
      </w:pPr>
    </w:p>
    <w:p w14:paraId="10D010CE" w14:textId="2F97A449" w:rsidR="000403A2" w:rsidRPr="006E2953" w:rsidRDefault="000403A2" w:rsidP="006E2953">
      <w:pPr>
        <w:spacing w:line="480" w:lineRule="auto"/>
        <w:rPr>
          <w:rFonts w:ascii="Arial" w:hAnsi="Arial" w:cs="Arial"/>
          <w:color w:val="1E1E1E"/>
          <w:sz w:val="24"/>
          <w:szCs w:val="24"/>
          <w:shd w:val="clear" w:color="auto" w:fill="FFFFFF"/>
        </w:rPr>
      </w:pPr>
      <w:r w:rsidRPr="000403A2">
        <w:rPr>
          <w:rFonts w:ascii="Arial" w:hAnsi="Arial" w:cs="Arial"/>
          <w:color w:val="1E1E1E"/>
          <w:sz w:val="24"/>
          <w:szCs w:val="24"/>
          <w:shd w:val="clear" w:color="auto" w:fill="FFFFFF"/>
        </w:rPr>
        <w:t xml:space="preserve">The first offence Vinnie could be liable for is theft; according to the </w:t>
      </w:r>
      <w:r w:rsidRPr="000403A2">
        <w:rPr>
          <w:rFonts w:ascii="Arial" w:hAnsi="Arial" w:cs="Arial"/>
          <w:i/>
          <w:iCs/>
          <w:color w:val="1E1E1E"/>
          <w:sz w:val="24"/>
          <w:szCs w:val="24"/>
          <w:shd w:val="clear" w:color="auto" w:fill="FFFFFF"/>
        </w:rPr>
        <w:t>Theft Act 1961</w:t>
      </w:r>
      <w:r w:rsidRPr="000403A2">
        <w:rPr>
          <w:rFonts w:ascii="Arial" w:hAnsi="Arial" w:cs="Arial"/>
          <w:color w:val="1E1E1E"/>
          <w:sz w:val="24"/>
          <w:szCs w:val="24"/>
          <w:shd w:val="clear" w:color="auto" w:fill="FFFFFF"/>
        </w:rPr>
        <w:t xml:space="preserve"> (s.3.1), theft is when someone assumes ownership of something that amounts to appropriation, whether the person stole it or not; additionally, if the person later assumes they own the object or keep it, it is also considered appropriation. The actus rea of theft is appropriating property that belongs to another, and the mens rea is a dishonest intent to deprive permanently. Vinnie meets the actus reus of this offence due to taking the watch despite not being the person it belongs to for financial gain. The dishonesty element of the mens rea was specified in </w:t>
      </w:r>
      <w:r w:rsidR="00AB6B71"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Ivey V Genting Casinos</w:t>
      </w:r>
      <w:r w:rsidR="00AB6B71"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 xml:space="preserve"> (2017). The test contains two elements: a subjective test and an objective test; the subjective test questions whether the defendant acted dishonestly </w:t>
      </w:r>
      <w:r w:rsidRPr="000403A2">
        <w:rPr>
          <w:rFonts w:ascii="Arial" w:hAnsi="Arial" w:cs="Arial"/>
          <w:color w:val="1E1E1E"/>
          <w:sz w:val="24"/>
          <w:szCs w:val="24"/>
          <w:shd w:val="clear" w:color="auto" w:fill="FFFFFF"/>
        </w:rPr>
        <w:lastRenderedPageBreak/>
        <w:t>based on their own beliefs, and the objective test is used to grasp whether a reasonable, standard individual would perceive the individual's actions to be dishonest. Regarding the subjective test, it can be deduced that Vinnie would find his actions dishonest; working in a care home postulates that Vinnie does not have a previous record of crime; it would be a paradox if Vinny stated that what he did was not dishonest. Vinnie would also meet the objective test; as previously mentioned, it is immoral to perform such acts, and an average person would perceive stealing as dishonest.</w:t>
      </w:r>
    </w:p>
    <w:p w14:paraId="18D570E4" w14:textId="77777777" w:rsidR="000403A2" w:rsidRPr="000403A2" w:rsidRDefault="000403A2" w:rsidP="006E2953">
      <w:pPr>
        <w:spacing w:line="480" w:lineRule="auto"/>
        <w:rPr>
          <w:rFonts w:ascii="Arial" w:hAnsi="Arial" w:cs="Arial"/>
          <w:color w:val="1E1E1E"/>
          <w:sz w:val="24"/>
          <w:szCs w:val="24"/>
          <w:shd w:val="clear" w:color="auto" w:fill="FFFFFF"/>
        </w:rPr>
      </w:pPr>
    </w:p>
    <w:p w14:paraId="19217220" w14:textId="793BA811" w:rsidR="000403A2" w:rsidRPr="006E2953" w:rsidRDefault="000403A2" w:rsidP="006E2953">
      <w:pPr>
        <w:spacing w:line="480" w:lineRule="auto"/>
        <w:rPr>
          <w:rFonts w:ascii="Arial" w:hAnsi="Arial" w:cs="Arial"/>
          <w:color w:val="1E1E1E"/>
          <w:sz w:val="24"/>
          <w:szCs w:val="24"/>
          <w:shd w:val="clear" w:color="auto" w:fill="FFFFFF"/>
        </w:rPr>
      </w:pPr>
      <w:r w:rsidRPr="000403A2">
        <w:rPr>
          <w:rFonts w:ascii="Arial" w:hAnsi="Arial" w:cs="Arial"/>
          <w:color w:val="1E1E1E"/>
          <w:sz w:val="24"/>
          <w:szCs w:val="24"/>
          <w:shd w:val="clear" w:color="auto" w:fill="FFFFFF"/>
        </w:rPr>
        <w:t>The subsequent potential offence is aggravated trespassing (</w:t>
      </w:r>
      <w:r w:rsidRPr="000403A2">
        <w:rPr>
          <w:rFonts w:ascii="Arial" w:hAnsi="Arial" w:cs="Arial"/>
          <w:i/>
          <w:iCs/>
          <w:color w:val="1E1E1E"/>
          <w:sz w:val="24"/>
          <w:szCs w:val="24"/>
          <w:shd w:val="clear" w:color="auto" w:fill="FFFFFF"/>
        </w:rPr>
        <w:t>The Criminal Justice and Public Order Act</w:t>
      </w:r>
      <w:r w:rsidR="007D0F38" w:rsidRPr="006E2953">
        <w:rPr>
          <w:rFonts w:ascii="Arial" w:hAnsi="Arial" w:cs="Arial"/>
          <w:i/>
          <w:iCs/>
          <w:color w:val="1E1E1E"/>
          <w:sz w:val="24"/>
          <w:szCs w:val="24"/>
          <w:shd w:val="clear" w:color="auto" w:fill="FFFFFF"/>
        </w:rPr>
        <w:t>,</w:t>
      </w:r>
      <w:r w:rsidRPr="000403A2">
        <w:rPr>
          <w:rFonts w:ascii="Arial" w:hAnsi="Arial" w:cs="Arial"/>
          <w:i/>
          <w:iCs/>
          <w:color w:val="1E1E1E"/>
          <w:sz w:val="24"/>
          <w:szCs w:val="24"/>
          <w:shd w:val="clear" w:color="auto" w:fill="FFFFFF"/>
        </w:rPr>
        <w:t xml:space="preserve"> 1994</w:t>
      </w:r>
      <w:r w:rsidRPr="000403A2">
        <w:rPr>
          <w:rFonts w:ascii="Arial" w:hAnsi="Arial" w:cs="Arial"/>
          <w:color w:val="1E1E1E"/>
          <w:sz w:val="24"/>
          <w:szCs w:val="24"/>
          <w:shd w:val="clear" w:color="auto" w:fill="FFFFFF"/>
        </w:rPr>
        <w:t>). The actus reus would be trespassing with the intent to commit a crime, and the mens reas is intent to intimidate, obstruct or disrupt the lawful activity of others. </w:t>
      </w:r>
      <w:r w:rsidR="00852B49"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 xml:space="preserve">Director of Public Prosecutions v Bailey &amp; </w:t>
      </w:r>
      <w:proofErr w:type="spellStart"/>
      <w:r w:rsidRPr="000403A2">
        <w:rPr>
          <w:rFonts w:ascii="Arial" w:hAnsi="Arial" w:cs="Arial"/>
          <w:color w:val="1E1E1E"/>
          <w:sz w:val="24"/>
          <w:szCs w:val="24"/>
          <w:shd w:val="clear" w:color="auto" w:fill="FFFFFF"/>
        </w:rPr>
        <w:t>Ors</w:t>
      </w:r>
      <w:r w:rsidR="00852B49" w:rsidRPr="006E2953">
        <w:rPr>
          <w:rFonts w:ascii="Arial" w:hAnsi="Arial" w:cs="Arial"/>
          <w:color w:val="1E1E1E"/>
          <w:sz w:val="24"/>
          <w:szCs w:val="24"/>
          <w:shd w:val="clear" w:color="auto" w:fill="FFFFFF"/>
        </w:rPr>
        <w:t>’</w:t>
      </w:r>
      <w:proofErr w:type="spellEnd"/>
      <w:r w:rsidRPr="000403A2">
        <w:rPr>
          <w:rFonts w:ascii="Arial" w:hAnsi="Arial" w:cs="Arial"/>
          <w:color w:val="1E1E1E"/>
          <w:sz w:val="24"/>
          <w:szCs w:val="24"/>
          <w:shd w:val="clear" w:color="auto" w:fill="FFFFFF"/>
        </w:rPr>
        <w:t xml:space="preserve"> </w:t>
      </w:r>
      <w:r w:rsidR="00852B49"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2022</w:t>
      </w:r>
      <w:r w:rsidR="00852B49" w:rsidRPr="006E2953">
        <w:rPr>
          <w:rFonts w:ascii="Arial" w:hAnsi="Arial" w:cs="Arial"/>
          <w:color w:val="1E1E1E"/>
          <w:sz w:val="24"/>
          <w:szCs w:val="24"/>
          <w:shd w:val="clear" w:color="auto" w:fill="FFFFFF"/>
        </w:rPr>
        <w:t>)</w:t>
      </w:r>
      <w:r w:rsidR="00852B49" w:rsidRPr="006E2953">
        <w:rPr>
          <w:rFonts w:ascii="Arial" w:hAnsi="Arial" w:cs="Arial"/>
          <w:color w:val="1E1E1E"/>
          <w:sz w:val="24"/>
          <w:szCs w:val="24"/>
          <w:u w:val="single"/>
          <w:shd w:val="clear" w:color="auto" w:fill="FFFFFF"/>
        </w:rPr>
        <w:t xml:space="preserve"> </w:t>
      </w:r>
      <w:r w:rsidRPr="000403A2">
        <w:rPr>
          <w:rFonts w:ascii="Arial" w:hAnsi="Arial" w:cs="Arial"/>
          <w:color w:val="1E1E1E"/>
          <w:sz w:val="24"/>
          <w:szCs w:val="24"/>
          <w:shd w:val="clear" w:color="auto" w:fill="FFFFFF"/>
        </w:rPr>
        <w:t>highlights there is not a mens rea for the trespassing element. However, </w:t>
      </w:r>
      <w:r w:rsidR="00852B49"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R v Jones and Smith</w:t>
      </w:r>
      <w:r w:rsidR="00852B49"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 xml:space="preserve"> </w:t>
      </w:r>
      <w:r w:rsidR="00852B49"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1976</w:t>
      </w:r>
      <w:r w:rsidR="00852B49"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 concluded that despite the defendant having permission to be in the room or building since they stole and used their permission unlawfully, it is still trespassing; this substantiates that Vinnie was trespassing by stealing from the individual's room. Vinnie meets the actus reus of this offence due to going into the room intending to steal; he also meets the mens rea as he disrupts the elderly person by stealing his watch.</w:t>
      </w:r>
    </w:p>
    <w:p w14:paraId="16E46F25" w14:textId="77777777" w:rsidR="000403A2" w:rsidRPr="000403A2" w:rsidRDefault="000403A2" w:rsidP="006E2953">
      <w:pPr>
        <w:spacing w:line="480" w:lineRule="auto"/>
        <w:rPr>
          <w:rFonts w:ascii="Arial" w:hAnsi="Arial" w:cs="Arial"/>
          <w:color w:val="1E1E1E"/>
          <w:sz w:val="24"/>
          <w:szCs w:val="24"/>
          <w:shd w:val="clear" w:color="auto" w:fill="FFFFFF"/>
        </w:rPr>
      </w:pPr>
    </w:p>
    <w:p w14:paraId="3323ED73" w14:textId="7F0C85CE" w:rsidR="000403A2" w:rsidRPr="006E2953" w:rsidRDefault="000403A2" w:rsidP="006E2953">
      <w:pPr>
        <w:spacing w:line="480" w:lineRule="auto"/>
        <w:rPr>
          <w:rFonts w:ascii="Arial" w:hAnsi="Arial" w:cs="Arial"/>
          <w:color w:val="1E1E1E"/>
          <w:sz w:val="24"/>
          <w:szCs w:val="24"/>
          <w:shd w:val="clear" w:color="auto" w:fill="FFFFFF"/>
        </w:rPr>
      </w:pPr>
      <w:r w:rsidRPr="000403A2">
        <w:rPr>
          <w:rFonts w:ascii="Arial" w:hAnsi="Arial" w:cs="Arial"/>
          <w:color w:val="1E1E1E"/>
          <w:sz w:val="24"/>
          <w:szCs w:val="24"/>
          <w:shd w:val="clear" w:color="auto" w:fill="FFFFFF"/>
        </w:rPr>
        <w:t>However, burglary found in section 9 of the </w:t>
      </w:r>
      <w:r w:rsidRPr="000403A2">
        <w:rPr>
          <w:rFonts w:ascii="Arial" w:hAnsi="Arial" w:cs="Arial"/>
          <w:i/>
          <w:iCs/>
          <w:color w:val="1E1E1E"/>
          <w:sz w:val="24"/>
          <w:szCs w:val="24"/>
          <w:shd w:val="clear" w:color="auto" w:fill="FFFFFF"/>
        </w:rPr>
        <w:t>Theft Act 1968</w:t>
      </w:r>
      <w:r w:rsidRPr="000403A2">
        <w:rPr>
          <w:rFonts w:ascii="Arial" w:hAnsi="Arial" w:cs="Arial"/>
          <w:color w:val="1E1E1E"/>
          <w:sz w:val="24"/>
          <w:szCs w:val="24"/>
          <w:shd w:val="clear" w:color="auto" w:fill="FFFFFF"/>
        </w:rPr>
        <w:t xml:space="preserve"> may be more applicable to the nature of Vinnie's actions. It has already been established that Vinnie has trespassed despite being in the building of his job, and the actus reus of burglary is that the defendant entered a building or part of the building as a trespasser. When </w:t>
      </w:r>
      <w:r w:rsidRPr="000403A2">
        <w:rPr>
          <w:rFonts w:ascii="Arial" w:hAnsi="Arial" w:cs="Arial"/>
          <w:color w:val="1E1E1E"/>
          <w:sz w:val="24"/>
          <w:szCs w:val="24"/>
          <w:shd w:val="clear" w:color="auto" w:fill="FFFFFF"/>
        </w:rPr>
        <w:lastRenderedPageBreak/>
        <w:t xml:space="preserve">Vinnie enters the room, he meets the part about the building aspect of the Actus rea. The mens rea of burglary is intent to steal, inflict GBH or commit criminal damage while knowing or being reckless as to trespassing. Vinnie had the mens rea for burglary as he had the intention to steal and, despite not finding what he was looking for, proceeded to find another thing to take; Vinnie trespassed recklessly as it is pragmatic to presume Vinnie did not </w:t>
      </w:r>
      <w:r w:rsidR="00852B49" w:rsidRPr="006E2953">
        <w:rPr>
          <w:rFonts w:ascii="Arial" w:hAnsi="Arial" w:cs="Arial"/>
          <w:color w:val="1E1E1E"/>
          <w:sz w:val="24"/>
          <w:szCs w:val="24"/>
          <w:shd w:val="clear" w:color="auto" w:fill="FFFFFF"/>
        </w:rPr>
        <w:t>recognise,</w:t>
      </w:r>
      <w:r w:rsidRPr="000403A2">
        <w:rPr>
          <w:rFonts w:ascii="Arial" w:hAnsi="Arial" w:cs="Arial"/>
          <w:color w:val="1E1E1E"/>
          <w:sz w:val="24"/>
          <w:szCs w:val="24"/>
          <w:shd w:val="clear" w:color="auto" w:fill="FFFFFF"/>
        </w:rPr>
        <w:t xml:space="preserve"> he was trespassing. Burglary would, therefore, be the offence Vinnie met by taking the watch. </w:t>
      </w:r>
    </w:p>
    <w:p w14:paraId="401791A7" w14:textId="77777777" w:rsidR="000403A2" w:rsidRPr="000403A2" w:rsidRDefault="000403A2" w:rsidP="006E2953">
      <w:pPr>
        <w:spacing w:line="480" w:lineRule="auto"/>
        <w:rPr>
          <w:rFonts w:ascii="Arial" w:hAnsi="Arial" w:cs="Arial"/>
          <w:color w:val="1E1E1E"/>
          <w:sz w:val="24"/>
          <w:szCs w:val="24"/>
          <w:shd w:val="clear" w:color="auto" w:fill="FFFFFF"/>
        </w:rPr>
      </w:pPr>
    </w:p>
    <w:p w14:paraId="0459149F" w14:textId="77777777" w:rsidR="000403A2" w:rsidRPr="006E2953" w:rsidRDefault="000403A2" w:rsidP="006E2953">
      <w:pPr>
        <w:spacing w:line="480" w:lineRule="auto"/>
        <w:rPr>
          <w:rFonts w:ascii="Arial" w:hAnsi="Arial" w:cs="Arial"/>
          <w:color w:val="1E1E1E"/>
          <w:sz w:val="24"/>
          <w:szCs w:val="24"/>
          <w:shd w:val="clear" w:color="auto" w:fill="FFFFFF"/>
        </w:rPr>
      </w:pPr>
      <w:r w:rsidRPr="000403A2">
        <w:rPr>
          <w:rFonts w:ascii="Arial" w:hAnsi="Arial" w:cs="Arial"/>
          <w:color w:val="1E1E1E"/>
          <w:sz w:val="24"/>
          <w:szCs w:val="24"/>
          <w:shd w:val="clear" w:color="auto" w:fill="FFFFFF"/>
        </w:rPr>
        <w:t>The next part of the scenario declares that a manager informed Vinnie that Louise had made a formal complaint against him. Vinnie and Louise never saw eye to eye, and since Vinnie's car was parked next to Louise's, he decided to run his keys along the side panels of her car in wrath, which induced visible damage. Vinnie can now be held liable for another offence due to causing criminal damage to Louise's car. This is not ethical, but Vinnie may have had a lot of built hatred against Louise as they have never got along so that the complaint may have pushed him over the edge. However, the manager is liable for disclosing who filed the complaint against Vinnie, which should have been kept secret. </w:t>
      </w:r>
    </w:p>
    <w:p w14:paraId="1691F333" w14:textId="77777777" w:rsidR="000403A2" w:rsidRPr="000403A2" w:rsidRDefault="000403A2" w:rsidP="006E2953">
      <w:pPr>
        <w:spacing w:line="480" w:lineRule="auto"/>
        <w:rPr>
          <w:rFonts w:ascii="Arial" w:hAnsi="Arial" w:cs="Arial"/>
          <w:color w:val="1E1E1E"/>
          <w:sz w:val="24"/>
          <w:szCs w:val="24"/>
          <w:shd w:val="clear" w:color="auto" w:fill="FFFFFF"/>
        </w:rPr>
      </w:pPr>
    </w:p>
    <w:p w14:paraId="6878C1F2" w14:textId="7BEFE226" w:rsidR="000403A2" w:rsidRPr="000403A2" w:rsidRDefault="000403A2" w:rsidP="006E2953">
      <w:pPr>
        <w:spacing w:line="480" w:lineRule="auto"/>
        <w:rPr>
          <w:rFonts w:ascii="Arial" w:hAnsi="Arial" w:cs="Arial"/>
          <w:color w:val="1E1E1E"/>
          <w:sz w:val="24"/>
          <w:szCs w:val="24"/>
          <w:shd w:val="clear" w:color="auto" w:fill="FFFFFF"/>
        </w:rPr>
      </w:pPr>
      <w:r w:rsidRPr="000403A2">
        <w:rPr>
          <w:rFonts w:ascii="Arial" w:hAnsi="Arial" w:cs="Arial"/>
          <w:color w:val="1E1E1E"/>
          <w:sz w:val="24"/>
          <w:szCs w:val="24"/>
          <w:shd w:val="clear" w:color="auto" w:fill="FFFFFF"/>
        </w:rPr>
        <w:t>The </w:t>
      </w:r>
      <w:r w:rsidRPr="000403A2">
        <w:rPr>
          <w:rFonts w:ascii="Arial" w:hAnsi="Arial" w:cs="Arial"/>
          <w:i/>
          <w:iCs/>
          <w:color w:val="1E1E1E"/>
          <w:sz w:val="24"/>
          <w:szCs w:val="24"/>
          <w:shd w:val="clear" w:color="auto" w:fill="FFFFFF"/>
        </w:rPr>
        <w:t>Criminal Damage Act 1971</w:t>
      </w:r>
      <w:r w:rsidRPr="000403A2">
        <w:rPr>
          <w:rFonts w:ascii="Arial" w:hAnsi="Arial" w:cs="Arial"/>
          <w:color w:val="1E1E1E"/>
          <w:sz w:val="24"/>
          <w:szCs w:val="24"/>
          <w:shd w:val="clear" w:color="auto" w:fill="FFFFFF"/>
        </w:rPr>
        <w:t> section 1.1 conveys that criminal damage is any person without a lawful excuse destroying or damaging property that belongs to another or having the intent to destroy or damage property, being reckless to if the property would be damaged/destroyed, also falls under this offence. The Actus reus is destroying or damaging property that belongs to someone else. The mens rea is the intent to damage property that belongs to someone else or be reckless and damage property. The case of </w:t>
      </w:r>
      <w:r w:rsidR="0059751B"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Roper v Knott</w:t>
      </w:r>
      <w:r w:rsidR="0059751B"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 xml:space="preserve"> </w:t>
      </w:r>
      <w:r w:rsidR="0059751B"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1898</w:t>
      </w:r>
      <w:r w:rsidR="0059751B"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 xml:space="preserve"> depicts that despite the car still </w:t>
      </w:r>
      <w:r w:rsidRPr="000403A2">
        <w:rPr>
          <w:rFonts w:ascii="Arial" w:hAnsi="Arial" w:cs="Arial"/>
          <w:color w:val="1E1E1E"/>
          <w:sz w:val="24"/>
          <w:szCs w:val="24"/>
          <w:shd w:val="clear" w:color="auto" w:fill="FFFFFF"/>
        </w:rPr>
        <w:lastRenderedPageBreak/>
        <w:t>being in use, the men's rea is still there due to the car's value diminishing. Vinnie met the actus reus for this offence as they intentionally damaged Louise's car; Vinny also met the mens rea as he had the intent to damage the car.</w:t>
      </w:r>
    </w:p>
    <w:p w14:paraId="1676B6D4" w14:textId="77777777" w:rsidR="006E2953" w:rsidRDefault="006E2953" w:rsidP="006E2953">
      <w:pPr>
        <w:spacing w:line="480" w:lineRule="auto"/>
        <w:rPr>
          <w:rFonts w:ascii="Arial" w:hAnsi="Arial" w:cs="Arial"/>
          <w:color w:val="1E1E1E"/>
          <w:sz w:val="24"/>
          <w:szCs w:val="24"/>
          <w:shd w:val="clear" w:color="auto" w:fill="FFFFFF"/>
        </w:rPr>
      </w:pPr>
    </w:p>
    <w:p w14:paraId="7BB544DD" w14:textId="570FDBF9" w:rsidR="000403A2" w:rsidRPr="006E2953" w:rsidRDefault="000403A2" w:rsidP="006E2953">
      <w:pPr>
        <w:spacing w:line="480" w:lineRule="auto"/>
        <w:rPr>
          <w:rFonts w:ascii="Arial" w:hAnsi="Arial" w:cs="Arial"/>
          <w:color w:val="1E1E1E"/>
          <w:sz w:val="24"/>
          <w:szCs w:val="24"/>
          <w:shd w:val="clear" w:color="auto" w:fill="FFFFFF"/>
        </w:rPr>
      </w:pPr>
      <w:r w:rsidRPr="000403A2">
        <w:rPr>
          <w:rFonts w:ascii="Arial" w:hAnsi="Arial" w:cs="Arial"/>
          <w:color w:val="1E1E1E"/>
          <w:sz w:val="24"/>
          <w:szCs w:val="24"/>
          <w:shd w:val="clear" w:color="auto" w:fill="FFFFFF"/>
        </w:rPr>
        <w:t>Next, another aspect of the scenario is that police knocked on Vinnie's front door and asked him to open the door as they needed to speak to him; Vinnie thinks the police had come to arrest him due to the watch and took out his gun and threatened the police that he would shoot if they do not move away from the door. Vinnies threatening a person is not normal social behaviour and should not be directed at anyone or the police. There is no reason for anyone to threaten someone with a gun; this could put someone in jeopardy if he accidentally shot someone or potentially himself. </w:t>
      </w:r>
    </w:p>
    <w:p w14:paraId="009D277A" w14:textId="77777777" w:rsidR="000403A2" w:rsidRPr="000403A2" w:rsidRDefault="000403A2" w:rsidP="006E2953">
      <w:pPr>
        <w:spacing w:line="480" w:lineRule="auto"/>
        <w:rPr>
          <w:rFonts w:ascii="Arial" w:hAnsi="Arial" w:cs="Arial"/>
          <w:color w:val="1E1E1E"/>
          <w:sz w:val="24"/>
          <w:szCs w:val="24"/>
          <w:shd w:val="clear" w:color="auto" w:fill="FFFFFF"/>
        </w:rPr>
      </w:pPr>
    </w:p>
    <w:p w14:paraId="741FDE53" w14:textId="7EE1867F" w:rsidR="000403A2" w:rsidRPr="006E2953" w:rsidRDefault="000403A2" w:rsidP="006E2953">
      <w:pPr>
        <w:spacing w:line="480" w:lineRule="auto"/>
        <w:rPr>
          <w:rFonts w:ascii="Arial" w:hAnsi="Arial" w:cs="Arial"/>
          <w:color w:val="1E1E1E"/>
          <w:sz w:val="24"/>
          <w:szCs w:val="24"/>
          <w:shd w:val="clear" w:color="auto" w:fill="FFFFFF"/>
        </w:rPr>
      </w:pPr>
      <w:r w:rsidRPr="000403A2">
        <w:rPr>
          <w:rFonts w:ascii="Arial" w:hAnsi="Arial" w:cs="Arial"/>
          <w:color w:val="1E1E1E"/>
          <w:sz w:val="24"/>
          <w:szCs w:val="24"/>
          <w:shd w:val="clear" w:color="auto" w:fill="FFFFFF"/>
        </w:rPr>
        <w:t>Vinnie could be liable for assault occasioning actual bodily harm (ABH). This offence falls under the </w:t>
      </w:r>
      <w:r w:rsidRPr="000403A2">
        <w:rPr>
          <w:rFonts w:ascii="Arial" w:hAnsi="Arial" w:cs="Arial"/>
          <w:i/>
          <w:iCs/>
          <w:color w:val="1E1E1E"/>
          <w:sz w:val="24"/>
          <w:szCs w:val="24"/>
          <w:shd w:val="clear" w:color="auto" w:fill="FFFFFF"/>
        </w:rPr>
        <w:t>Offences Against the Person Act 1861, </w:t>
      </w:r>
      <w:r w:rsidRPr="000403A2">
        <w:rPr>
          <w:rFonts w:ascii="Arial" w:hAnsi="Arial" w:cs="Arial"/>
          <w:color w:val="1E1E1E"/>
          <w:sz w:val="24"/>
          <w:szCs w:val="24"/>
          <w:shd w:val="clear" w:color="auto" w:fill="FFFFFF"/>
        </w:rPr>
        <w:t>section 47. The actus reus is when the defendant has committed an assault or battery, which has caused the victim to suffer ABH. </w:t>
      </w:r>
      <w:r w:rsidR="0059751B"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DPP v Parmenter</w:t>
      </w:r>
      <w:r w:rsidR="0059751B"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 xml:space="preserve"> </w:t>
      </w:r>
      <w:r w:rsidR="0059751B"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1992</w:t>
      </w:r>
      <w:r w:rsidR="0059751B"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 xml:space="preserve"> determined that the mens rea is the same as the mens rea for battery; this is intention or recklessness that leads to unlawful violence. Initially, words alone could not amount to ABH, as seen in </w:t>
      </w:r>
      <w:r w:rsidR="0059751B"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R v Meade and Belt</w:t>
      </w:r>
      <w:r w:rsidR="0059751B" w:rsidRPr="006E2953">
        <w:rPr>
          <w:rFonts w:ascii="Arial" w:hAnsi="Arial" w:cs="Arial"/>
          <w:color w:val="1E1E1E"/>
          <w:sz w:val="24"/>
          <w:szCs w:val="24"/>
          <w:shd w:val="clear" w:color="auto" w:fill="FFFFFF"/>
        </w:rPr>
        <w:t>’ (</w:t>
      </w:r>
      <w:r w:rsidRPr="000403A2">
        <w:rPr>
          <w:rFonts w:ascii="Arial" w:hAnsi="Arial" w:cs="Arial"/>
          <w:color w:val="1E1E1E"/>
          <w:sz w:val="24"/>
          <w:szCs w:val="24"/>
          <w:shd w:val="clear" w:color="auto" w:fill="FFFFFF"/>
        </w:rPr>
        <w:t>182</w:t>
      </w:r>
      <w:r w:rsidR="004D5406" w:rsidRPr="006E2953">
        <w:rPr>
          <w:rFonts w:ascii="Arial" w:hAnsi="Arial" w:cs="Arial"/>
          <w:color w:val="1E1E1E"/>
          <w:sz w:val="24"/>
          <w:szCs w:val="24"/>
          <w:shd w:val="clear" w:color="auto" w:fill="FFFFFF"/>
        </w:rPr>
        <w:t>3</w:t>
      </w:r>
      <w:r w:rsidR="0059751B"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 however, in </w:t>
      </w:r>
      <w:r w:rsidR="0059751B"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R v Constanza</w:t>
      </w:r>
      <w:r w:rsidR="0059751B"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 xml:space="preserve"> </w:t>
      </w:r>
      <w:r w:rsidR="0059751B"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1997</w:t>
      </w:r>
      <w:r w:rsidR="0059751B" w:rsidRPr="006E2953">
        <w:rPr>
          <w:rFonts w:ascii="Arial" w:hAnsi="Arial" w:cs="Arial"/>
          <w:color w:val="1E1E1E"/>
          <w:sz w:val="24"/>
          <w:szCs w:val="24"/>
          <w:u w:val="single"/>
          <w:shd w:val="clear" w:color="auto" w:fill="FFFFFF"/>
        </w:rPr>
        <w:t>)</w:t>
      </w:r>
      <w:r w:rsidRPr="000403A2">
        <w:rPr>
          <w:rFonts w:ascii="Arial" w:hAnsi="Arial" w:cs="Arial"/>
          <w:color w:val="1E1E1E"/>
          <w:sz w:val="24"/>
          <w:szCs w:val="24"/>
          <w:shd w:val="clear" w:color="auto" w:fill="FFFFFF"/>
        </w:rPr>
        <w:t>, it was determined that words alone without physical force could amount to ABH, so Vinnie may be held liable for ABH depending on if the officers were fearful or believed Vinnie was going to carry out the threat. Vinnie met the actus reus as he committed an assault when he threatened the officers and met the mens rea for the battery as he intentionally caused unlawful violence. </w:t>
      </w:r>
    </w:p>
    <w:p w14:paraId="7C7D1F3E" w14:textId="77777777" w:rsidR="000403A2" w:rsidRPr="000403A2" w:rsidRDefault="000403A2" w:rsidP="006E2953">
      <w:pPr>
        <w:spacing w:line="480" w:lineRule="auto"/>
        <w:rPr>
          <w:rFonts w:ascii="Arial" w:hAnsi="Arial" w:cs="Arial"/>
          <w:color w:val="1E1E1E"/>
          <w:sz w:val="24"/>
          <w:szCs w:val="24"/>
          <w:shd w:val="clear" w:color="auto" w:fill="FFFFFF"/>
        </w:rPr>
      </w:pPr>
    </w:p>
    <w:p w14:paraId="05A102BA" w14:textId="77777777" w:rsidR="000403A2" w:rsidRPr="000403A2" w:rsidRDefault="000403A2" w:rsidP="006E2953">
      <w:pPr>
        <w:spacing w:line="480" w:lineRule="auto"/>
        <w:rPr>
          <w:rFonts w:ascii="Arial" w:hAnsi="Arial" w:cs="Arial"/>
          <w:color w:val="1E1E1E"/>
          <w:sz w:val="24"/>
          <w:szCs w:val="24"/>
          <w:shd w:val="clear" w:color="auto" w:fill="FFFFFF"/>
        </w:rPr>
      </w:pPr>
      <w:r w:rsidRPr="000403A2">
        <w:rPr>
          <w:rFonts w:ascii="Arial" w:hAnsi="Arial" w:cs="Arial"/>
          <w:color w:val="1E1E1E"/>
          <w:sz w:val="24"/>
          <w:szCs w:val="24"/>
          <w:shd w:val="clear" w:color="auto" w:fill="FFFFFF"/>
        </w:rPr>
        <w:t>The last part of the scenario is when Vinnie puts the gun through the letterbox and aims it at the police officer; he then shoots the gun, which results in the bullet missing the police officer and hitting Mrs Quinn, who is declared dead. Vinnies acts were unnecessary, and Vinnie foresaw the risk of severe harm and even murder; this is undeniably wrong and goes against all societal norms. </w:t>
      </w:r>
    </w:p>
    <w:p w14:paraId="501D6BEF" w14:textId="77777777" w:rsidR="005B4BC2" w:rsidRPr="006E2953" w:rsidRDefault="005B4BC2" w:rsidP="006E2953">
      <w:pPr>
        <w:spacing w:line="480" w:lineRule="auto"/>
        <w:rPr>
          <w:rFonts w:ascii="Arial" w:hAnsi="Arial" w:cs="Arial"/>
          <w:color w:val="1E1E1E"/>
          <w:sz w:val="24"/>
          <w:szCs w:val="24"/>
          <w:shd w:val="clear" w:color="auto" w:fill="FFFFFF"/>
        </w:rPr>
      </w:pPr>
    </w:p>
    <w:p w14:paraId="0CF254B1" w14:textId="4ECCD16F" w:rsidR="000403A2" w:rsidRPr="006E2953" w:rsidRDefault="000403A2" w:rsidP="006E2953">
      <w:pPr>
        <w:spacing w:line="480" w:lineRule="auto"/>
        <w:rPr>
          <w:rFonts w:ascii="Arial" w:hAnsi="Arial" w:cs="Arial"/>
          <w:color w:val="1E1E1E"/>
          <w:sz w:val="24"/>
          <w:szCs w:val="24"/>
          <w:shd w:val="clear" w:color="auto" w:fill="FFFFFF"/>
        </w:rPr>
      </w:pPr>
      <w:r w:rsidRPr="000403A2">
        <w:rPr>
          <w:rFonts w:ascii="Arial" w:hAnsi="Arial" w:cs="Arial"/>
          <w:color w:val="1E1E1E"/>
          <w:sz w:val="24"/>
          <w:szCs w:val="24"/>
          <w:shd w:val="clear" w:color="auto" w:fill="FFFFFF"/>
        </w:rPr>
        <w:t>Murder is one offence Vinny may find himself liable for; </w:t>
      </w:r>
      <w:r w:rsidR="0059751B"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R v Latimer</w:t>
      </w:r>
      <w:r w:rsidR="0059751B"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 xml:space="preserve"> (1886) displays that even though Vinny did not want to murder Mrs Quinn, he did intend to cause the same level of harm to the police officer; therefore, transferred malice applies. The definition of murder is the unlawful killing of a reasonable person under the king's peace with malice aforethought (Coke, Sir. E. 1644). The actus reus is the unlawful killing under the king's peace, and the mens rea is the intention to kill or cause GBH. </w:t>
      </w:r>
      <w:r w:rsidR="00B165F2"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DPP v Smith</w:t>
      </w:r>
      <w:r w:rsidR="00B165F2"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 xml:space="preserve"> </w:t>
      </w:r>
      <w:r w:rsidR="00B165F2"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1961</w:t>
      </w:r>
      <w:r w:rsidR="00B165F2"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 xml:space="preserve"> established that GBH means </w:t>
      </w:r>
      <w:proofErr w:type="gramStart"/>
      <w:r w:rsidRPr="000403A2">
        <w:rPr>
          <w:rFonts w:ascii="Arial" w:hAnsi="Arial" w:cs="Arial"/>
          <w:color w:val="1E1E1E"/>
          <w:sz w:val="24"/>
          <w:szCs w:val="24"/>
          <w:shd w:val="clear" w:color="auto" w:fill="FFFFFF"/>
        </w:rPr>
        <w:t>really serious</w:t>
      </w:r>
      <w:proofErr w:type="gramEnd"/>
      <w:r w:rsidRPr="000403A2">
        <w:rPr>
          <w:rFonts w:ascii="Arial" w:hAnsi="Arial" w:cs="Arial"/>
          <w:color w:val="1E1E1E"/>
          <w:sz w:val="24"/>
          <w:szCs w:val="24"/>
          <w:shd w:val="clear" w:color="auto" w:fill="FFFFFF"/>
        </w:rPr>
        <w:t xml:space="preserve"> harm. Despite the mens rea in </w:t>
      </w:r>
      <w:r w:rsidR="00B165F2"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R v Woollin</w:t>
      </w:r>
      <w:r w:rsidR="00B165F2" w:rsidRPr="006E2953">
        <w:rPr>
          <w:rFonts w:ascii="Arial" w:hAnsi="Arial" w:cs="Arial"/>
          <w:color w:val="1E1E1E"/>
          <w:sz w:val="24"/>
          <w:szCs w:val="24"/>
          <w:shd w:val="clear" w:color="auto" w:fill="FFFFFF"/>
        </w:rPr>
        <w:t>’</w:t>
      </w:r>
      <w:r w:rsidRPr="000403A2">
        <w:rPr>
          <w:rFonts w:ascii="Arial" w:hAnsi="Arial" w:cs="Arial"/>
          <w:color w:val="1E1E1E"/>
          <w:sz w:val="24"/>
          <w:szCs w:val="24"/>
          <w:shd w:val="clear" w:color="auto" w:fill="FFFFFF"/>
        </w:rPr>
        <w:t xml:space="preserve"> (1998), it was decided that the defendant can be liable for murder even if the defendant foresaw death or serious harm could be the result of their actions, even if it was not their intent. Vinnie meets the actus reus as he murders Mrs Quinn. The mens rea was met due to Vinnie intentionally pointing the gun at the police officer and shooting it, highlighting that he did have the intent to kill or at least cause </w:t>
      </w:r>
      <w:proofErr w:type="gramStart"/>
      <w:r w:rsidRPr="000403A2">
        <w:rPr>
          <w:rFonts w:ascii="Arial" w:hAnsi="Arial" w:cs="Arial"/>
          <w:color w:val="1E1E1E"/>
          <w:sz w:val="24"/>
          <w:szCs w:val="24"/>
          <w:shd w:val="clear" w:color="auto" w:fill="FFFFFF"/>
        </w:rPr>
        <w:t>really serious</w:t>
      </w:r>
      <w:proofErr w:type="gramEnd"/>
      <w:r w:rsidRPr="000403A2">
        <w:rPr>
          <w:rFonts w:ascii="Arial" w:hAnsi="Arial" w:cs="Arial"/>
          <w:color w:val="1E1E1E"/>
          <w:sz w:val="24"/>
          <w:szCs w:val="24"/>
          <w:shd w:val="clear" w:color="auto" w:fill="FFFFFF"/>
        </w:rPr>
        <w:t xml:space="preserve"> harm. </w:t>
      </w:r>
    </w:p>
    <w:p w14:paraId="27C09E96" w14:textId="77777777" w:rsidR="000403A2" w:rsidRPr="000403A2" w:rsidRDefault="000403A2" w:rsidP="006E2953">
      <w:pPr>
        <w:spacing w:line="480" w:lineRule="auto"/>
        <w:rPr>
          <w:rFonts w:ascii="Arial" w:hAnsi="Arial" w:cs="Arial"/>
          <w:color w:val="1E1E1E"/>
          <w:sz w:val="24"/>
          <w:szCs w:val="24"/>
          <w:shd w:val="clear" w:color="auto" w:fill="FFFFFF"/>
        </w:rPr>
      </w:pPr>
    </w:p>
    <w:p w14:paraId="47A7C9D7" w14:textId="77777777" w:rsidR="000403A2" w:rsidRPr="000403A2" w:rsidRDefault="000403A2" w:rsidP="006E2953">
      <w:pPr>
        <w:spacing w:line="480" w:lineRule="auto"/>
        <w:rPr>
          <w:rFonts w:ascii="Arial" w:hAnsi="Arial" w:cs="Arial"/>
          <w:color w:val="1E1E1E"/>
          <w:sz w:val="24"/>
          <w:szCs w:val="24"/>
          <w:shd w:val="clear" w:color="auto" w:fill="FFFFFF"/>
        </w:rPr>
      </w:pPr>
      <w:r w:rsidRPr="000403A2">
        <w:rPr>
          <w:rFonts w:ascii="Arial" w:hAnsi="Arial" w:cs="Arial"/>
          <w:color w:val="1E1E1E"/>
          <w:sz w:val="24"/>
          <w:szCs w:val="24"/>
          <w:shd w:val="clear" w:color="auto" w:fill="FFFFFF"/>
        </w:rPr>
        <w:t xml:space="preserve">In conclusion, Vinnie is liable for several offences, including burglary due to stealing from the elderly person's room, criminal damage as Vinnie intentionally scratched Louise's car in anger, causing the car to lose value, ABH as Vinnie threatened the </w:t>
      </w:r>
      <w:r w:rsidRPr="000403A2">
        <w:rPr>
          <w:rFonts w:ascii="Arial" w:hAnsi="Arial" w:cs="Arial"/>
          <w:color w:val="1E1E1E"/>
          <w:sz w:val="24"/>
          <w:szCs w:val="24"/>
          <w:shd w:val="clear" w:color="auto" w:fill="FFFFFF"/>
        </w:rPr>
        <w:lastRenderedPageBreak/>
        <w:t>police officer and ultimately, murder due to transferred malice and the murder of Mrs Quinn. </w:t>
      </w:r>
    </w:p>
    <w:p w14:paraId="02E6FB51" w14:textId="6673EC64" w:rsidR="00D45A77" w:rsidRPr="006E2953" w:rsidRDefault="00D45A77" w:rsidP="006E2953">
      <w:pPr>
        <w:spacing w:line="480" w:lineRule="auto"/>
        <w:rPr>
          <w:rFonts w:ascii="Arial" w:hAnsi="Arial" w:cs="Arial"/>
          <w:color w:val="1E1E1E"/>
          <w:sz w:val="24"/>
          <w:szCs w:val="24"/>
          <w:shd w:val="clear" w:color="auto" w:fill="FFFFFF"/>
        </w:rPr>
      </w:pPr>
    </w:p>
    <w:p w14:paraId="5E3A3EE1" w14:textId="77777777" w:rsidR="00074E3F" w:rsidRPr="006E2953" w:rsidRDefault="00074E3F" w:rsidP="006E2953">
      <w:pPr>
        <w:spacing w:line="480" w:lineRule="auto"/>
        <w:rPr>
          <w:rFonts w:ascii="Arial" w:hAnsi="Arial" w:cs="Arial"/>
          <w:color w:val="1E1E1E"/>
          <w:sz w:val="24"/>
          <w:szCs w:val="24"/>
          <w:shd w:val="clear" w:color="auto" w:fill="FFFFFF"/>
        </w:rPr>
      </w:pPr>
    </w:p>
    <w:p w14:paraId="266CC864" w14:textId="77777777" w:rsidR="00074E3F" w:rsidRPr="006E2953" w:rsidRDefault="00074E3F" w:rsidP="006E2953">
      <w:pPr>
        <w:spacing w:line="480" w:lineRule="auto"/>
        <w:rPr>
          <w:rFonts w:ascii="Arial" w:hAnsi="Arial" w:cs="Arial"/>
          <w:color w:val="1E1E1E"/>
          <w:sz w:val="24"/>
          <w:szCs w:val="24"/>
          <w:shd w:val="clear" w:color="auto" w:fill="FFFFFF"/>
        </w:rPr>
      </w:pPr>
    </w:p>
    <w:p w14:paraId="45AC6FD5" w14:textId="77777777" w:rsidR="00074E3F" w:rsidRPr="006E2953" w:rsidRDefault="00074E3F" w:rsidP="006E2953">
      <w:pPr>
        <w:spacing w:line="480" w:lineRule="auto"/>
        <w:rPr>
          <w:rFonts w:ascii="Arial" w:hAnsi="Arial" w:cs="Arial"/>
          <w:color w:val="1E1E1E"/>
          <w:sz w:val="24"/>
          <w:szCs w:val="24"/>
          <w:shd w:val="clear" w:color="auto" w:fill="FFFFFF"/>
        </w:rPr>
      </w:pPr>
    </w:p>
    <w:p w14:paraId="72ECEE03" w14:textId="77777777" w:rsidR="00074E3F" w:rsidRPr="006E2953" w:rsidRDefault="00074E3F" w:rsidP="006E2953">
      <w:pPr>
        <w:spacing w:line="480" w:lineRule="auto"/>
        <w:rPr>
          <w:rFonts w:ascii="Arial" w:hAnsi="Arial" w:cs="Arial"/>
          <w:color w:val="1E1E1E"/>
          <w:sz w:val="24"/>
          <w:szCs w:val="24"/>
          <w:shd w:val="clear" w:color="auto" w:fill="FFFFFF"/>
        </w:rPr>
      </w:pPr>
    </w:p>
    <w:p w14:paraId="0F18E400" w14:textId="77777777" w:rsidR="0099719C" w:rsidRPr="006E2953" w:rsidRDefault="0099719C" w:rsidP="006E2953">
      <w:pPr>
        <w:spacing w:line="480" w:lineRule="auto"/>
        <w:rPr>
          <w:rFonts w:ascii="Arial" w:hAnsi="Arial" w:cs="Arial"/>
          <w:color w:val="1E1E1E"/>
          <w:sz w:val="24"/>
          <w:szCs w:val="24"/>
          <w:shd w:val="clear" w:color="auto" w:fill="FFFFFF"/>
        </w:rPr>
      </w:pPr>
    </w:p>
    <w:p w14:paraId="388ECA7A" w14:textId="77777777" w:rsidR="00D45A77" w:rsidRPr="006E2953" w:rsidRDefault="00D45A77" w:rsidP="006E2953">
      <w:pPr>
        <w:spacing w:line="480" w:lineRule="auto"/>
        <w:rPr>
          <w:rFonts w:ascii="Arial" w:hAnsi="Arial" w:cs="Arial"/>
          <w:color w:val="1E1E1E"/>
          <w:sz w:val="24"/>
          <w:szCs w:val="24"/>
          <w:shd w:val="clear" w:color="auto" w:fill="FFFFFF"/>
        </w:rPr>
      </w:pPr>
    </w:p>
    <w:p w14:paraId="1EEEDC16" w14:textId="77777777" w:rsidR="00D45A77" w:rsidRPr="006E2953" w:rsidRDefault="00D45A77" w:rsidP="006E2953">
      <w:pPr>
        <w:spacing w:line="480" w:lineRule="auto"/>
        <w:rPr>
          <w:rFonts w:ascii="Arial" w:hAnsi="Arial" w:cs="Arial"/>
          <w:color w:val="1E1E1E"/>
          <w:sz w:val="24"/>
          <w:szCs w:val="24"/>
          <w:shd w:val="clear" w:color="auto" w:fill="FFFFFF"/>
        </w:rPr>
      </w:pPr>
    </w:p>
    <w:p w14:paraId="157FEF1D" w14:textId="77777777" w:rsidR="00D45A77" w:rsidRPr="006E2953" w:rsidRDefault="00D45A77" w:rsidP="006E2953">
      <w:pPr>
        <w:spacing w:line="480" w:lineRule="auto"/>
        <w:rPr>
          <w:rFonts w:ascii="Arial" w:hAnsi="Arial" w:cs="Arial"/>
          <w:color w:val="1E1E1E"/>
          <w:sz w:val="24"/>
          <w:szCs w:val="24"/>
          <w:shd w:val="clear" w:color="auto" w:fill="FFFFFF"/>
        </w:rPr>
      </w:pPr>
    </w:p>
    <w:p w14:paraId="1FF1B07C" w14:textId="77777777" w:rsidR="00D45A77" w:rsidRPr="006E2953" w:rsidRDefault="00D45A77" w:rsidP="006E2953">
      <w:pPr>
        <w:spacing w:line="480" w:lineRule="auto"/>
        <w:rPr>
          <w:rFonts w:ascii="Arial" w:hAnsi="Arial" w:cs="Arial"/>
          <w:color w:val="1E1E1E"/>
          <w:sz w:val="24"/>
          <w:szCs w:val="24"/>
          <w:shd w:val="clear" w:color="auto" w:fill="FFFFFF"/>
        </w:rPr>
      </w:pPr>
    </w:p>
    <w:p w14:paraId="71A15327" w14:textId="77777777" w:rsidR="00D45A77" w:rsidRPr="006E2953" w:rsidRDefault="00D45A77" w:rsidP="006E2953">
      <w:pPr>
        <w:spacing w:line="480" w:lineRule="auto"/>
        <w:rPr>
          <w:rFonts w:ascii="Arial" w:hAnsi="Arial" w:cs="Arial"/>
          <w:color w:val="1E1E1E"/>
          <w:sz w:val="24"/>
          <w:szCs w:val="24"/>
          <w:shd w:val="clear" w:color="auto" w:fill="FFFFFF"/>
        </w:rPr>
      </w:pPr>
    </w:p>
    <w:p w14:paraId="7C95AA03" w14:textId="77777777" w:rsidR="00D45A77" w:rsidRPr="006E2953" w:rsidRDefault="00D45A77" w:rsidP="006E2953">
      <w:pPr>
        <w:spacing w:line="480" w:lineRule="auto"/>
        <w:rPr>
          <w:rFonts w:ascii="Arial" w:hAnsi="Arial" w:cs="Arial"/>
          <w:color w:val="1E1E1E"/>
          <w:sz w:val="24"/>
          <w:szCs w:val="24"/>
          <w:shd w:val="clear" w:color="auto" w:fill="FFFFFF"/>
        </w:rPr>
      </w:pPr>
    </w:p>
    <w:p w14:paraId="1A66E5BA" w14:textId="77777777" w:rsidR="008F4C56" w:rsidRPr="006E2953" w:rsidRDefault="008F4C56" w:rsidP="006E2953">
      <w:pPr>
        <w:spacing w:line="480" w:lineRule="auto"/>
        <w:rPr>
          <w:rFonts w:ascii="Arial" w:hAnsi="Arial" w:cs="Arial"/>
          <w:color w:val="1E1E1E"/>
          <w:sz w:val="24"/>
          <w:szCs w:val="24"/>
          <w:shd w:val="clear" w:color="auto" w:fill="FFFFFF"/>
        </w:rPr>
      </w:pPr>
    </w:p>
    <w:p w14:paraId="0FEDFEB1" w14:textId="77777777" w:rsidR="008F4C56" w:rsidRPr="006E2953" w:rsidRDefault="008F4C56" w:rsidP="006E2953">
      <w:pPr>
        <w:spacing w:line="480" w:lineRule="auto"/>
        <w:rPr>
          <w:rFonts w:ascii="Arial" w:hAnsi="Arial" w:cs="Arial"/>
          <w:color w:val="1E1E1E"/>
          <w:sz w:val="24"/>
          <w:szCs w:val="24"/>
          <w:shd w:val="clear" w:color="auto" w:fill="FFFFFF"/>
        </w:rPr>
      </w:pPr>
    </w:p>
    <w:p w14:paraId="52EA9826" w14:textId="77777777" w:rsidR="006E2953" w:rsidRPr="006E2953" w:rsidRDefault="006E2953" w:rsidP="006E2953">
      <w:pPr>
        <w:spacing w:line="480" w:lineRule="auto"/>
        <w:rPr>
          <w:rFonts w:ascii="Arial" w:hAnsi="Arial" w:cs="Arial"/>
          <w:color w:val="1E1E1E"/>
          <w:sz w:val="24"/>
          <w:szCs w:val="24"/>
          <w:u w:val="single"/>
          <w:shd w:val="clear" w:color="auto" w:fill="FFFFFF"/>
        </w:rPr>
      </w:pPr>
    </w:p>
    <w:p w14:paraId="64FECD58" w14:textId="77777777" w:rsidR="006E2953" w:rsidRPr="006E2953" w:rsidRDefault="006E2953" w:rsidP="006E2953">
      <w:pPr>
        <w:spacing w:line="480" w:lineRule="auto"/>
        <w:rPr>
          <w:rFonts w:ascii="Arial" w:hAnsi="Arial" w:cs="Arial"/>
          <w:color w:val="1E1E1E"/>
          <w:sz w:val="24"/>
          <w:szCs w:val="24"/>
          <w:u w:val="single"/>
          <w:shd w:val="clear" w:color="auto" w:fill="FFFFFF"/>
        </w:rPr>
      </w:pPr>
    </w:p>
    <w:p w14:paraId="3291F4FF" w14:textId="77777777" w:rsidR="006E2953" w:rsidRPr="006E2953" w:rsidRDefault="006E2953" w:rsidP="006E2953">
      <w:pPr>
        <w:spacing w:line="480" w:lineRule="auto"/>
        <w:rPr>
          <w:rFonts w:ascii="Arial" w:hAnsi="Arial" w:cs="Arial"/>
          <w:color w:val="1E1E1E"/>
          <w:sz w:val="24"/>
          <w:szCs w:val="24"/>
          <w:u w:val="single"/>
          <w:shd w:val="clear" w:color="auto" w:fill="FFFFFF"/>
        </w:rPr>
      </w:pPr>
    </w:p>
    <w:p w14:paraId="0E7B8F87" w14:textId="77777777" w:rsidR="006E2953" w:rsidRPr="006E2953" w:rsidRDefault="006E2953" w:rsidP="006E2953">
      <w:pPr>
        <w:spacing w:line="480" w:lineRule="auto"/>
        <w:rPr>
          <w:rFonts w:ascii="Arial" w:hAnsi="Arial" w:cs="Arial"/>
          <w:color w:val="1E1E1E"/>
          <w:sz w:val="24"/>
          <w:szCs w:val="24"/>
          <w:u w:val="single"/>
          <w:shd w:val="clear" w:color="auto" w:fill="FFFFFF"/>
        </w:rPr>
      </w:pPr>
    </w:p>
    <w:p w14:paraId="22C21453" w14:textId="77777777" w:rsidR="006E2953" w:rsidRPr="006E2953" w:rsidRDefault="006E2953" w:rsidP="006E2953">
      <w:pPr>
        <w:spacing w:line="480" w:lineRule="auto"/>
        <w:rPr>
          <w:rFonts w:ascii="Arial" w:hAnsi="Arial" w:cs="Arial"/>
          <w:color w:val="1E1E1E"/>
          <w:sz w:val="24"/>
          <w:szCs w:val="24"/>
          <w:u w:val="single"/>
          <w:shd w:val="clear" w:color="auto" w:fill="FFFFFF"/>
        </w:rPr>
      </w:pPr>
    </w:p>
    <w:p w14:paraId="322A88C9" w14:textId="77777777" w:rsidR="006E2953" w:rsidRPr="006E2953" w:rsidRDefault="006E2953" w:rsidP="006E2953">
      <w:pPr>
        <w:spacing w:line="480" w:lineRule="auto"/>
        <w:rPr>
          <w:rFonts w:ascii="Arial" w:hAnsi="Arial" w:cs="Arial"/>
          <w:color w:val="1E1E1E"/>
          <w:sz w:val="24"/>
          <w:szCs w:val="24"/>
          <w:u w:val="single"/>
          <w:shd w:val="clear" w:color="auto" w:fill="FFFFFF"/>
        </w:rPr>
      </w:pPr>
    </w:p>
    <w:p w14:paraId="196CEBDE" w14:textId="77777777" w:rsidR="006E2953" w:rsidRPr="006E2953" w:rsidRDefault="006E2953" w:rsidP="006E2953">
      <w:pPr>
        <w:spacing w:line="480" w:lineRule="auto"/>
        <w:rPr>
          <w:rFonts w:ascii="Arial" w:hAnsi="Arial" w:cs="Arial"/>
          <w:color w:val="1E1E1E"/>
          <w:sz w:val="24"/>
          <w:szCs w:val="24"/>
          <w:u w:val="single"/>
          <w:shd w:val="clear" w:color="auto" w:fill="FFFFFF"/>
        </w:rPr>
      </w:pPr>
    </w:p>
    <w:p w14:paraId="0535FA2B" w14:textId="77777777" w:rsidR="006E2953" w:rsidRPr="006E2953" w:rsidRDefault="006E2953" w:rsidP="006E2953">
      <w:pPr>
        <w:spacing w:line="480" w:lineRule="auto"/>
        <w:rPr>
          <w:rFonts w:ascii="Arial" w:hAnsi="Arial" w:cs="Arial"/>
          <w:color w:val="1E1E1E"/>
          <w:sz w:val="24"/>
          <w:szCs w:val="24"/>
          <w:u w:val="single"/>
          <w:shd w:val="clear" w:color="auto" w:fill="FFFFFF"/>
        </w:rPr>
      </w:pPr>
    </w:p>
    <w:p w14:paraId="3F3A0577" w14:textId="77777777" w:rsidR="006E2953" w:rsidRPr="006E2953" w:rsidRDefault="006E2953" w:rsidP="006E2953">
      <w:pPr>
        <w:spacing w:line="480" w:lineRule="auto"/>
        <w:rPr>
          <w:rFonts w:ascii="Arial" w:hAnsi="Arial" w:cs="Arial"/>
          <w:color w:val="1E1E1E"/>
          <w:sz w:val="24"/>
          <w:szCs w:val="24"/>
          <w:u w:val="single"/>
          <w:shd w:val="clear" w:color="auto" w:fill="FFFFFF"/>
        </w:rPr>
      </w:pPr>
    </w:p>
    <w:p w14:paraId="3630490A" w14:textId="77777777" w:rsidR="006E2953" w:rsidRPr="006E2953" w:rsidRDefault="006E2953" w:rsidP="006E2953">
      <w:pPr>
        <w:spacing w:line="480" w:lineRule="auto"/>
        <w:rPr>
          <w:rFonts w:ascii="Arial" w:hAnsi="Arial" w:cs="Arial"/>
          <w:color w:val="1E1E1E"/>
          <w:sz w:val="24"/>
          <w:szCs w:val="24"/>
          <w:u w:val="single"/>
          <w:shd w:val="clear" w:color="auto" w:fill="FFFFFF"/>
        </w:rPr>
      </w:pPr>
    </w:p>
    <w:p w14:paraId="3A9B8B25" w14:textId="77777777" w:rsidR="006E2953" w:rsidRPr="006E2953" w:rsidRDefault="006E2953" w:rsidP="006E2953">
      <w:pPr>
        <w:spacing w:line="480" w:lineRule="auto"/>
        <w:rPr>
          <w:rFonts w:ascii="Arial" w:hAnsi="Arial" w:cs="Arial"/>
          <w:color w:val="1E1E1E"/>
          <w:sz w:val="24"/>
          <w:szCs w:val="24"/>
          <w:u w:val="single"/>
          <w:shd w:val="clear" w:color="auto" w:fill="FFFFFF"/>
        </w:rPr>
      </w:pPr>
    </w:p>
    <w:p w14:paraId="14F465DB" w14:textId="756EE6DC" w:rsidR="00D45A77" w:rsidRPr="006E2953" w:rsidRDefault="00A7025F" w:rsidP="006E2953">
      <w:pPr>
        <w:spacing w:line="480" w:lineRule="auto"/>
        <w:rPr>
          <w:rFonts w:ascii="Arial" w:hAnsi="Arial" w:cs="Arial"/>
          <w:color w:val="1E1E1E"/>
          <w:sz w:val="24"/>
          <w:szCs w:val="24"/>
          <w:u w:val="single"/>
          <w:shd w:val="clear" w:color="auto" w:fill="FFFFFF"/>
        </w:rPr>
      </w:pPr>
      <w:r w:rsidRPr="006E2953">
        <w:rPr>
          <w:rFonts w:ascii="Arial" w:hAnsi="Arial" w:cs="Arial"/>
          <w:color w:val="1E1E1E"/>
          <w:sz w:val="24"/>
          <w:szCs w:val="24"/>
          <w:u w:val="single"/>
          <w:shd w:val="clear" w:color="auto" w:fill="FFFFFF"/>
        </w:rPr>
        <w:t xml:space="preserve">Reference list </w:t>
      </w:r>
    </w:p>
    <w:p w14:paraId="3056266D" w14:textId="77777777" w:rsidR="00F62158" w:rsidRPr="006E2953" w:rsidRDefault="00F62158" w:rsidP="006E2953">
      <w:pPr>
        <w:spacing w:line="480" w:lineRule="auto"/>
        <w:rPr>
          <w:rFonts w:ascii="Arial" w:hAnsi="Arial" w:cs="Arial"/>
          <w:sz w:val="24"/>
          <w:szCs w:val="24"/>
        </w:rPr>
      </w:pPr>
      <w:r w:rsidRPr="006E2953">
        <w:rPr>
          <w:rFonts w:ascii="Arial" w:hAnsi="Arial" w:cs="Arial"/>
          <w:sz w:val="24"/>
          <w:szCs w:val="24"/>
        </w:rPr>
        <w:t>Coke, Sir. E. (1644) </w:t>
      </w:r>
    </w:p>
    <w:p w14:paraId="740CFB56" w14:textId="77777777" w:rsidR="00F62158" w:rsidRPr="006E2953" w:rsidRDefault="00F62158" w:rsidP="006E2953">
      <w:pPr>
        <w:spacing w:line="480" w:lineRule="auto"/>
        <w:rPr>
          <w:rFonts w:ascii="Arial" w:hAnsi="Arial" w:cs="Arial"/>
          <w:sz w:val="24"/>
          <w:szCs w:val="24"/>
        </w:rPr>
      </w:pPr>
      <w:r w:rsidRPr="006E2953">
        <w:rPr>
          <w:rFonts w:ascii="Arial" w:hAnsi="Arial" w:cs="Arial"/>
          <w:i/>
          <w:iCs/>
          <w:sz w:val="24"/>
          <w:szCs w:val="24"/>
          <w:lang w:val="en"/>
        </w:rPr>
        <w:t>The Third Part of the Institutes of the Laws of England: Concerning High Treason, and Other Pleas of the Crown, and Criminal Causes</w:t>
      </w:r>
      <w:r w:rsidRPr="006E2953">
        <w:rPr>
          <w:rFonts w:ascii="Arial" w:hAnsi="Arial" w:cs="Arial"/>
          <w:sz w:val="24"/>
          <w:szCs w:val="24"/>
        </w:rPr>
        <w:t>. London: M. Flesher.</w:t>
      </w:r>
    </w:p>
    <w:p w14:paraId="64187D9A" w14:textId="77777777" w:rsidR="001D720E" w:rsidRPr="006E2953" w:rsidRDefault="001D720E" w:rsidP="006E2953">
      <w:pPr>
        <w:spacing w:line="480" w:lineRule="auto"/>
        <w:rPr>
          <w:rFonts w:ascii="Arial" w:hAnsi="Arial" w:cs="Arial"/>
          <w:color w:val="1E1E1E"/>
          <w:sz w:val="24"/>
          <w:szCs w:val="24"/>
          <w:shd w:val="clear" w:color="auto" w:fill="FFFFFF"/>
        </w:rPr>
      </w:pPr>
    </w:p>
    <w:p w14:paraId="03AAE3CC" w14:textId="77777777" w:rsidR="001D720E" w:rsidRPr="006E2953" w:rsidRDefault="001D720E" w:rsidP="006E2953">
      <w:pPr>
        <w:spacing w:line="480" w:lineRule="auto"/>
        <w:rPr>
          <w:rFonts w:ascii="Arial" w:hAnsi="Arial" w:cs="Arial"/>
          <w:color w:val="1E1E1E"/>
          <w:sz w:val="24"/>
          <w:szCs w:val="24"/>
          <w:shd w:val="clear" w:color="auto" w:fill="FFFFFF"/>
        </w:rPr>
      </w:pPr>
    </w:p>
    <w:p w14:paraId="3A49F26A" w14:textId="77777777" w:rsidR="006E2953" w:rsidRPr="006E2953" w:rsidRDefault="006E2953" w:rsidP="006E2953">
      <w:pPr>
        <w:spacing w:line="480" w:lineRule="auto"/>
        <w:rPr>
          <w:rFonts w:ascii="Arial" w:hAnsi="Arial" w:cs="Arial"/>
          <w:color w:val="1E1E1E"/>
          <w:sz w:val="24"/>
          <w:szCs w:val="24"/>
          <w:u w:val="single"/>
          <w:shd w:val="clear" w:color="auto" w:fill="FFFFFF"/>
        </w:rPr>
      </w:pPr>
    </w:p>
    <w:p w14:paraId="5B1C987D" w14:textId="41E5ABBE" w:rsidR="00F62158" w:rsidRPr="006E2953" w:rsidRDefault="00F62158" w:rsidP="006E2953">
      <w:pPr>
        <w:spacing w:line="480" w:lineRule="auto"/>
        <w:rPr>
          <w:rFonts w:ascii="Arial" w:hAnsi="Arial" w:cs="Arial"/>
          <w:color w:val="1E1E1E"/>
          <w:sz w:val="24"/>
          <w:szCs w:val="24"/>
          <w:u w:val="single"/>
          <w:shd w:val="clear" w:color="auto" w:fill="FFFFFF"/>
        </w:rPr>
      </w:pPr>
      <w:r w:rsidRPr="006E2953">
        <w:rPr>
          <w:rFonts w:ascii="Arial" w:hAnsi="Arial" w:cs="Arial"/>
          <w:color w:val="1E1E1E"/>
          <w:sz w:val="24"/>
          <w:szCs w:val="24"/>
          <w:u w:val="single"/>
          <w:shd w:val="clear" w:color="auto" w:fill="FFFFFF"/>
        </w:rPr>
        <w:t>Legislation</w:t>
      </w:r>
    </w:p>
    <w:p w14:paraId="54D769C3" w14:textId="77777777" w:rsidR="00EA68C0" w:rsidRPr="006E2953" w:rsidRDefault="00EA68C0" w:rsidP="006E2953">
      <w:pPr>
        <w:spacing w:line="480" w:lineRule="auto"/>
        <w:rPr>
          <w:rFonts w:ascii="Arial" w:hAnsi="Arial" w:cs="Arial"/>
          <w:sz w:val="24"/>
          <w:szCs w:val="24"/>
        </w:rPr>
      </w:pPr>
      <w:r w:rsidRPr="006E2953">
        <w:rPr>
          <w:rFonts w:ascii="Arial" w:hAnsi="Arial" w:cs="Arial"/>
          <w:i/>
          <w:iCs/>
          <w:sz w:val="24"/>
          <w:szCs w:val="24"/>
        </w:rPr>
        <w:t>Criminal Damage Act 1971</w:t>
      </w:r>
      <w:r w:rsidRPr="006E2953">
        <w:rPr>
          <w:rFonts w:ascii="Arial" w:hAnsi="Arial" w:cs="Arial"/>
          <w:sz w:val="24"/>
          <w:szCs w:val="24"/>
        </w:rPr>
        <w:t>, c. 48</w:t>
      </w:r>
    </w:p>
    <w:p w14:paraId="67013581" w14:textId="77777777" w:rsidR="00EA68C0" w:rsidRPr="006E2953" w:rsidRDefault="00EA68C0" w:rsidP="006E2953">
      <w:pPr>
        <w:spacing w:line="480" w:lineRule="auto"/>
        <w:rPr>
          <w:rFonts w:ascii="Arial" w:hAnsi="Arial" w:cs="Arial"/>
          <w:sz w:val="24"/>
          <w:szCs w:val="24"/>
        </w:rPr>
      </w:pPr>
      <w:r w:rsidRPr="006E2953">
        <w:rPr>
          <w:rFonts w:ascii="Arial" w:hAnsi="Arial" w:cs="Arial"/>
          <w:sz w:val="24"/>
          <w:szCs w:val="24"/>
        </w:rPr>
        <w:t xml:space="preserve">Available at: </w:t>
      </w:r>
      <w:hyperlink r:id="rId7" w:history="1">
        <w:r w:rsidRPr="006E2953">
          <w:rPr>
            <w:rStyle w:val="Hyperlink"/>
            <w:rFonts w:ascii="Arial" w:hAnsi="Arial" w:cs="Arial"/>
            <w:sz w:val="24"/>
            <w:szCs w:val="24"/>
          </w:rPr>
          <w:t>https://www.legislation.gov.uk/ukpga/1971/48/contents</w:t>
        </w:r>
      </w:hyperlink>
      <w:r w:rsidRPr="006E2953">
        <w:rPr>
          <w:rFonts w:ascii="Arial" w:hAnsi="Arial" w:cs="Arial"/>
          <w:sz w:val="24"/>
          <w:szCs w:val="24"/>
        </w:rPr>
        <w:t xml:space="preserve"> (Accessed:18/04/2024)</w:t>
      </w:r>
    </w:p>
    <w:p w14:paraId="6F9F824A" w14:textId="77777777" w:rsidR="00EA68C0" w:rsidRPr="006E2953" w:rsidRDefault="00EA68C0" w:rsidP="006E2953">
      <w:pPr>
        <w:spacing w:line="480" w:lineRule="auto"/>
        <w:rPr>
          <w:rFonts w:ascii="Arial" w:hAnsi="Arial" w:cs="Arial"/>
          <w:sz w:val="24"/>
          <w:szCs w:val="24"/>
        </w:rPr>
      </w:pPr>
    </w:p>
    <w:p w14:paraId="6AFF99D3" w14:textId="77777777" w:rsidR="001A7007" w:rsidRPr="006E2953" w:rsidRDefault="001A7007" w:rsidP="006E2953">
      <w:pPr>
        <w:spacing w:line="480" w:lineRule="auto"/>
        <w:rPr>
          <w:rFonts w:ascii="Arial" w:hAnsi="Arial" w:cs="Arial"/>
          <w:color w:val="1E1E1E"/>
          <w:sz w:val="24"/>
          <w:szCs w:val="24"/>
          <w:shd w:val="clear" w:color="auto" w:fill="FFFFFF"/>
        </w:rPr>
      </w:pPr>
      <w:r w:rsidRPr="006E2953">
        <w:rPr>
          <w:rFonts w:ascii="Arial" w:hAnsi="Arial" w:cs="Arial"/>
          <w:i/>
          <w:iCs/>
          <w:color w:val="1E1E1E"/>
          <w:sz w:val="24"/>
          <w:szCs w:val="24"/>
          <w:shd w:val="clear" w:color="auto" w:fill="FFFFFF"/>
        </w:rPr>
        <w:t xml:space="preserve">Criminal Justice and Public Order Act 1994, </w:t>
      </w:r>
      <w:r w:rsidRPr="006E2953">
        <w:rPr>
          <w:rFonts w:ascii="Arial" w:hAnsi="Arial" w:cs="Arial"/>
          <w:color w:val="1E1E1E"/>
          <w:sz w:val="24"/>
          <w:szCs w:val="24"/>
          <w:shd w:val="clear" w:color="auto" w:fill="FFFFFF"/>
        </w:rPr>
        <w:t>c. 33</w:t>
      </w:r>
    </w:p>
    <w:p w14:paraId="6ABD1F06" w14:textId="77777777" w:rsidR="001A7007" w:rsidRPr="006E2953" w:rsidRDefault="001A7007" w:rsidP="006E2953">
      <w:pPr>
        <w:spacing w:line="480" w:lineRule="auto"/>
        <w:rPr>
          <w:rFonts w:ascii="Arial" w:hAnsi="Arial" w:cs="Arial"/>
          <w:i/>
          <w:iCs/>
          <w:sz w:val="24"/>
          <w:szCs w:val="24"/>
        </w:rPr>
      </w:pPr>
      <w:r w:rsidRPr="006E2953">
        <w:rPr>
          <w:rFonts w:ascii="Arial" w:hAnsi="Arial" w:cs="Arial"/>
          <w:color w:val="1E1E1E"/>
          <w:sz w:val="24"/>
          <w:szCs w:val="24"/>
          <w:shd w:val="clear" w:color="auto" w:fill="FFFFFF"/>
        </w:rPr>
        <w:t>Available at:</w:t>
      </w:r>
      <w:r w:rsidRPr="006E2953">
        <w:rPr>
          <w:rFonts w:ascii="Arial" w:hAnsi="Arial" w:cs="Arial"/>
          <w:sz w:val="24"/>
          <w:szCs w:val="24"/>
        </w:rPr>
        <w:t xml:space="preserve"> </w:t>
      </w:r>
      <w:hyperlink r:id="rId8" w:history="1">
        <w:r w:rsidRPr="006E2953">
          <w:rPr>
            <w:rStyle w:val="Hyperlink"/>
            <w:rFonts w:ascii="Arial" w:hAnsi="Arial" w:cs="Arial"/>
            <w:sz w:val="24"/>
            <w:szCs w:val="24"/>
            <w:shd w:val="clear" w:color="auto" w:fill="FFFFFF"/>
          </w:rPr>
          <w:t>https://www.legislation.gov.uk/ukpga/1994/33/contents</w:t>
        </w:r>
      </w:hyperlink>
      <w:r w:rsidRPr="006E2953">
        <w:rPr>
          <w:rFonts w:ascii="Arial" w:hAnsi="Arial" w:cs="Arial"/>
          <w:color w:val="1E1E1E"/>
          <w:sz w:val="24"/>
          <w:szCs w:val="24"/>
          <w:shd w:val="clear" w:color="auto" w:fill="FFFFFF"/>
        </w:rPr>
        <w:t xml:space="preserve"> </w:t>
      </w:r>
      <w:r w:rsidRPr="006E2953">
        <w:rPr>
          <w:rFonts w:ascii="Arial" w:hAnsi="Arial" w:cs="Arial"/>
          <w:sz w:val="24"/>
          <w:szCs w:val="24"/>
        </w:rPr>
        <w:t>(Accessed:18/04/2024)</w:t>
      </w:r>
    </w:p>
    <w:p w14:paraId="0AE1A3B6" w14:textId="77777777" w:rsidR="00EA68C0" w:rsidRPr="006E2953" w:rsidRDefault="00EA68C0" w:rsidP="006E2953">
      <w:pPr>
        <w:spacing w:line="480" w:lineRule="auto"/>
        <w:rPr>
          <w:rFonts w:ascii="Arial" w:hAnsi="Arial" w:cs="Arial"/>
          <w:i/>
          <w:iCs/>
          <w:sz w:val="24"/>
          <w:szCs w:val="24"/>
        </w:rPr>
      </w:pPr>
    </w:p>
    <w:p w14:paraId="1F39F312" w14:textId="77777777" w:rsidR="00BA187B" w:rsidRPr="006C7519" w:rsidRDefault="00BA187B" w:rsidP="006E2953">
      <w:pPr>
        <w:spacing w:line="480" w:lineRule="auto"/>
        <w:rPr>
          <w:rFonts w:ascii="Arial" w:hAnsi="Arial" w:cs="Arial"/>
          <w:bCs/>
          <w:sz w:val="24"/>
          <w:szCs w:val="24"/>
        </w:rPr>
      </w:pPr>
      <w:r w:rsidRPr="006C7519">
        <w:rPr>
          <w:rFonts w:ascii="Arial" w:hAnsi="Arial" w:cs="Arial"/>
          <w:bCs/>
          <w:i/>
          <w:iCs/>
          <w:sz w:val="24"/>
          <w:szCs w:val="24"/>
        </w:rPr>
        <w:t>Offences Against the Person Act 186</w:t>
      </w:r>
      <w:r w:rsidRPr="006C7519">
        <w:rPr>
          <w:rFonts w:ascii="Arial" w:hAnsi="Arial" w:cs="Arial"/>
          <w:bCs/>
          <w:sz w:val="24"/>
          <w:szCs w:val="24"/>
        </w:rPr>
        <w:t xml:space="preserve">, c. 100 </w:t>
      </w:r>
    </w:p>
    <w:p w14:paraId="0D2EAF0B" w14:textId="77777777" w:rsidR="00BA187B" w:rsidRPr="006E2953" w:rsidRDefault="00BA187B" w:rsidP="006E2953">
      <w:pPr>
        <w:spacing w:line="480" w:lineRule="auto"/>
        <w:rPr>
          <w:rFonts w:ascii="Arial" w:hAnsi="Arial" w:cs="Arial"/>
          <w:i/>
          <w:iCs/>
          <w:sz w:val="24"/>
          <w:szCs w:val="24"/>
        </w:rPr>
      </w:pPr>
      <w:r w:rsidRPr="006C7519">
        <w:rPr>
          <w:rFonts w:ascii="Arial" w:hAnsi="Arial" w:cs="Arial"/>
          <w:bCs/>
          <w:sz w:val="24"/>
          <w:szCs w:val="24"/>
        </w:rPr>
        <w:t xml:space="preserve">Available at: </w:t>
      </w:r>
      <w:hyperlink r:id="rId9" w:history="1">
        <w:r w:rsidRPr="006C7519">
          <w:rPr>
            <w:rStyle w:val="Hyperlink"/>
            <w:rFonts w:ascii="Arial" w:hAnsi="Arial" w:cs="Arial"/>
            <w:bCs/>
            <w:sz w:val="24"/>
            <w:szCs w:val="24"/>
          </w:rPr>
          <w:t>https://www.legislation.gov.uk/ukpga/Vict/24-25/100/contents/enacted</w:t>
        </w:r>
      </w:hyperlink>
      <w:r w:rsidRPr="006E2953">
        <w:rPr>
          <w:rFonts w:ascii="Arial" w:hAnsi="Arial" w:cs="Arial"/>
          <w:bCs/>
          <w:sz w:val="24"/>
          <w:szCs w:val="24"/>
        </w:rPr>
        <w:t xml:space="preserve"> </w:t>
      </w:r>
      <w:r w:rsidRPr="006E2953">
        <w:rPr>
          <w:rFonts w:ascii="Arial" w:hAnsi="Arial" w:cs="Arial"/>
          <w:sz w:val="24"/>
          <w:szCs w:val="24"/>
        </w:rPr>
        <w:t>(Accessed:18/04/2024)</w:t>
      </w:r>
    </w:p>
    <w:p w14:paraId="1FD94198" w14:textId="77777777" w:rsidR="001A7007" w:rsidRPr="006E2953" w:rsidRDefault="001A7007" w:rsidP="006E2953">
      <w:pPr>
        <w:spacing w:line="480" w:lineRule="auto"/>
        <w:rPr>
          <w:rFonts w:ascii="Arial" w:hAnsi="Arial" w:cs="Arial"/>
          <w:i/>
          <w:iCs/>
          <w:sz w:val="24"/>
          <w:szCs w:val="24"/>
        </w:rPr>
      </w:pPr>
    </w:p>
    <w:p w14:paraId="7A155C3B" w14:textId="77777777" w:rsidR="000F7D89" w:rsidRPr="006E2953" w:rsidRDefault="000F7D89" w:rsidP="006E2953">
      <w:pPr>
        <w:spacing w:line="480" w:lineRule="auto"/>
        <w:rPr>
          <w:rFonts w:ascii="Arial" w:hAnsi="Arial" w:cs="Arial"/>
          <w:sz w:val="24"/>
          <w:szCs w:val="24"/>
        </w:rPr>
      </w:pPr>
      <w:r w:rsidRPr="006E2953">
        <w:rPr>
          <w:rFonts w:ascii="Arial" w:hAnsi="Arial" w:cs="Arial"/>
          <w:i/>
          <w:iCs/>
          <w:sz w:val="24"/>
          <w:szCs w:val="24"/>
        </w:rPr>
        <w:t>Theft Act 1968</w:t>
      </w:r>
      <w:r w:rsidRPr="006E2953">
        <w:rPr>
          <w:rFonts w:ascii="Arial" w:hAnsi="Arial" w:cs="Arial"/>
          <w:sz w:val="24"/>
          <w:szCs w:val="24"/>
        </w:rPr>
        <w:t>, c. 60</w:t>
      </w:r>
    </w:p>
    <w:p w14:paraId="208044C3" w14:textId="77777777" w:rsidR="000F7D89" w:rsidRPr="006E2953" w:rsidRDefault="000F7D89" w:rsidP="006E2953">
      <w:pPr>
        <w:spacing w:line="480" w:lineRule="auto"/>
        <w:rPr>
          <w:rFonts w:ascii="Arial" w:hAnsi="Arial" w:cs="Arial"/>
          <w:i/>
          <w:iCs/>
          <w:sz w:val="24"/>
          <w:szCs w:val="24"/>
        </w:rPr>
      </w:pPr>
      <w:r w:rsidRPr="006E2953">
        <w:rPr>
          <w:rFonts w:ascii="Arial" w:hAnsi="Arial" w:cs="Arial"/>
          <w:sz w:val="24"/>
          <w:szCs w:val="24"/>
        </w:rPr>
        <w:t xml:space="preserve">Available at: </w:t>
      </w:r>
      <w:hyperlink r:id="rId10" w:history="1">
        <w:r w:rsidRPr="006E2953">
          <w:rPr>
            <w:rStyle w:val="Hyperlink"/>
            <w:rFonts w:ascii="Arial" w:hAnsi="Arial" w:cs="Arial"/>
            <w:sz w:val="24"/>
            <w:szCs w:val="24"/>
          </w:rPr>
          <w:t>https://www.legislation.gov.uk/ukpga/1968/60/contents</w:t>
        </w:r>
      </w:hyperlink>
      <w:r w:rsidRPr="006E2953">
        <w:rPr>
          <w:rFonts w:ascii="Arial" w:hAnsi="Arial" w:cs="Arial"/>
          <w:sz w:val="24"/>
          <w:szCs w:val="24"/>
        </w:rPr>
        <w:t xml:space="preserve"> (Accessed:18/04/2024)</w:t>
      </w:r>
    </w:p>
    <w:p w14:paraId="0D700E42" w14:textId="77777777" w:rsidR="001E0725" w:rsidRPr="006E2953" w:rsidRDefault="001E0725" w:rsidP="006E2953">
      <w:pPr>
        <w:spacing w:line="480" w:lineRule="auto"/>
        <w:rPr>
          <w:rFonts w:ascii="Arial" w:hAnsi="Arial" w:cs="Arial"/>
          <w:color w:val="1E1E1E"/>
          <w:sz w:val="24"/>
          <w:szCs w:val="24"/>
          <w:shd w:val="clear" w:color="auto" w:fill="FFFFFF"/>
        </w:rPr>
      </w:pPr>
    </w:p>
    <w:p w14:paraId="0B61AEBE" w14:textId="77777777" w:rsidR="00592460" w:rsidRPr="006E2953" w:rsidRDefault="00592460" w:rsidP="006E2953">
      <w:pPr>
        <w:spacing w:line="480" w:lineRule="auto"/>
        <w:rPr>
          <w:rFonts w:ascii="Arial" w:hAnsi="Arial" w:cs="Arial"/>
          <w:sz w:val="24"/>
          <w:szCs w:val="24"/>
        </w:rPr>
      </w:pPr>
    </w:p>
    <w:p w14:paraId="3E7091F0" w14:textId="77777777" w:rsidR="006E2953" w:rsidRPr="006E2953" w:rsidRDefault="006E2953" w:rsidP="006E2953">
      <w:pPr>
        <w:spacing w:line="480" w:lineRule="auto"/>
        <w:rPr>
          <w:rFonts w:ascii="Arial" w:hAnsi="Arial" w:cs="Arial"/>
          <w:sz w:val="24"/>
          <w:szCs w:val="24"/>
          <w:u w:val="single"/>
        </w:rPr>
      </w:pPr>
    </w:p>
    <w:p w14:paraId="0B6122AB" w14:textId="77777777" w:rsidR="006E2953" w:rsidRPr="006E2953" w:rsidRDefault="006E2953" w:rsidP="006E2953">
      <w:pPr>
        <w:spacing w:line="480" w:lineRule="auto"/>
        <w:rPr>
          <w:rFonts w:ascii="Arial" w:hAnsi="Arial" w:cs="Arial"/>
          <w:sz w:val="24"/>
          <w:szCs w:val="24"/>
          <w:u w:val="single"/>
        </w:rPr>
      </w:pPr>
    </w:p>
    <w:p w14:paraId="344F4814" w14:textId="7F9B7EEC" w:rsidR="00C954C1" w:rsidRPr="006E2953" w:rsidRDefault="000F7D89" w:rsidP="006E2953">
      <w:pPr>
        <w:spacing w:line="480" w:lineRule="auto"/>
        <w:rPr>
          <w:rFonts w:ascii="Arial" w:hAnsi="Arial" w:cs="Arial"/>
          <w:sz w:val="24"/>
          <w:szCs w:val="24"/>
          <w:u w:val="single"/>
        </w:rPr>
      </w:pPr>
      <w:r w:rsidRPr="006E2953">
        <w:rPr>
          <w:rFonts w:ascii="Arial" w:hAnsi="Arial" w:cs="Arial"/>
          <w:sz w:val="24"/>
          <w:szCs w:val="24"/>
          <w:u w:val="single"/>
        </w:rPr>
        <w:t>Case law</w:t>
      </w:r>
    </w:p>
    <w:p w14:paraId="379620D9" w14:textId="76B4E082" w:rsidR="005E69F9" w:rsidRPr="006E2953" w:rsidRDefault="005E69F9" w:rsidP="006E2953">
      <w:pPr>
        <w:spacing w:line="480" w:lineRule="auto"/>
        <w:rPr>
          <w:rFonts w:ascii="Arial" w:hAnsi="Arial" w:cs="Arial"/>
          <w:color w:val="1E1E1E"/>
          <w:sz w:val="24"/>
          <w:szCs w:val="24"/>
          <w:shd w:val="clear" w:color="auto" w:fill="FFFFFF"/>
        </w:rPr>
      </w:pPr>
      <w:r w:rsidRPr="006E2953">
        <w:rPr>
          <w:rFonts w:ascii="Arial" w:hAnsi="Arial" w:cs="Arial"/>
          <w:color w:val="1E1E1E"/>
          <w:sz w:val="24"/>
          <w:szCs w:val="24"/>
          <w:shd w:val="clear" w:color="auto" w:fill="FFFFFF"/>
        </w:rPr>
        <w:t xml:space="preserve">‘Director of Public Prosecutions v Bailey &amp; </w:t>
      </w:r>
      <w:proofErr w:type="spellStart"/>
      <w:r w:rsidRPr="006E2953">
        <w:rPr>
          <w:rFonts w:ascii="Arial" w:hAnsi="Arial" w:cs="Arial"/>
          <w:color w:val="1E1E1E"/>
          <w:sz w:val="24"/>
          <w:szCs w:val="24"/>
          <w:shd w:val="clear" w:color="auto" w:fill="FFFFFF"/>
        </w:rPr>
        <w:t>Ors’</w:t>
      </w:r>
      <w:proofErr w:type="spellEnd"/>
      <w:r w:rsidRPr="006E2953">
        <w:rPr>
          <w:rFonts w:ascii="Arial" w:hAnsi="Arial" w:cs="Arial"/>
          <w:color w:val="1E1E1E"/>
          <w:sz w:val="24"/>
          <w:szCs w:val="24"/>
          <w:shd w:val="clear" w:color="auto" w:fill="FFFFFF"/>
        </w:rPr>
        <w:t xml:space="preserve"> (2022) England and Wales High Court, case 3302, </w:t>
      </w:r>
      <w:r w:rsidRPr="006E2953">
        <w:rPr>
          <w:rFonts w:ascii="Arial" w:hAnsi="Arial" w:cs="Arial"/>
          <w:i/>
          <w:iCs/>
          <w:color w:val="1E1E1E"/>
          <w:sz w:val="24"/>
          <w:szCs w:val="24"/>
          <w:shd w:val="clear" w:color="auto" w:fill="FFFFFF"/>
        </w:rPr>
        <w:t>Bailli</w:t>
      </w:r>
      <w:r w:rsidRPr="006E2953">
        <w:rPr>
          <w:rFonts w:ascii="Arial" w:hAnsi="Arial" w:cs="Arial"/>
          <w:color w:val="1E1E1E"/>
          <w:sz w:val="24"/>
          <w:szCs w:val="24"/>
          <w:shd w:val="clear" w:color="auto" w:fill="FFFFFF"/>
        </w:rPr>
        <w:t xml:space="preserve">, Available at: </w:t>
      </w:r>
      <w:hyperlink r:id="rId11" w:history="1">
        <w:r w:rsidRPr="006E2953">
          <w:rPr>
            <w:rStyle w:val="Hyperlink"/>
            <w:rFonts w:ascii="Arial" w:hAnsi="Arial" w:cs="Arial"/>
            <w:sz w:val="24"/>
            <w:szCs w:val="24"/>
            <w:shd w:val="clear" w:color="auto" w:fill="FFFFFF"/>
          </w:rPr>
          <w:t>https://www.bailii.org/ew/cases/EWHC/Admin/2022/3302.html</w:t>
        </w:r>
      </w:hyperlink>
      <w:r w:rsidRPr="006E2953">
        <w:rPr>
          <w:rFonts w:ascii="Arial" w:hAnsi="Arial" w:cs="Arial"/>
          <w:color w:val="1E1E1E"/>
          <w:sz w:val="24"/>
          <w:szCs w:val="24"/>
          <w:shd w:val="clear" w:color="auto" w:fill="FFFFFF"/>
        </w:rPr>
        <w:t xml:space="preserve"> (Accessed:18/04/2024)</w:t>
      </w:r>
    </w:p>
    <w:p w14:paraId="6E4A906F" w14:textId="77777777" w:rsidR="000F7D89" w:rsidRPr="006E2953" w:rsidRDefault="000F7D89" w:rsidP="006E2953">
      <w:pPr>
        <w:spacing w:line="480" w:lineRule="auto"/>
        <w:rPr>
          <w:rFonts w:ascii="Arial" w:hAnsi="Arial" w:cs="Arial"/>
          <w:sz w:val="24"/>
          <w:szCs w:val="24"/>
          <w:u w:val="single"/>
        </w:rPr>
      </w:pPr>
    </w:p>
    <w:p w14:paraId="2ED91FD1" w14:textId="197CB94A" w:rsidR="00EA1717" w:rsidRPr="006E2953" w:rsidRDefault="00EA1717" w:rsidP="006E2953">
      <w:pPr>
        <w:spacing w:line="480" w:lineRule="auto"/>
        <w:rPr>
          <w:rFonts w:ascii="Arial" w:hAnsi="Arial" w:cs="Arial"/>
          <w:sz w:val="24"/>
          <w:szCs w:val="24"/>
        </w:rPr>
      </w:pPr>
      <w:r w:rsidRPr="006E2953">
        <w:rPr>
          <w:rFonts w:ascii="Arial" w:hAnsi="Arial" w:cs="Arial"/>
          <w:sz w:val="24"/>
          <w:szCs w:val="24"/>
        </w:rPr>
        <w:t xml:space="preserve">‘DPP v Parmenter’ (1992) Appeal </w:t>
      </w:r>
      <w:proofErr w:type="gramStart"/>
      <w:r w:rsidRPr="006E2953">
        <w:rPr>
          <w:rFonts w:ascii="Arial" w:hAnsi="Arial" w:cs="Arial"/>
          <w:sz w:val="24"/>
          <w:szCs w:val="24"/>
        </w:rPr>
        <w:t>cases,  699</w:t>
      </w:r>
      <w:proofErr w:type="gramEnd"/>
      <w:r w:rsidRPr="006E2953">
        <w:rPr>
          <w:rFonts w:ascii="Arial" w:hAnsi="Arial" w:cs="Arial"/>
          <w:sz w:val="24"/>
          <w:szCs w:val="24"/>
        </w:rPr>
        <w:t>.</w:t>
      </w:r>
    </w:p>
    <w:p w14:paraId="225CA1A5" w14:textId="77777777" w:rsidR="005E69F9" w:rsidRPr="006E2953" w:rsidRDefault="005E69F9" w:rsidP="006E2953">
      <w:pPr>
        <w:spacing w:line="480" w:lineRule="auto"/>
        <w:rPr>
          <w:rFonts w:ascii="Arial" w:hAnsi="Arial" w:cs="Arial"/>
          <w:sz w:val="24"/>
          <w:szCs w:val="24"/>
          <w:u w:val="single"/>
        </w:rPr>
      </w:pPr>
    </w:p>
    <w:p w14:paraId="6B3F698E" w14:textId="77777777" w:rsidR="00E12AF0" w:rsidRPr="006E2953" w:rsidRDefault="00E12AF0" w:rsidP="006E2953">
      <w:pPr>
        <w:spacing w:line="480" w:lineRule="auto"/>
        <w:rPr>
          <w:rFonts w:ascii="Arial" w:hAnsi="Arial" w:cs="Arial"/>
          <w:sz w:val="24"/>
          <w:szCs w:val="24"/>
        </w:rPr>
      </w:pPr>
      <w:r w:rsidRPr="006E2953">
        <w:rPr>
          <w:rFonts w:ascii="Arial" w:hAnsi="Arial" w:cs="Arial"/>
          <w:sz w:val="24"/>
          <w:szCs w:val="24"/>
        </w:rPr>
        <w:t>‘DPP v Smith’ (1961) Appeal Cases, 290.</w:t>
      </w:r>
    </w:p>
    <w:p w14:paraId="2F8A6487" w14:textId="77777777" w:rsidR="00E12AF0" w:rsidRPr="006E2953" w:rsidRDefault="00E12AF0" w:rsidP="006E2953">
      <w:pPr>
        <w:spacing w:line="480" w:lineRule="auto"/>
        <w:rPr>
          <w:rFonts w:ascii="Arial" w:hAnsi="Arial" w:cs="Arial"/>
          <w:sz w:val="24"/>
          <w:szCs w:val="24"/>
          <w:u w:val="single"/>
        </w:rPr>
      </w:pPr>
    </w:p>
    <w:p w14:paraId="4E79EDA8" w14:textId="77777777" w:rsidR="009E3706" w:rsidRPr="006E2953" w:rsidRDefault="009E3706" w:rsidP="006E2953">
      <w:pPr>
        <w:spacing w:line="480" w:lineRule="auto"/>
        <w:rPr>
          <w:rFonts w:ascii="Arial" w:hAnsi="Arial" w:cs="Arial"/>
          <w:sz w:val="24"/>
          <w:szCs w:val="24"/>
        </w:rPr>
      </w:pPr>
      <w:r w:rsidRPr="006E2953">
        <w:rPr>
          <w:rFonts w:ascii="Arial" w:hAnsi="Arial" w:cs="Arial"/>
          <w:sz w:val="24"/>
          <w:szCs w:val="24"/>
        </w:rPr>
        <w:t>‘Ivey v Genting Casinos’ (2017) United Kingdom Supreme Court, case 67</w:t>
      </w:r>
      <w:r w:rsidRPr="006E2953">
        <w:rPr>
          <w:rFonts w:ascii="Arial" w:hAnsi="Arial" w:cs="Arial"/>
          <w:i/>
          <w:iCs/>
          <w:sz w:val="24"/>
          <w:szCs w:val="24"/>
        </w:rPr>
        <w:t xml:space="preserve">, LexisNexis. </w:t>
      </w:r>
      <w:r w:rsidRPr="006E2953">
        <w:rPr>
          <w:rFonts w:ascii="Arial" w:hAnsi="Arial" w:cs="Arial"/>
          <w:sz w:val="24"/>
          <w:szCs w:val="24"/>
        </w:rPr>
        <w:t xml:space="preserve">Available at: </w:t>
      </w:r>
      <w:hyperlink r:id="rId12" w:history="1">
        <w:r w:rsidRPr="006E2953">
          <w:rPr>
            <w:rStyle w:val="Hyperlink"/>
            <w:rFonts w:ascii="Arial" w:hAnsi="Arial" w:cs="Arial"/>
            <w:sz w:val="24"/>
            <w:szCs w:val="24"/>
          </w:rPr>
          <w:t>https://plus-lexis-com.ezproxy.uwtsd.ac.uk/uk/cases-uk/ivey-v-genting-casinos-uk-ltd-trading-as-croc_3/?crid=b26516dd-1ae9-44b4-b652-fade000cb3de</w:t>
        </w:r>
      </w:hyperlink>
      <w:r w:rsidRPr="006E2953">
        <w:rPr>
          <w:rFonts w:ascii="Arial" w:hAnsi="Arial" w:cs="Arial"/>
          <w:sz w:val="24"/>
          <w:szCs w:val="24"/>
        </w:rPr>
        <w:t xml:space="preserve"> (Accessed:18/04.2024)</w:t>
      </w:r>
    </w:p>
    <w:p w14:paraId="1D4DCF48" w14:textId="77777777" w:rsidR="00E12AF0" w:rsidRPr="006E2953" w:rsidRDefault="00E12AF0" w:rsidP="006E2953">
      <w:pPr>
        <w:spacing w:line="480" w:lineRule="auto"/>
        <w:rPr>
          <w:rFonts w:ascii="Arial" w:hAnsi="Arial" w:cs="Arial"/>
          <w:sz w:val="24"/>
          <w:szCs w:val="24"/>
          <w:u w:val="single"/>
        </w:rPr>
      </w:pPr>
    </w:p>
    <w:p w14:paraId="5BE7694B" w14:textId="77777777" w:rsidR="00217AA1" w:rsidRPr="006E2953" w:rsidRDefault="00217AA1" w:rsidP="006E2953">
      <w:pPr>
        <w:spacing w:line="480" w:lineRule="auto"/>
        <w:rPr>
          <w:rFonts w:ascii="Arial" w:hAnsi="Arial" w:cs="Arial"/>
          <w:sz w:val="24"/>
          <w:szCs w:val="24"/>
        </w:rPr>
      </w:pPr>
      <w:r w:rsidRPr="006E2953">
        <w:rPr>
          <w:rFonts w:ascii="Arial" w:hAnsi="Arial" w:cs="Arial"/>
          <w:sz w:val="24"/>
          <w:szCs w:val="24"/>
        </w:rPr>
        <w:t>‘R v Constanza’ (1997) Criminal Law Reports, 2, p. 492.</w:t>
      </w:r>
    </w:p>
    <w:p w14:paraId="4B42C75F" w14:textId="77777777" w:rsidR="00217AA1" w:rsidRPr="006E2953" w:rsidRDefault="00217AA1" w:rsidP="006E2953">
      <w:pPr>
        <w:spacing w:line="480" w:lineRule="auto"/>
        <w:rPr>
          <w:rFonts w:ascii="Arial" w:hAnsi="Arial" w:cs="Arial"/>
          <w:sz w:val="24"/>
          <w:szCs w:val="24"/>
          <w:u w:val="single"/>
        </w:rPr>
      </w:pPr>
    </w:p>
    <w:p w14:paraId="14B5DA69" w14:textId="2D10A854" w:rsidR="00724973" w:rsidRPr="006E2953" w:rsidRDefault="00724973" w:rsidP="006E2953">
      <w:pPr>
        <w:spacing w:line="480" w:lineRule="auto"/>
        <w:rPr>
          <w:rFonts w:ascii="Arial" w:hAnsi="Arial" w:cs="Arial"/>
          <w:color w:val="1E1E1E"/>
          <w:sz w:val="24"/>
          <w:szCs w:val="24"/>
          <w:shd w:val="clear" w:color="auto" w:fill="FFFFFF"/>
        </w:rPr>
      </w:pPr>
      <w:r w:rsidRPr="006E2953">
        <w:rPr>
          <w:rFonts w:ascii="Arial" w:hAnsi="Arial" w:cs="Arial"/>
          <w:sz w:val="24"/>
          <w:szCs w:val="24"/>
        </w:rPr>
        <w:t>‘R v Jones and Smith’ (1976</w:t>
      </w:r>
      <w:r w:rsidRPr="006E2953">
        <w:rPr>
          <w:rFonts w:ascii="Arial" w:hAnsi="Arial" w:cs="Arial"/>
          <w:sz w:val="24"/>
          <w:szCs w:val="24"/>
        </w:rPr>
        <w:t>) Criminal</w:t>
      </w:r>
      <w:r w:rsidRPr="006E2953">
        <w:rPr>
          <w:rFonts w:ascii="Arial" w:hAnsi="Arial" w:cs="Arial"/>
          <w:sz w:val="24"/>
          <w:szCs w:val="24"/>
        </w:rPr>
        <w:t xml:space="preserve"> Appeal Reports, 63, p. 47.</w:t>
      </w:r>
    </w:p>
    <w:p w14:paraId="2ABC4BD4" w14:textId="77777777" w:rsidR="00724973" w:rsidRPr="006E2953" w:rsidRDefault="00724973" w:rsidP="006E2953">
      <w:pPr>
        <w:spacing w:line="480" w:lineRule="auto"/>
        <w:rPr>
          <w:rFonts w:ascii="Arial" w:hAnsi="Arial" w:cs="Arial"/>
          <w:sz w:val="24"/>
          <w:szCs w:val="24"/>
          <w:u w:val="single"/>
        </w:rPr>
      </w:pPr>
    </w:p>
    <w:p w14:paraId="57B61C61" w14:textId="77777777" w:rsidR="0092627E" w:rsidRPr="006E2953" w:rsidRDefault="0092627E" w:rsidP="006E2953">
      <w:pPr>
        <w:spacing w:line="480" w:lineRule="auto"/>
        <w:rPr>
          <w:rFonts w:ascii="Arial" w:hAnsi="Arial" w:cs="Arial"/>
          <w:sz w:val="24"/>
          <w:szCs w:val="24"/>
        </w:rPr>
      </w:pPr>
      <w:r w:rsidRPr="006E2953">
        <w:rPr>
          <w:rFonts w:ascii="Arial" w:hAnsi="Arial" w:cs="Arial"/>
          <w:sz w:val="24"/>
          <w:szCs w:val="24"/>
        </w:rPr>
        <w:t>‘R v Latimer’ (1886) Queens Bench Division, 17, p. 359.</w:t>
      </w:r>
    </w:p>
    <w:p w14:paraId="18236A6E" w14:textId="77777777" w:rsidR="007F6009" w:rsidRDefault="007F6009" w:rsidP="006E2953">
      <w:pPr>
        <w:spacing w:line="480" w:lineRule="auto"/>
        <w:rPr>
          <w:rFonts w:ascii="Arial" w:hAnsi="Arial" w:cs="Arial"/>
          <w:sz w:val="24"/>
          <w:szCs w:val="24"/>
          <w:u w:val="single"/>
        </w:rPr>
      </w:pPr>
    </w:p>
    <w:p w14:paraId="59D4EC43" w14:textId="43A1255E" w:rsidR="003128CC" w:rsidRPr="006E2953" w:rsidRDefault="003128CC" w:rsidP="006E2953">
      <w:pPr>
        <w:spacing w:line="480" w:lineRule="auto"/>
        <w:rPr>
          <w:rFonts w:ascii="Arial" w:hAnsi="Arial" w:cs="Arial"/>
          <w:sz w:val="24"/>
          <w:szCs w:val="24"/>
        </w:rPr>
      </w:pPr>
      <w:r w:rsidRPr="006E2953">
        <w:rPr>
          <w:rFonts w:ascii="Arial" w:hAnsi="Arial" w:cs="Arial"/>
          <w:sz w:val="24"/>
          <w:szCs w:val="24"/>
        </w:rPr>
        <w:lastRenderedPageBreak/>
        <w:t>‘R v Meade and Belt’ (1823) Lew CC, 1, p. 184.</w:t>
      </w:r>
    </w:p>
    <w:p w14:paraId="1B8509C8" w14:textId="77777777" w:rsidR="003128CC" w:rsidRPr="006E2953" w:rsidRDefault="003128CC" w:rsidP="006E2953">
      <w:pPr>
        <w:spacing w:line="480" w:lineRule="auto"/>
        <w:rPr>
          <w:rFonts w:ascii="Arial" w:hAnsi="Arial" w:cs="Arial"/>
          <w:sz w:val="24"/>
          <w:szCs w:val="24"/>
          <w:u w:val="single"/>
        </w:rPr>
      </w:pPr>
    </w:p>
    <w:p w14:paraId="477FDBF7" w14:textId="4E3C6C90" w:rsidR="0062623E" w:rsidRPr="006E2953" w:rsidRDefault="0062623E" w:rsidP="006E2953">
      <w:pPr>
        <w:spacing w:line="480" w:lineRule="auto"/>
        <w:rPr>
          <w:rFonts w:ascii="Arial" w:hAnsi="Arial" w:cs="Arial"/>
          <w:sz w:val="24"/>
          <w:szCs w:val="24"/>
        </w:rPr>
      </w:pPr>
      <w:r w:rsidRPr="006E2953">
        <w:rPr>
          <w:rFonts w:ascii="Arial" w:hAnsi="Arial" w:cs="Arial"/>
          <w:sz w:val="24"/>
          <w:szCs w:val="24"/>
        </w:rPr>
        <w:t>‘Roper v Knott’ (1898) Queens Bench Division, 1</w:t>
      </w:r>
      <w:r w:rsidR="00656FF0" w:rsidRPr="006E2953">
        <w:rPr>
          <w:rFonts w:ascii="Arial" w:hAnsi="Arial" w:cs="Arial"/>
          <w:sz w:val="24"/>
          <w:szCs w:val="24"/>
        </w:rPr>
        <w:t>, p.868.</w:t>
      </w:r>
    </w:p>
    <w:p w14:paraId="4A8410A8" w14:textId="77777777" w:rsidR="0062623E" w:rsidRPr="006E2953" w:rsidRDefault="0062623E" w:rsidP="006E2953">
      <w:pPr>
        <w:spacing w:line="480" w:lineRule="auto"/>
        <w:rPr>
          <w:rFonts w:ascii="Arial" w:hAnsi="Arial" w:cs="Arial"/>
          <w:sz w:val="24"/>
          <w:szCs w:val="24"/>
          <w:u w:val="single"/>
        </w:rPr>
      </w:pPr>
    </w:p>
    <w:p w14:paraId="6AF8CDFD" w14:textId="66035553" w:rsidR="00656FF0" w:rsidRPr="006E2953" w:rsidRDefault="00656FF0" w:rsidP="006E2953">
      <w:pPr>
        <w:spacing w:line="480" w:lineRule="auto"/>
        <w:rPr>
          <w:rFonts w:ascii="Arial" w:hAnsi="Arial" w:cs="Arial"/>
          <w:sz w:val="24"/>
          <w:szCs w:val="24"/>
          <w:u w:val="single"/>
        </w:rPr>
      </w:pPr>
      <w:r w:rsidRPr="006E2953">
        <w:rPr>
          <w:rFonts w:ascii="Arial" w:hAnsi="Arial" w:cs="Arial"/>
          <w:sz w:val="24"/>
          <w:szCs w:val="24"/>
        </w:rPr>
        <w:t>‘R v Woollin’ (1998) Appeal Cases, 82.</w:t>
      </w:r>
    </w:p>
    <w:sectPr w:rsidR="00656FF0" w:rsidRPr="006E29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FBC"/>
    <w:rsid w:val="000353CF"/>
    <w:rsid w:val="00036F23"/>
    <w:rsid w:val="000403A2"/>
    <w:rsid w:val="00074E3F"/>
    <w:rsid w:val="00077B41"/>
    <w:rsid w:val="00085800"/>
    <w:rsid w:val="000B3DC9"/>
    <w:rsid w:val="000E298E"/>
    <w:rsid w:val="000E2A6C"/>
    <w:rsid w:val="000E40AA"/>
    <w:rsid w:val="000E4B4E"/>
    <w:rsid w:val="000F18AD"/>
    <w:rsid w:val="000F7D89"/>
    <w:rsid w:val="00172950"/>
    <w:rsid w:val="00175FBC"/>
    <w:rsid w:val="001A7007"/>
    <w:rsid w:val="001B60C7"/>
    <w:rsid w:val="001D720E"/>
    <w:rsid w:val="001E0725"/>
    <w:rsid w:val="00217AA1"/>
    <w:rsid w:val="00267913"/>
    <w:rsid w:val="0029112F"/>
    <w:rsid w:val="002C549C"/>
    <w:rsid w:val="002E224C"/>
    <w:rsid w:val="002E3D78"/>
    <w:rsid w:val="003128CC"/>
    <w:rsid w:val="00324F42"/>
    <w:rsid w:val="00337423"/>
    <w:rsid w:val="00337450"/>
    <w:rsid w:val="00337AB4"/>
    <w:rsid w:val="00340491"/>
    <w:rsid w:val="00344F40"/>
    <w:rsid w:val="00362EA3"/>
    <w:rsid w:val="00365760"/>
    <w:rsid w:val="003B2E40"/>
    <w:rsid w:val="00421860"/>
    <w:rsid w:val="00424CC2"/>
    <w:rsid w:val="00436B57"/>
    <w:rsid w:val="004428B3"/>
    <w:rsid w:val="00443D85"/>
    <w:rsid w:val="0046700D"/>
    <w:rsid w:val="00472827"/>
    <w:rsid w:val="004C1001"/>
    <w:rsid w:val="004D0B38"/>
    <w:rsid w:val="004D5406"/>
    <w:rsid w:val="00504B92"/>
    <w:rsid w:val="00534404"/>
    <w:rsid w:val="005407F0"/>
    <w:rsid w:val="0054251C"/>
    <w:rsid w:val="00573811"/>
    <w:rsid w:val="00573D13"/>
    <w:rsid w:val="00592460"/>
    <w:rsid w:val="0059751B"/>
    <w:rsid w:val="005A2322"/>
    <w:rsid w:val="005B4BC2"/>
    <w:rsid w:val="005E69F9"/>
    <w:rsid w:val="0062623E"/>
    <w:rsid w:val="00645BC8"/>
    <w:rsid w:val="00656FF0"/>
    <w:rsid w:val="006632D1"/>
    <w:rsid w:val="006A4B98"/>
    <w:rsid w:val="006A7ABA"/>
    <w:rsid w:val="006E1FAF"/>
    <w:rsid w:val="006E2953"/>
    <w:rsid w:val="00700534"/>
    <w:rsid w:val="0070511A"/>
    <w:rsid w:val="00712CE2"/>
    <w:rsid w:val="00724973"/>
    <w:rsid w:val="00740080"/>
    <w:rsid w:val="00761D81"/>
    <w:rsid w:val="0078297C"/>
    <w:rsid w:val="007A22ED"/>
    <w:rsid w:val="007A73B5"/>
    <w:rsid w:val="007B1505"/>
    <w:rsid w:val="007D0F38"/>
    <w:rsid w:val="007D5A97"/>
    <w:rsid w:val="007E7EDC"/>
    <w:rsid w:val="007F289A"/>
    <w:rsid w:val="007F6009"/>
    <w:rsid w:val="00815967"/>
    <w:rsid w:val="008205F7"/>
    <w:rsid w:val="008510BB"/>
    <w:rsid w:val="00852B49"/>
    <w:rsid w:val="00860436"/>
    <w:rsid w:val="00861D2C"/>
    <w:rsid w:val="008756D6"/>
    <w:rsid w:val="0089334E"/>
    <w:rsid w:val="008E070F"/>
    <w:rsid w:val="008F4C56"/>
    <w:rsid w:val="008F7C63"/>
    <w:rsid w:val="009062C2"/>
    <w:rsid w:val="0092627E"/>
    <w:rsid w:val="00992A95"/>
    <w:rsid w:val="0099719C"/>
    <w:rsid w:val="009B1705"/>
    <w:rsid w:val="009B3098"/>
    <w:rsid w:val="009B4035"/>
    <w:rsid w:val="009C49C0"/>
    <w:rsid w:val="009E2EA4"/>
    <w:rsid w:val="009E3706"/>
    <w:rsid w:val="00A27B5C"/>
    <w:rsid w:val="00A534D7"/>
    <w:rsid w:val="00A7025F"/>
    <w:rsid w:val="00A859EF"/>
    <w:rsid w:val="00AB6B71"/>
    <w:rsid w:val="00B165F2"/>
    <w:rsid w:val="00B228CC"/>
    <w:rsid w:val="00B81FF8"/>
    <w:rsid w:val="00B86EDC"/>
    <w:rsid w:val="00BA187B"/>
    <w:rsid w:val="00BB000E"/>
    <w:rsid w:val="00BC4325"/>
    <w:rsid w:val="00C127B9"/>
    <w:rsid w:val="00C137BB"/>
    <w:rsid w:val="00C954C1"/>
    <w:rsid w:val="00CA4876"/>
    <w:rsid w:val="00CE6B0F"/>
    <w:rsid w:val="00CF5C9B"/>
    <w:rsid w:val="00CF7EED"/>
    <w:rsid w:val="00D35EC4"/>
    <w:rsid w:val="00D45A77"/>
    <w:rsid w:val="00D63F4A"/>
    <w:rsid w:val="00D71A68"/>
    <w:rsid w:val="00DA248C"/>
    <w:rsid w:val="00DD7F7B"/>
    <w:rsid w:val="00DE10E6"/>
    <w:rsid w:val="00DE2A0B"/>
    <w:rsid w:val="00E009AD"/>
    <w:rsid w:val="00E12AF0"/>
    <w:rsid w:val="00E169F1"/>
    <w:rsid w:val="00E36095"/>
    <w:rsid w:val="00E66B8F"/>
    <w:rsid w:val="00EA1717"/>
    <w:rsid w:val="00EA68C0"/>
    <w:rsid w:val="00EC1CBB"/>
    <w:rsid w:val="00EE118B"/>
    <w:rsid w:val="00F1591C"/>
    <w:rsid w:val="00F62158"/>
    <w:rsid w:val="00F850E8"/>
    <w:rsid w:val="00FA10CC"/>
    <w:rsid w:val="00FE59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AD18B5"/>
  <w15:chartTrackingRefBased/>
  <w15:docId w15:val="{659D5140-C986-4920-A1E5-1CE619DA9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FBC"/>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175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5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5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5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5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5FB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5FB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5FB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5FB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5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5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5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5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5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5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5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5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5FBC"/>
    <w:rPr>
      <w:rFonts w:eastAsiaTheme="majorEastAsia" w:cstheme="majorBidi"/>
      <w:color w:val="272727" w:themeColor="text1" w:themeTint="D8"/>
    </w:rPr>
  </w:style>
  <w:style w:type="paragraph" w:styleId="Title">
    <w:name w:val="Title"/>
    <w:basedOn w:val="Normal"/>
    <w:next w:val="Normal"/>
    <w:link w:val="TitleChar"/>
    <w:uiPriority w:val="10"/>
    <w:qFormat/>
    <w:rsid w:val="00175F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5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5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5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5FBC"/>
    <w:pPr>
      <w:spacing w:before="160"/>
      <w:jc w:val="center"/>
    </w:pPr>
    <w:rPr>
      <w:i/>
      <w:iCs/>
      <w:color w:val="404040" w:themeColor="text1" w:themeTint="BF"/>
    </w:rPr>
  </w:style>
  <w:style w:type="character" w:customStyle="1" w:styleId="QuoteChar">
    <w:name w:val="Quote Char"/>
    <w:basedOn w:val="DefaultParagraphFont"/>
    <w:link w:val="Quote"/>
    <w:uiPriority w:val="29"/>
    <w:rsid w:val="00175FBC"/>
    <w:rPr>
      <w:i/>
      <w:iCs/>
      <w:color w:val="404040" w:themeColor="text1" w:themeTint="BF"/>
    </w:rPr>
  </w:style>
  <w:style w:type="paragraph" w:styleId="ListParagraph">
    <w:name w:val="List Paragraph"/>
    <w:basedOn w:val="Normal"/>
    <w:uiPriority w:val="34"/>
    <w:qFormat/>
    <w:rsid w:val="00175FBC"/>
    <w:pPr>
      <w:ind w:left="720"/>
      <w:contextualSpacing/>
    </w:pPr>
  </w:style>
  <w:style w:type="character" w:styleId="IntenseEmphasis">
    <w:name w:val="Intense Emphasis"/>
    <w:basedOn w:val="DefaultParagraphFont"/>
    <w:uiPriority w:val="21"/>
    <w:qFormat/>
    <w:rsid w:val="00175FBC"/>
    <w:rPr>
      <w:i/>
      <w:iCs/>
      <w:color w:val="0F4761" w:themeColor="accent1" w:themeShade="BF"/>
    </w:rPr>
  </w:style>
  <w:style w:type="paragraph" w:styleId="IntenseQuote">
    <w:name w:val="Intense Quote"/>
    <w:basedOn w:val="Normal"/>
    <w:next w:val="Normal"/>
    <w:link w:val="IntenseQuoteChar"/>
    <w:uiPriority w:val="30"/>
    <w:qFormat/>
    <w:rsid w:val="00175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5FBC"/>
    <w:rPr>
      <w:i/>
      <w:iCs/>
      <w:color w:val="0F4761" w:themeColor="accent1" w:themeShade="BF"/>
    </w:rPr>
  </w:style>
  <w:style w:type="character" w:styleId="IntenseReference">
    <w:name w:val="Intense Reference"/>
    <w:basedOn w:val="DefaultParagraphFont"/>
    <w:uiPriority w:val="32"/>
    <w:qFormat/>
    <w:rsid w:val="00175FBC"/>
    <w:rPr>
      <w:b/>
      <w:bCs/>
      <w:smallCaps/>
      <w:color w:val="0F4761" w:themeColor="accent1" w:themeShade="BF"/>
      <w:spacing w:val="5"/>
    </w:rPr>
  </w:style>
  <w:style w:type="character" w:styleId="Strong">
    <w:name w:val="Strong"/>
    <w:basedOn w:val="DefaultParagraphFont"/>
    <w:uiPriority w:val="22"/>
    <w:qFormat/>
    <w:rsid w:val="009C49C0"/>
    <w:rPr>
      <w:b/>
      <w:bCs/>
    </w:rPr>
  </w:style>
  <w:style w:type="character" w:styleId="Hyperlink">
    <w:name w:val="Hyperlink"/>
    <w:basedOn w:val="DefaultParagraphFont"/>
    <w:uiPriority w:val="99"/>
    <w:unhideWhenUsed/>
    <w:rsid w:val="009C49C0"/>
    <w:rPr>
      <w:color w:val="0000FF"/>
      <w:u w:val="single"/>
    </w:rPr>
  </w:style>
  <w:style w:type="character" w:styleId="Emphasis">
    <w:name w:val="Emphasis"/>
    <w:basedOn w:val="DefaultParagraphFont"/>
    <w:uiPriority w:val="20"/>
    <w:qFormat/>
    <w:rsid w:val="0078297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772324">
      <w:bodyDiv w:val="1"/>
      <w:marLeft w:val="0"/>
      <w:marRight w:val="0"/>
      <w:marTop w:val="0"/>
      <w:marBottom w:val="0"/>
      <w:divBdr>
        <w:top w:val="none" w:sz="0" w:space="0" w:color="auto"/>
        <w:left w:val="none" w:sz="0" w:space="0" w:color="auto"/>
        <w:bottom w:val="none" w:sz="0" w:space="0" w:color="auto"/>
        <w:right w:val="none" w:sz="0" w:space="0" w:color="auto"/>
      </w:divBdr>
    </w:div>
    <w:div w:id="1340431596">
      <w:bodyDiv w:val="1"/>
      <w:marLeft w:val="0"/>
      <w:marRight w:val="0"/>
      <w:marTop w:val="0"/>
      <w:marBottom w:val="0"/>
      <w:divBdr>
        <w:top w:val="none" w:sz="0" w:space="0" w:color="auto"/>
        <w:left w:val="none" w:sz="0" w:space="0" w:color="auto"/>
        <w:bottom w:val="none" w:sz="0" w:space="0" w:color="auto"/>
        <w:right w:val="none" w:sz="0" w:space="0" w:color="auto"/>
      </w:divBdr>
    </w:div>
    <w:div w:id="1380787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94/33/contents"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legislation.gov.uk/ukpga/1971/48/contents" TargetMode="External"/><Relationship Id="rId12" Type="http://schemas.openxmlformats.org/officeDocument/2006/relationships/hyperlink" Target="https://plus-lexis-com.ezproxy.uwtsd.ac.uk/uk/cases-uk/ivey-v-genting-casinos-uk-ltd-trading-as-croc_3/?crid=b26516dd-1ae9-44b4-b652-fade000cb3d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ailii.org/ew/cases/EWHC/Admin/2022/3302.html" TargetMode="External"/><Relationship Id="rId5" Type="http://schemas.openxmlformats.org/officeDocument/2006/relationships/settings" Target="settings.xml"/><Relationship Id="rId10" Type="http://schemas.openxmlformats.org/officeDocument/2006/relationships/hyperlink" Target="https://www.legislation.gov.uk/ukpga/1968/60/contents" TargetMode="External"/><Relationship Id="rId4" Type="http://schemas.openxmlformats.org/officeDocument/2006/relationships/styles" Target="styles.xml"/><Relationship Id="rId9" Type="http://schemas.openxmlformats.org/officeDocument/2006/relationships/hyperlink" Target="https://www.legislation.gov.uk/ukpga/Vict/24-25/100/contents/enacte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cf453e58328fec31073bd3ee7d904aa3">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afeb4becee64491c29fba15b49cdb5fb"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3BC2D444-3F1D-4337-83C3-E07738E84C8B}">
  <ds:schemaRefs>
    <ds:schemaRef ds:uri="http://schemas.microsoft.com/sharepoint/v3/contenttype/forms"/>
  </ds:schemaRefs>
</ds:datastoreItem>
</file>

<file path=customXml/itemProps2.xml><?xml version="1.0" encoding="utf-8"?>
<ds:datastoreItem xmlns:ds="http://schemas.openxmlformats.org/officeDocument/2006/customXml" ds:itemID="{B84EA121-960C-4042-98EE-587B0800A8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442A2C-ADC1-4CED-B37E-A395372ECDEC}">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9</Pages>
  <Words>1739</Words>
  <Characters>8884</Characters>
  <Application>Microsoft Office Word</Application>
  <DocSecurity>0</DocSecurity>
  <Lines>204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Davies</dc:creator>
  <cp:keywords/>
  <dc:description/>
  <cp:lastModifiedBy>Shannon Davies</cp:lastModifiedBy>
  <cp:revision>126</cp:revision>
  <dcterms:created xsi:type="dcterms:W3CDTF">2024-05-01T11:54:00Z</dcterms:created>
  <dcterms:modified xsi:type="dcterms:W3CDTF">2024-05-01T22:57:00Z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0032b576-27c1-4417-8f83-fbf76bc5b20b</vt:lpwstr>
  </property>
  <property fmtid="{D5CDD505-2E9C-101B-9397-08002B2CF9AE}" pid="3" name="ContentTypeId">
    <vt:lpwstr>0x01010096C48B67E562FF45ADD1FE43E2BC7706</vt:lpwstr>
  </property>
</Properties>
</file>