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09E0158" w:rsidR="00ED1049" w:rsidRPr="00CD3581" w:rsidRDefault="00ED1049" w:rsidP="00ED1049">
      <w:pPr>
        <w:tabs>
          <w:tab w:val="left" w:pos="6540"/>
        </w:tabs>
        <w:spacing w:line="360" w:lineRule="auto"/>
        <w:ind w:left="426"/>
        <w:rPr>
          <w:rFonts w:ascii="Arial" w:hAnsi="Arial" w:cs="Arial"/>
          <w:lang w:val="en-GB"/>
        </w:rPr>
      </w:pPr>
      <w:r w:rsidRPr="00CD3581">
        <w:rPr>
          <w:rFonts w:ascii="Arial" w:hAnsi="Arial" w:cs="Arial"/>
          <w:b/>
          <w:bCs/>
          <w:lang w:val="en-GB"/>
        </w:rPr>
        <w:t>Student name</w:t>
      </w:r>
      <w:r w:rsidRPr="00CD3581">
        <w:rPr>
          <w:rFonts w:ascii="Arial" w:hAnsi="Arial" w:cs="Arial"/>
          <w:lang w:val="en-GB"/>
        </w:rPr>
        <w:t>:</w:t>
      </w:r>
      <w:r w:rsidR="001E28E4" w:rsidRPr="00CD3581">
        <w:rPr>
          <w:rFonts w:ascii="Arial" w:hAnsi="Arial" w:cs="Arial"/>
          <w:lang w:val="en-GB"/>
        </w:rPr>
        <w:t xml:space="preserve"> Yvette</w:t>
      </w:r>
      <w:r w:rsidR="007C1ABD" w:rsidRPr="00CD3581">
        <w:rPr>
          <w:rFonts w:ascii="Arial" w:hAnsi="Arial" w:cs="Arial"/>
          <w:lang w:val="en-GB"/>
        </w:rPr>
        <w:t xml:space="preserve"> Roberts</w:t>
      </w:r>
    </w:p>
    <w:p w14:paraId="00429E76" w14:textId="6785C11E" w:rsidR="00ED1049" w:rsidRPr="00CD3581" w:rsidRDefault="001A54F8" w:rsidP="00ED1049">
      <w:pPr>
        <w:tabs>
          <w:tab w:val="left" w:pos="6540"/>
        </w:tabs>
        <w:spacing w:line="360" w:lineRule="auto"/>
        <w:ind w:left="426"/>
        <w:rPr>
          <w:rFonts w:ascii="Arial" w:hAnsi="Arial" w:cs="Arial"/>
          <w:lang w:val="en-GB"/>
        </w:rPr>
      </w:pPr>
      <w:r w:rsidRPr="00CD3581">
        <w:rPr>
          <w:rFonts w:ascii="Arial" w:hAnsi="Arial" w:cs="Arial"/>
          <w:b/>
          <w:bCs/>
          <w:lang w:val="en-GB"/>
        </w:rPr>
        <w:t>Student ID:</w:t>
      </w:r>
      <w:r w:rsidR="00ED1049" w:rsidRPr="00CD3581">
        <w:rPr>
          <w:rFonts w:ascii="Arial" w:hAnsi="Arial" w:cs="Arial"/>
          <w:b/>
          <w:bCs/>
          <w:lang w:val="en-GB"/>
        </w:rPr>
        <w:t xml:space="preserve"> </w:t>
      </w:r>
      <w:r w:rsidRPr="00CD3581">
        <w:rPr>
          <w:rFonts w:ascii="Arial" w:hAnsi="Arial" w:cs="Arial"/>
          <w:b/>
          <w:bCs/>
          <w:lang w:val="en-GB"/>
        </w:rPr>
        <w:t>2311414</w:t>
      </w:r>
    </w:p>
    <w:p w14:paraId="16C5D4A2" w14:textId="434396C6" w:rsidR="00ED1049" w:rsidRPr="00CD3581" w:rsidRDefault="0067344A" w:rsidP="00AF0A8E">
      <w:pPr>
        <w:tabs>
          <w:tab w:val="left" w:pos="6540"/>
        </w:tabs>
        <w:spacing w:line="360" w:lineRule="auto"/>
        <w:ind w:left="426"/>
        <w:rPr>
          <w:rFonts w:ascii="Arial" w:hAnsi="Arial" w:cs="Arial"/>
          <w:lang w:val="en-GB"/>
        </w:rPr>
      </w:pPr>
      <w:r w:rsidRPr="00CD3581">
        <w:rPr>
          <w:rFonts w:ascii="Arial" w:hAnsi="Arial" w:cs="Arial"/>
          <w:b/>
          <w:bCs/>
          <w:lang w:val="en-GB"/>
        </w:rPr>
        <w:t>Lecturer</w:t>
      </w:r>
      <w:r w:rsidR="001A54F8" w:rsidRPr="00CD3581">
        <w:rPr>
          <w:rFonts w:ascii="Arial" w:hAnsi="Arial" w:cs="Arial"/>
          <w:lang w:val="en-GB"/>
        </w:rPr>
        <w:t>:</w:t>
      </w:r>
      <w:r w:rsidRPr="00CD3581">
        <w:rPr>
          <w:rFonts w:ascii="Arial" w:hAnsi="Arial" w:cs="Arial"/>
          <w:lang w:val="en-GB"/>
        </w:rPr>
        <w:t xml:space="preserve"> </w:t>
      </w:r>
      <w:r w:rsidR="00075F47" w:rsidRPr="00CD3581">
        <w:rPr>
          <w:rFonts w:ascii="Arial" w:hAnsi="Arial" w:cs="Arial"/>
          <w:lang w:val="en-GB"/>
        </w:rPr>
        <w:t xml:space="preserve">Lou </w:t>
      </w:r>
      <w:proofErr w:type="spellStart"/>
      <w:r w:rsidR="00075F47" w:rsidRPr="00CD3581">
        <w:rPr>
          <w:rFonts w:ascii="Arial" w:hAnsi="Arial" w:cs="Arial"/>
          <w:lang w:val="en-GB"/>
        </w:rPr>
        <w:t>Angeia</w:t>
      </w:r>
      <w:proofErr w:type="spellEnd"/>
      <w:r w:rsidR="00075F47" w:rsidRPr="00CD3581">
        <w:rPr>
          <w:rFonts w:ascii="Arial" w:hAnsi="Arial" w:cs="Arial"/>
          <w:lang w:val="en-GB"/>
        </w:rPr>
        <w:t xml:space="preserve"> Wells</w:t>
      </w:r>
    </w:p>
    <w:p w14:paraId="3E7B146F" w14:textId="7099F044" w:rsidR="00ED1049" w:rsidRPr="006155C9" w:rsidRDefault="00ED1049" w:rsidP="00ED1049">
      <w:pPr>
        <w:tabs>
          <w:tab w:val="left" w:pos="6540"/>
        </w:tabs>
        <w:spacing w:line="360" w:lineRule="auto"/>
        <w:ind w:left="426"/>
        <w:rPr>
          <w:rFonts w:ascii="Arial" w:hAnsi="Arial" w:cs="Arial"/>
          <w:lang w:val="en-GB"/>
        </w:rPr>
      </w:pPr>
      <w:r w:rsidRPr="006155C9">
        <w:rPr>
          <w:rFonts w:ascii="Arial" w:hAnsi="Arial" w:cs="Arial"/>
          <w:b/>
          <w:bCs/>
          <w:lang w:val="en-GB"/>
        </w:rPr>
        <w:t>Module name</w:t>
      </w:r>
      <w:r w:rsidRPr="006155C9">
        <w:rPr>
          <w:rFonts w:ascii="Arial" w:hAnsi="Arial" w:cs="Arial"/>
          <w:lang w:val="en-GB"/>
        </w:rPr>
        <w:t xml:space="preserve">: </w:t>
      </w:r>
      <w:r w:rsidR="00BC245B" w:rsidRPr="006155C9">
        <w:rPr>
          <w:rFonts w:ascii="Arial" w:hAnsi="Arial" w:cs="Arial"/>
          <w:lang w:val="en-GB"/>
        </w:rPr>
        <w:t xml:space="preserve">Psychopathological Classifications and Provisions </w:t>
      </w:r>
    </w:p>
    <w:p w14:paraId="12CBB668" w14:textId="296F9DAC" w:rsidR="00ED1049" w:rsidRPr="006155C9" w:rsidRDefault="00ED1049" w:rsidP="00ED1049">
      <w:pPr>
        <w:tabs>
          <w:tab w:val="left" w:pos="6540"/>
        </w:tabs>
        <w:spacing w:line="360" w:lineRule="auto"/>
        <w:ind w:left="426"/>
        <w:rPr>
          <w:rFonts w:ascii="Arial" w:hAnsi="Arial" w:cs="Arial"/>
        </w:rPr>
      </w:pPr>
      <w:r w:rsidRPr="006155C9">
        <w:rPr>
          <w:rFonts w:ascii="Arial" w:hAnsi="Arial" w:cs="Arial"/>
          <w:b/>
          <w:bCs/>
        </w:rPr>
        <w:t>Module code</w:t>
      </w:r>
      <w:r w:rsidRPr="006155C9">
        <w:rPr>
          <w:rFonts w:ascii="Arial" w:hAnsi="Arial" w:cs="Arial"/>
        </w:rPr>
        <w:t>:</w:t>
      </w:r>
      <w:r w:rsidR="00BC245B" w:rsidRPr="006155C9">
        <w:rPr>
          <w:rFonts w:ascii="Arial" w:hAnsi="Arial" w:cs="Arial"/>
        </w:rPr>
        <w:t xml:space="preserve"> (BMHP6029_LON)</w:t>
      </w:r>
    </w:p>
    <w:p w14:paraId="5EBF2B44" w14:textId="7C6DF153" w:rsidR="004D2A07" w:rsidRPr="006155C9" w:rsidRDefault="004D2A07" w:rsidP="00ED1049">
      <w:pPr>
        <w:tabs>
          <w:tab w:val="left" w:pos="6540"/>
        </w:tabs>
        <w:spacing w:line="360" w:lineRule="auto"/>
        <w:ind w:left="426"/>
        <w:rPr>
          <w:rFonts w:ascii="Arial" w:hAnsi="Arial" w:cs="Arial"/>
        </w:rPr>
      </w:pPr>
      <w:r w:rsidRPr="006155C9">
        <w:rPr>
          <w:rFonts w:ascii="Arial" w:hAnsi="Arial" w:cs="Arial"/>
          <w:b/>
          <w:bCs/>
        </w:rPr>
        <w:t>Acknowledgement of the use/non-use of AI</w:t>
      </w:r>
      <w:r w:rsidRPr="006155C9">
        <w:rPr>
          <w:rFonts w:ascii="Arial" w:hAnsi="Arial" w:cs="Arial"/>
        </w:rPr>
        <w:t>:</w:t>
      </w:r>
    </w:p>
    <w:p w14:paraId="2406BED3" w14:textId="0902DFF0" w:rsidR="00FD7FFA" w:rsidRPr="006155C9" w:rsidRDefault="00FD7FFA" w:rsidP="00ED1049">
      <w:pPr>
        <w:tabs>
          <w:tab w:val="left" w:pos="6540"/>
        </w:tabs>
        <w:spacing w:line="360" w:lineRule="auto"/>
        <w:ind w:left="426"/>
        <w:rPr>
          <w:rFonts w:ascii="Arial" w:hAnsi="Arial" w:cs="Arial"/>
        </w:rPr>
      </w:pPr>
      <w:r w:rsidRPr="006155C9">
        <w:rPr>
          <w:rFonts w:ascii="Arial" w:hAnsi="Arial" w:cs="Arial"/>
        </w:rPr>
        <w:t xml:space="preserve">I acknowledge the </w:t>
      </w:r>
      <w:r w:rsidR="001A54F8">
        <w:rPr>
          <w:rFonts w:ascii="Arial" w:hAnsi="Arial" w:cs="Arial"/>
        </w:rPr>
        <w:t>non-use</w:t>
      </w:r>
      <w:r w:rsidRPr="006155C9">
        <w:rPr>
          <w:rFonts w:ascii="Arial" w:hAnsi="Arial" w:cs="Arial"/>
        </w:rPr>
        <w:t xml:space="preserve"> of </w:t>
      </w:r>
      <w:r w:rsidR="001A54F8">
        <w:rPr>
          <w:rFonts w:ascii="Arial" w:hAnsi="Arial" w:cs="Arial"/>
        </w:rPr>
        <w:t>AI</w:t>
      </w:r>
      <w:r w:rsidRPr="006155C9">
        <w:rPr>
          <w:rFonts w:ascii="Arial" w:hAnsi="Arial" w:cs="Arial"/>
        </w:rPr>
        <w:t xml:space="preserve"> in the working and completion of this assignment.</w:t>
      </w:r>
    </w:p>
    <w:p w14:paraId="543861DF" w14:textId="2B3B8814" w:rsidR="00ED1049" w:rsidRPr="006155C9" w:rsidRDefault="00ED1049">
      <w:pPr>
        <w:rPr>
          <w:rFonts w:ascii="Arial" w:hAnsi="Arial" w:cs="Arial"/>
          <w:color w:val="EE0000"/>
        </w:rPr>
      </w:pPr>
    </w:p>
    <w:p w14:paraId="130C7AFC" w14:textId="1CA8895D" w:rsidR="00F226F9" w:rsidRPr="00F226F9" w:rsidRDefault="00CC0A8F" w:rsidP="00C46111">
      <w:r w:rsidRPr="00CC0A8F">
        <w:br w:type="page"/>
      </w:r>
    </w:p>
    <w:p w14:paraId="0BBA9687" w14:textId="2B2BC7C5" w:rsidR="00F226F9" w:rsidRDefault="004D2A07" w:rsidP="004D2A07">
      <w:pPr>
        <w:spacing w:after="0"/>
        <w:jc w:val="center"/>
        <w:rPr>
          <w:rFonts w:ascii="Arial" w:hAnsi="Arial" w:cs="Arial"/>
          <w:b/>
          <w:bCs/>
          <w:sz w:val="24"/>
          <w:szCs w:val="24"/>
        </w:rPr>
      </w:pPr>
      <w:r>
        <w:rPr>
          <w:rFonts w:ascii="Arial" w:hAnsi="Arial" w:cs="Arial"/>
          <w:b/>
          <w:bCs/>
          <w:sz w:val="24"/>
          <w:szCs w:val="24"/>
        </w:rPr>
        <w:lastRenderedPageBreak/>
        <w:t>HEADING</w:t>
      </w:r>
    </w:p>
    <w:p w14:paraId="7338B136" w14:textId="40D5CCDB" w:rsidR="004D2A07" w:rsidRPr="004D2A07" w:rsidRDefault="001E28E4" w:rsidP="004D2A07">
      <w:pPr>
        <w:spacing w:after="0"/>
        <w:jc w:val="center"/>
        <w:rPr>
          <w:rFonts w:ascii="Arial" w:hAnsi="Arial" w:cs="Arial"/>
          <w:b/>
          <w:bCs/>
          <w:sz w:val="24"/>
          <w:szCs w:val="24"/>
        </w:rPr>
      </w:pPr>
      <w:r>
        <w:rPr>
          <w:rFonts w:ascii="Arial" w:hAnsi="Arial" w:cs="Arial"/>
          <w:b/>
          <w:bCs/>
          <w:sz w:val="24"/>
          <w:szCs w:val="24"/>
        </w:rPr>
        <w:t>Yvette</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6155C9" w14:paraId="600B3A42" w14:textId="77777777" w:rsidTr="008D09BF">
        <w:trPr>
          <w:trHeight w:val="6975"/>
          <w:jc w:val="center"/>
        </w:trPr>
        <w:tc>
          <w:tcPr>
            <w:tcW w:w="4530" w:type="dxa"/>
            <w:vMerge w:val="restart"/>
            <w:tcBorders>
              <w:bottom w:val="single" w:sz="4" w:space="0" w:color="auto"/>
            </w:tcBorders>
          </w:tcPr>
          <w:p w14:paraId="40C7D0B9" w14:textId="77777777" w:rsidR="00535C9F" w:rsidRPr="006155C9" w:rsidRDefault="00535C9F" w:rsidP="006155C9">
            <w:pPr>
              <w:pStyle w:val="Heading1"/>
              <w:spacing w:line="360" w:lineRule="auto"/>
              <w:rPr>
                <w:rFonts w:ascii="Arial" w:hAnsi="Arial" w:cs="Arial"/>
                <w:color w:val="000000" w:themeColor="text1"/>
                <w:sz w:val="22"/>
              </w:rPr>
            </w:pPr>
            <w:r w:rsidRPr="006155C9">
              <w:rPr>
                <w:rFonts w:ascii="Arial" w:hAnsi="Arial" w:cs="Arial"/>
                <w:color w:val="000000" w:themeColor="text1"/>
                <w:sz w:val="22"/>
              </w:rPr>
              <w:t>Introduction</w:t>
            </w:r>
          </w:p>
          <w:p w14:paraId="6ADDAA11" w14:textId="77777777" w:rsidR="00653776" w:rsidRPr="006155C9" w:rsidRDefault="00653776" w:rsidP="006155C9">
            <w:pPr>
              <w:pStyle w:val="Heading1"/>
              <w:spacing w:line="360" w:lineRule="auto"/>
              <w:rPr>
                <w:rFonts w:ascii="Arial" w:hAnsi="Arial" w:cs="Arial"/>
                <w:b w:val="0"/>
                <w:color w:val="auto"/>
                <w:spacing w:val="0"/>
                <w:sz w:val="22"/>
              </w:rPr>
            </w:pPr>
            <w:r w:rsidRPr="006155C9">
              <w:rPr>
                <w:rFonts w:ascii="Arial" w:hAnsi="Arial" w:cs="Arial"/>
                <w:b w:val="0"/>
                <w:color w:val="auto"/>
                <w:spacing w:val="0"/>
                <w:sz w:val="22"/>
              </w:rPr>
              <w:t xml:space="preserve">Stereotyped Movement Disorder </w:t>
            </w:r>
          </w:p>
          <w:p w14:paraId="36EC8B79" w14:textId="09969AB5" w:rsidR="00620864" w:rsidRPr="006155C9" w:rsidRDefault="00620864" w:rsidP="006155C9">
            <w:pPr>
              <w:pStyle w:val="Heading1"/>
              <w:spacing w:line="360" w:lineRule="auto"/>
              <w:rPr>
                <w:rFonts w:ascii="Arial" w:hAnsi="Arial" w:cs="Arial"/>
                <w:b w:val="0"/>
                <w:color w:val="auto"/>
                <w:spacing w:val="0"/>
                <w:sz w:val="22"/>
              </w:rPr>
            </w:pPr>
            <w:r w:rsidRPr="006155C9">
              <w:rPr>
                <w:rFonts w:ascii="Arial" w:hAnsi="Arial" w:cs="Arial"/>
                <w:b w:val="0"/>
                <w:color w:val="auto"/>
                <w:spacing w:val="0"/>
                <w:sz w:val="22"/>
              </w:rPr>
              <w:t xml:space="preserve">(SMD) is a developmental disorder of the nervous system, which is defined as non-functional repetitive motor </w:t>
            </w:r>
            <w:proofErr w:type="spellStart"/>
            <w:r w:rsidRPr="006155C9">
              <w:rPr>
                <w:rFonts w:ascii="Arial" w:hAnsi="Arial" w:cs="Arial"/>
                <w:b w:val="0"/>
                <w:color w:val="auto"/>
                <w:spacing w:val="0"/>
                <w:sz w:val="22"/>
              </w:rPr>
              <w:t>behavio</w:t>
            </w:r>
            <w:r w:rsidR="001A54F8">
              <w:rPr>
                <w:rFonts w:ascii="Arial" w:hAnsi="Arial" w:cs="Arial"/>
                <w:b w:val="0"/>
                <w:color w:val="auto"/>
                <w:spacing w:val="0"/>
                <w:sz w:val="22"/>
              </w:rPr>
              <w:t>u</w:t>
            </w:r>
            <w:r w:rsidRPr="006155C9">
              <w:rPr>
                <w:rFonts w:ascii="Arial" w:hAnsi="Arial" w:cs="Arial"/>
                <w:b w:val="0"/>
                <w:color w:val="auto"/>
                <w:spacing w:val="0"/>
                <w:sz w:val="22"/>
              </w:rPr>
              <w:t>ral</w:t>
            </w:r>
            <w:proofErr w:type="spellEnd"/>
            <w:r w:rsidRPr="006155C9">
              <w:rPr>
                <w:rFonts w:ascii="Arial" w:hAnsi="Arial" w:cs="Arial"/>
                <w:b w:val="0"/>
                <w:color w:val="auto"/>
                <w:spacing w:val="0"/>
                <w:sz w:val="22"/>
              </w:rPr>
              <w:t xml:space="preserve"> disorders like hand flapping, head banging, and body rocking. These movements do not have an objective and can disrupt the normal operation or result in physical harm (WHO, 2022).</w:t>
            </w:r>
          </w:p>
          <w:p w14:paraId="2094ADC1" w14:textId="11FDAE48" w:rsidR="00653776" w:rsidRPr="006155C9" w:rsidRDefault="00653776" w:rsidP="006155C9">
            <w:pPr>
              <w:spacing w:line="360" w:lineRule="auto"/>
              <w:rPr>
                <w:rFonts w:ascii="Arial" w:hAnsi="Arial" w:cs="Arial"/>
              </w:rPr>
            </w:pPr>
            <w:r w:rsidRPr="006155C9">
              <w:rPr>
                <w:rFonts w:ascii="Arial" w:hAnsi="Arial" w:cs="Arial"/>
                <w:noProof/>
              </w:rPr>
              <w:lastRenderedPageBreak/>
              <w:drawing>
                <wp:inline distT="0" distB="0" distL="0" distR="0" wp14:anchorId="4C13B79B" wp14:editId="72C0E8C2">
                  <wp:extent cx="2730500" cy="1819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2730500" cy="1819275"/>
                          </a:xfrm>
                          <a:prstGeom prst="rect">
                            <a:avLst/>
                          </a:prstGeom>
                        </pic:spPr>
                      </pic:pic>
                    </a:graphicData>
                  </a:graphic>
                </wp:inline>
              </w:drawing>
            </w:r>
          </w:p>
          <w:p w14:paraId="5DBB0B6A" w14:textId="2738539E" w:rsidR="00535C9F" w:rsidRPr="006155C9" w:rsidRDefault="00535C9F" w:rsidP="006155C9">
            <w:pPr>
              <w:pStyle w:val="Heading1"/>
              <w:spacing w:line="360" w:lineRule="auto"/>
              <w:rPr>
                <w:rFonts w:ascii="Arial" w:hAnsi="Arial" w:cs="Arial"/>
                <w:color w:val="000000" w:themeColor="text1"/>
                <w:sz w:val="22"/>
              </w:rPr>
            </w:pPr>
            <w:r w:rsidRPr="006155C9">
              <w:rPr>
                <w:rFonts w:ascii="Arial" w:hAnsi="Arial" w:cs="Arial"/>
                <w:color w:val="000000" w:themeColor="text1"/>
                <w:sz w:val="22"/>
              </w:rPr>
              <w:t>Classification:</w:t>
            </w:r>
          </w:p>
          <w:p w14:paraId="32CDFFB4" w14:textId="77777777" w:rsidR="00620864" w:rsidRPr="006155C9" w:rsidRDefault="00620864" w:rsidP="006155C9">
            <w:pPr>
              <w:pStyle w:val="ListParagraph"/>
              <w:numPr>
                <w:ilvl w:val="0"/>
                <w:numId w:val="18"/>
              </w:numPr>
              <w:spacing w:line="360" w:lineRule="auto"/>
              <w:rPr>
                <w:rFonts w:ascii="Arial" w:hAnsi="Arial" w:cs="Arial"/>
              </w:rPr>
            </w:pPr>
            <w:r w:rsidRPr="006155C9">
              <w:rPr>
                <w:rFonts w:ascii="Arial" w:hAnsi="Arial" w:cs="Arial"/>
              </w:rPr>
              <w:t>Under the heading Neurodevelopmental Disorders (ICD-11: 6A04) (WHO, 2022).</w:t>
            </w:r>
          </w:p>
          <w:p w14:paraId="016FDF99" w14:textId="7A2D31B1" w:rsidR="00620864" w:rsidRPr="006155C9" w:rsidRDefault="00620864" w:rsidP="006155C9">
            <w:pPr>
              <w:pStyle w:val="ListParagraph"/>
              <w:numPr>
                <w:ilvl w:val="0"/>
                <w:numId w:val="18"/>
              </w:numPr>
              <w:spacing w:line="360" w:lineRule="auto"/>
              <w:rPr>
                <w:rFonts w:ascii="Arial" w:hAnsi="Arial" w:cs="Arial"/>
              </w:rPr>
            </w:pPr>
            <w:r w:rsidRPr="006155C9">
              <w:rPr>
                <w:rFonts w:ascii="Arial" w:hAnsi="Arial" w:cs="Arial"/>
              </w:rPr>
              <w:t xml:space="preserve">It may be present on its own or through other disorders like </w:t>
            </w:r>
            <w:r w:rsidR="00BB6C9C" w:rsidRPr="006155C9">
              <w:rPr>
                <w:rFonts w:ascii="Arial" w:hAnsi="Arial" w:cs="Arial"/>
              </w:rPr>
              <w:t>autism spectrum disorder</w:t>
            </w:r>
            <w:r w:rsidRPr="006155C9">
              <w:rPr>
                <w:rFonts w:ascii="Arial" w:hAnsi="Arial" w:cs="Arial"/>
              </w:rPr>
              <w:t>, intellectual disability, and sensory impairments (Harris et al., 2020).</w:t>
            </w:r>
          </w:p>
          <w:p w14:paraId="66D7A7B8" w14:textId="4998EAD9" w:rsidR="00620864" w:rsidRPr="006155C9" w:rsidRDefault="00620864" w:rsidP="006155C9">
            <w:pPr>
              <w:pStyle w:val="ListParagraph"/>
              <w:numPr>
                <w:ilvl w:val="0"/>
                <w:numId w:val="18"/>
              </w:numPr>
              <w:spacing w:line="360" w:lineRule="auto"/>
              <w:rPr>
                <w:rFonts w:ascii="Arial" w:hAnsi="Arial" w:cs="Arial"/>
              </w:rPr>
            </w:pPr>
            <w:r w:rsidRPr="006155C9">
              <w:rPr>
                <w:rFonts w:ascii="Arial" w:hAnsi="Arial" w:cs="Arial"/>
              </w:rPr>
              <w:t xml:space="preserve">There is no consensus on prevalence, but it is estimated to impact 3-4 </w:t>
            </w:r>
            <w:r w:rsidR="001A54F8">
              <w:rPr>
                <w:rFonts w:ascii="Arial" w:hAnsi="Arial" w:cs="Arial"/>
              </w:rPr>
              <w:t>per cent</w:t>
            </w:r>
            <w:r w:rsidRPr="006155C9">
              <w:rPr>
                <w:rFonts w:ascii="Arial" w:hAnsi="Arial" w:cs="Arial"/>
              </w:rPr>
              <w:t xml:space="preserve"> of children, and the number is increased in children with developmental disabilities (Goldman et al., 2021).</w:t>
            </w:r>
          </w:p>
          <w:p w14:paraId="5865C7AA" w14:textId="3D5451EC" w:rsidR="00620864" w:rsidRPr="006155C9" w:rsidRDefault="00620864" w:rsidP="006155C9">
            <w:pPr>
              <w:pStyle w:val="ListParagraph"/>
              <w:numPr>
                <w:ilvl w:val="0"/>
                <w:numId w:val="18"/>
              </w:numPr>
              <w:spacing w:line="360" w:lineRule="auto"/>
              <w:rPr>
                <w:rFonts w:ascii="Arial" w:hAnsi="Arial" w:cs="Arial"/>
              </w:rPr>
            </w:pPr>
            <w:r w:rsidRPr="006155C9">
              <w:rPr>
                <w:rFonts w:ascii="Arial" w:hAnsi="Arial" w:cs="Arial"/>
              </w:rPr>
              <w:t>The condition normally starts at an early age and may continue to adolescence and adulthood without treatment (Mayo Clinic, 2023).</w:t>
            </w:r>
          </w:p>
          <w:p w14:paraId="364C9BBA" w14:textId="0BEA2315" w:rsidR="00620864" w:rsidRPr="006155C9" w:rsidRDefault="00653776" w:rsidP="006155C9">
            <w:pPr>
              <w:pStyle w:val="Heading1"/>
              <w:spacing w:line="360" w:lineRule="auto"/>
              <w:jc w:val="center"/>
              <w:rPr>
                <w:rFonts w:ascii="Arial" w:hAnsi="Arial" w:cs="Arial"/>
                <w:bCs/>
                <w:color w:val="000000" w:themeColor="text1"/>
                <w:sz w:val="22"/>
                <w:lang w:val="en-GB"/>
              </w:rPr>
            </w:pPr>
            <w:r w:rsidRPr="006155C9">
              <w:rPr>
                <w:rFonts w:ascii="Arial" w:hAnsi="Arial" w:cs="Arial"/>
                <w:bCs/>
                <w:noProof/>
                <w:color w:val="000000" w:themeColor="text1"/>
                <w:sz w:val="22"/>
                <w:lang w:val="en-GB"/>
              </w:rPr>
              <w:lastRenderedPageBreak/>
              <w:drawing>
                <wp:inline distT="0" distB="0" distL="0" distR="0" wp14:anchorId="3050913B" wp14:editId="437C6EF7">
                  <wp:extent cx="2084504" cy="29752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4">
                            <a:extLst>
                              <a:ext uri="{28A0092B-C50C-407E-A947-70E740481C1C}">
                                <a14:useLocalDpi xmlns:a14="http://schemas.microsoft.com/office/drawing/2010/main" val="0"/>
                              </a:ext>
                            </a:extLst>
                          </a:blip>
                          <a:srcRect t="32011" b="25173"/>
                          <a:stretch/>
                        </pic:blipFill>
                        <pic:spPr bwMode="auto">
                          <a:xfrm>
                            <a:off x="0" y="0"/>
                            <a:ext cx="2084705" cy="2975499"/>
                          </a:xfrm>
                          <a:prstGeom prst="rect">
                            <a:avLst/>
                          </a:prstGeom>
                          <a:ln>
                            <a:noFill/>
                          </a:ln>
                          <a:extLst>
                            <a:ext uri="{53640926-AAD7-44D8-BBD7-CCE9431645EC}">
                              <a14:shadowObscured xmlns:a14="http://schemas.microsoft.com/office/drawing/2010/main"/>
                            </a:ext>
                          </a:extLst>
                        </pic:spPr>
                      </pic:pic>
                    </a:graphicData>
                  </a:graphic>
                </wp:inline>
              </w:drawing>
            </w:r>
          </w:p>
          <w:p w14:paraId="42EB740F" w14:textId="6E2B1C52" w:rsidR="00535C9F" w:rsidRPr="006155C9" w:rsidRDefault="00535C9F" w:rsidP="006155C9">
            <w:pPr>
              <w:pStyle w:val="Heading1"/>
              <w:spacing w:line="360" w:lineRule="auto"/>
              <w:jc w:val="center"/>
              <w:rPr>
                <w:rFonts w:ascii="Arial" w:hAnsi="Arial" w:cs="Arial"/>
                <w:bCs/>
                <w:color w:val="000000" w:themeColor="text1"/>
                <w:sz w:val="22"/>
                <w:lang w:val="en-GB"/>
              </w:rPr>
            </w:pPr>
            <w:r w:rsidRPr="006155C9">
              <w:rPr>
                <w:rFonts w:ascii="Arial" w:hAnsi="Arial" w:cs="Arial"/>
                <w:bCs/>
                <w:color w:val="000000" w:themeColor="text1"/>
                <w:sz w:val="22"/>
                <w:lang w:val="en-GB"/>
              </w:rPr>
              <w:t>Historical perspectives and treatments</w:t>
            </w:r>
          </w:p>
          <w:p w14:paraId="0D704ED8" w14:textId="77777777" w:rsidR="00BB6C9C" w:rsidRPr="006155C9" w:rsidRDefault="00BB6C9C" w:rsidP="006155C9">
            <w:pPr>
              <w:pStyle w:val="ListParagraph"/>
              <w:numPr>
                <w:ilvl w:val="0"/>
                <w:numId w:val="19"/>
              </w:numPr>
              <w:spacing w:line="360" w:lineRule="auto"/>
              <w:rPr>
                <w:rFonts w:ascii="Arial" w:hAnsi="Arial" w:cs="Arial"/>
                <w:lang w:val="en-GB"/>
              </w:rPr>
            </w:pPr>
            <w:r w:rsidRPr="006155C9">
              <w:rPr>
                <w:rFonts w:ascii="Arial" w:hAnsi="Arial" w:cs="Arial"/>
                <w:lang w:val="en-GB"/>
              </w:rPr>
              <w:t>In the past, the repetitive movements were wrongly interpreted as behavioural or psychiatric disorder (Evans, 2013).</w:t>
            </w:r>
          </w:p>
          <w:p w14:paraId="5C3934B0" w14:textId="77777777" w:rsidR="00BB6C9C" w:rsidRPr="006155C9" w:rsidRDefault="00BB6C9C" w:rsidP="006155C9">
            <w:pPr>
              <w:pStyle w:val="ListParagraph"/>
              <w:numPr>
                <w:ilvl w:val="0"/>
                <w:numId w:val="19"/>
              </w:numPr>
              <w:spacing w:line="360" w:lineRule="auto"/>
              <w:rPr>
                <w:rFonts w:ascii="Arial" w:hAnsi="Arial" w:cs="Arial"/>
                <w:lang w:val="en-GB"/>
              </w:rPr>
            </w:pPr>
            <w:r w:rsidRPr="006155C9">
              <w:rPr>
                <w:rFonts w:ascii="Arial" w:hAnsi="Arial" w:cs="Arial"/>
                <w:lang w:val="en-GB"/>
              </w:rPr>
              <w:t>Previous interventions were based on restraint or punishment, which in most cases worsened the misery (Silberman, 2015).</w:t>
            </w:r>
          </w:p>
          <w:p w14:paraId="05DBF08B" w14:textId="77777777" w:rsidR="00BB6C9C" w:rsidRPr="006155C9" w:rsidRDefault="00BB6C9C" w:rsidP="006155C9">
            <w:pPr>
              <w:pStyle w:val="ListParagraph"/>
              <w:numPr>
                <w:ilvl w:val="0"/>
                <w:numId w:val="19"/>
              </w:numPr>
              <w:spacing w:line="360" w:lineRule="auto"/>
              <w:rPr>
                <w:rFonts w:ascii="Arial" w:hAnsi="Arial" w:cs="Arial"/>
                <w:lang w:val="en-GB"/>
              </w:rPr>
            </w:pPr>
            <w:r w:rsidRPr="006155C9">
              <w:rPr>
                <w:rFonts w:ascii="Arial" w:hAnsi="Arial" w:cs="Arial"/>
                <w:lang w:val="en-GB"/>
              </w:rPr>
              <w:t xml:space="preserve">In contemporary knowledge, SMD is viewed as a neurodevelopmental disorder that needs supportive but </w:t>
            </w:r>
            <w:r w:rsidRPr="006155C9">
              <w:rPr>
                <w:rFonts w:ascii="Arial" w:hAnsi="Arial" w:cs="Arial"/>
                <w:lang w:val="en-GB"/>
              </w:rPr>
              <w:lastRenderedPageBreak/>
              <w:t>non-punitive treatment (WHO, 2022).</w:t>
            </w:r>
          </w:p>
          <w:p w14:paraId="420906A9" w14:textId="3EBA22F5" w:rsidR="00BB6C9C" w:rsidRPr="006155C9" w:rsidRDefault="00BB6C9C" w:rsidP="006155C9">
            <w:pPr>
              <w:pStyle w:val="ListParagraph"/>
              <w:numPr>
                <w:ilvl w:val="0"/>
                <w:numId w:val="19"/>
              </w:numPr>
              <w:spacing w:line="360" w:lineRule="auto"/>
              <w:rPr>
                <w:rFonts w:ascii="Arial" w:hAnsi="Arial" w:cs="Arial"/>
                <w:lang w:val="en-GB"/>
              </w:rPr>
            </w:pPr>
            <w:r w:rsidRPr="006155C9">
              <w:rPr>
                <w:rFonts w:ascii="Arial" w:hAnsi="Arial" w:cs="Arial"/>
                <w:lang w:val="en-GB"/>
              </w:rPr>
              <w:t>The existing methods focus on behaviour management, environmental change, and prevention of injury (NICE, 2021).</w:t>
            </w:r>
          </w:p>
          <w:p w14:paraId="6AC90E16" w14:textId="6F515B9B" w:rsidR="00BB6C9C" w:rsidRPr="006155C9" w:rsidRDefault="00BB6C9C" w:rsidP="006155C9">
            <w:pPr>
              <w:pStyle w:val="ListParagraph"/>
              <w:numPr>
                <w:ilvl w:val="0"/>
                <w:numId w:val="19"/>
              </w:numPr>
              <w:spacing w:line="360" w:lineRule="auto"/>
              <w:rPr>
                <w:rFonts w:ascii="Arial" w:hAnsi="Arial" w:cs="Arial"/>
                <w:lang w:val="en-GB"/>
              </w:rPr>
            </w:pPr>
            <w:r w:rsidRPr="006155C9">
              <w:rPr>
                <w:rFonts w:ascii="Arial" w:hAnsi="Arial" w:cs="Arial"/>
                <w:lang w:val="en-GB"/>
              </w:rPr>
              <w:t>The policies of the UK, including the Care Act 2014, encourage personal support and inclusion in learning and community living (UK Government, 2014).</w:t>
            </w:r>
          </w:p>
          <w:p w14:paraId="5DD02A54" w14:textId="77777777" w:rsidR="00535C9F" w:rsidRPr="006155C9" w:rsidRDefault="00535C9F" w:rsidP="006155C9">
            <w:pPr>
              <w:spacing w:line="360" w:lineRule="auto"/>
              <w:jc w:val="center"/>
              <w:rPr>
                <w:rFonts w:ascii="Arial" w:hAnsi="Arial" w:cs="Arial"/>
              </w:rPr>
            </w:pPr>
          </w:p>
          <w:p w14:paraId="7C84B224" w14:textId="2A0F0E96" w:rsidR="00535C9F" w:rsidRPr="006155C9" w:rsidRDefault="00535C9F" w:rsidP="006155C9">
            <w:pPr>
              <w:spacing w:line="360" w:lineRule="auto"/>
              <w:jc w:val="center"/>
              <w:rPr>
                <w:rFonts w:ascii="Arial" w:hAnsi="Arial" w:cs="Arial"/>
                <w:noProof/>
                <w:lang w:val="en-GB"/>
              </w:rPr>
            </w:pPr>
          </w:p>
        </w:tc>
        <w:tc>
          <w:tcPr>
            <w:tcW w:w="416" w:type="dxa"/>
            <w:vMerge w:val="restart"/>
            <w:tcBorders>
              <w:bottom w:val="single" w:sz="4" w:space="0" w:color="auto"/>
            </w:tcBorders>
          </w:tcPr>
          <w:p w14:paraId="09B2FC2D" w14:textId="77777777" w:rsidR="00535C9F" w:rsidRPr="006155C9" w:rsidRDefault="00535C9F" w:rsidP="006155C9">
            <w:pPr>
              <w:spacing w:line="360" w:lineRule="auto"/>
              <w:rPr>
                <w:rFonts w:ascii="Arial" w:hAnsi="Arial" w:cs="Arial"/>
                <w:noProof/>
              </w:rPr>
            </w:pPr>
          </w:p>
        </w:tc>
        <w:tc>
          <w:tcPr>
            <w:tcW w:w="4497" w:type="dxa"/>
            <w:tcBorders>
              <w:bottom w:val="single" w:sz="4" w:space="0" w:color="auto"/>
            </w:tcBorders>
          </w:tcPr>
          <w:p w14:paraId="32810FCF" w14:textId="43CEB67D" w:rsidR="00535C9F" w:rsidRPr="006155C9" w:rsidRDefault="00535C9F" w:rsidP="006155C9">
            <w:pPr>
              <w:pStyle w:val="Heading1"/>
              <w:spacing w:line="360" w:lineRule="auto"/>
              <w:rPr>
                <w:rStyle w:val="Heading1Char"/>
                <w:rFonts w:ascii="Arial" w:hAnsi="Arial" w:cs="Arial"/>
                <w:b/>
                <w:bCs/>
                <w:sz w:val="22"/>
                <w:lang w:val="en-GB"/>
              </w:rPr>
            </w:pPr>
            <w:r w:rsidRPr="006155C9">
              <w:rPr>
                <w:rFonts w:ascii="Arial" w:hAnsi="Arial" w:cs="Arial"/>
                <w:bCs/>
                <w:color w:val="000000" w:themeColor="text1"/>
                <w:sz w:val="22"/>
                <w:lang w:val="en-GB"/>
              </w:rPr>
              <w:t xml:space="preserve">Title - </w:t>
            </w:r>
            <w:r w:rsidR="008748E5" w:rsidRPr="006155C9">
              <w:rPr>
                <w:rFonts w:ascii="Arial" w:hAnsi="Arial" w:cs="Arial"/>
                <w:bCs/>
                <w:color w:val="000000" w:themeColor="text1"/>
                <w:sz w:val="22"/>
              </w:rPr>
              <w:t>Stereotyped Movement Disorder</w:t>
            </w:r>
            <w:r w:rsidRPr="006155C9">
              <w:rPr>
                <w:rFonts w:ascii="Arial" w:hAnsi="Arial" w:cs="Arial"/>
                <w:b w:val="0"/>
                <w:bCs/>
                <w:noProof/>
                <w:color w:val="EE0000"/>
                <w:sz w:val="22"/>
                <w:lang w:val="en-GB"/>
              </w:rPr>
              <w:t>.</w:t>
            </w:r>
          </w:p>
          <w:p w14:paraId="0FE60143" w14:textId="2E7BFD59" w:rsidR="00535C9F" w:rsidRPr="006155C9" w:rsidRDefault="00535C9F" w:rsidP="006155C9">
            <w:pPr>
              <w:spacing w:line="360" w:lineRule="auto"/>
              <w:rPr>
                <w:rFonts w:ascii="Arial" w:hAnsi="Arial" w:cs="Arial"/>
                <w:b/>
                <w:bCs/>
              </w:rPr>
            </w:pPr>
            <w:r w:rsidRPr="006155C9">
              <w:rPr>
                <w:rFonts w:ascii="Arial" w:hAnsi="Arial" w:cs="Arial"/>
                <w:b/>
                <w:bCs/>
              </w:rPr>
              <w:t xml:space="preserve"> Definition </w:t>
            </w:r>
          </w:p>
          <w:p w14:paraId="5EAD949E" w14:textId="7B9B0A51" w:rsidR="00535C9F" w:rsidRPr="006155C9" w:rsidRDefault="00844884" w:rsidP="006155C9">
            <w:pPr>
              <w:spacing w:line="360" w:lineRule="auto"/>
              <w:rPr>
                <w:rFonts w:ascii="Arial" w:hAnsi="Arial" w:cs="Arial"/>
                <w:b/>
                <w:bCs/>
              </w:rPr>
            </w:pPr>
            <w:r w:rsidRPr="006155C9">
              <w:rPr>
                <w:rFonts w:ascii="Arial" w:hAnsi="Arial" w:cs="Arial"/>
              </w:rPr>
              <w:t>SMD is a repetitive</w:t>
            </w:r>
            <w:r w:rsidR="001A54F8">
              <w:rPr>
                <w:rFonts w:ascii="Arial" w:hAnsi="Arial" w:cs="Arial"/>
              </w:rPr>
              <w:t>, apparently</w:t>
            </w:r>
            <w:r w:rsidRPr="006155C9">
              <w:rPr>
                <w:rFonts w:ascii="Arial" w:hAnsi="Arial" w:cs="Arial"/>
              </w:rPr>
              <w:t xml:space="preserve"> meaningless movement that is sustained and cannot be explained by another medical condition or </w:t>
            </w:r>
            <w:proofErr w:type="gramStart"/>
            <w:r w:rsidRPr="006155C9">
              <w:rPr>
                <w:rFonts w:ascii="Arial" w:hAnsi="Arial" w:cs="Arial"/>
              </w:rPr>
              <w:t>by the use of</w:t>
            </w:r>
            <w:proofErr w:type="gramEnd"/>
            <w:r w:rsidRPr="006155C9">
              <w:rPr>
                <w:rFonts w:ascii="Arial" w:hAnsi="Arial" w:cs="Arial"/>
              </w:rPr>
              <w:t xml:space="preserve"> substances. The behaviour can be enhanced in times of stress or excitement and can be self-calming (WHO, 2022).</w:t>
            </w:r>
          </w:p>
          <w:p w14:paraId="24AD04A8" w14:textId="77777777" w:rsidR="00535C9F" w:rsidRDefault="00535C9F" w:rsidP="006155C9">
            <w:pPr>
              <w:spacing w:line="360" w:lineRule="auto"/>
              <w:rPr>
                <w:rFonts w:ascii="Arial" w:hAnsi="Arial" w:cs="Arial"/>
                <w:b/>
                <w:bCs/>
              </w:rPr>
            </w:pPr>
          </w:p>
          <w:p w14:paraId="646D5584" w14:textId="237AB248" w:rsidR="001A54F8" w:rsidRPr="001A54F8" w:rsidRDefault="001A54F8" w:rsidP="001A54F8">
            <w:pPr>
              <w:jc w:val="right"/>
              <w:rPr>
                <w:rFonts w:ascii="Arial" w:hAnsi="Arial" w:cs="Arial"/>
              </w:rPr>
            </w:pPr>
          </w:p>
        </w:tc>
        <w:tc>
          <w:tcPr>
            <w:tcW w:w="360" w:type="dxa"/>
            <w:vMerge w:val="restart"/>
            <w:tcBorders>
              <w:bottom w:val="single" w:sz="4" w:space="0" w:color="auto"/>
            </w:tcBorders>
          </w:tcPr>
          <w:p w14:paraId="51769EE4" w14:textId="77777777" w:rsidR="00535C9F" w:rsidRPr="006155C9" w:rsidRDefault="00535C9F" w:rsidP="006155C9">
            <w:pPr>
              <w:spacing w:line="360" w:lineRule="auto"/>
              <w:rPr>
                <w:rFonts w:ascii="Arial" w:hAnsi="Arial" w:cs="Arial"/>
                <w:noProof/>
              </w:rPr>
            </w:pPr>
          </w:p>
        </w:tc>
        <w:tc>
          <w:tcPr>
            <w:tcW w:w="4587" w:type="dxa"/>
            <w:vMerge w:val="restart"/>
            <w:tcBorders>
              <w:bottom w:val="single" w:sz="4" w:space="0" w:color="auto"/>
            </w:tcBorders>
            <w:vAlign w:val="center"/>
          </w:tcPr>
          <w:p w14:paraId="116CE2F0" w14:textId="77777777" w:rsidR="00535C9F" w:rsidRPr="006155C9" w:rsidRDefault="00535C9F" w:rsidP="006155C9">
            <w:pPr>
              <w:pStyle w:val="Heading1"/>
              <w:spacing w:line="360" w:lineRule="auto"/>
              <w:rPr>
                <w:rFonts w:ascii="Arial" w:hAnsi="Arial" w:cs="Arial"/>
                <w:color w:val="000000" w:themeColor="text1"/>
                <w:sz w:val="22"/>
                <w:lang w:val="en-GB"/>
              </w:rPr>
            </w:pPr>
            <w:r w:rsidRPr="006155C9">
              <w:rPr>
                <w:rFonts w:ascii="Arial" w:hAnsi="Arial" w:cs="Arial"/>
                <w:bCs/>
                <w:color w:val="000000" w:themeColor="text1"/>
                <w:sz w:val="22"/>
                <w:lang w:val="en-GB"/>
              </w:rPr>
              <w:t xml:space="preserve">Current services and treatments </w:t>
            </w:r>
          </w:p>
          <w:p w14:paraId="4961C2C0" w14:textId="77777777" w:rsidR="00F270B8" w:rsidRPr="006155C9" w:rsidRDefault="00F270B8" w:rsidP="006155C9">
            <w:pPr>
              <w:pStyle w:val="ListParagraph"/>
              <w:numPr>
                <w:ilvl w:val="0"/>
                <w:numId w:val="11"/>
              </w:numPr>
              <w:spacing w:line="360" w:lineRule="auto"/>
              <w:rPr>
                <w:rFonts w:ascii="Arial" w:hAnsi="Arial" w:cs="Arial"/>
                <w:noProof/>
              </w:rPr>
            </w:pPr>
            <w:r w:rsidRPr="006155C9">
              <w:rPr>
                <w:rFonts w:ascii="Arial" w:hAnsi="Arial" w:cs="Arial"/>
                <w:noProof/>
              </w:rPr>
              <w:t>According to Harris et al. (2020), behavioural therapies, such as habit reversal and reinforcement techniques, lessen the frequency and intensity of movements.</w:t>
            </w:r>
          </w:p>
          <w:p w14:paraId="634CE0C5" w14:textId="77777777" w:rsidR="00F270B8" w:rsidRPr="006155C9" w:rsidRDefault="00F270B8" w:rsidP="006155C9">
            <w:pPr>
              <w:pStyle w:val="ListParagraph"/>
              <w:numPr>
                <w:ilvl w:val="0"/>
                <w:numId w:val="11"/>
              </w:numPr>
              <w:spacing w:line="360" w:lineRule="auto"/>
              <w:rPr>
                <w:rFonts w:ascii="Arial" w:hAnsi="Arial" w:cs="Arial"/>
                <w:noProof/>
              </w:rPr>
            </w:pPr>
            <w:r w:rsidRPr="006155C9">
              <w:rPr>
                <w:rFonts w:ascii="Arial" w:hAnsi="Arial" w:cs="Arial"/>
                <w:noProof/>
              </w:rPr>
              <w:t xml:space="preserve">Occupational and sensory integration therapy support alternative coping mechanisms and trigger management (NICE, 2021). </w:t>
            </w:r>
          </w:p>
          <w:p w14:paraId="3005526D" w14:textId="77777777" w:rsidR="00F270B8" w:rsidRPr="006155C9" w:rsidRDefault="00F270B8" w:rsidP="006155C9">
            <w:pPr>
              <w:pStyle w:val="ListParagraph"/>
              <w:numPr>
                <w:ilvl w:val="0"/>
                <w:numId w:val="11"/>
              </w:numPr>
              <w:spacing w:line="360" w:lineRule="auto"/>
              <w:rPr>
                <w:rFonts w:ascii="Arial" w:hAnsi="Arial" w:cs="Arial"/>
                <w:noProof/>
              </w:rPr>
            </w:pPr>
            <w:r w:rsidRPr="006155C9">
              <w:rPr>
                <w:rFonts w:ascii="Arial" w:hAnsi="Arial" w:cs="Arial"/>
                <w:noProof/>
              </w:rPr>
              <w:t xml:space="preserve">Although it is not a primary treatment, medication may be used to treat co-occurring anxiety, ADHD, or aggression (NHS, 2023). </w:t>
            </w:r>
          </w:p>
          <w:p w14:paraId="4E4D1BF0" w14:textId="235932F9" w:rsidR="00F270B8" w:rsidRPr="006155C9" w:rsidRDefault="00F270B8" w:rsidP="006155C9">
            <w:pPr>
              <w:pStyle w:val="ListParagraph"/>
              <w:numPr>
                <w:ilvl w:val="0"/>
                <w:numId w:val="11"/>
              </w:numPr>
              <w:spacing w:line="360" w:lineRule="auto"/>
              <w:rPr>
                <w:rFonts w:ascii="Arial" w:hAnsi="Arial" w:cs="Arial"/>
                <w:noProof/>
              </w:rPr>
            </w:pPr>
            <w:r w:rsidRPr="006155C9">
              <w:rPr>
                <w:rFonts w:ascii="Arial" w:hAnsi="Arial" w:cs="Arial"/>
                <w:noProof/>
              </w:rPr>
              <w:t xml:space="preserve">According to the Care Act (2014), preserving safety and independence </w:t>
            </w:r>
            <w:r w:rsidRPr="006155C9">
              <w:rPr>
                <w:rFonts w:ascii="Arial" w:hAnsi="Arial" w:cs="Arial"/>
                <w:noProof/>
              </w:rPr>
              <w:lastRenderedPageBreak/>
              <w:t>requires environmental adaptation and family education.</w:t>
            </w:r>
          </w:p>
          <w:p w14:paraId="656FC1DD" w14:textId="77777777" w:rsidR="00535C9F" w:rsidRPr="006155C9" w:rsidRDefault="00535C9F" w:rsidP="006155C9">
            <w:pPr>
              <w:pStyle w:val="Heading1"/>
              <w:spacing w:line="360" w:lineRule="auto"/>
              <w:rPr>
                <w:rStyle w:val="Heading1Char"/>
                <w:rFonts w:ascii="Arial" w:hAnsi="Arial" w:cs="Arial"/>
                <w:bCs/>
                <w:sz w:val="22"/>
              </w:rPr>
            </w:pPr>
            <w:r w:rsidRPr="006155C9">
              <w:rPr>
                <w:rFonts w:ascii="Arial" w:hAnsi="Arial" w:cs="Arial"/>
                <w:bCs/>
                <w:sz w:val="22"/>
              </w:rPr>
              <w:t>Recommendations</w:t>
            </w:r>
          </w:p>
          <w:p w14:paraId="7BA86BDF" w14:textId="77777777" w:rsidR="00E4558B" w:rsidRPr="006155C9" w:rsidRDefault="00E4558B" w:rsidP="006155C9">
            <w:pPr>
              <w:pStyle w:val="ListParagraph"/>
              <w:numPr>
                <w:ilvl w:val="0"/>
                <w:numId w:val="11"/>
              </w:numPr>
              <w:spacing w:line="360" w:lineRule="auto"/>
              <w:rPr>
                <w:rFonts w:ascii="Arial" w:hAnsi="Arial" w:cs="Arial"/>
              </w:rPr>
            </w:pPr>
            <w:r w:rsidRPr="006155C9">
              <w:rPr>
                <w:rFonts w:ascii="Arial" w:hAnsi="Arial" w:cs="Arial"/>
              </w:rPr>
              <w:t xml:space="preserve">Improve early detection and treatment by using health and school screenings (NICE, 2021). </w:t>
            </w:r>
          </w:p>
          <w:p w14:paraId="2E2BBC42" w14:textId="77777777" w:rsidR="00E4558B" w:rsidRPr="006155C9" w:rsidRDefault="00E4558B" w:rsidP="006155C9">
            <w:pPr>
              <w:pStyle w:val="ListParagraph"/>
              <w:numPr>
                <w:ilvl w:val="0"/>
                <w:numId w:val="11"/>
              </w:numPr>
              <w:spacing w:line="360" w:lineRule="auto"/>
              <w:rPr>
                <w:rFonts w:ascii="Arial" w:hAnsi="Arial" w:cs="Arial"/>
              </w:rPr>
            </w:pPr>
            <w:r w:rsidRPr="006155C9">
              <w:rPr>
                <w:rFonts w:ascii="Arial" w:hAnsi="Arial" w:cs="Arial"/>
              </w:rPr>
              <w:t xml:space="preserve">Give educators and carers specialised training on how to safely handle repetitive behaviours. </w:t>
            </w:r>
          </w:p>
          <w:p w14:paraId="39DEF72A" w14:textId="77777777" w:rsidR="00E4558B" w:rsidRPr="006155C9" w:rsidRDefault="00E4558B" w:rsidP="006155C9">
            <w:pPr>
              <w:pStyle w:val="ListParagraph"/>
              <w:numPr>
                <w:ilvl w:val="0"/>
                <w:numId w:val="11"/>
              </w:numPr>
              <w:spacing w:line="360" w:lineRule="auto"/>
              <w:rPr>
                <w:rFonts w:ascii="Arial" w:hAnsi="Arial" w:cs="Arial"/>
              </w:rPr>
            </w:pPr>
            <w:r w:rsidRPr="006155C9">
              <w:rPr>
                <w:rFonts w:ascii="Arial" w:hAnsi="Arial" w:cs="Arial"/>
              </w:rPr>
              <w:t xml:space="preserve">Expand community settings' access to person-centred, multidisciplinary services (NHS, 2023). </w:t>
            </w:r>
          </w:p>
          <w:p w14:paraId="4170055C" w14:textId="684F00CF" w:rsidR="00E4558B" w:rsidRPr="006155C9" w:rsidRDefault="00E4558B" w:rsidP="006155C9">
            <w:pPr>
              <w:pStyle w:val="ListParagraph"/>
              <w:numPr>
                <w:ilvl w:val="0"/>
                <w:numId w:val="11"/>
              </w:numPr>
              <w:spacing w:line="360" w:lineRule="auto"/>
              <w:rPr>
                <w:rFonts w:ascii="Arial" w:hAnsi="Arial" w:cs="Arial"/>
              </w:rPr>
            </w:pPr>
            <w:r w:rsidRPr="006155C9">
              <w:rPr>
                <w:rFonts w:ascii="Arial" w:hAnsi="Arial" w:cs="Arial"/>
              </w:rPr>
              <w:t>Promote studies on evidence-based treatments and neurological mechanisms (Goldman et al., 2021).</w:t>
            </w:r>
          </w:p>
          <w:p w14:paraId="7BF1EAE0" w14:textId="77777777" w:rsidR="00535C9F" w:rsidRPr="006155C9" w:rsidRDefault="00535C9F" w:rsidP="006155C9">
            <w:pPr>
              <w:pStyle w:val="Heading1"/>
              <w:spacing w:line="360" w:lineRule="auto"/>
              <w:rPr>
                <w:rStyle w:val="Heading1Char"/>
                <w:rFonts w:ascii="Arial" w:hAnsi="Arial" w:cs="Arial"/>
                <w:b/>
                <w:sz w:val="22"/>
              </w:rPr>
            </w:pPr>
            <w:r w:rsidRPr="006155C9">
              <w:rPr>
                <w:rFonts w:ascii="Arial" w:hAnsi="Arial" w:cs="Arial"/>
                <w:sz w:val="22"/>
              </w:rPr>
              <w:t>Conclusions</w:t>
            </w:r>
          </w:p>
          <w:p w14:paraId="01549D82" w14:textId="77777777" w:rsidR="000730F2" w:rsidRPr="006155C9" w:rsidRDefault="000730F2" w:rsidP="006155C9">
            <w:pPr>
              <w:spacing w:line="360" w:lineRule="auto"/>
              <w:rPr>
                <w:rFonts w:ascii="Arial" w:hAnsi="Arial" w:cs="Arial"/>
              </w:rPr>
            </w:pPr>
            <w:r w:rsidRPr="006155C9">
              <w:rPr>
                <w:rFonts w:ascii="Arial" w:hAnsi="Arial" w:cs="Arial"/>
              </w:rPr>
              <w:t xml:space="preserve">Stereotyped Movement Disorder is a neurological condition that has environmental and biological causes. Compassion has replaced punishment in understanding, and early support, safety, and inclusion are now prioritised. To guarantee that impacted people live in their communities safely and independently, more </w:t>
            </w:r>
            <w:r w:rsidRPr="006155C9">
              <w:rPr>
                <w:rFonts w:ascii="Arial" w:hAnsi="Arial" w:cs="Arial"/>
              </w:rPr>
              <w:lastRenderedPageBreak/>
              <w:t>research and awareness are needed (WHO, 2022; NICE, 2021).</w:t>
            </w:r>
          </w:p>
          <w:p w14:paraId="4EBA66EC" w14:textId="6DC1DF64" w:rsidR="00535C9F" w:rsidRPr="006155C9" w:rsidRDefault="00535C9F" w:rsidP="006155C9">
            <w:pPr>
              <w:spacing w:line="360" w:lineRule="auto"/>
              <w:rPr>
                <w:rFonts w:ascii="Arial" w:hAnsi="Arial" w:cs="Arial"/>
                <w:noProof/>
              </w:rPr>
            </w:pPr>
          </w:p>
        </w:tc>
      </w:tr>
      <w:tr w:rsidR="00535C9F" w:rsidRPr="006155C9" w14:paraId="6FE6E81E" w14:textId="77777777" w:rsidTr="004117AC">
        <w:trPr>
          <w:trHeight w:val="6431"/>
          <w:jc w:val="center"/>
        </w:trPr>
        <w:tc>
          <w:tcPr>
            <w:tcW w:w="4530" w:type="dxa"/>
            <w:vMerge/>
          </w:tcPr>
          <w:p w14:paraId="795D7C90" w14:textId="77777777" w:rsidR="00535C9F" w:rsidRPr="006155C9" w:rsidRDefault="00535C9F" w:rsidP="006155C9">
            <w:pPr>
              <w:spacing w:line="360" w:lineRule="auto"/>
              <w:rPr>
                <w:rFonts w:ascii="Arial" w:hAnsi="Arial" w:cs="Arial"/>
                <w:noProof/>
              </w:rPr>
            </w:pPr>
          </w:p>
        </w:tc>
        <w:tc>
          <w:tcPr>
            <w:tcW w:w="416" w:type="dxa"/>
            <w:vMerge/>
          </w:tcPr>
          <w:p w14:paraId="1280A41D" w14:textId="77777777" w:rsidR="00535C9F" w:rsidRPr="006155C9" w:rsidRDefault="00535C9F" w:rsidP="006155C9">
            <w:pPr>
              <w:spacing w:line="360" w:lineRule="auto"/>
              <w:rPr>
                <w:rFonts w:ascii="Arial" w:hAnsi="Arial" w:cs="Arial"/>
                <w:noProof/>
              </w:rPr>
            </w:pPr>
          </w:p>
        </w:tc>
        <w:tc>
          <w:tcPr>
            <w:tcW w:w="4497" w:type="dxa"/>
          </w:tcPr>
          <w:p w14:paraId="1D79CD0E" w14:textId="61B516C6" w:rsidR="00535C9F" w:rsidRPr="006155C9" w:rsidRDefault="00535C9F" w:rsidP="006155C9">
            <w:pPr>
              <w:pStyle w:val="Heading1"/>
              <w:spacing w:line="360" w:lineRule="auto"/>
              <w:rPr>
                <w:rFonts w:ascii="Arial" w:hAnsi="Arial" w:cs="Arial"/>
                <w:color w:val="000000" w:themeColor="text1"/>
                <w:sz w:val="22"/>
              </w:rPr>
            </w:pPr>
            <w:r w:rsidRPr="006155C9">
              <w:rPr>
                <w:rFonts w:ascii="Arial" w:hAnsi="Arial" w:cs="Arial"/>
                <w:color w:val="000000" w:themeColor="text1"/>
                <w:sz w:val="22"/>
              </w:rPr>
              <w:t>Causes</w:t>
            </w:r>
          </w:p>
          <w:p w14:paraId="51A18C0E" w14:textId="77777777" w:rsidR="00D64677" w:rsidRPr="006155C9" w:rsidRDefault="00D64677" w:rsidP="006155C9">
            <w:pPr>
              <w:pStyle w:val="ListParagraph"/>
              <w:numPr>
                <w:ilvl w:val="0"/>
                <w:numId w:val="20"/>
              </w:numPr>
              <w:spacing w:line="360" w:lineRule="auto"/>
              <w:rPr>
                <w:rFonts w:ascii="Arial" w:hAnsi="Arial" w:cs="Arial"/>
              </w:rPr>
            </w:pPr>
            <w:r w:rsidRPr="006155C9">
              <w:rPr>
                <w:rFonts w:ascii="Arial" w:hAnsi="Arial" w:cs="Arial"/>
              </w:rPr>
              <w:t>Associated with both neurological and genetic causes, especially with motor control areas of the brain (Harris et al., 2020).</w:t>
            </w:r>
          </w:p>
          <w:p w14:paraId="6A86F140" w14:textId="69B7F792" w:rsidR="00D64677" w:rsidRPr="006155C9" w:rsidRDefault="00D64677" w:rsidP="006155C9">
            <w:pPr>
              <w:pStyle w:val="ListParagraph"/>
              <w:numPr>
                <w:ilvl w:val="0"/>
                <w:numId w:val="20"/>
              </w:numPr>
              <w:spacing w:line="360" w:lineRule="auto"/>
              <w:rPr>
                <w:rFonts w:ascii="Arial" w:hAnsi="Arial" w:cs="Arial"/>
              </w:rPr>
            </w:pPr>
            <w:r w:rsidRPr="006155C9">
              <w:rPr>
                <w:rFonts w:ascii="Arial" w:hAnsi="Arial" w:cs="Arial"/>
              </w:rPr>
              <w:t>The behaviour can be worsened by environmental stimuli, e.g., stress, boredom, or sensory deprivation (Goldman et al., 2021).</w:t>
            </w:r>
          </w:p>
          <w:p w14:paraId="1FE5DEC7" w14:textId="55E20B46" w:rsidR="00D64677" w:rsidRPr="006155C9" w:rsidRDefault="00D64677" w:rsidP="006155C9">
            <w:pPr>
              <w:pStyle w:val="ListParagraph"/>
              <w:numPr>
                <w:ilvl w:val="0"/>
                <w:numId w:val="20"/>
              </w:numPr>
              <w:spacing w:line="360" w:lineRule="auto"/>
              <w:rPr>
                <w:rFonts w:ascii="Arial" w:hAnsi="Arial" w:cs="Arial"/>
              </w:rPr>
            </w:pPr>
            <w:r w:rsidRPr="006155C9">
              <w:rPr>
                <w:rFonts w:ascii="Arial" w:hAnsi="Arial" w:cs="Arial"/>
              </w:rPr>
              <w:t>More prevalent among people with intellectual disability or sensory impairment (WHO, 2022).</w:t>
            </w:r>
          </w:p>
          <w:p w14:paraId="2EAB9E77" w14:textId="3B805D23" w:rsidR="00046951" w:rsidRPr="006155C9" w:rsidRDefault="00535C9F" w:rsidP="006155C9">
            <w:pPr>
              <w:pStyle w:val="Heading1"/>
              <w:spacing w:line="360" w:lineRule="auto"/>
              <w:rPr>
                <w:rFonts w:ascii="Arial" w:hAnsi="Arial" w:cs="Arial"/>
                <w:color w:val="000000" w:themeColor="text1"/>
                <w:sz w:val="22"/>
              </w:rPr>
            </w:pPr>
            <w:r w:rsidRPr="006155C9">
              <w:rPr>
                <w:rFonts w:ascii="Arial" w:hAnsi="Arial" w:cs="Arial"/>
                <w:color w:val="000000" w:themeColor="text1"/>
                <w:sz w:val="22"/>
              </w:rPr>
              <w:t>Symptoms</w:t>
            </w:r>
          </w:p>
          <w:p w14:paraId="7EEABF70" w14:textId="593E0E9A" w:rsidR="00046951" w:rsidRPr="006155C9" w:rsidRDefault="00046951" w:rsidP="006155C9">
            <w:pPr>
              <w:spacing w:line="360" w:lineRule="auto"/>
              <w:rPr>
                <w:rFonts w:ascii="Arial" w:hAnsi="Arial" w:cs="Arial"/>
              </w:rPr>
            </w:pPr>
            <w:r w:rsidRPr="006155C9">
              <w:rPr>
                <w:rFonts w:ascii="Arial" w:hAnsi="Arial" w:cs="Arial"/>
              </w:rPr>
              <w:t>Monotonous, rhythmic movements such as hand-flapping, body -rocking or head-banging. May may result in self-harm or social problems in severe cases. Commonly aggravates when stressed or overstimulated (Mayo Clinic, 2023).</w:t>
            </w:r>
          </w:p>
          <w:p w14:paraId="30962585" w14:textId="152B8AC6" w:rsidR="00653776" w:rsidRPr="006155C9" w:rsidRDefault="00653776" w:rsidP="006155C9">
            <w:pPr>
              <w:spacing w:line="360" w:lineRule="auto"/>
              <w:rPr>
                <w:rFonts w:ascii="Arial" w:hAnsi="Arial" w:cs="Arial"/>
              </w:rPr>
            </w:pPr>
            <w:r w:rsidRPr="006155C9">
              <w:rPr>
                <w:rFonts w:ascii="Arial" w:hAnsi="Arial" w:cs="Arial"/>
                <w:noProof/>
              </w:rPr>
              <w:lastRenderedPageBreak/>
              <w:drawing>
                <wp:inline distT="0" distB="0" distL="0" distR="0" wp14:anchorId="42778BE5" wp14:editId="560FDF18">
                  <wp:extent cx="214312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29FA72E1" w14:textId="5C7067E6" w:rsidR="00535C9F" w:rsidRPr="006155C9" w:rsidRDefault="00535C9F" w:rsidP="006155C9">
            <w:pPr>
              <w:pStyle w:val="Heading1"/>
              <w:spacing w:line="360" w:lineRule="auto"/>
              <w:rPr>
                <w:rFonts w:ascii="Arial" w:hAnsi="Arial" w:cs="Arial"/>
                <w:color w:val="000000" w:themeColor="text1"/>
                <w:sz w:val="22"/>
              </w:rPr>
            </w:pPr>
            <w:r w:rsidRPr="006155C9">
              <w:rPr>
                <w:rFonts w:ascii="Arial" w:hAnsi="Arial" w:cs="Arial"/>
                <w:color w:val="000000" w:themeColor="text1"/>
                <w:sz w:val="22"/>
              </w:rPr>
              <w:t xml:space="preserve">Diagnosis </w:t>
            </w:r>
          </w:p>
          <w:p w14:paraId="6C24B37D" w14:textId="5083F498" w:rsidR="00535C9F" w:rsidRPr="006155C9" w:rsidRDefault="00046951" w:rsidP="006155C9">
            <w:pPr>
              <w:spacing w:line="360" w:lineRule="auto"/>
              <w:rPr>
                <w:rFonts w:ascii="Arial" w:hAnsi="Arial" w:cs="Arial"/>
                <w:noProof/>
              </w:rPr>
            </w:pPr>
            <w:r w:rsidRPr="006155C9">
              <w:rPr>
                <w:rFonts w:ascii="Arial" w:hAnsi="Arial" w:cs="Arial"/>
              </w:rPr>
              <w:t>On clinical observation and developmental history. Other ailments like tics or obsessive-compulsive behaviours should be eliminated (WHO, 2022). The diagnosis is usually conducted with the help of a multidisciplinary team (paediatricians, psychologists, and occupational therapists) (NICE, 2021).</w:t>
            </w:r>
          </w:p>
        </w:tc>
        <w:tc>
          <w:tcPr>
            <w:tcW w:w="360" w:type="dxa"/>
            <w:vMerge/>
          </w:tcPr>
          <w:p w14:paraId="5706C323" w14:textId="77777777" w:rsidR="00535C9F" w:rsidRPr="006155C9" w:rsidRDefault="00535C9F" w:rsidP="006155C9">
            <w:pPr>
              <w:spacing w:line="360" w:lineRule="auto"/>
              <w:rPr>
                <w:rFonts w:ascii="Arial" w:hAnsi="Arial" w:cs="Arial"/>
                <w:noProof/>
              </w:rPr>
            </w:pPr>
          </w:p>
        </w:tc>
        <w:tc>
          <w:tcPr>
            <w:tcW w:w="4587" w:type="dxa"/>
            <w:vMerge/>
          </w:tcPr>
          <w:p w14:paraId="3978F1F4" w14:textId="77777777" w:rsidR="00535C9F" w:rsidRPr="006155C9" w:rsidRDefault="00535C9F" w:rsidP="006155C9">
            <w:pPr>
              <w:spacing w:line="360" w:lineRule="auto"/>
              <w:rPr>
                <w:rFonts w:ascii="Arial" w:hAnsi="Arial" w:cs="Arial"/>
              </w:rPr>
            </w:pPr>
          </w:p>
        </w:tc>
      </w:tr>
    </w:tbl>
    <w:p w14:paraId="4B314C6F" w14:textId="77777777" w:rsidR="004D2A07" w:rsidRPr="006155C9" w:rsidRDefault="004D2A07" w:rsidP="006155C9">
      <w:pPr>
        <w:spacing w:line="360" w:lineRule="auto"/>
        <w:rPr>
          <w:rFonts w:ascii="Arial" w:hAnsi="Arial" w:cs="Arial"/>
        </w:rPr>
      </w:pPr>
    </w:p>
    <w:p w14:paraId="489BBCE1" w14:textId="349B7702" w:rsidR="00ED1049" w:rsidRPr="006155C9" w:rsidRDefault="00ED1049" w:rsidP="006155C9">
      <w:pPr>
        <w:spacing w:line="360" w:lineRule="auto"/>
        <w:rPr>
          <w:rFonts w:ascii="Arial" w:hAnsi="Arial" w:cs="Arial"/>
          <w:b/>
          <w:bCs/>
        </w:rPr>
      </w:pPr>
      <w:r w:rsidRPr="006155C9">
        <w:rPr>
          <w:rFonts w:ascii="Arial" w:hAnsi="Arial" w:cs="Arial"/>
          <w:b/>
          <w:bCs/>
        </w:rPr>
        <w:t>References</w:t>
      </w:r>
    </w:p>
    <w:p w14:paraId="20037EA3" w14:textId="77777777" w:rsidR="00E6253D" w:rsidRPr="006155C9" w:rsidRDefault="00E6253D" w:rsidP="006155C9">
      <w:pPr>
        <w:spacing w:line="360" w:lineRule="auto"/>
        <w:rPr>
          <w:rFonts w:ascii="Arial" w:hAnsi="Arial" w:cs="Arial"/>
        </w:rPr>
      </w:pPr>
      <w:r w:rsidRPr="006155C9">
        <w:rPr>
          <w:rFonts w:ascii="Arial" w:hAnsi="Arial" w:cs="Arial"/>
        </w:rPr>
        <w:t xml:space="preserve">Care Act (2014) </w:t>
      </w:r>
      <w:r w:rsidRPr="006155C9">
        <w:rPr>
          <w:rFonts w:ascii="Arial" w:hAnsi="Arial" w:cs="Arial"/>
          <w:i/>
          <w:iCs/>
        </w:rPr>
        <w:t>Care Act 2014</w:t>
      </w:r>
      <w:r w:rsidRPr="006155C9">
        <w:rPr>
          <w:rFonts w:ascii="Arial" w:hAnsi="Arial" w:cs="Arial"/>
        </w:rPr>
        <w:t xml:space="preserve">. London: UK Government. Available at: </w:t>
      </w:r>
      <w:hyperlink r:id="rId16" w:tgtFrame="_new" w:history="1">
        <w:r w:rsidRPr="006155C9">
          <w:rPr>
            <w:rStyle w:val="Hyperlink"/>
            <w:rFonts w:ascii="Arial" w:hAnsi="Arial" w:cs="Arial"/>
          </w:rPr>
          <w:t>https://www.legislation.gov.uk/ukpga/2014/23/contents</w:t>
        </w:r>
      </w:hyperlink>
      <w:r w:rsidRPr="006155C9">
        <w:rPr>
          <w:rFonts w:ascii="Arial" w:hAnsi="Arial" w:cs="Arial"/>
        </w:rPr>
        <w:t xml:space="preserve"> (Accessed: 3 November 2025).</w:t>
      </w:r>
    </w:p>
    <w:p w14:paraId="411DE903" w14:textId="69D0E5CD" w:rsidR="00E6253D" w:rsidRPr="006155C9" w:rsidRDefault="00E6253D" w:rsidP="006155C9">
      <w:pPr>
        <w:spacing w:line="360" w:lineRule="auto"/>
        <w:rPr>
          <w:rFonts w:ascii="Arial" w:hAnsi="Arial" w:cs="Arial"/>
        </w:rPr>
      </w:pPr>
      <w:r w:rsidRPr="006155C9">
        <w:rPr>
          <w:rFonts w:ascii="Arial" w:hAnsi="Arial" w:cs="Arial"/>
        </w:rPr>
        <w:t>Eva</w:t>
      </w:r>
      <w:r w:rsidR="00CD3581">
        <w:rPr>
          <w:rFonts w:ascii="Arial" w:hAnsi="Arial" w:cs="Arial"/>
        </w:rPr>
        <w:t>222</w:t>
      </w:r>
      <w:r w:rsidRPr="006155C9">
        <w:rPr>
          <w:rFonts w:ascii="Arial" w:hAnsi="Arial" w:cs="Arial"/>
        </w:rPr>
        <w:t xml:space="preserve">ns, B. (2013) </w:t>
      </w:r>
      <w:r w:rsidRPr="006155C9">
        <w:rPr>
          <w:rFonts w:ascii="Arial" w:hAnsi="Arial" w:cs="Arial"/>
          <w:i/>
          <w:iCs/>
        </w:rPr>
        <w:t>How autism became autism: The radical transformation of a central concept of child development in Britain</w:t>
      </w:r>
      <w:r w:rsidRPr="006155C9">
        <w:rPr>
          <w:rFonts w:ascii="Arial" w:hAnsi="Arial" w:cs="Arial"/>
        </w:rPr>
        <w:t xml:space="preserve">. </w:t>
      </w:r>
      <w:r w:rsidRPr="006155C9">
        <w:rPr>
          <w:rFonts w:ascii="Arial" w:hAnsi="Arial" w:cs="Arial"/>
          <w:i/>
          <w:iCs/>
        </w:rPr>
        <w:t>History of the Human Sciences</w:t>
      </w:r>
      <w:r w:rsidRPr="006155C9">
        <w:rPr>
          <w:rFonts w:ascii="Arial" w:hAnsi="Arial" w:cs="Arial"/>
        </w:rPr>
        <w:t>, 26(3), pp. 3–31.</w:t>
      </w:r>
    </w:p>
    <w:p w14:paraId="338101F7" w14:textId="77777777" w:rsidR="00E6253D" w:rsidRPr="006155C9" w:rsidRDefault="00E6253D" w:rsidP="006155C9">
      <w:pPr>
        <w:spacing w:line="360" w:lineRule="auto"/>
        <w:rPr>
          <w:rFonts w:ascii="Arial" w:hAnsi="Arial" w:cs="Arial"/>
        </w:rPr>
      </w:pPr>
      <w:r w:rsidRPr="006155C9">
        <w:rPr>
          <w:rFonts w:ascii="Arial" w:hAnsi="Arial" w:cs="Arial"/>
        </w:rPr>
        <w:t xml:space="preserve">Goldman, S., Wang, S. and Kim, Y. (2021) ‘Stereotyped movement disorder: Clinical features and treatment options’, </w:t>
      </w:r>
      <w:r w:rsidRPr="006155C9">
        <w:rPr>
          <w:rFonts w:ascii="Arial" w:hAnsi="Arial" w:cs="Arial"/>
          <w:i/>
          <w:iCs/>
        </w:rPr>
        <w:t>Frontiers in Psychiatry</w:t>
      </w:r>
      <w:r w:rsidRPr="006155C9">
        <w:rPr>
          <w:rFonts w:ascii="Arial" w:hAnsi="Arial" w:cs="Arial"/>
        </w:rPr>
        <w:t xml:space="preserve">, 12, 657890. Available at: </w:t>
      </w:r>
      <w:hyperlink r:id="rId17" w:tgtFrame="_new" w:history="1">
        <w:r w:rsidRPr="006155C9">
          <w:rPr>
            <w:rStyle w:val="Hyperlink"/>
            <w:rFonts w:ascii="Arial" w:hAnsi="Arial" w:cs="Arial"/>
          </w:rPr>
          <w:t>https://pmc.ncbi.nlm.nih.gov/articles/PMC8086578/</w:t>
        </w:r>
      </w:hyperlink>
      <w:r w:rsidRPr="006155C9">
        <w:rPr>
          <w:rFonts w:ascii="Arial" w:hAnsi="Arial" w:cs="Arial"/>
        </w:rPr>
        <w:t xml:space="preserve"> (Accessed: 3 November 2025).</w:t>
      </w:r>
    </w:p>
    <w:p w14:paraId="77352D74" w14:textId="77777777" w:rsidR="00E6253D" w:rsidRPr="006155C9" w:rsidRDefault="00E6253D" w:rsidP="006155C9">
      <w:pPr>
        <w:spacing w:line="360" w:lineRule="auto"/>
        <w:rPr>
          <w:rFonts w:ascii="Arial" w:hAnsi="Arial" w:cs="Arial"/>
        </w:rPr>
      </w:pPr>
      <w:r w:rsidRPr="006155C9">
        <w:rPr>
          <w:rFonts w:ascii="Arial" w:hAnsi="Arial" w:cs="Arial"/>
        </w:rPr>
        <w:lastRenderedPageBreak/>
        <w:t xml:space="preserve">Harris, J.C., Mahone, E.M. and Singer, H.S. (2020) ‘Repetitive and stereotyped movements: Clinical overview’, </w:t>
      </w:r>
      <w:r w:rsidRPr="006155C9">
        <w:rPr>
          <w:rFonts w:ascii="Arial" w:hAnsi="Arial" w:cs="Arial"/>
          <w:i/>
          <w:iCs/>
        </w:rPr>
        <w:t>Developmental Medicine &amp; Child Neurology</w:t>
      </w:r>
      <w:r w:rsidRPr="006155C9">
        <w:rPr>
          <w:rFonts w:ascii="Arial" w:hAnsi="Arial" w:cs="Arial"/>
        </w:rPr>
        <w:t>, 62(3), pp. 305–312.</w:t>
      </w:r>
    </w:p>
    <w:p w14:paraId="4E1DBB58" w14:textId="77777777" w:rsidR="00E6253D" w:rsidRPr="006155C9" w:rsidRDefault="00E6253D" w:rsidP="006155C9">
      <w:pPr>
        <w:spacing w:line="360" w:lineRule="auto"/>
        <w:rPr>
          <w:rFonts w:ascii="Arial" w:hAnsi="Arial" w:cs="Arial"/>
        </w:rPr>
      </w:pPr>
      <w:r w:rsidRPr="006155C9">
        <w:rPr>
          <w:rFonts w:ascii="Arial" w:hAnsi="Arial" w:cs="Arial"/>
        </w:rPr>
        <w:t xml:space="preserve">Mayo Clinic (2023) </w:t>
      </w:r>
      <w:r w:rsidRPr="006155C9">
        <w:rPr>
          <w:rFonts w:ascii="Arial" w:hAnsi="Arial" w:cs="Arial"/>
          <w:i/>
          <w:iCs/>
        </w:rPr>
        <w:t>Stereotyped movement disorder – Symptoms and causes</w:t>
      </w:r>
      <w:r w:rsidRPr="006155C9">
        <w:rPr>
          <w:rFonts w:ascii="Arial" w:hAnsi="Arial" w:cs="Arial"/>
        </w:rPr>
        <w:t xml:space="preserve">. Available at: </w:t>
      </w:r>
      <w:hyperlink r:id="rId18" w:tgtFrame="_new" w:history="1">
        <w:r w:rsidRPr="006155C9">
          <w:rPr>
            <w:rStyle w:val="Hyperlink"/>
            <w:rFonts w:ascii="Arial" w:hAnsi="Arial" w:cs="Arial"/>
          </w:rPr>
          <w:t>https://www.mayoclinic.org</w:t>
        </w:r>
      </w:hyperlink>
      <w:r w:rsidRPr="006155C9">
        <w:rPr>
          <w:rFonts w:ascii="Arial" w:hAnsi="Arial" w:cs="Arial"/>
        </w:rPr>
        <w:t xml:space="preserve"> (Accessed: 3 November 2025).</w:t>
      </w:r>
    </w:p>
    <w:p w14:paraId="65A8F0B7" w14:textId="77777777" w:rsidR="00E6253D" w:rsidRPr="006155C9" w:rsidRDefault="00E6253D" w:rsidP="006155C9">
      <w:pPr>
        <w:spacing w:line="360" w:lineRule="auto"/>
        <w:rPr>
          <w:rFonts w:ascii="Arial" w:hAnsi="Arial" w:cs="Arial"/>
        </w:rPr>
      </w:pPr>
      <w:r w:rsidRPr="006155C9">
        <w:rPr>
          <w:rFonts w:ascii="Arial" w:hAnsi="Arial" w:cs="Arial"/>
        </w:rPr>
        <w:t xml:space="preserve">National Health Service (NHS) (2023) </w:t>
      </w:r>
      <w:r w:rsidRPr="006155C9">
        <w:rPr>
          <w:rFonts w:ascii="Arial" w:hAnsi="Arial" w:cs="Arial"/>
          <w:i/>
          <w:iCs/>
        </w:rPr>
        <w:t>Stereotyped movement disorder – Overview</w:t>
      </w:r>
      <w:r w:rsidRPr="006155C9">
        <w:rPr>
          <w:rFonts w:ascii="Arial" w:hAnsi="Arial" w:cs="Arial"/>
        </w:rPr>
        <w:t xml:space="preserve">. Available at: </w:t>
      </w:r>
      <w:hyperlink r:id="rId19" w:tgtFrame="_new" w:history="1">
        <w:r w:rsidRPr="006155C9">
          <w:rPr>
            <w:rStyle w:val="Hyperlink"/>
            <w:rFonts w:ascii="Arial" w:hAnsi="Arial" w:cs="Arial"/>
          </w:rPr>
          <w:t>https://www.nhs.uk</w:t>
        </w:r>
      </w:hyperlink>
      <w:r w:rsidRPr="006155C9">
        <w:rPr>
          <w:rFonts w:ascii="Arial" w:hAnsi="Arial" w:cs="Arial"/>
        </w:rPr>
        <w:t xml:space="preserve"> (Accessed: 3 November 2025).</w:t>
      </w:r>
    </w:p>
    <w:p w14:paraId="1D277CD7" w14:textId="77777777" w:rsidR="00E6253D" w:rsidRPr="006155C9" w:rsidRDefault="00E6253D" w:rsidP="006155C9">
      <w:pPr>
        <w:spacing w:line="360" w:lineRule="auto"/>
        <w:rPr>
          <w:rFonts w:ascii="Arial" w:hAnsi="Arial" w:cs="Arial"/>
        </w:rPr>
      </w:pPr>
      <w:r w:rsidRPr="006155C9">
        <w:rPr>
          <w:rFonts w:ascii="Arial" w:hAnsi="Arial" w:cs="Arial"/>
        </w:rPr>
        <w:t xml:space="preserve">National Institute for Health and Care Excellence (NICE) (2021) </w:t>
      </w:r>
      <w:proofErr w:type="gramStart"/>
      <w:r w:rsidRPr="006155C9">
        <w:rPr>
          <w:rFonts w:ascii="Arial" w:hAnsi="Arial" w:cs="Arial"/>
          <w:i/>
          <w:iCs/>
        </w:rPr>
        <w:t>Autism spectrum disorder</w:t>
      </w:r>
      <w:proofErr w:type="gramEnd"/>
      <w:r w:rsidRPr="006155C9">
        <w:rPr>
          <w:rFonts w:ascii="Arial" w:hAnsi="Arial" w:cs="Arial"/>
          <w:i/>
          <w:iCs/>
        </w:rPr>
        <w:t xml:space="preserve"> and related neurodevelopmental conditions: Support and management</w:t>
      </w:r>
      <w:r w:rsidRPr="006155C9">
        <w:rPr>
          <w:rFonts w:ascii="Arial" w:hAnsi="Arial" w:cs="Arial"/>
        </w:rPr>
        <w:t xml:space="preserve">. London: NICE. Available at: </w:t>
      </w:r>
      <w:hyperlink r:id="rId20" w:tgtFrame="_new" w:history="1">
        <w:r w:rsidRPr="006155C9">
          <w:rPr>
            <w:rStyle w:val="Hyperlink"/>
            <w:rFonts w:ascii="Arial" w:hAnsi="Arial" w:cs="Arial"/>
          </w:rPr>
          <w:t>https://www.nice.org.uk</w:t>
        </w:r>
      </w:hyperlink>
      <w:r w:rsidRPr="006155C9">
        <w:rPr>
          <w:rFonts w:ascii="Arial" w:hAnsi="Arial" w:cs="Arial"/>
        </w:rPr>
        <w:t xml:space="preserve"> (Accessed: 3 November 2025).</w:t>
      </w:r>
    </w:p>
    <w:p w14:paraId="0EED0E36" w14:textId="77777777" w:rsidR="00E6253D" w:rsidRPr="006155C9" w:rsidRDefault="00E6253D" w:rsidP="006155C9">
      <w:pPr>
        <w:spacing w:line="360" w:lineRule="auto"/>
        <w:rPr>
          <w:rFonts w:ascii="Arial" w:hAnsi="Arial" w:cs="Arial"/>
        </w:rPr>
      </w:pPr>
      <w:r w:rsidRPr="006155C9">
        <w:rPr>
          <w:rFonts w:ascii="Arial" w:hAnsi="Arial" w:cs="Arial"/>
        </w:rPr>
        <w:t xml:space="preserve">Silberman, S. (2015) </w:t>
      </w:r>
      <w:r w:rsidRPr="006155C9">
        <w:rPr>
          <w:rFonts w:ascii="Arial" w:hAnsi="Arial" w:cs="Arial"/>
          <w:i/>
          <w:iCs/>
        </w:rPr>
        <w:t>NeuroTribes: The legacy of autism and the future of neurodiversity</w:t>
      </w:r>
      <w:r w:rsidRPr="006155C9">
        <w:rPr>
          <w:rFonts w:ascii="Arial" w:hAnsi="Arial" w:cs="Arial"/>
        </w:rPr>
        <w:t>. London: Allen &amp; Unwin.</w:t>
      </w:r>
    </w:p>
    <w:p w14:paraId="3746F9BF" w14:textId="77777777" w:rsidR="00E6253D" w:rsidRPr="006155C9" w:rsidRDefault="00E6253D" w:rsidP="006155C9">
      <w:pPr>
        <w:spacing w:line="360" w:lineRule="auto"/>
        <w:rPr>
          <w:rFonts w:ascii="Arial" w:hAnsi="Arial" w:cs="Arial"/>
        </w:rPr>
      </w:pPr>
      <w:r w:rsidRPr="006155C9">
        <w:rPr>
          <w:rFonts w:ascii="Arial" w:hAnsi="Arial" w:cs="Arial"/>
        </w:rPr>
        <w:t xml:space="preserve">Turner, L., Robertson, J. and White, R. (2022) ‘Behavioural interventions for stereotyped movements in children with developmental disorders: A systematic review’, </w:t>
      </w:r>
      <w:r w:rsidRPr="006155C9">
        <w:rPr>
          <w:rFonts w:ascii="Arial" w:hAnsi="Arial" w:cs="Arial"/>
          <w:i/>
          <w:iCs/>
        </w:rPr>
        <w:t>Journal of Applied Research in Intellectual Disabilities</w:t>
      </w:r>
      <w:r w:rsidRPr="006155C9">
        <w:rPr>
          <w:rFonts w:ascii="Arial" w:hAnsi="Arial" w:cs="Arial"/>
        </w:rPr>
        <w:t>, 35(5), pp. 1152–1164.</w:t>
      </w:r>
    </w:p>
    <w:p w14:paraId="38E7DCD8" w14:textId="77777777" w:rsidR="00E6253D" w:rsidRPr="006155C9" w:rsidRDefault="00E6253D" w:rsidP="006155C9">
      <w:pPr>
        <w:spacing w:line="360" w:lineRule="auto"/>
        <w:rPr>
          <w:rFonts w:ascii="Arial" w:hAnsi="Arial" w:cs="Arial"/>
        </w:rPr>
      </w:pPr>
      <w:r w:rsidRPr="006155C9">
        <w:rPr>
          <w:rFonts w:ascii="Arial" w:hAnsi="Arial" w:cs="Arial"/>
        </w:rPr>
        <w:t xml:space="preserve">World Health Organization (WHO) (2022) </w:t>
      </w:r>
      <w:r w:rsidRPr="006155C9">
        <w:rPr>
          <w:rFonts w:ascii="Arial" w:hAnsi="Arial" w:cs="Arial"/>
          <w:i/>
          <w:iCs/>
        </w:rPr>
        <w:t>International Classification of Diseases, 11th Revision (ICD-11): Mental, Behavioural and Neurodevelopmental Disorders</w:t>
      </w:r>
      <w:r w:rsidRPr="006155C9">
        <w:rPr>
          <w:rFonts w:ascii="Arial" w:hAnsi="Arial" w:cs="Arial"/>
        </w:rPr>
        <w:t xml:space="preserve">. Geneva: WHO. Available at: </w:t>
      </w:r>
      <w:hyperlink r:id="rId21" w:tgtFrame="_new" w:history="1">
        <w:r w:rsidRPr="006155C9">
          <w:rPr>
            <w:rStyle w:val="Hyperlink"/>
            <w:rFonts w:ascii="Arial" w:hAnsi="Arial" w:cs="Arial"/>
          </w:rPr>
          <w:t>https://iris.who.int/bitstream/handle/10665/375767/9789240077263-eng.pdf</w:t>
        </w:r>
      </w:hyperlink>
      <w:r w:rsidRPr="006155C9">
        <w:rPr>
          <w:rFonts w:ascii="Arial" w:hAnsi="Arial" w:cs="Arial"/>
        </w:rPr>
        <w:t xml:space="preserve"> (Accessed: 3 November 2025).</w:t>
      </w:r>
    </w:p>
    <w:p w14:paraId="364E780A" w14:textId="62896AD0" w:rsidR="00EB6F36" w:rsidRPr="006155C9" w:rsidRDefault="00EB6F36" w:rsidP="006155C9">
      <w:pPr>
        <w:spacing w:line="360" w:lineRule="auto"/>
        <w:rPr>
          <w:rFonts w:ascii="Arial" w:hAnsi="Arial" w:cs="Arial"/>
          <w:color w:val="EE0000"/>
        </w:rPr>
      </w:pPr>
      <w:r w:rsidRPr="006155C9">
        <w:rPr>
          <w:rFonts w:ascii="Arial" w:hAnsi="Arial" w:cs="Arial"/>
          <w:color w:val="EE0000"/>
        </w:rPr>
        <w:t xml:space="preserve"> </w:t>
      </w:r>
    </w:p>
    <w:p w14:paraId="787444DC" w14:textId="77777777" w:rsidR="00EB6F36" w:rsidRPr="006155C9" w:rsidRDefault="00EB6F36" w:rsidP="006155C9">
      <w:pPr>
        <w:spacing w:line="360" w:lineRule="auto"/>
        <w:rPr>
          <w:rFonts w:ascii="Arial" w:hAnsi="Arial" w:cs="Arial"/>
        </w:rPr>
      </w:pPr>
    </w:p>
    <w:p w14:paraId="725FE163" w14:textId="77777777" w:rsidR="00EB6F36" w:rsidRPr="006155C9" w:rsidRDefault="00EB6F36" w:rsidP="006155C9">
      <w:pPr>
        <w:spacing w:line="360" w:lineRule="auto"/>
        <w:rPr>
          <w:rFonts w:ascii="Arial" w:hAnsi="Arial" w:cs="Arial"/>
        </w:rPr>
      </w:pPr>
    </w:p>
    <w:sectPr w:rsidR="00EB6F36" w:rsidRPr="006155C9" w:rsidSect="00C46111">
      <w:headerReference w:type="default" r:id="rId22"/>
      <w:headerReference w:type="first" r:id="rId23"/>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FB191" w14:textId="77777777" w:rsidR="00872B17" w:rsidRDefault="00872B17" w:rsidP="00D210FA">
      <w:pPr>
        <w:spacing w:after="0"/>
      </w:pPr>
      <w:r>
        <w:separator/>
      </w:r>
    </w:p>
  </w:endnote>
  <w:endnote w:type="continuationSeparator" w:id="0">
    <w:p w14:paraId="5A2A06BC" w14:textId="77777777" w:rsidR="00872B17" w:rsidRDefault="00872B17"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DE6E0" w14:textId="77777777" w:rsidR="00872B17" w:rsidRDefault="00872B17" w:rsidP="00D210FA">
      <w:pPr>
        <w:spacing w:after="0"/>
      </w:pPr>
      <w:r>
        <w:separator/>
      </w:r>
    </w:p>
  </w:footnote>
  <w:footnote w:type="continuationSeparator" w:id="0">
    <w:p w14:paraId="460E9A6F" w14:textId="77777777" w:rsidR="00872B17" w:rsidRDefault="00872B17"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8162B"/>
    <w:multiLevelType w:val="hybridMultilevel"/>
    <w:tmpl w:val="25A469A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4C68EE"/>
    <w:multiLevelType w:val="hybridMultilevel"/>
    <w:tmpl w:val="A224B71E"/>
    <w:lvl w:ilvl="0" w:tplc="C870F8F6">
      <w:numFmt w:val="bullet"/>
      <w:lvlText w:val=""/>
      <w:lvlJc w:val="left"/>
      <w:pPr>
        <w:ind w:left="1080" w:hanging="360"/>
      </w:pPr>
      <w:rPr>
        <w:rFonts w:ascii="Century Schoolbook" w:eastAsiaTheme="minorHAnsi" w:hAnsi="Century Schoolbook"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4286ADD"/>
    <w:multiLevelType w:val="hybridMultilevel"/>
    <w:tmpl w:val="CD3E6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566C39"/>
    <w:multiLevelType w:val="hybridMultilevel"/>
    <w:tmpl w:val="1FD22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C8D0006"/>
    <w:multiLevelType w:val="hybridMultilevel"/>
    <w:tmpl w:val="44A02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AC257A"/>
    <w:multiLevelType w:val="hybridMultilevel"/>
    <w:tmpl w:val="07A0C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C01EA3"/>
    <w:multiLevelType w:val="hybridMultilevel"/>
    <w:tmpl w:val="F62A3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744D6C"/>
    <w:multiLevelType w:val="hybridMultilevel"/>
    <w:tmpl w:val="E1C4BC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E2136B"/>
    <w:multiLevelType w:val="hybridMultilevel"/>
    <w:tmpl w:val="2CE6C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374319"/>
    <w:multiLevelType w:val="hybridMultilevel"/>
    <w:tmpl w:val="B70E3D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A8247D1"/>
    <w:multiLevelType w:val="hybridMultilevel"/>
    <w:tmpl w:val="D1EE4D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DA358A1"/>
    <w:multiLevelType w:val="hybridMultilevel"/>
    <w:tmpl w:val="D62E6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4A1CA8"/>
    <w:multiLevelType w:val="hybridMultilevel"/>
    <w:tmpl w:val="AB0A4F6C"/>
    <w:lvl w:ilvl="0" w:tplc="C870F8F6">
      <w:numFmt w:val="bullet"/>
      <w:lvlText w:val=""/>
      <w:lvlJc w:val="left"/>
      <w:pPr>
        <w:ind w:left="720" w:hanging="360"/>
      </w:pPr>
      <w:rPr>
        <w:rFonts w:ascii="Century Schoolbook" w:eastAsiaTheme="minorHAnsi" w:hAnsi="Century Schoolbook"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2"/>
  </w:num>
  <w:num w:numId="3" w16cid:durableId="1791968620">
    <w:abstractNumId w:val="18"/>
  </w:num>
  <w:num w:numId="4" w16cid:durableId="67852329">
    <w:abstractNumId w:val="19"/>
  </w:num>
  <w:num w:numId="5" w16cid:durableId="825783799">
    <w:abstractNumId w:val="9"/>
  </w:num>
  <w:num w:numId="6" w16cid:durableId="1203637911">
    <w:abstractNumId w:val="8"/>
  </w:num>
  <w:num w:numId="7" w16cid:durableId="1393117886">
    <w:abstractNumId w:val="14"/>
  </w:num>
  <w:num w:numId="8" w16cid:durableId="1702047203">
    <w:abstractNumId w:val="6"/>
  </w:num>
  <w:num w:numId="9" w16cid:durableId="1767916907">
    <w:abstractNumId w:val="17"/>
  </w:num>
  <w:num w:numId="10" w16cid:durableId="235746734">
    <w:abstractNumId w:val="1"/>
  </w:num>
  <w:num w:numId="11" w16cid:durableId="1750271545">
    <w:abstractNumId w:val="15"/>
  </w:num>
  <w:num w:numId="12" w16cid:durableId="1802072693">
    <w:abstractNumId w:val="10"/>
  </w:num>
  <w:num w:numId="13" w16cid:durableId="681009102">
    <w:abstractNumId w:val="7"/>
  </w:num>
  <w:num w:numId="14" w16cid:durableId="1552038623">
    <w:abstractNumId w:val="12"/>
  </w:num>
  <w:num w:numId="15" w16cid:durableId="171145963">
    <w:abstractNumId w:val="16"/>
  </w:num>
  <w:num w:numId="16" w16cid:durableId="1587494379">
    <w:abstractNumId w:val="4"/>
  </w:num>
  <w:num w:numId="17" w16cid:durableId="1687826872">
    <w:abstractNumId w:val="3"/>
  </w:num>
  <w:num w:numId="18" w16cid:durableId="1837959087">
    <w:abstractNumId w:val="0"/>
  </w:num>
  <w:num w:numId="19" w16cid:durableId="1164081879">
    <w:abstractNumId w:val="13"/>
  </w:num>
  <w:num w:numId="20" w16cid:durableId="15038571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6951"/>
    <w:rsid w:val="00061977"/>
    <w:rsid w:val="000730F2"/>
    <w:rsid w:val="00075F47"/>
    <w:rsid w:val="0008782A"/>
    <w:rsid w:val="000A065A"/>
    <w:rsid w:val="000F5BCC"/>
    <w:rsid w:val="00106FC5"/>
    <w:rsid w:val="00120DEC"/>
    <w:rsid w:val="00123C19"/>
    <w:rsid w:val="00192A97"/>
    <w:rsid w:val="00196AD4"/>
    <w:rsid w:val="001A54F8"/>
    <w:rsid w:val="001C55B6"/>
    <w:rsid w:val="001D6CC4"/>
    <w:rsid w:val="001E28E4"/>
    <w:rsid w:val="00206405"/>
    <w:rsid w:val="00242D6D"/>
    <w:rsid w:val="00253267"/>
    <w:rsid w:val="002823CD"/>
    <w:rsid w:val="00287787"/>
    <w:rsid w:val="00291685"/>
    <w:rsid w:val="002B0A3D"/>
    <w:rsid w:val="003007A7"/>
    <w:rsid w:val="0030414B"/>
    <w:rsid w:val="003257E1"/>
    <w:rsid w:val="00325DEC"/>
    <w:rsid w:val="00346FFA"/>
    <w:rsid w:val="00387BE1"/>
    <w:rsid w:val="003A3069"/>
    <w:rsid w:val="003C20B5"/>
    <w:rsid w:val="003E545F"/>
    <w:rsid w:val="003F03D2"/>
    <w:rsid w:val="003F1E1A"/>
    <w:rsid w:val="003F4D46"/>
    <w:rsid w:val="004045E5"/>
    <w:rsid w:val="004117AC"/>
    <w:rsid w:val="00421496"/>
    <w:rsid w:val="00422C27"/>
    <w:rsid w:val="0044367C"/>
    <w:rsid w:val="004642F0"/>
    <w:rsid w:val="004D2A07"/>
    <w:rsid w:val="004E085B"/>
    <w:rsid w:val="00500564"/>
    <w:rsid w:val="0051102B"/>
    <w:rsid w:val="005115B0"/>
    <w:rsid w:val="00535C9F"/>
    <w:rsid w:val="005472E0"/>
    <w:rsid w:val="005838BC"/>
    <w:rsid w:val="005B57E1"/>
    <w:rsid w:val="005E61E0"/>
    <w:rsid w:val="005F0F31"/>
    <w:rsid w:val="006024ED"/>
    <w:rsid w:val="006155C9"/>
    <w:rsid w:val="0061793F"/>
    <w:rsid w:val="00620864"/>
    <w:rsid w:val="0062123A"/>
    <w:rsid w:val="00653776"/>
    <w:rsid w:val="006605F8"/>
    <w:rsid w:val="006676A1"/>
    <w:rsid w:val="0067344A"/>
    <w:rsid w:val="006833BD"/>
    <w:rsid w:val="0069690C"/>
    <w:rsid w:val="006D2642"/>
    <w:rsid w:val="006E2D42"/>
    <w:rsid w:val="00714D63"/>
    <w:rsid w:val="00720FEE"/>
    <w:rsid w:val="00764B6F"/>
    <w:rsid w:val="007C1ABD"/>
    <w:rsid w:val="007C7319"/>
    <w:rsid w:val="007D43B3"/>
    <w:rsid w:val="007D4811"/>
    <w:rsid w:val="007F20B4"/>
    <w:rsid w:val="007F525E"/>
    <w:rsid w:val="00817470"/>
    <w:rsid w:val="0082695D"/>
    <w:rsid w:val="0083044C"/>
    <w:rsid w:val="00844884"/>
    <w:rsid w:val="0085182D"/>
    <w:rsid w:val="00867E5F"/>
    <w:rsid w:val="008709F5"/>
    <w:rsid w:val="00872B17"/>
    <w:rsid w:val="008748E5"/>
    <w:rsid w:val="00877A91"/>
    <w:rsid w:val="00884E86"/>
    <w:rsid w:val="008927FF"/>
    <w:rsid w:val="008B0F18"/>
    <w:rsid w:val="008E3921"/>
    <w:rsid w:val="008E5827"/>
    <w:rsid w:val="0090027B"/>
    <w:rsid w:val="00905238"/>
    <w:rsid w:val="00907901"/>
    <w:rsid w:val="0094702A"/>
    <w:rsid w:val="00967DAB"/>
    <w:rsid w:val="00990E76"/>
    <w:rsid w:val="00991A53"/>
    <w:rsid w:val="00996F4E"/>
    <w:rsid w:val="009C5387"/>
    <w:rsid w:val="009F71FE"/>
    <w:rsid w:val="00A31F33"/>
    <w:rsid w:val="00A34231"/>
    <w:rsid w:val="00A40A43"/>
    <w:rsid w:val="00A70A62"/>
    <w:rsid w:val="00A71DA8"/>
    <w:rsid w:val="00AB1210"/>
    <w:rsid w:val="00AB770D"/>
    <w:rsid w:val="00AD4C05"/>
    <w:rsid w:val="00AF0A8E"/>
    <w:rsid w:val="00AF2088"/>
    <w:rsid w:val="00AF5FB0"/>
    <w:rsid w:val="00B0080A"/>
    <w:rsid w:val="00B0538C"/>
    <w:rsid w:val="00B34638"/>
    <w:rsid w:val="00B37AB8"/>
    <w:rsid w:val="00B418DE"/>
    <w:rsid w:val="00B47EF1"/>
    <w:rsid w:val="00B47FE7"/>
    <w:rsid w:val="00B67824"/>
    <w:rsid w:val="00B923DA"/>
    <w:rsid w:val="00BB01A4"/>
    <w:rsid w:val="00BB6C9C"/>
    <w:rsid w:val="00BC245B"/>
    <w:rsid w:val="00BC33C9"/>
    <w:rsid w:val="00BE15BA"/>
    <w:rsid w:val="00C20ED0"/>
    <w:rsid w:val="00C348A8"/>
    <w:rsid w:val="00C46111"/>
    <w:rsid w:val="00C523E2"/>
    <w:rsid w:val="00C83332"/>
    <w:rsid w:val="00C95E04"/>
    <w:rsid w:val="00CA41F0"/>
    <w:rsid w:val="00CC0A8F"/>
    <w:rsid w:val="00CC24B6"/>
    <w:rsid w:val="00CD3581"/>
    <w:rsid w:val="00CD3A64"/>
    <w:rsid w:val="00CE08CD"/>
    <w:rsid w:val="00D0664A"/>
    <w:rsid w:val="00D210FA"/>
    <w:rsid w:val="00D30F1D"/>
    <w:rsid w:val="00D57231"/>
    <w:rsid w:val="00D64677"/>
    <w:rsid w:val="00D76056"/>
    <w:rsid w:val="00D87B48"/>
    <w:rsid w:val="00D91203"/>
    <w:rsid w:val="00D94FD1"/>
    <w:rsid w:val="00DD505F"/>
    <w:rsid w:val="00E41692"/>
    <w:rsid w:val="00E4558B"/>
    <w:rsid w:val="00E55D74"/>
    <w:rsid w:val="00E6253D"/>
    <w:rsid w:val="00E81234"/>
    <w:rsid w:val="00E9037E"/>
    <w:rsid w:val="00EA120D"/>
    <w:rsid w:val="00EA2549"/>
    <w:rsid w:val="00EA49C3"/>
    <w:rsid w:val="00EB5E14"/>
    <w:rsid w:val="00EB6F36"/>
    <w:rsid w:val="00ED1049"/>
    <w:rsid w:val="00EE19D9"/>
    <w:rsid w:val="00EE4DE4"/>
    <w:rsid w:val="00EF26FC"/>
    <w:rsid w:val="00F042A6"/>
    <w:rsid w:val="00F226F9"/>
    <w:rsid w:val="00F270B8"/>
    <w:rsid w:val="00F37523"/>
    <w:rsid w:val="00F50168"/>
    <w:rsid w:val="00F50D34"/>
    <w:rsid w:val="00F61360"/>
    <w:rsid w:val="00FC538A"/>
    <w:rsid w:val="00FC57F9"/>
    <w:rsid w:val="00FD7FF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FF339B4E-7992-42E7-95F7-D6706ECC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E625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41979">
      <w:bodyDiv w:val="1"/>
      <w:marLeft w:val="0"/>
      <w:marRight w:val="0"/>
      <w:marTop w:val="0"/>
      <w:marBottom w:val="0"/>
      <w:divBdr>
        <w:top w:val="none" w:sz="0" w:space="0" w:color="auto"/>
        <w:left w:val="none" w:sz="0" w:space="0" w:color="auto"/>
        <w:bottom w:val="none" w:sz="0" w:space="0" w:color="auto"/>
        <w:right w:val="none" w:sz="0" w:space="0" w:color="auto"/>
      </w:divBdr>
    </w:div>
    <w:div w:id="104228239">
      <w:bodyDiv w:val="1"/>
      <w:marLeft w:val="0"/>
      <w:marRight w:val="0"/>
      <w:marTop w:val="0"/>
      <w:marBottom w:val="0"/>
      <w:divBdr>
        <w:top w:val="none" w:sz="0" w:space="0" w:color="auto"/>
        <w:left w:val="none" w:sz="0" w:space="0" w:color="auto"/>
        <w:bottom w:val="none" w:sz="0" w:space="0" w:color="auto"/>
        <w:right w:val="none" w:sz="0" w:space="0" w:color="auto"/>
      </w:divBdr>
    </w:div>
    <w:div w:id="111362260">
      <w:bodyDiv w:val="1"/>
      <w:marLeft w:val="0"/>
      <w:marRight w:val="0"/>
      <w:marTop w:val="0"/>
      <w:marBottom w:val="0"/>
      <w:divBdr>
        <w:top w:val="none" w:sz="0" w:space="0" w:color="auto"/>
        <w:left w:val="none" w:sz="0" w:space="0" w:color="auto"/>
        <w:bottom w:val="none" w:sz="0" w:space="0" w:color="auto"/>
        <w:right w:val="none" w:sz="0" w:space="0" w:color="auto"/>
      </w:divBdr>
    </w:div>
    <w:div w:id="259338587">
      <w:bodyDiv w:val="1"/>
      <w:marLeft w:val="0"/>
      <w:marRight w:val="0"/>
      <w:marTop w:val="0"/>
      <w:marBottom w:val="0"/>
      <w:divBdr>
        <w:top w:val="none" w:sz="0" w:space="0" w:color="auto"/>
        <w:left w:val="none" w:sz="0" w:space="0" w:color="auto"/>
        <w:bottom w:val="none" w:sz="0" w:space="0" w:color="auto"/>
        <w:right w:val="none" w:sz="0" w:space="0" w:color="auto"/>
      </w:divBdr>
    </w:div>
    <w:div w:id="275331662">
      <w:bodyDiv w:val="1"/>
      <w:marLeft w:val="0"/>
      <w:marRight w:val="0"/>
      <w:marTop w:val="0"/>
      <w:marBottom w:val="0"/>
      <w:divBdr>
        <w:top w:val="none" w:sz="0" w:space="0" w:color="auto"/>
        <w:left w:val="none" w:sz="0" w:space="0" w:color="auto"/>
        <w:bottom w:val="none" w:sz="0" w:space="0" w:color="auto"/>
        <w:right w:val="none" w:sz="0" w:space="0" w:color="auto"/>
      </w:divBdr>
    </w:div>
    <w:div w:id="433749681">
      <w:bodyDiv w:val="1"/>
      <w:marLeft w:val="0"/>
      <w:marRight w:val="0"/>
      <w:marTop w:val="0"/>
      <w:marBottom w:val="0"/>
      <w:divBdr>
        <w:top w:val="none" w:sz="0" w:space="0" w:color="auto"/>
        <w:left w:val="none" w:sz="0" w:space="0" w:color="auto"/>
        <w:bottom w:val="none" w:sz="0" w:space="0" w:color="auto"/>
        <w:right w:val="none" w:sz="0" w:space="0" w:color="auto"/>
      </w:divBdr>
    </w:div>
    <w:div w:id="472914652">
      <w:bodyDiv w:val="1"/>
      <w:marLeft w:val="0"/>
      <w:marRight w:val="0"/>
      <w:marTop w:val="0"/>
      <w:marBottom w:val="0"/>
      <w:divBdr>
        <w:top w:val="none" w:sz="0" w:space="0" w:color="auto"/>
        <w:left w:val="none" w:sz="0" w:space="0" w:color="auto"/>
        <w:bottom w:val="none" w:sz="0" w:space="0" w:color="auto"/>
        <w:right w:val="none" w:sz="0" w:space="0" w:color="auto"/>
      </w:divBdr>
    </w:div>
    <w:div w:id="512912383">
      <w:bodyDiv w:val="1"/>
      <w:marLeft w:val="0"/>
      <w:marRight w:val="0"/>
      <w:marTop w:val="0"/>
      <w:marBottom w:val="0"/>
      <w:divBdr>
        <w:top w:val="none" w:sz="0" w:space="0" w:color="auto"/>
        <w:left w:val="none" w:sz="0" w:space="0" w:color="auto"/>
        <w:bottom w:val="none" w:sz="0" w:space="0" w:color="auto"/>
        <w:right w:val="none" w:sz="0" w:space="0" w:color="auto"/>
      </w:divBdr>
    </w:div>
    <w:div w:id="516623413">
      <w:bodyDiv w:val="1"/>
      <w:marLeft w:val="0"/>
      <w:marRight w:val="0"/>
      <w:marTop w:val="0"/>
      <w:marBottom w:val="0"/>
      <w:divBdr>
        <w:top w:val="none" w:sz="0" w:space="0" w:color="auto"/>
        <w:left w:val="none" w:sz="0" w:space="0" w:color="auto"/>
        <w:bottom w:val="none" w:sz="0" w:space="0" w:color="auto"/>
        <w:right w:val="none" w:sz="0" w:space="0" w:color="auto"/>
      </w:divBdr>
    </w:div>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2290464">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811168718">
      <w:bodyDiv w:val="1"/>
      <w:marLeft w:val="0"/>
      <w:marRight w:val="0"/>
      <w:marTop w:val="0"/>
      <w:marBottom w:val="0"/>
      <w:divBdr>
        <w:top w:val="none" w:sz="0" w:space="0" w:color="auto"/>
        <w:left w:val="none" w:sz="0" w:space="0" w:color="auto"/>
        <w:bottom w:val="none" w:sz="0" w:space="0" w:color="auto"/>
        <w:right w:val="none" w:sz="0" w:space="0" w:color="auto"/>
      </w:divBdr>
    </w:div>
    <w:div w:id="865867016">
      <w:bodyDiv w:val="1"/>
      <w:marLeft w:val="0"/>
      <w:marRight w:val="0"/>
      <w:marTop w:val="0"/>
      <w:marBottom w:val="0"/>
      <w:divBdr>
        <w:top w:val="none" w:sz="0" w:space="0" w:color="auto"/>
        <w:left w:val="none" w:sz="0" w:space="0" w:color="auto"/>
        <w:bottom w:val="none" w:sz="0" w:space="0" w:color="auto"/>
        <w:right w:val="none" w:sz="0" w:space="0" w:color="auto"/>
      </w:divBdr>
    </w:div>
    <w:div w:id="881792951">
      <w:bodyDiv w:val="1"/>
      <w:marLeft w:val="0"/>
      <w:marRight w:val="0"/>
      <w:marTop w:val="0"/>
      <w:marBottom w:val="0"/>
      <w:divBdr>
        <w:top w:val="none" w:sz="0" w:space="0" w:color="auto"/>
        <w:left w:val="none" w:sz="0" w:space="0" w:color="auto"/>
        <w:bottom w:val="none" w:sz="0" w:space="0" w:color="auto"/>
        <w:right w:val="none" w:sz="0" w:space="0" w:color="auto"/>
      </w:divBdr>
    </w:div>
    <w:div w:id="98069473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193303100">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326323862">
      <w:bodyDiv w:val="1"/>
      <w:marLeft w:val="0"/>
      <w:marRight w:val="0"/>
      <w:marTop w:val="0"/>
      <w:marBottom w:val="0"/>
      <w:divBdr>
        <w:top w:val="none" w:sz="0" w:space="0" w:color="auto"/>
        <w:left w:val="none" w:sz="0" w:space="0" w:color="auto"/>
        <w:bottom w:val="none" w:sz="0" w:space="0" w:color="auto"/>
        <w:right w:val="none" w:sz="0" w:space="0" w:color="auto"/>
      </w:divBdr>
    </w:div>
    <w:div w:id="1356150772">
      <w:bodyDiv w:val="1"/>
      <w:marLeft w:val="0"/>
      <w:marRight w:val="0"/>
      <w:marTop w:val="0"/>
      <w:marBottom w:val="0"/>
      <w:divBdr>
        <w:top w:val="none" w:sz="0" w:space="0" w:color="auto"/>
        <w:left w:val="none" w:sz="0" w:space="0" w:color="auto"/>
        <w:bottom w:val="none" w:sz="0" w:space="0" w:color="auto"/>
        <w:right w:val="none" w:sz="0" w:space="0" w:color="auto"/>
      </w:divBdr>
    </w:div>
    <w:div w:id="1460800154">
      <w:bodyDiv w:val="1"/>
      <w:marLeft w:val="0"/>
      <w:marRight w:val="0"/>
      <w:marTop w:val="0"/>
      <w:marBottom w:val="0"/>
      <w:divBdr>
        <w:top w:val="none" w:sz="0" w:space="0" w:color="auto"/>
        <w:left w:val="none" w:sz="0" w:space="0" w:color="auto"/>
        <w:bottom w:val="none" w:sz="0" w:space="0" w:color="auto"/>
        <w:right w:val="none" w:sz="0" w:space="0" w:color="auto"/>
      </w:divBdr>
    </w:div>
    <w:div w:id="1489829935">
      <w:bodyDiv w:val="1"/>
      <w:marLeft w:val="0"/>
      <w:marRight w:val="0"/>
      <w:marTop w:val="0"/>
      <w:marBottom w:val="0"/>
      <w:divBdr>
        <w:top w:val="none" w:sz="0" w:space="0" w:color="auto"/>
        <w:left w:val="none" w:sz="0" w:space="0" w:color="auto"/>
        <w:bottom w:val="none" w:sz="0" w:space="0" w:color="auto"/>
        <w:right w:val="none" w:sz="0" w:space="0" w:color="auto"/>
      </w:divBdr>
    </w:div>
    <w:div w:id="1530725662">
      <w:bodyDiv w:val="1"/>
      <w:marLeft w:val="0"/>
      <w:marRight w:val="0"/>
      <w:marTop w:val="0"/>
      <w:marBottom w:val="0"/>
      <w:divBdr>
        <w:top w:val="none" w:sz="0" w:space="0" w:color="auto"/>
        <w:left w:val="none" w:sz="0" w:space="0" w:color="auto"/>
        <w:bottom w:val="none" w:sz="0" w:space="0" w:color="auto"/>
        <w:right w:val="none" w:sz="0" w:space="0" w:color="auto"/>
      </w:divBdr>
    </w:div>
    <w:div w:id="1645353162">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71823521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1951740013">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18922192">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 w:id="2072921727">
      <w:bodyDiv w:val="1"/>
      <w:marLeft w:val="0"/>
      <w:marRight w:val="0"/>
      <w:marTop w:val="0"/>
      <w:marBottom w:val="0"/>
      <w:divBdr>
        <w:top w:val="none" w:sz="0" w:space="0" w:color="auto"/>
        <w:left w:val="none" w:sz="0" w:space="0" w:color="auto"/>
        <w:bottom w:val="none" w:sz="0" w:space="0" w:color="auto"/>
        <w:right w:val="none" w:sz="0" w:space="0" w:color="auto"/>
      </w:divBdr>
    </w:div>
    <w:div w:id="208787653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mayoclinic.org" TargetMode="External"/><Relationship Id="rId3" Type="http://schemas.openxmlformats.org/officeDocument/2006/relationships/customXml" Target="../customXml/item3.xml"/><Relationship Id="rId21" Type="http://schemas.openxmlformats.org/officeDocument/2006/relationships/hyperlink" Target="https://iris.who.int/bitstream/handle/10665/375767/9789240077263-eng.pdf?utm_source=chatgpt.com"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pmc.ncbi.nlm.nih.gov/articles/PMC808657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14/23/contents" TargetMode="External"/><Relationship Id="rId20" Type="http://schemas.openxmlformats.org/officeDocument/2006/relationships/hyperlink" Target="https://www.nice.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way\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30</TotalTime>
  <Pages>6</Pages>
  <Words>1015</Words>
  <Characters>5791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Dewayne Wallace</cp:lastModifiedBy>
  <cp:revision>12</cp:revision>
  <dcterms:created xsi:type="dcterms:W3CDTF">2025-11-03T20:12:00Z</dcterms:created>
  <dcterms:modified xsi:type="dcterms:W3CDTF">2025-11-10T12:05:00Z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