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447"/>
        <w:gridCol w:w="2280"/>
        <w:gridCol w:w="2096"/>
      </w:tblGrid>
      <w:tr w:rsidR="00541785" w:rsidRPr="00541785" w14:paraId="0E0616B6"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D87B08B" w14:textId="77777777" w:rsidR="00541785" w:rsidRPr="00541785" w:rsidRDefault="00541785" w:rsidP="00541785">
            <w:pPr>
              <w:pStyle w:val="Heading1"/>
            </w:pPr>
            <w:r w:rsidRPr="00541785">
              <w:t>Student name:</w:t>
            </w:r>
          </w:p>
        </w:tc>
        <w:tc>
          <w:tcPr>
            <w:tcW w:w="3450" w:type="dxa"/>
            <w:tcBorders>
              <w:top w:val="single" w:sz="4" w:space="0" w:color="auto"/>
              <w:left w:val="single" w:sz="4" w:space="0" w:color="auto"/>
              <w:bottom w:val="single" w:sz="4" w:space="0" w:color="auto"/>
              <w:right w:val="single" w:sz="4" w:space="0" w:color="auto"/>
            </w:tcBorders>
            <w:vAlign w:val="center"/>
            <w:hideMark/>
          </w:tcPr>
          <w:p w14:paraId="398C99B1" w14:textId="5426218D" w:rsidR="00541785" w:rsidRPr="00541785" w:rsidRDefault="00541785" w:rsidP="00541785">
            <w:pPr>
              <w:pStyle w:val="Heading1"/>
            </w:pPr>
            <w:r>
              <w:t>Zsolt Czirjek</w:t>
            </w:r>
          </w:p>
        </w:tc>
        <w:tc>
          <w:tcPr>
            <w:tcW w:w="228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1F0E2EE" w14:textId="77777777" w:rsidR="00541785" w:rsidRPr="00541785" w:rsidRDefault="00541785" w:rsidP="00541785">
            <w:pPr>
              <w:pStyle w:val="Heading1"/>
            </w:pPr>
            <w:r w:rsidRPr="00541785">
              <w:t>Student ID number:</w:t>
            </w:r>
          </w:p>
        </w:tc>
        <w:tc>
          <w:tcPr>
            <w:tcW w:w="2097" w:type="dxa"/>
            <w:tcBorders>
              <w:top w:val="single" w:sz="4" w:space="0" w:color="auto"/>
              <w:left w:val="single" w:sz="4" w:space="0" w:color="auto"/>
              <w:bottom w:val="single" w:sz="4" w:space="0" w:color="auto"/>
              <w:right w:val="single" w:sz="4" w:space="0" w:color="auto"/>
            </w:tcBorders>
            <w:vAlign w:val="center"/>
            <w:hideMark/>
          </w:tcPr>
          <w:p w14:paraId="713EB72C" w14:textId="08766015" w:rsidR="00541785" w:rsidRPr="00541785" w:rsidRDefault="00541785" w:rsidP="00541785">
            <w:pPr>
              <w:pStyle w:val="Heading1"/>
            </w:pPr>
            <w:r w:rsidRPr="00541785">
              <w:t>22120</w:t>
            </w:r>
            <w:r>
              <w:t>90</w:t>
            </w:r>
          </w:p>
        </w:tc>
      </w:tr>
      <w:tr w:rsidR="00541785" w:rsidRPr="00541785" w14:paraId="6368A8D9"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1AA2042F" w14:textId="77777777" w:rsidR="00541785" w:rsidRPr="00541785" w:rsidRDefault="00541785" w:rsidP="00541785">
            <w:pPr>
              <w:pStyle w:val="Heading1"/>
            </w:pPr>
            <w:proofErr w:type="spellStart"/>
            <w:r w:rsidRPr="00541785">
              <w:t>Programme</w:t>
            </w:r>
            <w:proofErr w:type="spellEnd"/>
            <w:r w:rsidRPr="00541785">
              <w:t>:</w:t>
            </w:r>
          </w:p>
        </w:tc>
        <w:tc>
          <w:tcPr>
            <w:tcW w:w="7829" w:type="dxa"/>
            <w:gridSpan w:val="3"/>
            <w:tcBorders>
              <w:top w:val="single" w:sz="4" w:space="0" w:color="auto"/>
              <w:left w:val="single" w:sz="4" w:space="0" w:color="auto"/>
              <w:bottom w:val="single" w:sz="4" w:space="0" w:color="auto"/>
              <w:right w:val="single" w:sz="4" w:space="0" w:color="auto"/>
            </w:tcBorders>
            <w:vAlign w:val="center"/>
            <w:hideMark/>
          </w:tcPr>
          <w:p w14:paraId="54873E2A" w14:textId="77777777" w:rsidR="00541785" w:rsidRPr="00541785" w:rsidRDefault="00541785" w:rsidP="00541785">
            <w:pPr>
              <w:pStyle w:val="Heading1"/>
            </w:pPr>
            <w:r w:rsidRPr="00541785">
              <w:t>Master of Business Administration</w:t>
            </w:r>
          </w:p>
        </w:tc>
      </w:tr>
      <w:tr w:rsidR="00541785" w:rsidRPr="00541785" w14:paraId="5B8DB501" w14:textId="77777777">
        <w:trPr>
          <w:trHeight w:val="440"/>
        </w:trPr>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12273A2" w14:textId="77777777" w:rsidR="00541785" w:rsidRPr="00541785" w:rsidRDefault="00541785" w:rsidP="00541785">
            <w:pPr>
              <w:pStyle w:val="Heading1"/>
            </w:pPr>
            <w:r w:rsidRPr="00541785">
              <w:t>Module:</w:t>
            </w:r>
          </w:p>
        </w:tc>
        <w:tc>
          <w:tcPr>
            <w:tcW w:w="7829" w:type="dxa"/>
            <w:gridSpan w:val="3"/>
            <w:tcBorders>
              <w:top w:val="single" w:sz="4" w:space="0" w:color="auto"/>
              <w:left w:val="single" w:sz="4" w:space="0" w:color="auto"/>
              <w:bottom w:val="single" w:sz="4" w:space="0" w:color="auto"/>
              <w:right w:val="single" w:sz="4" w:space="0" w:color="auto"/>
            </w:tcBorders>
            <w:vAlign w:val="center"/>
            <w:hideMark/>
          </w:tcPr>
          <w:p w14:paraId="61BAEFC8" w14:textId="77777777" w:rsidR="00541785" w:rsidRPr="00541785" w:rsidRDefault="00541785" w:rsidP="00541785">
            <w:pPr>
              <w:pStyle w:val="Heading1"/>
            </w:pPr>
            <w:r w:rsidRPr="00541785">
              <w:t>Strategic Management</w:t>
            </w:r>
          </w:p>
        </w:tc>
      </w:tr>
      <w:tr w:rsidR="00541785" w:rsidRPr="00541785" w14:paraId="6B0C6915"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6665D009" w14:textId="77777777" w:rsidR="00541785" w:rsidRPr="00541785" w:rsidRDefault="00541785" w:rsidP="00541785">
            <w:pPr>
              <w:pStyle w:val="Heading1"/>
            </w:pPr>
            <w:r w:rsidRPr="00541785">
              <w:t>Module code:</w:t>
            </w:r>
          </w:p>
        </w:tc>
        <w:tc>
          <w:tcPr>
            <w:tcW w:w="3450" w:type="dxa"/>
            <w:tcBorders>
              <w:top w:val="single" w:sz="4" w:space="0" w:color="auto"/>
              <w:left w:val="single" w:sz="4" w:space="0" w:color="auto"/>
              <w:bottom w:val="single" w:sz="4" w:space="0" w:color="auto"/>
              <w:right w:val="single" w:sz="4" w:space="0" w:color="auto"/>
            </w:tcBorders>
            <w:vAlign w:val="center"/>
            <w:hideMark/>
          </w:tcPr>
          <w:p w14:paraId="6AEADFF4" w14:textId="77777777" w:rsidR="00541785" w:rsidRPr="00541785" w:rsidRDefault="00541785" w:rsidP="00541785">
            <w:pPr>
              <w:pStyle w:val="Heading1"/>
            </w:pPr>
            <w:r w:rsidRPr="00541785">
              <w:t>LCMB7003</w:t>
            </w:r>
          </w:p>
        </w:tc>
        <w:tc>
          <w:tcPr>
            <w:tcW w:w="228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F9E890D" w14:textId="77777777" w:rsidR="00541785" w:rsidRPr="00541785" w:rsidRDefault="00541785" w:rsidP="00541785">
            <w:pPr>
              <w:pStyle w:val="Heading1"/>
            </w:pPr>
            <w:r w:rsidRPr="00541785">
              <w:t>Contribution to Overall Module Assessment (%):</w:t>
            </w:r>
          </w:p>
        </w:tc>
        <w:tc>
          <w:tcPr>
            <w:tcW w:w="2097" w:type="dxa"/>
            <w:tcBorders>
              <w:top w:val="single" w:sz="4" w:space="0" w:color="auto"/>
              <w:left w:val="single" w:sz="4" w:space="0" w:color="auto"/>
              <w:bottom w:val="single" w:sz="4" w:space="0" w:color="auto"/>
              <w:right w:val="single" w:sz="4" w:space="0" w:color="auto"/>
            </w:tcBorders>
            <w:vAlign w:val="center"/>
            <w:hideMark/>
          </w:tcPr>
          <w:p w14:paraId="0FFCA9D7" w14:textId="77777777" w:rsidR="00541785" w:rsidRPr="00541785" w:rsidRDefault="00541785" w:rsidP="00541785">
            <w:pPr>
              <w:pStyle w:val="Heading1"/>
            </w:pPr>
            <w:r w:rsidRPr="00541785">
              <w:t>100%</w:t>
            </w:r>
          </w:p>
        </w:tc>
      </w:tr>
      <w:tr w:rsidR="00541785" w:rsidRPr="00541785" w14:paraId="3FBCE964"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56282B83" w14:textId="77777777" w:rsidR="00541785" w:rsidRPr="00541785" w:rsidRDefault="00541785" w:rsidP="00541785">
            <w:pPr>
              <w:pStyle w:val="Heading1"/>
            </w:pPr>
            <w:r w:rsidRPr="00541785">
              <w:t>Lecturer:</w:t>
            </w:r>
          </w:p>
        </w:tc>
        <w:tc>
          <w:tcPr>
            <w:tcW w:w="3450" w:type="dxa"/>
            <w:tcBorders>
              <w:top w:val="single" w:sz="4" w:space="0" w:color="auto"/>
              <w:left w:val="single" w:sz="4" w:space="0" w:color="auto"/>
              <w:bottom w:val="single" w:sz="4" w:space="0" w:color="auto"/>
              <w:right w:val="single" w:sz="4" w:space="0" w:color="auto"/>
            </w:tcBorders>
            <w:vAlign w:val="center"/>
            <w:hideMark/>
          </w:tcPr>
          <w:p w14:paraId="5E1A152F" w14:textId="77777777" w:rsidR="00541785" w:rsidRPr="00541785" w:rsidRDefault="00541785" w:rsidP="00541785">
            <w:pPr>
              <w:pStyle w:val="Heading1"/>
            </w:pPr>
            <w:r w:rsidRPr="00541785">
              <w:t>Amare Desta</w:t>
            </w:r>
          </w:p>
          <w:p w14:paraId="29AB88B0" w14:textId="77777777" w:rsidR="00541785" w:rsidRPr="00541785" w:rsidRDefault="00541785" w:rsidP="00541785">
            <w:pPr>
              <w:pStyle w:val="Heading1"/>
            </w:pPr>
            <w:proofErr w:type="spellStart"/>
            <w:r w:rsidRPr="00541785">
              <w:t>Zulf</w:t>
            </w:r>
            <w:proofErr w:type="spellEnd"/>
            <w:r w:rsidRPr="00541785">
              <w:t xml:space="preserve"> Khan</w:t>
            </w:r>
          </w:p>
        </w:tc>
        <w:tc>
          <w:tcPr>
            <w:tcW w:w="228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34A78EE5" w14:textId="77777777" w:rsidR="00541785" w:rsidRPr="00541785" w:rsidRDefault="00541785" w:rsidP="00541785">
            <w:pPr>
              <w:pStyle w:val="Heading1"/>
            </w:pPr>
            <w:r w:rsidRPr="00541785">
              <w:t>Internal Verifier:</w:t>
            </w:r>
          </w:p>
        </w:tc>
        <w:tc>
          <w:tcPr>
            <w:tcW w:w="2097" w:type="dxa"/>
            <w:tcBorders>
              <w:top w:val="single" w:sz="4" w:space="0" w:color="auto"/>
              <w:left w:val="single" w:sz="4" w:space="0" w:color="auto"/>
              <w:bottom w:val="single" w:sz="4" w:space="0" w:color="auto"/>
              <w:right w:val="single" w:sz="4" w:space="0" w:color="auto"/>
            </w:tcBorders>
            <w:vAlign w:val="center"/>
            <w:hideMark/>
          </w:tcPr>
          <w:p w14:paraId="1B21C18F" w14:textId="77777777" w:rsidR="00541785" w:rsidRPr="00541785" w:rsidRDefault="00541785" w:rsidP="00541785">
            <w:pPr>
              <w:pStyle w:val="Heading1"/>
            </w:pPr>
            <w:r w:rsidRPr="00541785">
              <w:t>Vasilios Tavlaridis</w:t>
            </w:r>
          </w:p>
          <w:p w14:paraId="790B40AB" w14:textId="77777777" w:rsidR="00541785" w:rsidRPr="00541785" w:rsidRDefault="00541785" w:rsidP="00541785">
            <w:pPr>
              <w:pStyle w:val="Heading1"/>
            </w:pPr>
            <w:r w:rsidRPr="00541785">
              <w:t>Hoang Nguyen</w:t>
            </w:r>
          </w:p>
        </w:tc>
      </w:tr>
      <w:tr w:rsidR="00541785" w:rsidRPr="00541785" w14:paraId="57B71578"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4D52722D" w14:textId="77777777" w:rsidR="00541785" w:rsidRPr="00541785" w:rsidRDefault="00541785" w:rsidP="00541785">
            <w:pPr>
              <w:pStyle w:val="Heading1"/>
            </w:pPr>
            <w:r w:rsidRPr="00541785">
              <w:t>Assignment Title:</w:t>
            </w:r>
          </w:p>
        </w:tc>
        <w:tc>
          <w:tcPr>
            <w:tcW w:w="3450" w:type="dxa"/>
            <w:tcBorders>
              <w:top w:val="single" w:sz="4" w:space="0" w:color="auto"/>
              <w:left w:val="single" w:sz="4" w:space="0" w:color="auto"/>
              <w:bottom w:val="single" w:sz="4" w:space="0" w:color="auto"/>
              <w:right w:val="single" w:sz="4" w:space="0" w:color="auto"/>
            </w:tcBorders>
            <w:vAlign w:val="center"/>
            <w:hideMark/>
          </w:tcPr>
          <w:p w14:paraId="6EF301CF" w14:textId="77777777" w:rsidR="00541785" w:rsidRPr="00541785" w:rsidRDefault="00541785" w:rsidP="00541785">
            <w:pPr>
              <w:pStyle w:val="Heading1"/>
            </w:pPr>
            <w:r w:rsidRPr="00541785">
              <w:t>Assessment component - Individual report</w:t>
            </w:r>
          </w:p>
        </w:tc>
        <w:tc>
          <w:tcPr>
            <w:tcW w:w="228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B995DC1" w14:textId="77777777" w:rsidR="00541785" w:rsidRPr="00541785" w:rsidRDefault="00541785" w:rsidP="00541785">
            <w:pPr>
              <w:pStyle w:val="Heading1"/>
            </w:pPr>
            <w:r w:rsidRPr="00541785">
              <w:t>Word count (or equivalent):</w:t>
            </w:r>
          </w:p>
        </w:tc>
        <w:tc>
          <w:tcPr>
            <w:tcW w:w="2097" w:type="dxa"/>
            <w:tcBorders>
              <w:top w:val="single" w:sz="4" w:space="0" w:color="auto"/>
              <w:left w:val="single" w:sz="4" w:space="0" w:color="auto"/>
              <w:bottom w:val="single" w:sz="4" w:space="0" w:color="auto"/>
              <w:right w:val="single" w:sz="4" w:space="0" w:color="auto"/>
            </w:tcBorders>
            <w:vAlign w:val="center"/>
            <w:hideMark/>
          </w:tcPr>
          <w:p w14:paraId="45AEA32F" w14:textId="77777777" w:rsidR="00541785" w:rsidRPr="00541785" w:rsidRDefault="00541785" w:rsidP="00541785">
            <w:pPr>
              <w:pStyle w:val="Heading1"/>
            </w:pPr>
            <w:r w:rsidRPr="00541785">
              <w:t>5,000 (± 10%)</w:t>
            </w:r>
          </w:p>
        </w:tc>
      </w:tr>
      <w:tr w:rsidR="00541785" w:rsidRPr="00541785" w14:paraId="1B122AC3" w14:textId="77777777">
        <w:tc>
          <w:tcPr>
            <w:tcW w:w="2093"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25BF7CCE" w14:textId="77777777" w:rsidR="00541785" w:rsidRPr="00541785" w:rsidRDefault="00541785" w:rsidP="00541785">
            <w:pPr>
              <w:pStyle w:val="Heading1"/>
            </w:pPr>
            <w:r w:rsidRPr="00541785">
              <w:t>Submission deadline:</w:t>
            </w:r>
          </w:p>
        </w:tc>
        <w:tc>
          <w:tcPr>
            <w:tcW w:w="3450" w:type="dxa"/>
            <w:tcBorders>
              <w:top w:val="single" w:sz="4" w:space="0" w:color="auto"/>
              <w:left w:val="single" w:sz="4" w:space="0" w:color="auto"/>
              <w:bottom w:val="single" w:sz="4" w:space="0" w:color="auto"/>
              <w:right w:val="single" w:sz="4" w:space="0" w:color="auto"/>
            </w:tcBorders>
            <w:vAlign w:val="center"/>
            <w:hideMark/>
          </w:tcPr>
          <w:p w14:paraId="3E23A701" w14:textId="77777777" w:rsidR="00541785" w:rsidRPr="00541785" w:rsidRDefault="00541785" w:rsidP="00541785">
            <w:pPr>
              <w:pStyle w:val="Heading1"/>
            </w:pPr>
            <w:r w:rsidRPr="00541785">
              <w:t>Wednesday 01/04/2026 by 2pm</w:t>
            </w:r>
          </w:p>
        </w:tc>
        <w:tc>
          <w:tcPr>
            <w:tcW w:w="2282"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hideMark/>
          </w:tcPr>
          <w:p w14:paraId="78CAA5BB" w14:textId="77777777" w:rsidR="00541785" w:rsidRPr="00541785" w:rsidRDefault="00541785" w:rsidP="00541785">
            <w:pPr>
              <w:pStyle w:val="Heading1"/>
            </w:pPr>
            <w:r w:rsidRPr="00541785">
              <w:t>Return date of provisional marks &amp; written feedback:</w:t>
            </w:r>
          </w:p>
        </w:tc>
        <w:tc>
          <w:tcPr>
            <w:tcW w:w="2097" w:type="dxa"/>
            <w:tcBorders>
              <w:top w:val="single" w:sz="4" w:space="0" w:color="auto"/>
              <w:left w:val="single" w:sz="4" w:space="0" w:color="auto"/>
              <w:bottom w:val="single" w:sz="4" w:space="0" w:color="auto"/>
              <w:right w:val="single" w:sz="4" w:space="0" w:color="auto"/>
            </w:tcBorders>
            <w:vAlign w:val="center"/>
            <w:hideMark/>
          </w:tcPr>
          <w:p w14:paraId="1144E502" w14:textId="77777777" w:rsidR="00541785" w:rsidRPr="00541785" w:rsidRDefault="00541785" w:rsidP="00541785">
            <w:pPr>
              <w:pStyle w:val="Heading1"/>
            </w:pPr>
            <w:r w:rsidRPr="00541785">
              <w:t>08/05/2026</w:t>
            </w:r>
          </w:p>
        </w:tc>
      </w:tr>
    </w:tbl>
    <w:p w14:paraId="22FF34B0" w14:textId="77777777" w:rsidR="00541785" w:rsidRPr="00541785" w:rsidRDefault="00541785" w:rsidP="00541785">
      <w:pPr>
        <w:pStyle w:val="Heading1"/>
      </w:pPr>
    </w:p>
    <w:p w14:paraId="1C9EED45" w14:textId="77777777" w:rsidR="00213015" w:rsidRDefault="00213015">
      <w:pPr>
        <w:pStyle w:val="Heading1"/>
      </w:pPr>
    </w:p>
    <w:p w14:paraId="407A880A" w14:textId="77777777" w:rsidR="00541785" w:rsidRPr="00541785" w:rsidRDefault="00541785" w:rsidP="00541785"/>
    <w:p w14:paraId="4C72A6B9" w14:textId="1FF1DC58" w:rsidR="000601D0" w:rsidRDefault="000171B3">
      <w:pPr>
        <w:pStyle w:val="Heading1"/>
      </w:pPr>
      <w:r>
        <w:lastRenderedPageBreak/>
        <w:t>1. Organisational Context and Overview</w:t>
      </w:r>
    </w:p>
    <w:p w14:paraId="6572F307"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05E23BFF"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 xml:space="preserve">The organisation operates in a highly competitive environment, facing competition from </w:t>
      </w:r>
      <w:r w:rsidRPr="00541785">
        <w:rPr>
          <w:rFonts w:ascii="Arial" w:hAnsi="Arial" w:cs="Arial"/>
        </w:rPr>
        <w:lastRenderedPageBreak/>
        <w:t>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5324610E"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35AC3180"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 xml:space="preserve">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w:t>
      </w:r>
      <w:r w:rsidRPr="00541785">
        <w:rPr>
          <w:rFonts w:ascii="Arial" w:hAnsi="Arial" w:cs="Arial"/>
        </w:rPr>
        <w:lastRenderedPageBreak/>
        <w:t>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29F3C60E"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0801D6AA"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 xml:space="preserve">Amazon’s business model is based on a multi-sided platform that connects customers, </w:t>
      </w:r>
      <w:r w:rsidRPr="00541785">
        <w:rPr>
          <w:rFonts w:ascii="Arial" w:hAnsi="Arial" w:cs="Arial"/>
        </w:rPr>
        <w:lastRenderedPageBreak/>
        <w:t>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4994E77D" w14:textId="77777777" w:rsidR="000601D0" w:rsidRPr="00541785" w:rsidRDefault="000171B3" w:rsidP="00541785">
      <w:pPr>
        <w:spacing w:line="360" w:lineRule="auto"/>
        <w:rPr>
          <w:rFonts w:ascii="Arial" w:hAnsi="Arial" w:cs="Arial"/>
        </w:rPr>
      </w:pPr>
      <w:r w:rsidRPr="00541785">
        <w:rPr>
          <w:rFonts w:ascii="Arial" w:hAnsi="Arial" w:cs="Arial"/>
        </w:rPr>
        <w:t>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excellence.</w:t>
      </w:r>
      <w:r w:rsidRPr="00541785">
        <w:rPr>
          <w:rFonts w:ascii="Arial" w:hAnsi="Arial" w:cs="Arial"/>
        </w:rPr>
        <w:br/>
      </w:r>
      <w:r w:rsidRPr="00541785">
        <w:rPr>
          <w:rFonts w:ascii="Arial" w:hAnsi="Arial" w:cs="Arial"/>
        </w:rPr>
        <w:br/>
        <w:t>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708174EF" w14:textId="77777777" w:rsidR="000601D0" w:rsidRPr="00541785" w:rsidRDefault="000171B3" w:rsidP="00541785">
      <w:pPr>
        <w:spacing w:line="360" w:lineRule="auto"/>
        <w:rPr>
          <w:rFonts w:ascii="Arial" w:hAnsi="Arial" w:cs="Arial"/>
        </w:rPr>
      </w:pPr>
      <w:r w:rsidRPr="00541785">
        <w:rPr>
          <w:rFonts w:ascii="Arial" w:hAnsi="Arial" w:cs="Arial"/>
        </w:rPr>
        <w:t xml:space="preserve">Amazon, Inc. is one of the most influential global organisations operating across e-commerce, cloud computing, artificial intelligence, and logistics. Founded in 1994 by Jeff Bezos, the company has evolved from a simple online bookstore into a highly diversified technology corporation. Its mission, “to be Earth’s most customer-centric company,” reflects a strategic focus on customer satisfaction, innovation, and operational </w:t>
      </w:r>
      <w:r w:rsidRPr="00541785">
        <w:rPr>
          <w:rFonts w:ascii="Arial" w:hAnsi="Arial" w:cs="Arial"/>
        </w:rPr>
        <w:lastRenderedPageBreak/>
        <w:t>excellence.</w:t>
      </w:r>
      <w:r w:rsidRPr="00541785">
        <w:rPr>
          <w:rFonts w:ascii="Arial" w:hAnsi="Arial" w:cs="Arial"/>
        </w:rPr>
        <w:br/>
      </w:r>
      <w:r w:rsidRPr="00541785">
        <w:rPr>
          <w:rFonts w:ascii="Arial" w:hAnsi="Arial" w:cs="Arial"/>
        </w:rPr>
        <w:br/>
        <w:t>Amazon’s business model is based on a multi-sided platform that connects customers, third-party sellers, advertisers, and developers. The company generates revenue through product sales, subscription services such as Amazon Prime, and cloud services via Amazon Web Services (AWS). AWS is particularly important as it contributes significantly to Amazon’s profitability.</w:t>
      </w:r>
      <w:r w:rsidRPr="00541785">
        <w:rPr>
          <w:rFonts w:ascii="Arial" w:hAnsi="Arial" w:cs="Arial"/>
        </w:rPr>
        <w:br/>
      </w:r>
      <w:r w:rsidRPr="00541785">
        <w:rPr>
          <w:rFonts w:ascii="Arial" w:hAnsi="Arial" w:cs="Arial"/>
        </w:rPr>
        <w:br/>
        <w:t>The organisation operates in a highly competitive environment, facing competition from Walmart in retail, Alibaba in e-commerce, and Microsoft in cloud computing. Despite this, Amazon maintains a dominant position due to its economies of scale, advanced logistics network, and continuous innovation. Its ability to integrate cost leadership and differentiation strategies has enabled sustained competitive advantage.</w:t>
      </w:r>
    </w:p>
    <w:p w14:paraId="316FDC74"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2. External Environment Analysis (PESTEL)</w:t>
      </w:r>
    </w:p>
    <w:p w14:paraId="2B6909B6"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br/>
        <w:t>Overall, the external environment presents both opportunities and threats, requiring Amazon to remain adaptable and innovative.</w:t>
      </w:r>
    </w:p>
    <w:p w14:paraId="77A64E1A" w14:textId="77777777" w:rsidR="000601D0" w:rsidRPr="00541785" w:rsidRDefault="000171B3" w:rsidP="00541785">
      <w:pPr>
        <w:spacing w:line="360" w:lineRule="auto"/>
        <w:rPr>
          <w:rFonts w:ascii="Arial" w:hAnsi="Arial" w:cs="Arial"/>
        </w:rPr>
      </w:pPr>
      <w:r w:rsidRPr="00541785">
        <w:rPr>
          <w:rFonts w:ascii="Arial" w:hAnsi="Arial" w:cs="Arial"/>
        </w:rPr>
        <w:lastRenderedPageBreak/>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br/>
        <w:t>Overall, the external environment presents both opportunities and threats, requiring Amazon to remain adaptable and innovative.</w:t>
      </w:r>
    </w:p>
    <w:p w14:paraId="420F241F"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br/>
      </w:r>
      <w:r w:rsidRPr="00541785">
        <w:rPr>
          <w:rFonts w:ascii="Arial" w:hAnsi="Arial" w:cs="Arial"/>
        </w:rPr>
        <w:lastRenderedPageBreak/>
        <w:t>Overall, the external environment presents both opportunities and threats, requiring Amazon to remain adaptable and innovative.</w:t>
      </w:r>
    </w:p>
    <w:p w14:paraId="59E989A9"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br/>
        <w:t>Overall, the external environment presents both opportunities and threats, requiring Amazon to remain adaptable and innovative.</w:t>
      </w:r>
    </w:p>
    <w:p w14:paraId="6F52EE69"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lastRenderedPageBreak/>
        <w:br/>
        <w:t>Overall, the external environment presents both opportunities and threats, requiring Amazon to remain adaptable and innovative.</w:t>
      </w:r>
    </w:p>
    <w:p w14:paraId="5B912010"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br/>
        <w:t>Overall, the external environment presents both opportunities and threats, requiring Amazon to remain adaptable and innovative.</w:t>
      </w:r>
    </w:p>
    <w:p w14:paraId="6987F1A2"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 xml:space="preserve">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w:t>
      </w:r>
      <w:r w:rsidRPr="00541785">
        <w:rPr>
          <w:rFonts w:ascii="Arial" w:hAnsi="Arial" w:cs="Arial"/>
        </w:rPr>
        <w:lastRenderedPageBreak/>
        <w:t>scrutiny continues to increase.</w:t>
      </w:r>
      <w:r w:rsidRPr="00541785">
        <w:rPr>
          <w:rFonts w:ascii="Arial" w:hAnsi="Arial" w:cs="Arial"/>
        </w:rPr>
        <w:br/>
      </w:r>
      <w:r w:rsidRPr="00541785">
        <w:rPr>
          <w:rFonts w:ascii="Arial" w:hAnsi="Arial" w:cs="Arial"/>
        </w:rPr>
        <w:br/>
        <w:t>Overall, the external environment presents both opportunities and threats, requiring Amazon to remain adaptable and innovative.</w:t>
      </w:r>
    </w:p>
    <w:p w14:paraId="1F4DBC4E" w14:textId="77777777" w:rsidR="000601D0" w:rsidRPr="00541785" w:rsidRDefault="000171B3" w:rsidP="00541785">
      <w:pPr>
        <w:spacing w:line="360" w:lineRule="auto"/>
        <w:rPr>
          <w:rFonts w:ascii="Arial" w:hAnsi="Arial" w:cs="Arial"/>
        </w:rPr>
      </w:pPr>
      <w:r w:rsidRPr="00541785">
        <w:rPr>
          <w:rFonts w:ascii="Arial" w:hAnsi="Arial" w:cs="Arial"/>
        </w:rPr>
        <w:t>Amazon’s external environment is shaped by political, economic, social, technological, environmental, and legal factors.</w:t>
      </w:r>
      <w:r w:rsidRPr="00541785">
        <w:rPr>
          <w:rFonts w:ascii="Arial" w:hAnsi="Arial" w:cs="Arial"/>
        </w:rPr>
        <w:br/>
      </w:r>
      <w:r w:rsidRPr="00541785">
        <w:rPr>
          <w:rFonts w:ascii="Arial" w:hAnsi="Arial" w:cs="Arial"/>
        </w:rPr>
        <w:br/>
        <w:t>Politically, governments increasingly regulate large technology firms, particularly concerning antitrust laws and taxation. Economically, inflation and consumer behaviour influence purchasing patterns, although AWS provides stability during downturns. Socially, there is a growing preference for online shopping due to convenience and accessibility.</w:t>
      </w:r>
      <w:r w:rsidRPr="00541785">
        <w:rPr>
          <w:rFonts w:ascii="Arial" w:hAnsi="Arial" w:cs="Arial"/>
        </w:rPr>
        <w:br/>
      </w:r>
      <w:r w:rsidRPr="00541785">
        <w:rPr>
          <w:rFonts w:ascii="Arial" w:hAnsi="Arial" w:cs="Arial"/>
        </w:rPr>
        <w:br/>
        <w:t>Technological advancements are central to Amazon’s success. The company invests heavily in artificial intelligence, robotics, and cloud computing. Environmentally, Amazon faces pressure to reduce its carbon footprint due to its extensive logistics operations. Legally, compliance with data protection and labour laws is essential, as regulatory scrutiny continues to increase.</w:t>
      </w:r>
      <w:r w:rsidRPr="00541785">
        <w:rPr>
          <w:rFonts w:ascii="Arial" w:hAnsi="Arial" w:cs="Arial"/>
        </w:rPr>
        <w:br/>
      </w:r>
      <w:r w:rsidRPr="00541785">
        <w:rPr>
          <w:rFonts w:ascii="Arial" w:hAnsi="Arial" w:cs="Arial"/>
        </w:rPr>
        <w:br/>
        <w:t>Overall, the external environment presents both opportunities and threats, requiring Amazon to remain adaptable and innovative.</w:t>
      </w:r>
    </w:p>
    <w:p w14:paraId="043DB7C2"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3. Internal Environment and VRIO</w:t>
      </w:r>
    </w:p>
    <w:p w14:paraId="4EBF4286"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br/>
      </w:r>
      <w:r w:rsidRPr="00541785">
        <w:rPr>
          <w:rFonts w:ascii="Arial" w:hAnsi="Arial" w:cs="Arial"/>
        </w:rPr>
        <w:lastRenderedPageBreak/>
        <w:t>These internal strengths enable Amazon to maintain its market leadership and respond effectively to competitive pressures.</w:t>
      </w:r>
    </w:p>
    <w:p w14:paraId="1A67FF99"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br/>
        <w:t>These internal strengths enable Amazon to maintain its market leadership and respond effectively to competitive pressures.</w:t>
      </w:r>
    </w:p>
    <w:p w14:paraId="22C56028"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br/>
        <w:t>These internal strengths enable Amazon to maintain its market leadership and respond effectively to competitive pressures.</w:t>
      </w:r>
    </w:p>
    <w:p w14:paraId="0906B4A1"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lastRenderedPageBreak/>
        <w:br/>
        <w:t>These internal strengths enable Amazon to maintain its market leadership and respond effectively to competitive pressures.</w:t>
      </w:r>
    </w:p>
    <w:p w14:paraId="614C2CA6"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br/>
        <w:t>These internal strengths enable Amazon to maintain its market leadership and respond effectively to competitive pressures.</w:t>
      </w:r>
    </w:p>
    <w:p w14:paraId="4259C3EE"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br/>
        <w:t>These internal strengths enable Amazon to maintain its market leadership and respond effectively to competitive pressures.</w:t>
      </w:r>
    </w:p>
    <w:p w14:paraId="08BE6352"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 xml:space="preserve">Using the VRIO framework, AWS is a valuable, rare, and difficult-to-imitate resource, providing sustained competitive advantage. Similarly, Amazon’s logistics network enhances efficiency and customer satisfaction. The organisation’s ability to collect and </w:t>
      </w:r>
      <w:r w:rsidRPr="00541785">
        <w:rPr>
          <w:rFonts w:ascii="Arial" w:hAnsi="Arial" w:cs="Arial"/>
        </w:rPr>
        <w:lastRenderedPageBreak/>
        <w:t>analyse customer data allows it to personalise services and improve decision-making.</w:t>
      </w:r>
      <w:r w:rsidRPr="00541785">
        <w:rPr>
          <w:rFonts w:ascii="Arial" w:hAnsi="Arial" w:cs="Arial"/>
        </w:rPr>
        <w:br/>
      </w:r>
      <w:r w:rsidRPr="00541785">
        <w:rPr>
          <w:rFonts w:ascii="Arial" w:hAnsi="Arial" w:cs="Arial"/>
        </w:rPr>
        <w:br/>
        <w:t>These internal strengths enable Amazon to maintain its market leadership and respond effectively to competitive pressures.</w:t>
      </w:r>
    </w:p>
    <w:p w14:paraId="0AF4FCCF" w14:textId="77777777" w:rsidR="000601D0" w:rsidRPr="00541785" w:rsidRDefault="000171B3" w:rsidP="00541785">
      <w:pPr>
        <w:spacing w:line="360" w:lineRule="auto"/>
        <w:rPr>
          <w:rFonts w:ascii="Arial" w:hAnsi="Arial" w:cs="Arial"/>
        </w:rPr>
      </w:pPr>
      <w:r w:rsidRPr="00541785">
        <w:rPr>
          <w:rFonts w:ascii="Arial" w:hAnsi="Arial" w:cs="Arial"/>
        </w:rPr>
        <w:t>Amazon’s internal environment consists of valuable resources and capabilities that support its strategy. These include its global logistics infrastructure, AWS platform, brand reputation, and data analytics capabilities.</w:t>
      </w:r>
      <w:r w:rsidRPr="00541785">
        <w:rPr>
          <w:rFonts w:ascii="Arial" w:hAnsi="Arial" w:cs="Arial"/>
        </w:rPr>
        <w:br/>
      </w:r>
      <w:r w:rsidRPr="00541785">
        <w:rPr>
          <w:rFonts w:ascii="Arial" w:hAnsi="Arial" w:cs="Arial"/>
        </w:rPr>
        <w:br/>
        <w:t>Using the VRIO framework, AWS is a valuable, rare, and difficult-to-imitate resource, providing sustained competitive advantage. Similarly, Amazon’s logistics network enhances efficiency and customer satisfaction. The organisation’s ability to collect and analyse customer data allows it to personalise services and improve decision-making.</w:t>
      </w:r>
      <w:r w:rsidRPr="00541785">
        <w:rPr>
          <w:rFonts w:ascii="Arial" w:hAnsi="Arial" w:cs="Arial"/>
        </w:rPr>
        <w:br/>
      </w:r>
      <w:r w:rsidRPr="00541785">
        <w:rPr>
          <w:rFonts w:ascii="Arial" w:hAnsi="Arial" w:cs="Arial"/>
        </w:rPr>
        <w:br/>
        <w:t>These internal strengths enable Amazon to maintain its market leadership and respond effectively to competitive pressures.</w:t>
      </w:r>
    </w:p>
    <w:p w14:paraId="739357A1"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4. CSR and Sustainability</w:t>
      </w:r>
    </w:p>
    <w:p w14:paraId="7695B1CC" w14:textId="77777777" w:rsidR="000601D0" w:rsidRPr="00541785" w:rsidRDefault="000171B3" w:rsidP="00541785">
      <w:pPr>
        <w:spacing w:line="360" w:lineRule="auto"/>
        <w:rPr>
          <w:rFonts w:ascii="Arial" w:hAnsi="Arial" w:cs="Arial"/>
        </w:rPr>
      </w:pPr>
      <w:r w:rsidRPr="00541785">
        <w:rPr>
          <w:rFonts w:ascii="Arial" w:hAnsi="Arial" w:cs="Arial"/>
        </w:rPr>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67D2D81E" w14:textId="77777777" w:rsidR="000601D0" w:rsidRPr="00541785" w:rsidRDefault="000171B3" w:rsidP="00541785">
      <w:pPr>
        <w:spacing w:line="360" w:lineRule="auto"/>
        <w:rPr>
          <w:rFonts w:ascii="Arial" w:hAnsi="Arial" w:cs="Arial"/>
        </w:rPr>
      </w:pPr>
      <w:r w:rsidRPr="00541785">
        <w:rPr>
          <w:rFonts w:ascii="Arial" w:hAnsi="Arial" w:cs="Arial"/>
        </w:rPr>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1EB9DE3A" w14:textId="77777777" w:rsidR="000601D0" w:rsidRPr="00541785" w:rsidRDefault="000171B3" w:rsidP="00541785">
      <w:pPr>
        <w:spacing w:line="360" w:lineRule="auto"/>
        <w:rPr>
          <w:rFonts w:ascii="Arial" w:hAnsi="Arial" w:cs="Arial"/>
        </w:rPr>
      </w:pPr>
      <w:r w:rsidRPr="00541785">
        <w:rPr>
          <w:rFonts w:ascii="Arial" w:hAnsi="Arial" w:cs="Arial"/>
        </w:rPr>
        <w:lastRenderedPageBreak/>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5B8F1D0D" w14:textId="77777777" w:rsidR="000601D0" w:rsidRPr="00541785" w:rsidRDefault="000171B3" w:rsidP="00541785">
      <w:pPr>
        <w:spacing w:line="360" w:lineRule="auto"/>
        <w:rPr>
          <w:rFonts w:ascii="Arial" w:hAnsi="Arial" w:cs="Arial"/>
        </w:rPr>
      </w:pPr>
      <w:r w:rsidRPr="00541785">
        <w:rPr>
          <w:rFonts w:ascii="Arial" w:hAnsi="Arial" w:cs="Arial"/>
        </w:rPr>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1C5A6E97" w14:textId="77777777" w:rsidR="000601D0" w:rsidRPr="00541785" w:rsidRDefault="000171B3" w:rsidP="00541785">
      <w:pPr>
        <w:spacing w:line="360" w:lineRule="auto"/>
        <w:rPr>
          <w:rFonts w:ascii="Arial" w:hAnsi="Arial" w:cs="Arial"/>
        </w:rPr>
      </w:pPr>
      <w:r w:rsidRPr="00541785">
        <w:rPr>
          <w:rFonts w:ascii="Arial" w:hAnsi="Arial" w:cs="Arial"/>
        </w:rPr>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54515BCA" w14:textId="77777777" w:rsidR="000601D0" w:rsidRPr="00541785" w:rsidRDefault="000171B3" w:rsidP="00541785">
      <w:pPr>
        <w:spacing w:line="360" w:lineRule="auto"/>
        <w:rPr>
          <w:rFonts w:ascii="Arial" w:hAnsi="Arial" w:cs="Arial"/>
        </w:rPr>
      </w:pPr>
      <w:r w:rsidRPr="00541785">
        <w:rPr>
          <w:rFonts w:ascii="Arial" w:hAnsi="Arial" w:cs="Arial"/>
        </w:rPr>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503B326B" w14:textId="77777777" w:rsidR="000601D0" w:rsidRPr="00541785" w:rsidRDefault="000171B3" w:rsidP="00541785">
      <w:pPr>
        <w:spacing w:line="360" w:lineRule="auto"/>
        <w:rPr>
          <w:rFonts w:ascii="Arial" w:hAnsi="Arial" w:cs="Arial"/>
        </w:rPr>
      </w:pPr>
      <w:r w:rsidRPr="00541785">
        <w:rPr>
          <w:rFonts w:ascii="Arial" w:hAnsi="Arial" w:cs="Arial"/>
        </w:rPr>
        <w:lastRenderedPageBreak/>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0A0A0B24" w14:textId="77777777" w:rsidR="000601D0" w:rsidRPr="00541785" w:rsidRDefault="000171B3" w:rsidP="00541785">
      <w:pPr>
        <w:spacing w:line="360" w:lineRule="auto"/>
        <w:rPr>
          <w:rFonts w:ascii="Arial" w:hAnsi="Arial" w:cs="Arial"/>
        </w:rPr>
      </w:pPr>
      <w:r w:rsidRPr="00541785">
        <w:rPr>
          <w:rFonts w:ascii="Arial" w:hAnsi="Arial" w:cs="Arial"/>
        </w:rPr>
        <w:t>Amazon integrates corporate social responsibility into its strategy through initiatives such as the Climate Pledge, which aims to achieve net-zero carbon emissions by 2040. The company invests in renewable energy, electric delivery vehicles, and sustainable packaging.</w:t>
      </w:r>
      <w:r w:rsidRPr="00541785">
        <w:rPr>
          <w:rFonts w:ascii="Arial" w:hAnsi="Arial" w:cs="Arial"/>
        </w:rPr>
        <w:br/>
      </w:r>
      <w:r w:rsidRPr="00541785">
        <w:rPr>
          <w:rFonts w:ascii="Arial" w:hAnsi="Arial" w:cs="Arial"/>
        </w:rPr>
        <w:br/>
        <w:t>However, Amazon faces criticism regarding labour conditions and environmental impact. Addressing these issues is essential for maintaining stakeholder trust and ensuring long-term sustainability.</w:t>
      </w:r>
    </w:p>
    <w:p w14:paraId="3E5A1681"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5. Balanced Scorecard</w:t>
      </w:r>
    </w:p>
    <w:p w14:paraId="211E3612"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br/>
        <w:t>Amazon aligns these perspectives with its strategic objectives, ensuring continuous improvement and long-term success.</w:t>
      </w:r>
    </w:p>
    <w:p w14:paraId="1F0D16E6"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 xml:space="preserve">Financial perspective focuses on revenue growth and profitability. Customer perspective emphasises satisfaction and service quality. Internal processes highlight efficiency and </w:t>
      </w:r>
      <w:r w:rsidRPr="00541785">
        <w:rPr>
          <w:rFonts w:ascii="Arial" w:hAnsi="Arial" w:cs="Arial"/>
        </w:rPr>
        <w:lastRenderedPageBreak/>
        <w:t>innovation. Learning and growth focus on employee development and technological advancement.</w:t>
      </w:r>
      <w:r w:rsidRPr="00541785">
        <w:rPr>
          <w:rFonts w:ascii="Arial" w:hAnsi="Arial" w:cs="Arial"/>
        </w:rPr>
        <w:br/>
      </w:r>
      <w:r w:rsidRPr="00541785">
        <w:rPr>
          <w:rFonts w:ascii="Arial" w:hAnsi="Arial" w:cs="Arial"/>
        </w:rPr>
        <w:br/>
        <w:t>Amazon aligns these perspectives with its strategic objectives, ensuring continuous improvement and long-term success.</w:t>
      </w:r>
    </w:p>
    <w:p w14:paraId="54343E89"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br/>
        <w:t>Amazon aligns these perspectives with its strategic objectives, ensuring continuous improvement and long-term success.</w:t>
      </w:r>
    </w:p>
    <w:p w14:paraId="734FE475"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br/>
        <w:t>Amazon aligns these perspectives with its strategic objectives, ensuring continuous improvement and long-term success.</w:t>
      </w:r>
    </w:p>
    <w:p w14:paraId="5AFC62C6"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lastRenderedPageBreak/>
        <w:br/>
        <w:t>Amazon aligns these perspectives with its strategic objectives, ensuring continuous improvement and long-term success.</w:t>
      </w:r>
    </w:p>
    <w:p w14:paraId="1F6632F4"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br/>
        <w:t>Amazon aligns these perspectives with its strategic objectives, ensuring continuous improvement and long-term success.</w:t>
      </w:r>
    </w:p>
    <w:p w14:paraId="2EBD7922"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br/>
        <w:t>Amazon aligns these perspectives with its strategic objectives, ensuring continuous improvement and long-term success.</w:t>
      </w:r>
    </w:p>
    <w:p w14:paraId="35DCD38F" w14:textId="77777777" w:rsidR="000601D0" w:rsidRPr="00541785" w:rsidRDefault="000171B3" w:rsidP="00541785">
      <w:pPr>
        <w:spacing w:line="360" w:lineRule="auto"/>
        <w:rPr>
          <w:rFonts w:ascii="Arial" w:hAnsi="Arial" w:cs="Arial"/>
        </w:rPr>
      </w:pPr>
      <w:r w:rsidRPr="00541785">
        <w:rPr>
          <w:rFonts w:ascii="Arial" w:hAnsi="Arial" w:cs="Arial"/>
        </w:rPr>
        <w:t>The Balanced Scorecard framework provides a comprehensive view of Amazon’s performance.</w:t>
      </w:r>
      <w:r w:rsidRPr="00541785">
        <w:rPr>
          <w:rFonts w:ascii="Arial" w:hAnsi="Arial" w:cs="Arial"/>
        </w:rPr>
        <w:br/>
      </w:r>
      <w:r w:rsidRPr="00541785">
        <w:rPr>
          <w:rFonts w:ascii="Arial" w:hAnsi="Arial" w:cs="Arial"/>
        </w:rPr>
        <w:br/>
        <w:t>Financial perspective focuses on revenue growth and profitability. Customer perspective emphasises satisfaction and service quality. Internal processes highlight efficiency and innovation. Learning and growth focus on employee development and technological advancement.</w:t>
      </w:r>
      <w:r w:rsidRPr="00541785">
        <w:rPr>
          <w:rFonts w:ascii="Arial" w:hAnsi="Arial" w:cs="Arial"/>
        </w:rPr>
        <w:br/>
      </w:r>
      <w:r w:rsidRPr="00541785">
        <w:rPr>
          <w:rFonts w:ascii="Arial" w:hAnsi="Arial" w:cs="Arial"/>
        </w:rPr>
        <w:br/>
      </w:r>
      <w:r w:rsidRPr="00541785">
        <w:rPr>
          <w:rFonts w:ascii="Arial" w:hAnsi="Arial" w:cs="Arial"/>
        </w:rPr>
        <w:lastRenderedPageBreak/>
        <w:t>Amazon aligns these perspectives with its strategic objectives, ensuring continuous improvement and long-term success.</w:t>
      </w:r>
    </w:p>
    <w:p w14:paraId="73ACF65A"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6. Strategic Choices</w:t>
      </w:r>
    </w:p>
    <w:p w14:paraId="4D73DFFE"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7164F281"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48B839E5"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5E91E9EB"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1EC7D382" w14:textId="77777777" w:rsidR="000601D0" w:rsidRPr="00541785" w:rsidRDefault="000171B3" w:rsidP="00541785">
      <w:pPr>
        <w:spacing w:line="360" w:lineRule="auto"/>
        <w:rPr>
          <w:rFonts w:ascii="Arial" w:hAnsi="Arial" w:cs="Arial"/>
        </w:rPr>
      </w:pPr>
      <w:r w:rsidRPr="00541785">
        <w:rPr>
          <w:rFonts w:ascii="Arial" w:hAnsi="Arial" w:cs="Arial"/>
        </w:rPr>
        <w:lastRenderedPageBreak/>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7309F4B8"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5FFE3685"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367E79F0" w14:textId="77777777" w:rsidR="000601D0" w:rsidRPr="00541785" w:rsidRDefault="000171B3" w:rsidP="00541785">
      <w:pPr>
        <w:spacing w:line="360" w:lineRule="auto"/>
        <w:rPr>
          <w:rFonts w:ascii="Arial" w:hAnsi="Arial" w:cs="Arial"/>
        </w:rPr>
      </w:pPr>
      <w:r w:rsidRPr="00541785">
        <w:rPr>
          <w:rFonts w:ascii="Arial" w:hAnsi="Arial" w:cs="Arial"/>
        </w:rPr>
        <w:t>Amazon adopts a hybrid strategy combining cost leadership and differentiation. It achieves cost leadership through economies of scale and operational efficiency, while differentiation is achieved through innovation and customer experience.</w:t>
      </w:r>
      <w:r w:rsidRPr="00541785">
        <w:rPr>
          <w:rFonts w:ascii="Arial" w:hAnsi="Arial" w:cs="Arial"/>
        </w:rPr>
        <w:br/>
      </w:r>
      <w:r w:rsidRPr="00541785">
        <w:rPr>
          <w:rFonts w:ascii="Arial" w:hAnsi="Arial" w:cs="Arial"/>
        </w:rPr>
        <w:br/>
        <w:t>At the corporate level, Amazon pursues diversification and vertical integration. Its expansion into cloud computing, digital services, and logistics enhances its competitive position.</w:t>
      </w:r>
    </w:p>
    <w:p w14:paraId="2D18BC10"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7. Strategic Evaluation</w:t>
      </w:r>
    </w:p>
    <w:p w14:paraId="28F37D6B" w14:textId="77777777" w:rsidR="000601D0" w:rsidRPr="00541785" w:rsidRDefault="000171B3" w:rsidP="00541785">
      <w:pPr>
        <w:spacing w:line="360" w:lineRule="auto"/>
        <w:rPr>
          <w:rFonts w:ascii="Arial" w:hAnsi="Arial" w:cs="Arial"/>
        </w:rPr>
      </w:pPr>
      <w:r w:rsidRPr="00541785">
        <w:rPr>
          <w:rFonts w:ascii="Arial" w:hAnsi="Arial" w:cs="Arial"/>
        </w:rPr>
        <w:t xml:space="preserve">A SWOT analysis highlights Amazon’s strengths in technology and scale, weaknesses in cost structure, opportunities in global expansion, and threats from regulation and </w:t>
      </w:r>
      <w:r w:rsidRPr="00541785">
        <w:rPr>
          <w:rFonts w:ascii="Arial" w:hAnsi="Arial" w:cs="Arial"/>
        </w:rPr>
        <w:lastRenderedPageBreak/>
        <w:t>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201F2FEA"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677DE6C4"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640AE756"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1159AAEF"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37FF3A63"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lastRenderedPageBreak/>
        <w:br/>
        <w:t>The Ansoff Matrix shows Amazon’s growth strategies, including market penetration, product development, market development, and diversification.</w:t>
      </w:r>
    </w:p>
    <w:p w14:paraId="556FBE35"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3AE0D3B7" w14:textId="77777777" w:rsidR="000601D0" w:rsidRPr="00541785" w:rsidRDefault="000171B3" w:rsidP="00541785">
      <w:pPr>
        <w:spacing w:line="360" w:lineRule="auto"/>
        <w:rPr>
          <w:rFonts w:ascii="Arial" w:hAnsi="Arial" w:cs="Arial"/>
        </w:rPr>
      </w:pPr>
      <w:r w:rsidRPr="00541785">
        <w:rPr>
          <w:rFonts w:ascii="Arial" w:hAnsi="Arial" w:cs="Arial"/>
        </w:rPr>
        <w:t>A SWOT analysis highlights Amazon’s strengths in technology and scale, weaknesses in cost structure, opportunities in global expansion, and threats from regulation and competition.</w:t>
      </w:r>
      <w:r w:rsidRPr="00541785">
        <w:rPr>
          <w:rFonts w:ascii="Arial" w:hAnsi="Arial" w:cs="Arial"/>
        </w:rPr>
        <w:br/>
      </w:r>
      <w:r w:rsidRPr="00541785">
        <w:rPr>
          <w:rFonts w:ascii="Arial" w:hAnsi="Arial" w:cs="Arial"/>
        </w:rPr>
        <w:br/>
        <w:t>The Ansoff Matrix shows Amazon’s growth strategies, including market penetration, product development, market development, and diversification.</w:t>
      </w:r>
    </w:p>
    <w:p w14:paraId="5E26F2DD"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8. Recommendations</w:t>
      </w:r>
    </w:p>
    <w:p w14:paraId="173FEAE5"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0A23082B"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7CFD1D34"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15564DF4"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2AF93912" w14:textId="77777777" w:rsidR="000601D0" w:rsidRPr="00541785" w:rsidRDefault="000171B3" w:rsidP="00541785">
      <w:pPr>
        <w:spacing w:line="360" w:lineRule="auto"/>
        <w:rPr>
          <w:rFonts w:ascii="Arial" w:hAnsi="Arial" w:cs="Arial"/>
        </w:rPr>
      </w:pPr>
      <w:r w:rsidRPr="00541785">
        <w:rPr>
          <w:rFonts w:ascii="Arial" w:hAnsi="Arial" w:cs="Arial"/>
        </w:rPr>
        <w:lastRenderedPageBreak/>
        <w:t>Amazon should improve cost efficiency through automation, expand into emerging markets, strengthen CSR practices, and enhance risk management. These strategies will support long-term competitive advantage.</w:t>
      </w:r>
    </w:p>
    <w:p w14:paraId="360F408E"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022C5956"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7A6BF23C" w14:textId="77777777" w:rsidR="000601D0" w:rsidRPr="00541785" w:rsidRDefault="000171B3" w:rsidP="00541785">
      <w:pPr>
        <w:spacing w:line="360" w:lineRule="auto"/>
        <w:rPr>
          <w:rFonts w:ascii="Arial" w:hAnsi="Arial" w:cs="Arial"/>
        </w:rPr>
      </w:pPr>
      <w:r w:rsidRPr="00541785">
        <w:rPr>
          <w:rFonts w:ascii="Arial" w:hAnsi="Arial" w:cs="Arial"/>
        </w:rPr>
        <w:t>Amazon should improve cost efficiency through automation, expand into emerging markets, strengthen CSR practices, and enhance risk management. These strategies will support long-term competitive advantage.</w:t>
      </w:r>
    </w:p>
    <w:p w14:paraId="1A38D845" w14:textId="77777777"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9. Reflective Account</w:t>
      </w:r>
    </w:p>
    <w:p w14:paraId="11CD8BD6"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157A5022"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1060F575"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72B53975"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2D6A20EF"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5B7E4C29" w14:textId="77777777" w:rsidR="000601D0" w:rsidRPr="00541785" w:rsidRDefault="000171B3" w:rsidP="00541785">
      <w:pPr>
        <w:spacing w:line="360" w:lineRule="auto"/>
        <w:rPr>
          <w:rFonts w:ascii="Arial" w:hAnsi="Arial" w:cs="Arial"/>
        </w:rPr>
      </w:pPr>
      <w:r w:rsidRPr="00541785">
        <w:rPr>
          <w:rFonts w:ascii="Arial" w:hAnsi="Arial" w:cs="Arial"/>
        </w:rPr>
        <w:lastRenderedPageBreak/>
        <w:t>This assignment improved my understanding of strategic management concepts and frameworks. I developed skills in analysis, research, and critical thinking. In future, I will focus on improving academic writing and time management.</w:t>
      </w:r>
    </w:p>
    <w:p w14:paraId="173CAAD9"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0D72F42B" w14:textId="77777777" w:rsidR="000601D0" w:rsidRPr="00541785" w:rsidRDefault="000171B3" w:rsidP="00541785">
      <w:pPr>
        <w:spacing w:line="360" w:lineRule="auto"/>
        <w:rPr>
          <w:rFonts w:ascii="Arial" w:hAnsi="Arial" w:cs="Arial"/>
        </w:rPr>
      </w:pPr>
      <w:r w:rsidRPr="00541785">
        <w:rPr>
          <w:rFonts w:ascii="Arial" w:hAnsi="Arial" w:cs="Arial"/>
        </w:rPr>
        <w:t>This assignment improved my understanding of strategic management concepts and frameworks. I developed skills in analysis, research, and critical thinking. In future, I will focus on improving academic writing and time management.</w:t>
      </w:r>
    </w:p>
    <w:p w14:paraId="29E89BD2" w14:textId="77777777" w:rsidR="00A417C3" w:rsidRPr="00541785" w:rsidRDefault="00A417C3" w:rsidP="00541785">
      <w:pPr>
        <w:pStyle w:val="Heading1"/>
        <w:spacing w:line="360" w:lineRule="auto"/>
        <w:rPr>
          <w:rFonts w:ascii="Arial" w:hAnsi="Arial" w:cs="Arial"/>
          <w:sz w:val="22"/>
          <w:szCs w:val="22"/>
        </w:rPr>
      </w:pPr>
    </w:p>
    <w:p w14:paraId="50635A78" w14:textId="77777777" w:rsidR="00A417C3" w:rsidRPr="00541785" w:rsidRDefault="00A417C3" w:rsidP="00541785">
      <w:pPr>
        <w:pStyle w:val="Heading1"/>
        <w:spacing w:line="360" w:lineRule="auto"/>
        <w:rPr>
          <w:rFonts w:ascii="Arial" w:hAnsi="Arial" w:cs="Arial"/>
          <w:sz w:val="22"/>
          <w:szCs w:val="22"/>
        </w:rPr>
      </w:pPr>
    </w:p>
    <w:p w14:paraId="266B1E9C" w14:textId="77777777" w:rsidR="00A417C3" w:rsidRPr="00541785" w:rsidRDefault="00A417C3" w:rsidP="00541785">
      <w:pPr>
        <w:pStyle w:val="Heading1"/>
        <w:spacing w:line="360" w:lineRule="auto"/>
        <w:rPr>
          <w:rFonts w:ascii="Arial" w:hAnsi="Arial" w:cs="Arial"/>
          <w:sz w:val="22"/>
          <w:szCs w:val="22"/>
        </w:rPr>
      </w:pPr>
    </w:p>
    <w:p w14:paraId="0C20836F" w14:textId="77777777" w:rsidR="00A417C3" w:rsidRPr="00541785" w:rsidRDefault="00A417C3" w:rsidP="00541785">
      <w:pPr>
        <w:pStyle w:val="Heading1"/>
        <w:spacing w:line="360" w:lineRule="auto"/>
        <w:rPr>
          <w:rFonts w:ascii="Arial" w:hAnsi="Arial" w:cs="Arial"/>
          <w:sz w:val="22"/>
          <w:szCs w:val="22"/>
        </w:rPr>
      </w:pPr>
    </w:p>
    <w:p w14:paraId="1D77CC2F" w14:textId="77777777" w:rsidR="00A417C3" w:rsidRPr="00541785" w:rsidRDefault="00A417C3" w:rsidP="00541785">
      <w:pPr>
        <w:spacing w:line="360" w:lineRule="auto"/>
        <w:rPr>
          <w:rFonts w:ascii="Arial" w:hAnsi="Arial" w:cs="Arial"/>
        </w:rPr>
      </w:pPr>
    </w:p>
    <w:p w14:paraId="31043FF8" w14:textId="77777777" w:rsidR="00A417C3" w:rsidRPr="00541785" w:rsidRDefault="00A417C3" w:rsidP="00541785">
      <w:pPr>
        <w:pStyle w:val="Heading1"/>
        <w:spacing w:line="360" w:lineRule="auto"/>
        <w:rPr>
          <w:rFonts w:ascii="Arial" w:hAnsi="Arial" w:cs="Arial"/>
          <w:sz w:val="22"/>
          <w:szCs w:val="22"/>
        </w:rPr>
      </w:pPr>
    </w:p>
    <w:p w14:paraId="09A3251E" w14:textId="77777777" w:rsidR="00A417C3" w:rsidRPr="00541785" w:rsidRDefault="00A417C3" w:rsidP="00541785">
      <w:pPr>
        <w:pStyle w:val="Heading1"/>
        <w:spacing w:line="360" w:lineRule="auto"/>
        <w:rPr>
          <w:rFonts w:ascii="Arial" w:hAnsi="Arial" w:cs="Arial"/>
          <w:sz w:val="22"/>
          <w:szCs w:val="22"/>
        </w:rPr>
      </w:pPr>
    </w:p>
    <w:p w14:paraId="5FF85151" w14:textId="77777777" w:rsidR="00A417C3" w:rsidRPr="00541785" w:rsidRDefault="00A417C3" w:rsidP="00541785">
      <w:pPr>
        <w:pStyle w:val="Heading1"/>
        <w:spacing w:line="360" w:lineRule="auto"/>
        <w:rPr>
          <w:rFonts w:ascii="Arial" w:hAnsi="Arial" w:cs="Arial"/>
          <w:sz w:val="22"/>
          <w:szCs w:val="22"/>
        </w:rPr>
      </w:pPr>
    </w:p>
    <w:p w14:paraId="3F10A059" w14:textId="77777777" w:rsidR="00213015" w:rsidRPr="00541785" w:rsidRDefault="00213015" w:rsidP="00541785">
      <w:pPr>
        <w:pStyle w:val="Heading1"/>
        <w:spacing w:line="360" w:lineRule="auto"/>
        <w:rPr>
          <w:rFonts w:ascii="Arial" w:hAnsi="Arial" w:cs="Arial"/>
          <w:sz w:val="22"/>
          <w:szCs w:val="22"/>
        </w:rPr>
      </w:pPr>
    </w:p>
    <w:p w14:paraId="6A2BC8AB" w14:textId="77777777" w:rsidR="00213015" w:rsidRPr="00541785" w:rsidRDefault="00213015" w:rsidP="00541785">
      <w:pPr>
        <w:spacing w:line="360" w:lineRule="auto"/>
        <w:rPr>
          <w:rFonts w:ascii="Arial" w:hAnsi="Arial" w:cs="Arial"/>
        </w:rPr>
      </w:pPr>
    </w:p>
    <w:p w14:paraId="172F14C3" w14:textId="77777777" w:rsidR="00213015" w:rsidRPr="00541785" w:rsidRDefault="00213015" w:rsidP="00541785">
      <w:pPr>
        <w:spacing w:line="360" w:lineRule="auto"/>
        <w:rPr>
          <w:rFonts w:ascii="Arial" w:hAnsi="Arial" w:cs="Arial"/>
        </w:rPr>
      </w:pPr>
    </w:p>
    <w:p w14:paraId="0FF5AA89" w14:textId="77777777" w:rsidR="00213015" w:rsidRPr="00541785" w:rsidRDefault="00213015" w:rsidP="00541785">
      <w:pPr>
        <w:pStyle w:val="Heading1"/>
        <w:spacing w:line="360" w:lineRule="auto"/>
        <w:rPr>
          <w:rFonts w:ascii="Arial" w:hAnsi="Arial" w:cs="Arial"/>
          <w:sz w:val="22"/>
          <w:szCs w:val="22"/>
        </w:rPr>
      </w:pPr>
    </w:p>
    <w:p w14:paraId="0E0DC4FB" w14:textId="6F865848" w:rsidR="000601D0" w:rsidRPr="00541785" w:rsidRDefault="000171B3" w:rsidP="00541785">
      <w:pPr>
        <w:pStyle w:val="Heading1"/>
        <w:spacing w:line="360" w:lineRule="auto"/>
        <w:rPr>
          <w:rFonts w:ascii="Arial" w:hAnsi="Arial" w:cs="Arial"/>
          <w:sz w:val="22"/>
          <w:szCs w:val="22"/>
        </w:rPr>
      </w:pPr>
      <w:r w:rsidRPr="00541785">
        <w:rPr>
          <w:rFonts w:ascii="Arial" w:hAnsi="Arial" w:cs="Arial"/>
          <w:sz w:val="22"/>
          <w:szCs w:val="22"/>
        </w:rPr>
        <w:t>References</w:t>
      </w:r>
    </w:p>
    <w:p w14:paraId="414A7CDE" w14:textId="77777777" w:rsidR="000601D0" w:rsidRPr="00541785" w:rsidRDefault="000171B3" w:rsidP="00541785">
      <w:pPr>
        <w:spacing w:line="360" w:lineRule="auto"/>
        <w:rPr>
          <w:rFonts w:ascii="Arial" w:hAnsi="Arial" w:cs="Arial"/>
        </w:rPr>
      </w:pPr>
      <w:r w:rsidRPr="00541785">
        <w:rPr>
          <w:rFonts w:ascii="Arial" w:hAnsi="Arial" w:cs="Arial"/>
        </w:rPr>
        <w:t>Barney (1991); Porter (1985); Kaplan &amp; Norton (1992); Grant (2019); Johnson et al. (2017); Amazon Annual Report (2023).</w:t>
      </w:r>
    </w:p>
    <w:p w14:paraId="7E7362F5"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Barney, J. (1991) ‘Firm resources and sustained competitive advantage’, </w:t>
      </w:r>
      <w:r w:rsidRPr="00541785">
        <w:rPr>
          <w:rFonts w:ascii="Arial" w:hAnsi="Arial" w:cs="Arial"/>
          <w:i/>
          <w:iCs/>
          <w:lang w:val="en-GB"/>
        </w:rPr>
        <w:t>Journal of Management</w:t>
      </w:r>
      <w:r w:rsidRPr="00541785">
        <w:rPr>
          <w:rFonts w:ascii="Arial" w:hAnsi="Arial" w:cs="Arial"/>
          <w:lang w:val="en-GB"/>
        </w:rPr>
        <w:t>, 17(1), pp. 99–120.</w:t>
      </w:r>
    </w:p>
    <w:p w14:paraId="2BA84A64" w14:textId="77777777" w:rsidR="00A417C3" w:rsidRPr="00541785" w:rsidRDefault="00A417C3" w:rsidP="00541785">
      <w:pPr>
        <w:spacing w:line="360" w:lineRule="auto"/>
        <w:rPr>
          <w:rFonts w:ascii="Arial" w:hAnsi="Arial" w:cs="Arial"/>
          <w:lang w:val="en-GB"/>
        </w:rPr>
      </w:pPr>
      <w:proofErr w:type="spellStart"/>
      <w:r w:rsidRPr="00541785">
        <w:rPr>
          <w:rFonts w:ascii="Arial" w:hAnsi="Arial" w:cs="Arial"/>
          <w:lang w:val="en-GB"/>
        </w:rPr>
        <w:t>Bocken</w:t>
      </w:r>
      <w:proofErr w:type="spellEnd"/>
      <w:r w:rsidRPr="00541785">
        <w:rPr>
          <w:rFonts w:ascii="Arial" w:hAnsi="Arial" w:cs="Arial"/>
          <w:lang w:val="en-GB"/>
        </w:rPr>
        <w:t xml:space="preserve">, N.M.P. et al. (2014) ‘Sustainable business model archetypes’, </w:t>
      </w:r>
      <w:r w:rsidRPr="00541785">
        <w:rPr>
          <w:rFonts w:ascii="Arial" w:hAnsi="Arial" w:cs="Arial"/>
          <w:i/>
          <w:iCs/>
          <w:lang w:val="en-GB"/>
        </w:rPr>
        <w:t>Journal of Cleaner Production</w:t>
      </w:r>
      <w:r w:rsidRPr="00541785">
        <w:rPr>
          <w:rFonts w:ascii="Arial" w:hAnsi="Arial" w:cs="Arial"/>
          <w:lang w:val="en-GB"/>
        </w:rPr>
        <w:t>, 65, pp. 42–56.</w:t>
      </w:r>
    </w:p>
    <w:p w14:paraId="723A9BB1"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Gibbs, G. (1988) </w:t>
      </w:r>
      <w:r w:rsidRPr="00541785">
        <w:rPr>
          <w:rFonts w:ascii="Arial" w:hAnsi="Arial" w:cs="Arial"/>
          <w:i/>
          <w:iCs/>
          <w:lang w:val="en-GB"/>
        </w:rPr>
        <w:t>Learning by Doing</w:t>
      </w:r>
      <w:r w:rsidRPr="00541785">
        <w:rPr>
          <w:rFonts w:ascii="Arial" w:hAnsi="Arial" w:cs="Arial"/>
          <w:lang w:val="en-GB"/>
        </w:rPr>
        <w:t>. Oxford: Oxford Polytechnic.</w:t>
      </w:r>
    </w:p>
    <w:p w14:paraId="4D73CC70"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Grant, R.M. (2019) </w:t>
      </w:r>
      <w:r w:rsidRPr="00541785">
        <w:rPr>
          <w:rFonts w:ascii="Arial" w:hAnsi="Arial" w:cs="Arial"/>
          <w:i/>
          <w:iCs/>
          <w:lang w:val="en-GB"/>
        </w:rPr>
        <w:t>Contemporary Strategy Analysis</w:t>
      </w:r>
      <w:r w:rsidRPr="00541785">
        <w:rPr>
          <w:rFonts w:ascii="Arial" w:hAnsi="Arial" w:cs="Arial"/>
          <w:lang w:val="en-GB"/>
        </w:rPr>
        <w:t xml:space="preserve">. 10th </w:t>
      </w:r>
      <w:proofErr w:type="spellStart"/>
      <w:r w:rsidRPr="00541785">
        <w:rPr>
          <w:rFonts w:ascii="Arial" w:hAnsi="Arial" w:cs="Arial"/>
          <w:lang w:val="en-GB"/>
        </w:rPr>
        <w:t>edn</w:t>
      </w:r>
      <w:proofErr w:type="spellEnd"/>
      <w:r w:rsidRPr="00541785">
        <w:rPr>
          <w:rFonts w:ascii="Arial" w:hAnsi="Arial" w:cs="Arial"/>
          <w:lang w:val="en-GB"/>
        </w:rPr>
        <w:t>. Wiley.</w:t>
      </w:r>
    </w:p>
    <w:p w14:paraId="6E76B755"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Hill, C.W.L. et al. (2017) </w:t>
      </w:r>
      <w:r w:rsidRPr="00541785">
        <w:rPr>
          <w:rFonts w:ascii="Arial" w:hAnsi="Arial" w:cs="Arial"/>
          <w:i/>
          <w:iCs/>
          <w:lang w:val="en-GB"/>
        </w:rPr>
        <w:t>Strategic Management</w:t>
      </w:r>
      <w:r w:rsidRPr="00541785">
        <w:rPr>
          <w:rFonts w:ascii="Arial" w:hAnsi="Arial" w:cs="Arial"/>
          <w:lang w:val="en-GB"/>
        </w:rPr>
        <w:t>. Cengage Learning.</w:t>
      </w:r>
    </w:p>
    <w:p w14:paraId="5B641F21"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Johnson, G. et al. (2017) </w:t>
      </w:r>
      <w:r w:rsidRPr="00541785">
        <w:rPr>
          <w:rFonts w:ascii="Arial" w:hAnsi="Arial" w:cs="Arial"/>
          <w:i/>
          <w:iCs/>
          <w:lang w:val="en-GB"/>
        </w:rPr>
        <w:t>Exploring Strategy</w:t>
      </w:r>
      <w:r w:rsidRPr="00541785">
        <w:rPr>
          <w:rFonts w:ascii="Arial" w:hAnsi="Arial" w:cs="Arial"/>
          <w:lang w:val="en-GB"/>
        </w:rPr>
        <w:t xml:space="preserve">. 11th </w:t>
      </w:r>
      <w:proofErr w:type="spellStart"/>
      <w:r w:rsidRPr="00541785">
        <w:rPr>
          <w:rFonts w:ascii="Arial" w:hAnsi="Arial" w:cs="Arial"/>
          <w:lang w:val="en-GB"/>
        </w:rPr>
        <w:t>edn</w:t>
      </w:r>
      <w:proofErr w:type="spellEnd"/>
      <w:r w:rsidRPr="00541785">
        <w:rPr>
          <w:rFonts w:ascii="Arial" w:hAnsi="Arial" w:cs="Arial"/>
          <w:lang w:val="en-GB"/>
        </w:rPr>
        <w:t>. Pearson.</w:t>
      </w:r>
    </w:p>
    <w:p w14:paraId="2B0B1A85"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Kaplan, R.S. and Norton, D.P. (1992) ‘Balanced Scorecard’, </w:t>
      </w:r>
      <w:r w:rsidRPr="00541785">
        <w:rPr>
          <w:rFonts w:ascii="Arial" w:hAnsi="Arial" w:cs="Arial"/>
          <w:i/>
          <w:iCs/>
          <w:lang w:val="en-GB"/>
        </w:rPr>
        <w:t>Harvard Business Review</w:t>
      </w:r>
      <w:r w:rsidRPr="00541785">
        <w:rPr>
          <w:rFonts w:ascii="Arial" w:hAnsi="Arial" w:cs="Arial"/>
          <w:lang w:val="en-GB"/>
        </w:rPr>
        <w:t>.</w:t>
      </w:r>
    </w:p>
    <w:p w14:paraId="64051883"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Kaplan, R.S. and Norton, D.P. (2001) </w:t>
      </w:r>
      <w:r w:rsidRPr="00541785">
        <w:rPr>
          <w:rFonts w:ascii="Arial" w:hAnsi="Arial" w:cs="Arial"/>
          <w:i/>
          <w:iCs/>
          <w:lang w:val="en-GB"/>
        </w:rPr>
        <w:t>The Strategy-Focused Organization</w:t>
      </w:r>
      <w:r w:rsidRPr="00541785">
        <w:rPr>
          <w:rFonts w:ascii="Arial" w:hAnsi="Arial" w:cs="Arial"/>
          <w:lang w:val="en-GB"/>
        </w:rPr>
        <w:t>. Harvard.</w:t>
      </w:r>
    </w:p>
    <w:p w14:paraId="328A3C46"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Kim, W.C. and Mauborgne, R. (2015) </w:t>
      </w:r>
      <w:r w:rsidRPr="00541785">
        <w:rPr>
          <w:rFonts w:ascii="Arial" w:hAnsi="Arial" w:cs="Arial"/>
          <w:i/>
          <w:iCs/>
          <w:lang w:val="en-GB"/>
        </w:rPr>
        <w:t>Blue Ocean Strategy</w:t>
      </w:r>
      <w:r w:rsidRPr="00541785">
        <w:rPr>
          <w:rFonts w:ascii="Arial" w:hAnsi="Arial" w:cs="Arial"/>
          <w:lang w:val="en-GB"/>
        </w:rPr>
        <w:t>. Harvard.</w:t>
      </w:r>
    </w:p>
    <w:p w14:paraId="7C37055E"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Mintzberg, H. (1987) ‘Five Ps for strategy’, </w:t>
      </w:r>
      <w:r w:rsidRPr="00541785">
        <w:rPr>
          <w:rFonts w:ascii="Arial" w:hAnsi="Arial" w:cs="Arial"/>
          <w:i/>
          <w:iCs/>
          <w:lang w:val="en-GB"/>
        </w:rPr>
        <w:t>California Management Review</w:t>
      </w:r>
      <w:r w:rsidRPr="00541785">
        <w:rPr>
          <w:rFonts w:ascii="Arial" w:hAnsi="Arial" w:cs="Arial"/>
          <w:lang w:val="en-GB"/>
        </w:rPr>
        <w:t>.</w:t>
      </w:r>
    </w:p>
    <w:p w14:paraId="65D5F356"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Porter, M.E. (1980) </w:t>
      </w:r>
      <w:r w:rsidRPr="00541785">
        <w:rPr>
          <w:rFonts w:ascii="Arial" w:hAnsi="Arial" w:cs="Arial"/>
          <w:i/>
          <w:iCs/>
          <w:lang w:val="en-GB"/>
        </w:rPr>
        <w:t>Competitive Strategy</w:t>
      </w:r>
      <w:r w:rsidRPr="00541785">
        <w:rPr>
          <w:rFonts w:ascii="Arial" w:hAnsi="Arial" w:cs="Arial"/>
          <w:lang w:val="en-GB"/>
        </w:rPr>
        <w:t>. Free Press.</w:t>
      </w:r>
    </w:p>
    <w:p w14:paraId="5BE524C0"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Porter, M.E. (1985) </w:t>
      </w:r>
      <w:r w:rsidRPr="00541785">
        <w:rPr>
          <w:rFonts w:ascii="Arial" w:hAnsi="Arial" w:cs="Arial"/>
          <w:i/>
          <w:iCs/>
          <w:lang w:val="en-GB"/>
        </w:rPr>
        <w:t>Competitive Advantage</w:t>
      </w:r>
      <w:r w:rsidRPr="00541785">
        <w:rPr>
          <w:rFonts w:ascii="Arial" w:hAnsi="Arial" w:cs="Arial"/>
          <w:lang w:val="en-GB"/>
        </w:rPr>
        <w:t>. Free Press.</w:t>
      </w:r>
    </w:p>
    <w:p w14:paraId="00BFB2EB"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Porter, M.E. and Kramer, M.R. (2006) ‘Strategy and society’, </w:t>
      </w:r>
      <w:r w:rsidRPr="00541785">
        <w:rPr>
          <w:rFonts w:ascii="Arial" w:hAnsi="Arial" w:cs="Arial"/>
          <w:i/>
          <w:iCs/>
          <w:lang w:val="en-GB"/>
        </w:rPr>
        <w:t>Harvard Business Review</w:t>
      </w:r>
      <w:r w:rsidRPr="00541785">
        <w:rPr>
          <w:rFonts w:ascii="Arial" w:hAnsi="Arial" w:cs="Arial"/>
          <w:lang w:val="en-GB"/>
        </w:rPr>
        <w:t>.</w:t>
      </w:r>
    </w:p>
    <w:p w14:paraId="553F9AB1"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Prahalad, C.K. and Hamel, G. (1990) ‘Core competence’, </w:t>
      </w:r>
      <w:r w:rsidRPr="00541785">
        <w:rPr>
          <w:rFonts w:ascii="Arial" w:hAnsi="Arial" w:cs="Arial"/>
          <w:i/>
          <w:iCs/>
          <w:lang w:val="en-GB"/>
        </w:rPr>
        <w:t>Harvard Business Review</w:t>
      </w:r>
      <w:r w:rsidRPr="00541785">
        <w:rPr>
          <w:rFonts w:ascii="Arial" w:hAnsi="Arial" w:cs="Arial"/>
          <w:lang w:val="en-GB"/>
        </w:rPr>
        <w:t>.</w:t>
      </w:r>
    </w:p>
    <w:p w14:paraId="041E506C"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Statista (2024) </w:t>
      </w:r>
      <w:r w:rsidRPr="00541785">
        <w:rPr>
          <w:rFonts w:ascii="Arial" w:hAnsi="Arial" w:cs="Arial"/>
          <w:i/>
          <w:iCs/>
          <w:lang w:val="en-GB"/>
        </w:rPr>
        <w:t>E-commerce statistics</w:t>
      </w:r>
      <w:r w:rsidRPr="00541785">
        <w:rPr>
          <w:rFonts w:ascii="Arial" w:hAnsi="Arial" w:cs="Arial"/>
          <w:lang w:val="en-GB"/>
        </w:rPr>
        <w:t>.</w:t>
      </w:r>
    </w:p>
    <w:p w14:paraId="19FFEF31"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Amazon (2023) </w:t>
      </w:r>
      <w:r w:rsidRPr="00541785">
        <w:rPr>
          <w:rFonts w:ascii="Arial" w:hAnsi="Arial" w:cs="Arial"/>
          <w:i/>
          <w:iCs/>
          <w:lang w:val="en-GB"/>
        </w:rPr>
        <w:t>Annual Report</w:t>
      </w:r>
      <w:r w:rsidRPr="00541785">
        <w:rPr>
          <w:rFonts w:ascii="Arial" w:hAnsi="Arial" w:cs="Arial"/>
          <w:lang w:val="en-GB"/>
        </w:rPr>
        <w:t xml:space="preserve">. Available at: </w:t>
      </w:r>
      <w:hyperlink r:id="rId6" w:tgtFrame="_new" w:history="1">
        <w:r w:rsidRPr="00541785">
          <w:rPr>
            <w:rStyle w:val="Hyperlink"/>
            <w:rFonts w:ascii="Arial" w:hAnsi="Arial" w:cs="Arial"/>
            <w:lang w:val="en-GB"/>
          </w:rPr>
          <w:t>https://www.amazon.com</w:t>
        </w:r>
      </w:hyperlink>
    </w:p>
    <w:p w14:paraId="0A87E7DF" w14:textId="77777777" w:rsidR="00A417C3" w:rsidRPr="00541785" w:rsidRDefault="00A417C3" w:rsidP="00541785">
      <w:pPr>
        <w:spacing w:line="360" w:lineRule="auto"/>
        <w:rPr>
          <w:rFonts w:ascii="Arial" w:hAnsi="Arial" w:cs="Arial"/>
          <w:lang w:val="en-GB"/>
        </w:rPr>
      </w:pPr>
      <w:r w:rsidRPr="00541785">
        <w:rPr>
          <w:rFonts w:ascii="Arial" w:hAnsi="Arial" w:cs="Arial"/>
          <w:lang w:val="en-GB"/>
        </w:rPr>
        <w:t xml:space="preserve">World Economic Forum (2023) </w:t>
      </w:r>
      <w:r w:rsidRPr="00541785">
        <w:rPr>
          <w:rFonts w:ascii="Arial" w:hAnsi="Arial" w:cs="Arial"/>
          <w:i/>
          <w:iCs/>
          <w:lang w:val="en-GB"/>
        </w:rPr>
        <w:t>Global Risks Report</w:t>
      </w:r>
      <w:r w:rsidRPr="00541785">
        <w:rPr>
          <w:rFonts w:ascii="Arial" w:hAnsi="Arial" w:cs="Arial"/>
          <w:lang w:val="en-GB"/>
        </w:rPr>
        <w:t>.</w:t>
      </w:r>
    </w:p>
    <w:p w14:paraId="6770EAB7" w14:textId="77777777" w:rsidR="00A417C3" w:rsidRPr="00541785" w:rsidRDefault="00A417C3" w:rsidP="00541785">
      <w:pPr>
        <w:spacing w:line="360" w:lineRule="auto"/>
        <w:rPr>
          <w:rFonts w:ascii="Arial" w:hAnsi="Arial" w:cs="Arial"/>
        </w:rPr>
      </w:pPr>
    </w:p>
    <w:sectPr w:rsidR="00A417C3" w:rsidRPr="00541785"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89350582">
    <w:abstractNumId w:val="8"/>
  </w:num>
  <w:num w:numId="2" w16cid:durableId="1005136177">
    <w:abstractNumId w:val="6"/>
  </w:num>
  <w:num w:numId="3" w16cid:durableId="1022244883">
    <w:abstractNumId w:val="5"/>
  </w:num>
  <w:num w:numId="4" w16cid:durableId="1004433353">
    <w:abstractNumId w:val="4"/>
  </w:num>
  <w:num w:numId="5" w16cid:durableId="1785155732">
    <w:abstractNumId w:val="7"/>
  </w:num>
  <w:num w:numId="6" w16cid:durableId="1171992757">
    <w:abstractNumId w:val="3"/>
  </w:num>
  <w:num w:numId="7" w16cid:durableId="527762192">
    <w:abstractNumId w:val="2"/>
  </w:num>
  <w:num w:numId="8" w16cid:durableId="995720998">
    <w:abstractNumId w:val="1"/>
  </w:num>
  <w:num w:numId="9" w16cid:durableId="744228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71B3"/>
    <w:rsid w:val="00034616"/>
    <w:rsid w:val="000601D0"/>
    <w:rsid w:val="0006063C"/>
    <w:rsid w:val="00135E86"/>
    <w:rsid w:val="0015074B"/>
    <w:rsid w:val="00165EAB"/>
    <w:rsid w:val="00213015"/>
    <w:rsid w:val="0029639D"/>
    <w:rsid w:val="00326F90"/>
    <w:rsid w:val="0048665A"/>
    <w:rsid w:val="00541785"/>
    <w:rsid w:val="00A417C3"/>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4062061"/>
  <w14:defaultImageDpi w14:val="300"/>
  <w15:docId w15:val="{C36CDCA8-BBAA-427C-94FF-B78D334AA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A417C3"/>
    <w:rPr>
      <w:color w:val="0000FF" w:themeColor="hyperlink"/>
      <w:u w:val="single"/>
    </w:rPr>
  </w:style>
  <w:style w:type="character" w:styleId="UnresolvedMention">
    <w:name w:val="Unresolved Mention"/>
    <w:basedOn w:val="DefaultParagraphFont"/>
    <w:uiPriority w:val="99"/>
    <w:semiHidden/>
    <w:unhideWhenUsed/>
    <w:rsid w:val="00A417C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amazon.com"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6328</Words>
  <Characters>36075</Characters>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42319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terms:created xsi:type="dcterms:W3CDTF">2026-04-01T09:16:00Z</dcterms:created>
  <dcterms:modified xsi:type="dcterms:W3CDTF">2026-04-01T09:16:00Z</dcterms:modified>
  <cp:category/>
</cp:coreProperties>
</file>