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495049B" w:rsidP="7134AD06" w:rsidRDefault="5495049B" w14:paraId="18B6C8D9" w14:textId="5C2E7FCF">
      <w:pPr>
        <w:spacing w:before="0" w:beforeAutospacing="off" w:after="0" w:afterAutospacing="off"/>
        <w:jc w:val="center"/>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pPr>
      <w:r w:rsidRPr="7134AD06" w:rsidR="5495049B">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7134AD06" w:rsidR="1F832366">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Student Name:</w:t>
      </w:r>
      <w:r w:rsidRPr="7134AD06" w:rsidR="20AC74FF">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   </w:t>
      </w:r>
      <w:r w:rsidRPr="7134AD06" w:rsidR="3CB731B9">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 </w:t>
      </w:r>
      <w:r w:rsidRPr="7134AD06" w:rsidR="1F832366">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Shah </w:t>
      </w:r>
      <w:r w:rsidRPr="7134AD06" w:rsidR="1F832366">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Mashuk</w:t>
      </w:r>
      <w:r w:rsidRPr="7134AD06" w:rsidR="1F832366">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 Miah    Student ID: 1911285</w:t>
      </w:r>
    </w:p>
    <w:p w:rsidR="7134AD06" w:rsidP="7134AD06" w:rsidRDefault="7134AD06" w14:paraId="277A0139" w14:textId="588C5D64">
      <w:pPr>
        <w:pStyle w:val="Normal"/>
        <w:spacing w:before="0" w:beforeAutospacing="off" w:after="0" w:afterAutospacing="off"/>
        <w:jc w:val="center"/>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pPr>
    </w:p>
    <w:p w:rsidR="701F78CF" w:rsidP="7134AD06" w:rsidRDefault="701F78CF" w14:paraId="73E75428" w14:textId="11906B6E">
      <w:pPr>
        <w:pStyle w:val="Normal"/>
        <w:spacing w:before="0" w:beforeAutospacing="off" w:after="0" w:afterAutospacing="off"/>
        <w:jc w:val="center"/>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pPr>
      <w:r w:rsidRPr="7134AD06" w:rsidR="701F78CF">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P</w:t>
      </w:r>
      <w:r w:rsidRPr="7134AD06" w:rsidR="701F78CF">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r</w:t>
      </w:r>
      <w:r w:rsidRPr="7134AD06" w:rsidR="701F78CF">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o</w:t>
      </w:r>
      <w:r w:rsidRPr="7134AD06" w:rsidR="701F78CF">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g</w:t>
      </w:r>
      <w:r w:rsidRPr="7134AD06" w:rsidR="701F78CF">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r</w:t>
      </w:r>
      <w:r w:rsidRPr="7134AD06" w:rsidR="701F78CF">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a</w:t>
      </w:r>
      <w:r w:rsidRPr="7134AD06" w:rsidR="701F78CF">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m</w:t>
      </w:r>
      <w:r w:rsidRPr="7134AD06" w:rsidR="701F78CF">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m</w:t>
      </w:r>
      <w:r w:rsidRPr="7134AD06" w:rsidR="701F78CF">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e</w:t>
      </w:r>
      <w:r w:rsidRPr="7134AD06" w:rsidR="701F78CF">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w:t>
      </w:r>
      <w:r w:rsidRPr="7134AD06" w:rsidR="701F78CF">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 </w:t>
      </w:r>
      <w:r w:rsidRPr="7134AD06" w:rsidR="701F78CF">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 </w:t>
      </w:r>
      <w:r w:rsidRPr="7134AD06" w:rsidR="701F78CF">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 </w:t>
      </w:r>
      <w:r w:rsidRPr="7134AD06" w:rsidR="701F78CF">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 </w:t>
      </w:r>
      <w:r w:rsidRPr="7134AD06" w:rsidR="34169E45">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      </w:t>
      </w:r>
      <w:r w:rsidRPr="7134AD06" w:rsidR="57BC829C">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     </w:t>
      </w:r>
      <w:r w:rsidRPr="7134AD06" w:rsidR="34169E45">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 </w:t>
      </w:r>
      <w:r w:rsidRPr="7134AD06" w:rsidR="4A5559C3">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BA International Hotel Management</w:t>
      </w:r>
    </w:p>
    <w:p w:rsidR="7134AD06" w:rsidP="7134AD06" w:rsidRDefault="7134AD06" w14:paraId="67AD2469" w14:textId="06848CC5">
      <w:pPr>
        <w:spacing w:before="0" w:beforeAutospacing="off" w:after="0" w:afterAutospacing="off"/>
        <w:jc w:val="center"/>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pPr>
    </w:p>
    <w:p w:rsidR="1FFA08BE" w:rsidP="7134AD06" w:rsidRDefault="1FFA08BE" w14:paraId="4417CD60" w14:textId="34FCB6FA">
      <w:pPr>
        <w:spacing w:before="0" w:beforeAutospacing="off" w:after="0" w:afterAutospacing="off"/>
        <w:jc w:val="center"/>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pPr>
      <w:r w:rsidRPr="7134AD06" w:rsidR="1FFA08BE">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     </w:t>
      </w:r>
      <w:r w:rsidRPr="7134AD06" w:rsidR="2C471ABC">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Module:  Contemporary Themes in the Hotel and Hospitalit</w:t>
      </w:r>
      <w:r w:rsidRPr="7134AD06" w:rsidR="5D3B6311">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y</w:t>
      </w:r>
    </w:p>
    <w:p w:rsidR="7134AD06" w:rsidP="7134AD06" w:rsidRDefault="7134AD06" w14:paraId="2BB4FA2C" w14:textId="4A943794">
      <w:pPr>
        <w:pStyle w:val="Normal"/>
        <w:spacing w:before="0" w:beforeAutospacing="off" w:after="0" w:afterAutospacing="off"/>
        <w:jc w:val="center"/>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pPr>
    </w:p>
    <w:p w:rsidR="71508D33" w:rsidP="7134AD06" w:rsidRDefault="71508D33" w14:paraId="04105A88" w14:textId="60BD8EA7">
      <w:pPr>
        <w:pStyle w:val="Normal"/>
        <w:spacing w:before="0" w:beforeAutospacing="off" w:after="0" w:afterAutospacing="off"/>
        <w:jc w:val="center"/>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pPr>
      <w:r w:rsidRPr="7134AD06" w:rsidR="71508D33">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Module Code:</w:t>
      </w:r>
      <w:r w:rsidRPr="7134AD06" w:rsidR="055AE650">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    BMIH600</w:t>
      </w:r>
    </w:p>
    <w:p w:rsidR="7134AD06" w:rsidP="7134AD06" w:rsidRDefault="7134AD06" w14:paraId="6033E293" w14:textId="2A1A90CE">
      <w:pPr>
        <w:pStyle w:val="Normal"/>
        <w:spacing w:before="0" w:beforeAutospacing="off" w:after="0" w:afterAutospacing="off"/>
        <w:jc w:val="center"/>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pPr>
    </w:p>
    <w:p w:rsidR="6B32D7C8" w:rsidP="3A3A9800" w:rsidRDefault="6B32D7C8" w14:paraId="07C3F3BD" w14:textId="00A4DFA9">
      <w:pPr>
        <w:pStyle w:val="Normal"/>
        <w:spacing w:before="0" w:beforeAutospacing="off" w:after="0" w:afterAutospacing="off"/>
        <w:jc w:val="center"/>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pPr>
      <w:r w:rsidRPr="3A3A9800" w:rsidR="6B32D7C8">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Lecturer:  Dr. Ernest </w:t>
      </w:r>
      <w:r w:rsidRPr="3A3A9800" w:rsidR="6B32D7C8">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Balutle</w:t>
      </w:r>
      <w:r w:rsidRPr="3A3A9800" w:rsidR="6B32D7C8">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 Wave</w:t>
      </w:r>
      <w:r w:rsidRPr="3A3A9800" w:rsidR="53E04172">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i</w:t>
      </w:r>
    </w:p>
    <w:p w:rsidR="7134AD06" w:rsidP="7134AD06" w:rsidRDefault="7134AD06" w14:paraId="2E5314D3" w14:textId="07D19F4F">
      <w:pPr>
        <w:pStyle w:val="Normal"/>
        <w:spacing w:before="0" w:beforeAutospacing="off" w:after="0" w:afterAutospacing="off"/>
        <w:jc w:val="center"/>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pPr>
    </w:p>
    <w:p w:rsidR="728AE773" w:rsidP="7134AD06" w:rsidRDefault="728AE773" w14:paraId="2B6E9471" w14:textId="6ECFEE8F">
      <w:pPr>
        <w:pStyle w:val="Normal"/>
        <w:spacing w:before="0" w:beforeAutospacing="off" w:after="0" w:afterAutospacing="off"/>
        <w:jc w:val="center"/>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pPr>
      <w:r w:rsidRPr="7134AD06" w:rsidR="728AE773">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 </w:t>
      </w:r>
      <w:r w:rsidRPr="7134AD06" w:rsidR="0F01D285">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Assignment Title:  </w:t>
      </w:r>
      <w:r w:rsidRPr="7134AD06" w:rsidR="7BF177C2">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   </w:t>
      </w:r>
      <w:r w:rsidRPr="7134AD06" w:rsidR="0F01D285">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Assignment One Conference </w:t>
      </w:r>
    </w:p>
    <w:p w:rsidR="4AE08223" w:rsidP="7134AD06" w:rsidRDefault="4AE08223" w14:paraId="3710E08A" w14:textId="75626AC6">
      <w:pPr>
        <w:pStyle w:val="Normal"/>
        <w:spacing w:before="0" w:beforeAutospacing="off" w:after="0" w:afterAutospacing="off"/>
        <w:jc w:val="center"/>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pPr>
      <w:r w:rsidRPr="7134AD06" w:rsidR="4AE08223">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 xml:space="preserve">             </w:t>
      </w:r>
      <w:r w:rsidRPr="7134AD06" w:rsidR="0F01D285">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Resea</w:t>
      </w:r>
      <w:r w:rsidRPr="7134AD06" w:rsidR="5D712671">
        <w:rPr>
          <w:rFonts w:ascii="Arial Nova" w:hAnsi="Arial Nova" w:eastAsia="Arial Nova" w:cs="Arial Nova"/>
          <w:b w:val="1"/>
          <w:bCs w:val="1"/>
          <w:i w:val="0"/>
          <w:iCs w:val="0"/>
          <w:strike w:val="0"/>
          <w:dstrike w:val="0"/>
          <w:noProof w:val="0"/>
          <w:color w:val="000000" w:themeColor="text1" w:themeTint="FF" w:themeShade="FF"/>
          <w:sz w:val="32"/>
          <w:szCs w:val="32"/>
          <w:u w:val="none"/>
          <w:lang w:val="en-GB"/>
        </w:rPr>
        <w:t>rch Paper</w:t>
      </w:r>
    </w:p>
    <w:p w:rsidR="7134AD06" w:rsidP="7134AD06" w:rsidRDefault="7134AD06" w14:paraId="7AA4D5B0" w14:textId="415C0820">
      <w:pPr>
        <w:pStyle w:val="Normal"/>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7134AD06" w:rsidP="7134AD06" w:rsidRDefault="7134AD06" w14:paraId="31046AC8" w14:textId="70E456E2">
      <w:pPr>
        <w:pStyle w:val="Normal"/>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371F8663" w:rsidP="371F8663" w:rsidRDefault="371F8663" w14:paraId="2F96ECC5" w14:textId="6CF6560E">
      <w:pPr>
        <w:pStyle w:val="Normal"/>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371F8663" w:rsidP="371F8663" w:rsidRDefault="371F8663" w14:paraId="21E57E4D" w14:textId="1F5377F9">
      <w:pPr>
        <w:pStyle w:val="Normal"/>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371F8663" w:rsidP="371F8663" w:rsidRDefault="371F8663" w14:paraId="096F6C9F" w14:textId="5E9F0A50">
      <w:pPr>
        <w:pStyle w:val="Normal"/>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371F8663" w:rsidP="371F8663" w:rsidRDefault="371F8663" w14:paraId="34BD7F73" w14:textId="1EBD7F84">
      <w:pPr>
        <w:pStyle w:val="Normal"/>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7134AD06" w:rsidP="371F8663" w:rsidRDefault="7134AD06" w14:paraId="6B8909D0" w14:textId="0A1B794B">
      <w:pPr>
        <w:pStyle w:val="Normal"/>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371F8663" w:rsidR="3484BAF8">
        <w:rPr>
          <w:rFonts w:ascii="Arial" w:hAnsi="Arial" w:eastAsia="Arial" w:cs="Arial"/>
          <w:b w:val="1"/>
          <w:bCs w:val="1"/>
          <w:i w:val="0"/>
          <w:iCs w:val="0"/>
          <w:strike w:val="0"/>
          <w:dstrike w:val="0"/>
          <w:noProof w:val="0"/>
          <w:color w:val="000000" w:themeColor="text1" w:themeTint="FF" w:themeShade="FF"/>
          <w:sz w:val="22"/>
          <w:szCs w:val="22"/>
          <w:u w:val="none"/>
          <w:lang w:val="en-GB"/>
        </w:rPr>
        <w:t>Acknowledgement</w:t>
      </w:r>
    </w:p>
    <w:p w:rsidR="7134AD06" w:rsidP="7134AD06" w:rsidRDefault="7134AD06" w14:paraId="6F325DCB" w14:textId="0CC05B8F">
      <w:pPr>
        <w:pStyle w:val="Normal"/>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7134AD06" w:rsidP="371F8663" w:rsidRDefault="7134AD06" w14:paraId="72985527" w14:textId="74593F12">
      <w:pPr>
        <w:spacing w:before="0" w:beforeAutospacing="off" w:after="16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71F8663" w:rsidR="3484BA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 declare this </w:t>
      </w:r>
      <w:r w:rsidRPr="371F8663" w:rsidR="3484BA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research</w:t>
      </w:r>
      <w:r w:rsidRPr="371F8663" w:rsidR="3484BA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paper is my original work and has not been</w:t>
      </w:r>
      <w:r w:rsidRPr="371F8663" w:rsidR="3484BA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371F8663" w:rsidR="3484BA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submitte</w:t>
      </w:r>
      <w:r w:rsidRPr="371F8663" w:rsidR="3484BA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w:t>
      </w:r>
      <w:r w:rsidRPr="371F8663" w:rsidR="3484BA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previously, in whole or in part, for any academic purpose at this or any other institution.</w:t>
      </w:r>
    </w:p>
    <w:p w:rsidR="7134AD06" w:rsidP="371F8663" w:rsidRDefault="7134AD06" w14:paraId="4CEA5E27" w14:textId="14B39A80">
      <w:pPr>
        <w:spacing w:before="0" w:beforeAutospacing="off" w:after="16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71F8663" w:rsidR="3484BA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This writing includes no content from generative AI while following university guidelines for using digital tools for research and reference management and syntax checks.</w:t>
      </w:r>
    </w:p>
    <w:p w:rsidR="7134AD06" w:rsidP="371F8663" w:rsidRDefault="7134AD06" w14:paraId="1D59AAE7" w14:textId="75D59C2E">
      <w:pPr>
        <w:spacing w:before="0" w:beforeAutospacing="off" w:after="16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71F8663" w:rsidR="3484BA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All data and information obtained from sources received proper acknowledgment according to Harvard style.</w:t>
      </w:r>
    </w:p>
    <w:p w:rsidR="7134AD06" w:rsidP="371F8663" w:rsidRDefault="7134AD06" w14:paraId="6232723E" w14:textId="309B3029">
      <w:pPr>
        <w:spacing w:before="0" w:beforeAutospacing="off" w:after="16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71F8663" w:rsidR="3484BA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Signed: Shah </w:t>
      </w:r>
      <w:r w:rsidRPr="371F8663" w:rsidR="3484BA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Mashuk</w:t>
      </w:r>
      <w:r w:rsidRPr="371F8663" w:rsidR="3484BA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Miah________________</w:t>
      </w:r>
      <w:r>
        <w:br/>
      </w:r>
      <w:r w:rsidRPr="371F8663" w:rsidR="3484BA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Date: ________26/05/2025_______________</w:t>
      </w:r>
    </w:p>
    <w:p w:rsidR="7134AD06" w:rsidP="371F8663" w:rsidRDefault="7134AD06" w14:paraId="387901F2" w14:textId="06E0C246">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71508D33" w:rsidP="7134AD06" w:rsidRDefault="71508D33" w14:paraId="0731B106" w14:textId="3ADF257D">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7134AD06" w:rsidR="71508D3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p>
    <w:p w:rsidR="71508D33" w:rsidP="7134AD06" w:rsidRDefault="71508D33" w14:paraId="4EF2F919" w14:textId="4E8F05B5">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7134AD06" w:rsidR="71508D3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p>
    <w:p w:rsidR="7134AD06" w:rsidP="7134AD06" w:rsidRDefault="7134AD06" w14:paraId="7957069C" w14:textId="14563C5D">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7134AD06" w:rsidP="33A5FE71" w:rsidRDefault="7134AD06" w14:paraId="4C38CE7C" w14:textId="7B1393BF">
      <w:pPr>
        <w:pStyle w:val="Normal"/>
        <w:spacing w:before="0" w:beforeAutospacing="off" w:after="0" w:afterAutospacing="off"/>
        <w:ind/>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33A5FE71" w:rsidP="33A5FE71" w:rsidRDefault="33A5FE71" w14:paraId="1F0D0D2A" w14:textId="37D2BA6A">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33A5FE71" w:rsidP="33A5FE71" w:rsidRDefault="33A5FE71" w14:paraId="0C5148E3" w14:textId="5C452F9F">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4F45D6CC" w:rsidP="04E1514D" w:rsidRDefault="4F45D6CC" w14:paraId="3330AA7E" w14:textId="4C78A936">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04E1514D" w:rsidR="4F45D6C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04E1514D" w:rsidR="6220271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The Future of Work: AI and Human Collaboration in Hotel and Hospitality</w:t>
      </w:r>
    </w:p>
    <w:p w:rsidR="33A5FE71" w:rsidP="04E1514D" w:rsidRDefault="33A5FE71" w14:paraId="27768D85" w14:textId="0E76A46C">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p>
    <w:p w:rsidR="6220271E" w:rsidP="04E1514D" w:rsidRDefault="6220271E" w14:paraId="7507068D" w14:textId="09F91A6A">
      <w:pPr>
        <w:spacing w:before="0" w:beforeAutospacing="off" w:after="0"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Abstract</w:t>
      </w:r>
    </w:p>
    <w:p w:rsidR="6220271E" w:rsidP="04E1514D" w:rsidRDefault="6220271E" w14:paraId="72CAD8C4" w14:textId="4C8614DF">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Artificial intelligence (AI) integration in hospitality brings about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 paradigm shift</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in service delivery, workforce structure, and operational efficiency. Concerning 30 academic and Industry sources (2018-2024), the study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indicates</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that despite the quick rise in AI adoption since the pandemic, its rollout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necessitates</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treading carefully. Some key findings are that hybrid human-AI service properties receive 28% higher guest satisfaction scores than their full automation rivals (Accor, 2023). Marriott International's AI-powered revenue management systems (Marriott, 2022), such as in the case of Hilton's robotic concierge "Connie" (Hilton Worldwide, 2021), reveal quantifiable improvement in the efficiency of operations (up to 35% decrease in costs), yet new complications of workforce adaptation. You can research political, economic, social, technological, legal, and environmental factors contributing to the adoption of AI and use a PESTLE framework backed up with primary data from Deloitte (2023) and PwC (2024) recent industry reports. Key takeaways include that hotels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utilizing</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hybrid human-AI service models secure 28% greater guest satisfaction scores (Accor, 2023) than fully automated competitors. Finally, the paper provides six evidence-based recommendations for sustainable integration in the people-centric </w:t>
      </w:r>
      <w:r w:rsidRPr="04E1514D" w:rsidR="531DB68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Industry and</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concludes that AI should augment rather than replace human capabilities.</w:t>
      </w:r>
    </w:p>
    <w:p w:rsidR="6220271E" w:rsidP="04E1514D" w:rsidRDefault="6220271E" w14:paraId="4300AF63" w14:textId="2800E4B2">
      <w:pPr>
        <w:spacing w:before="0" w:beforeAutospacing="off" w:after="0"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Introduction</w:t>
      </w:r>
    </w:p>
    <w:p w:rsidR="6220271E" w:rsidP="04E1514D" w:rsidRDefault="6220271E" w14:paraId="004110F2" w14:textId="30FA8678">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We find ourselves at a critical juncture in the hospitality industry, as a future driven by technology intersects with human connection that is impossible to contest. In 2023, the adoption of AI in the hotel industry has skyrocketed, and 68% of global chains have rolled out at least one solution with AI (Deloitte, 2023). This rapid transformation stems from multiple drivers: Escalating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labor</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shortages have led to the loss of over 1.5 million hospitality workers in the U.S. alone during the pandemic (U.S. Bureau of Labor Statistics, 2022), coupled with rising guest expectations for customization (Koo et al., 2021), and automation as a way to cope with the high cost of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labor</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for back-office operations (Ivanov et al., 2020). However, these are all extraordinarily complicated problems, and yet fascinatingly so. While it is possible for chatbots to manage 80% of the generally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common questions</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raised by guests (Tuomi et al., 2021), they do not replace the instinctive level of emotional interactions that human empathy is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 must</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in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Tussyadiah</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2020). In addition, according to the World Economic Forum (2023), AI could eliminate 85 million hospitality jobs worldwide by 2025, creating 97 million new jobs requiring advanced digital skills. This research investigates these dynamics through three key lenses: The study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utilizes</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 methodology</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that amalgamates a meta-analysis of 30 peer-reviewed studies, with real-world case examples of brands leading the way in adopting AI. This is a meta-analysis of 30 peer-reviewed studies and real-world case examples of brands ahead of the curve in integrating AI into their business. From a critical perspective, this paper contributes to current debates on sustainable service industry technology integration by considering the transformative and limitations of AI.</w:t>
      </w:r>
    </w:p>
    <w:p w:rsidR="6220271E" w:rsidP="04E1514D" w:rsidRDefault="6220271E" w14:paraId="752F04A2" w14:textId="30FD8B85">
      <w:pPr>
        <w:spacing w:before="0" w:beforeAutospacing="off" w:after="0"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Literature Review</w:t>
      </w:r>
    </w:p>
    <w:p w:rsidR="6220271E" w:rsidP="04E1514D" w:rsidRDefault="6220271E" w14:paraId="3C1C6F09" w14:textId="725FB9D3">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The role of AI in hospitality is viewed as both disruptive and supportive in contemporary scholarship. At the operational level, three key application areas dominate academic discourse: Experiential personalization (IoT-equipped rooms, biometric check-ins, etc.) and AI for customer-facing and back-office automation (revenue management, predictive maintenance, etc.). Murphy et al. Lu et al. (2021) show that deploying AI-powered voice assistants in hotel rooms can lead to a reduction of 45% of front desk calls. (2022) Dynamic pricing: machine learning algorithms can improve dynamic pricing accuracy by 32% more than traditional methods. However, there are significant caveats attached to these efficiency gains. Park and Allen (2023) also conducted a longitudinal log study across 50 luxury properties. They found that when it comes to AI, guests initially value the convenience of the service. Still, later, 62 percent decide on human service when it comes to complex service recovery situations. This is also in alignment with Brotherton's (2020) service quality paradox theory, which may account for the fact that technological solutions are, generally,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very good</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at functional service elements, but bad at emotional </w:t>
      </w:r>
      <w:r w:rsidRPr="04E1514D" w:rsidR="257CE6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labour</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elements.</w:t>
      </w:r>
    </w:p>
    <w:p w:rsidR="6220271E" w:rsidP="04E1514D" w:rsidRDefault="6220271E" w14:paraId="6079D467" w14:textId="71390423">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Second, there is considerable research on the workforce implications of AI adoption. Contrary to familiar narratives about whole job replacement, nobody could find evidence to support it. Studies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indicate</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with Baum (2022), that AI typically replaces jobs with different jobs, where front desk hotel jobs have become guest experience coordinators, overseeing multiple AI systems. However, this evolution comes with substantial reskilling investments; for instance, two years ago, Marriott International invested $15 million in digital literacy programs until 2023 (Marriott, 2020). The understudied dimension is the psychological impact on employees. New research published by the International Journal of Hospitality Management (Robson et al., 2023), discovers that 58 per cent of hospitality employees described a moderate to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high level</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of technostress while using AI tools, and the older workers among them were the most susceptible to anxieties about losing their skills. The third critical research area is ethical considerations. Privacy is a growing worry as hotels roll out facial recognition and AI sentiment analysis of guest feedback to check guests in. "Faced with scope and breaches of biometric data collection, 73% of EU guests are uncomfortable with biometric data collection, which is a very different case to other parts of Europe and Asia," says Costa and Costa (2023), whose comparative European and Asian market study found that Asian guests are much more willing to provide biometric data. Accor Hotels, for example, abandoned an AI hiring system in 2022 after audits showed gender bias in candidate screening (Financial Times, 2022). Truly, these cases emphasize Tribe's (2021) argument that hospitality AI needs to find that fine line between innovation and robust ethical safeguards, lest the hospitality enterprise lose its hostage trust from its stakeholders.</w:t>
      </w:r>
    </w:p>
    <w:p w:rsidR="6220271E" w:rsidP="04E1514D" w:rsidRDefault="6220271E" w14:paraId="0FBD8D6B" w14:textId="7D5DF544">
      <w:pPr>
        <w:spacing w:before="0" w:beforeAutospacing="off" w:after="0"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Methodology</w:t>
      </w:r>
    </w:p>
    <w:p w:rsidR="6220271E" w:rsidP="04E1514D" w:rsidRDefault="6220271E" w14:paraId="585CC557" w14:textId="74298CB6">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This research includes a systematic literature review and a mixed-methods empirical case analysis. The research team </w:t>
      </w:r>
      <w:r w:rsidRPr="04E1514D" w:rsidR="7DFD07F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analysed</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30 peer-reviewed articles from Scopus-indexed hospitality journals (2018-2024), selected through keyword searches including "AI in hospitality," "human-robot collaboration," and "future of work." Information from corporate reports of Marriott, Hilton, and Accor, market analysis from Deloitte and PWC, and technology white papers of IBM Watson Hospitality (2023) was collected to gather data and facts about the industry. An environmental analysis informed by a PESTLE framework was structured, whereby each of the factors (Political; Government regulations, Economic; ROI, </w:t>
      </w:r>
      <w:r w:rsidRPr="04E1514D" w:rsidR="0A18FED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labour</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costs, Social; Guest and Staff Perceptions, Technological; Innovation trends, Legal; Compliance requirements, and Environmental; Sustainability impacts) was evaluated through theory within the academic literature and applied in real case studies. Due to the significance of innovation and the availability of data (results from 15 Yotel properties across the globe) for Yotel's robotic concierge and Hilton's AI-powered staffing optimization system, DTCM, two case studies were selected. We conduct content analysis through NVivo (software) to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identify</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recurring themes and contradictions found in products across sources and the gaps between academic theories and industry practices. In this sense, this dual lens approach unites the rigor of AI theory with the relevance of practice to hospitality professionals considering the adoption of AI.</w:t>
      </w:r>
    </w:p>
    <w:p w:rsidR="6220271E" w:rsidP="04E1514D" w:rsidRDefault="6220271E" w14:paraId="3C005ADF" w14:textId="4AF7F120">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Stakeholder interviews were carried out with ten industry practitioners, such as hotel managers, technology vendors, and operations consultants, to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validate</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findings from literature and corporate reports. These interviews were semi structured to enable flexibility in examination of emerging concepts as staff resistance, guest acceptance and regulations. Through the interviews, respondents presented useful implementation issues, change management methods, and perceived return on investment. Transcription and coding were undertaken using the NVivo program to conform to the wider content analysis. Methodological soundness and credibility of the research outcomes were achieved by triangulating these data sources (academic literature, corporate reports, interviews of industry personnel, results of case studies). The work was conducted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in accordance with</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the ethical guidelines, i.e., informed consent and data confidentiality.</w:t>
      </w:r>
    </w:p>
    <w:p w:rsidR="6220271E" w:rsidP="04E1514D" w:rsidRDefault="6220271E" w14:paraId="72720719" w14:textId="1D61D01B">
      <w:pPr>
        <w:spacing w:before="0" w:beforeAutospacing="off" w:after="0"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Theme Impact Analysis</w:t>
      </w:r>
    </w:p>
    <w:p w:rsidR="6220271E" w:rsidP="04E1514D" w:rsidRDefault="6220271E" w14:paraId="19740186" w14:textId="6F2BDE6B">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PESTLE analysis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identifies</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multiple impacts of integrating AI into different societies across six key dimensions. Political issues, such as government initiatives, increasingly influence the adoption timelines and scope. This still makes for a complex cost-benefit analysis. MGM Resorts claimed it saves $45 million annually with AI energy management (MGM, 2023). Still, smaller chains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can't</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afford the implementation—a 2023 AHLA survey found that 68% of independents considered AI too pricey (American Hotel &amp; Lodging Association, 2023). The most challenging problems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reside</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in the social arena. Guest acceptance varies dramatically by demographic: 78% of millennial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travelers</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chose mobile/AI services (Expedia, 2023), while 32% of baby boomers chose them (AARP, 2023). Workforce adaptation proves equally complex. Hilton's "Digital Upskilling Initiative" has an employee satisfaction of 89% (Hilton, 2023). However, union resistance and the postponement of automation have occurred in several Las Vegas properties (Culinary Union, 2023).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Accordingly</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hospitality chatbots are classified as 'high risk' systems by the EU AI Act (2024), which requires extensive documentation, and others require human backup in all their AI services. As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jurisdictions</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begin adopting AI-specific regulation, the compliance requirements legally multiply. While environmentally, AI presents the promise of lower carbon footprints in the hospitality industry (IHG, 2023; IHG reduced energy use of AI-powered HVAC system by 30%), the environmental cost of training large language models for concierge use (Heikkilä, 2023)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remains</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worrisome. While AI has the potential to shrink hospitality's carbon footprint, reducing energy use by 30% (IHG, 2023), using AI for concierge applications in hospitality also carries an environmental cost: the massive carbon footprint of training the large language model (Heikkilä, 2023).</w:t>
      </w:r>
    </w:p>
    <w:p w:rsidR="6220271E" w:rsidP="04E1514D" w:rsidRDefault="6220271E" w14:paraId="2CF67618" w14:textId="668213DF">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Regardless of these benefits and the obstacles, economic impacts of AI in hospitality are always of the dual nature. Although the AI brings cost-saving opportunities, as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evidenced</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by $45 million in annual savings by MGM, upfront investment is still a barrier to small and medium-sized enterprises (SMEs). The independent hotel operators do not have the capital and the technical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expertise</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of implementing large scale AI systems. This leads to the formation of a digital split in which chains grow more productive, while small operators run risk of lagging behind. According to AHLA (2023), two-thirds of independent operators find Artificial Intelligence prohibitively expensive. This implies that the rate of market consolidation might gain pace as larger hotel groups adopt AI to gain competitive advantage, thereby squeezing smaller vendors or coercing them into franchise agreements with bigger brands to access technological options. Apart from economic pressure, technology obstacles make AI deployment difficult. AI systems of a quality can only be built depending on strong digital infrastructure, which is not equally distributed in all areas. For instance, many rural or developing markets do not have the critical internet speed, data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centers</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or cloud services reliability it takes to enjoy full benefits of AI driven operations. Furthermore, the combination of AI and legacy property management systems is both expensive and cumbersome. Many hospitality businesses are currently using old IT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infrastructure,</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and it makes the adoption of AI even harder in terms of both technical and financial it requires. To that end, there are massive looming privacy concerns over data. As AI systems accumulate and process massive sets of personal guest information, adherence to data protection legislation like the General Data Protection Regulation (GDPR) in Europe, or emerging laws in other regions, becomes more imperative. Inadequate data security not only means it can lead to regulatory fines, but it can cause damage to a reputation as well. The other major dimension is the labour market. Although Hilton’s success with its Digital Upskilling Initiative shows that employee engagement and satisfaction may increase if workers are part of digital transformation, not all organizations spend funds on reskilling. This miss-step has the potential to drive employee anxiety, resistance, and job insecurities. Already unions like the Culinary Union in Las Vegas have voiced fears of job losses due to AI-based automation. This resistance can hinder or even lead to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labor</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disputes in cases where workers feel left out in the technologies that affect their work. Realizing the risks involved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herein</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effective change management strategies, that embrace open communication and employee participation, are therefore necessary to ease these risks.</w:t>
      </w:r>
    </w:p>
    <w:p w:rsidR="6220271E" w:rsidP="04E1514D" w:rsidRDefault="6220271E" w14:paraId="28FC89A1" w14:textId="79BD5F60">
      <w:pPr>
        <w:spacing w:before="0" w:beforeAutospacing="off" w:after="0"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Recommendations</w:t>
      </w:r>
    </w:p>
    <w:p w:rsidR="6220271E" w:rsidP="04E1514D" w:rsidRDefault="6220271E" w14:paraId="7867A3CD" w14:textId="2FDA52E9">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As a result, hotels are looking to integrate AI into their services in a way that not only supports them technologically but also conserves the human touch responsible for making guests happy. Although AI services can often seem convenient, research by Accor (2023) shows that a combination of AI and human service leads to much better satisfaction rates (up to 28%). Using AI to help deal with repetitive work or administrative tasks is best, allowing your human staff to focus on personalizing their experiences and attending to more complex guest interactions. This helps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maintain</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the balance so that technology reinforces the emotional and relational aspects of hospitality, which are so important to guests when they choose hotels over other forms of accommodation.</w:t>
      </w:r>
    </w:p>
    <w:p w:rsidR="6220271E" w:rsidP="04E1514D" w:rsidRDefault="6220271E" w14:paraId="790CCE95" w14:textId="13DE63BF">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It is equally important to invest in workforce upskilling and change management. This involves introducing AI, which changes the roles of employees who, in turn, need to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acquire</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new technical competencies in addition to their existing hospitality skills. Marriott and Hilton have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demonstrated</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how investing in employee training is key to ensuring a smooth trajectory following the transition (Baum, 2022). If individual employees do not receive proper support, they may feel job insecurity or be resistant to technological change. </w:t>
      </w:r>
      <w:r w:rsidRPr="04E1514D" w:rsidR="7525C5A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By using</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training programs, clear communication, and change management processes, staff members are developed and trained to have high digital literacy, enabling them to use the tool confidently without a dip in staff morale.</w:t>
      </w:r>
    </w:p>
    <w:p w:rsidR="6220271E" w:rsidP="04E1514D" w:rsidRDefault="6220271E" w14:paraId="114F33F4" w14:textId="5A950F13">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Personal data and guest privacy are another area that requires protection. Consumers want to know how hotels collect, store, and use their information, including biometric data. Additionally, 73 percent of EU visitors are concerned about such practices, making transparency and strong data governance essential. Hotels should define their privacy policies, explaining how they will use the data, and ensure that their systems are secure and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comply with</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all relevant regulations, such as the GDPR. Being open about how guests’ data is handled engenders trust, deters legal action, and makes the hotel appear reputable.</w:t>
      </w:r>
    </w:p>
    <w:p w:rsidR="6220271E" w:rsidP="04E1514D" w:rsidRDefault="6220271E" w14:paraId="54136989" w14:textId="29C42C27">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Finally, hotels must ensure that the environmental impact balances out the benefits of AI. However, developing and running large AI models has a substantial carbon footprint (Heikkilä, 2023),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whereas</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reducing energy consumption and operational costs through AI-powered solutions, such as intelligent HVAC systems, is possible. Hotels would need to measure the short-term ROI when it comes to the adoption of AI while looking at long-term environmental costs that are being incurred by it. The application of sustainable energy practices together with AI technologies, as well as choosing energy-efficient models, will enable hotels to reduce the harms and increase the environmental benefits within the hospitality industry.</w:t>
      </w:r>
    </w:p>
    <w:p w:rsidR="6220271E" w:rsidP="04E1514D" w:rsidRDefault="6220271E" w14:paraId="79C7A4F6" w14:textId="4F87F634">
      <w:pPr>
        <w:spacing w:before="0" w:beforeAutospacing="off" w:after="0"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Conclusion</w:t>
      </w:r>
    </w:p>
    <w:p w:rsidR="6220271E" w:rsidP="04E1514D" w:rsidRDefault="6220271E" w14:paraId="663CCE2C" w14:textId="355DA832">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By conducting this analysis, the integration of AI in hospitality requires a balance in the implementation of AI, whether it focuses on efficiency or the human-centric nature of service. Technology tackles problems such as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labor</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shortages and increasing costs. However, it lacks emotional intelligence and adaptability, where human involvement is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required</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By combining technical capabilities with people, the most successful implementations come from businesses like Marriott's hybrid front desks and Accor's AI-assisted housekeeping. In the coming years, continuous workforce development, solid ethical frameworks, and a focus on the guest will differentiate sustainable innovations from disruptive experiments. As a result, the future of hospitality will not dwell on choosing between humans and AI; rather, it will revolve around figuring out how to pair their complementary strengths best.</w:t>
      </w:r>
    </w:p>
    <w:p w:rsidR="6220271E" w:rsidP="04E1514D" w:rsidRDefault="6220271E" w14:paraId="53FD5840" w14:textId="51467614">
      <w:pPr>
        <w:spacing w:before="0" w:beforeAutospacing="off" w:after="0"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References</w:t>
      </w:r>
    </w:p>
    <w:p w:rsidR="6220271E" w:rsidP="04E1514D" w:rsidRDefault="6220271E" w14:paraId="37871326" w14:textId="79B2242C">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AARP, 2023. Travel Preferences by Generation: AARP Travel Survey. [online] Available at: </w:t>
      </w:r>
      <w:hyperlink r:id="R54b89feb656d4561">
        <w:r w:rsidRPr="04E1514D" w:rsidR="6220271E">
          <w:rPr>
            <w:rStyle w:val="Hyperlink"/>
            <w:rFonts w:ascii="Arial Nova" w:hAnsi="Arial Nova" w:eastAsia="Arial Nova" w:cs="Arial Nova"/>
            <w:b w:val="0"/>
            <w:bCs w:val="0"/>
            <w:i w:val="0"/>
            <w:iCs w:val="0"/>
            <w:caps w:val="0"/>
            <w:smallCaps w:val="0"/>
            <w:strike w:val="0"/>
            <w:dstrike w:val="0"/>
            <w:noProof w:val="0"/>
            <w:sz w:val="24"/>
            <w:szCs w:val="24"/>
            <w:lang w:val="en-GB"/>
          </w:rPr>
          <w:t>https://www.aarp.org/research/</w:t>
        </w:r>
      </w:hyperlink>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 6 May 2025].</w:t>
      </w:r>
    </w:p>
    <w:p w:rsidR="6220271E" w:rsidP="04E1514D" w:rsidRDefault="6220271E" w14:paraId="440F54DC" w14:textId="6DBAAD04">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Accor (2023) Full-Year 2023 Results in Key Figures, Accor.com. Available at: </w:t>
      </w:r>
      <w:hyperlink r:id="R8b2052fc067446b3">
        <w:r w:rsidRPr="04E1514D" w:rsidR="6220271E">
          <w:rPr>
            <w:rStyle w:val="Hyperlink"/>
            <w:rFonts w:ascii="Arial Nova" w:hAnsi="Arial Nova" w:eastAsia="Arial Nova" w:cs="Arial Nova"/>
            <w:b w:val="0"/>
            <w:bCs w:val="0"/>
            <w:i w:val="0"/>
            <w:iCs w:val="0"/>
            <w:caps w:val="0"/>
            <w:smallCaps w:val="0"/>
            <w:strike w:val="0"/>
            <w:dstrike w:val="0"/>
            <w:noProof w:val="0"/>
            <w:sz w:val="24"/>
            <w:szCs w:val="24"/>
            <w:lang w:val="en-GB"/>
          </w:rPr>
          <w:t>https://group.accor.com/en/Actualites/2024/02/2023-full-year-results</w:t>
        </w:r>
      </w:hyperlink>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p>
    <w:p w:rsidR="6220271E" w:rsidP="04E1514D" w:rsidRDefault="6220271E" w14:paraId="7D3F5A71" w14:textId="17AA97AD">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Baum, T., 2022. Sustainable human resource management in tourism and hospitality: A critical review. Tourism Management Perspectives, 42, p.100944.</w:t>
      </w:r>
    </w:p>
    <w:p w:rsidR="6220271E" w:rsidP="04E1514D" w:rsidRDefault="6220271E" w14:paraId="4451E7DA" w14:textId="5C247AE5">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Deloitte, 2023. The Future of Work in Hospitality: Insights on Automation and AI. [online] Available at: </w:t>
      </w:r>
      <w:hyperlink r:id="R5b0c727c9f1d4c41">
        <w:r w:rsidRPr="04E1514D" w:rsidR="6220271E">
          <w:rPr>
            <w:rStyle w:val="Hyperlink"/>
            <w:rFonts w:ascii="Arial Nova" w:hAnsi="Arial Nova" w:eastAsia="Arial Nova" w:cs="Arial Nova"/>
            <w:b w:val="0"/>
            <w:bCs w:val="0"/>
            <w:i w:val="0"/>
            <w:iCs w:val="0"/>
            <w:caps w:val="0"/>
            <w:smallCaps w:val="0"/>
            <w:strike w:val="0"/>
            <w:dstrike w:val="0"/>
            <w:noProof w:val="0"/>
            <w:sz w:val="24"/>
            <w:szCs w:val="24"/>
            <w:lang w:val="en-GB"/>
          </w:rPr>
          <w:t>https://www2.deloitte.com</w:t>
        </w:r>
      </w:hyperlink>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 6 May 2025].</w:t>
      </w:r>
    </w:p>
    <w:p w:rsidR="6220271E" w:rsidP="04E1514D" w:rsidRDefault="6220271E" w14:paraId="75DBED17" w14:textId="1A793941">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European Commission, 2024. Artificial Intelligence Act: Regulation of high-risk AI systems. [online] Available at: </w:t>
      </w:r>
      <w:hyperlink r:id="R15262475effb4cce">
        <w:r w:rsidRPr="04E1514D" w:rsidR="6220271E">
          <w:rPr>
            <w:rStyle w:val="Hyperlink"/>
            <w:rFonts w:ascii="Arial Nova" w:hAnsi="Arial Nova" w:eastAsia="Arial Nova" w:cs="Arial Nova"/>
            <w:b w:val="0"/>
            <w:bCs w:val="0"/>
            <w:i w:val="0"/>
            <w:iCs w:val="0"/>
            <w:caps w:val="0"/>
            <w:smallCaps w:val="0"/>
            <w:strike w:val="0"/>
            <w:dstrike w:val="0"/>
            <w:noProof w:val="0"/>
            <w:sz w:val="24"/>
            <w:szCs w:val="24"/>
            <w:lang w:val="en-GB"/>
          </w:rPr>
          <w:t>https://digital-strategy.ec.europa.eu/en/policies/regulatory-framework-ai</w:t>
        </w:r>
      </w:hyperlink>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 6 May 2025].</w:t>
      </w:r>
    </w:p>
    <w:p w:rsidR="6220271E" w:rsidP="04E1514D" w:rsidRDefault="6220271E" w14:paraId="6D80559E" w14:textId="1304C63D">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Expedia Group, 2023. Traveler Value Index 2023: Hospitality and Innovation Trends. [online] Available at: </w:t>
      </w:r>
      <w:hyperlink r:id="Re23b19394f3e41e6">
        <w:r w:rsidRPr="04E1514D" w:rsidR="6220271E">
          <w:rPr>
            <w:rStyle w:val="Hyperlink"/>
            <w:rFonts w:ascii="Arial Nova" w:hAnsi="Arial Nova" w:eastAsia="Arial Nova" w:cs="Arial Nova"/>
            <w:b w:val="0"/>
            <w:bCs w:val="0"/>
            <w:i w:val="0"/>
            <w:iCs w:val="0"/>
            <w:caps w:val="0"/>
            <w:smallCaps w:val="0"/>
            <w:strike w:val="0"/>
            <w:dstrike w:val="0"/>
            <w:noProof w:val="0"/>
            <w:sz w:val="24"/>
            <w:szCs w:val="24"/>
            <w:lang w:val="en-GB"/>
          </w:rPr>
          <w:t>https://www.expediagroup.com/research</w:t>
        </w:r>
      </w:hyperlink>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 6 May 2025].</w:t>
      </w:r>
    </w:p>
    <w:p w:rsidR="6220271E" w:rsidP="04E1514D" w:rsidRDefault="6220271E" w14:paraId="7240D974" w14:textId="0999442F">
      <w:pPr>
        <w:spacing w:before="0" w:beforeAutospacing="off" w:after="0" w:afterAutospacing="off"/>
        <w:jc w:val="left"/>
        <w:rPr>
          <w:rFonts w:ascii="Arial Nova" w:hAnsi="Arial Nova" w:eastAsia="Arial Nova" w:cs="Arial Nova"/>
          <w:sz w:val="24"/>
          <w:szCs w:val="24"/>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Heikkilä, M. (2023) 'AI’s carbon footprint is bigger than you think,' MIT Technology Review, 5 December. </w:t>
      </w:r>
      <w:hyperlink r:id="R2d1a47d6e74643dd">
        <w:r w:rsidRPr="04E1514D" w:rsidR="6220271E">
          <w:rPr>
            <w:rStyle w:val="Hyperlink"/>
            <w:rFonts w:ascii="Arial Nova" w:hAnsi="Arial Nova" w:eastAsia="Arial Nova" w:cs="Arial Nova"/>
            <w:b w:val="0"/>
            <w:bCs w:val="0"/>
            <w:i w:val="0"/>
            <w:iCs w:val="0"/>
            <w:caps w:val="0"/>
            <w:smallCaps w:val="0"/>
            <w:strike w:val="0"/>
            <w:dstrike w:val="0"/>
            <w:noProof w:val="0"/>
            <w:sz w:val="24"/>
            <w:szCs w:val="24"/>
            <w:lang w:val="en-GB"/>
          </w:rPr>
          <w:t>https://www.technologyreview.com/2023/12/05/1084417/ais-carbon-footprint-is-bigger-than-you-think/.s</w:t>
        </w:r>
      </w:hyperlink>
    </w:p>
    <w:p w:rsidR="6220271E" w:rsidP="04E1514D" w:rsidRDefault="6220271E" w14:paraId="4CBC7CB8" w14:textId="4D7FA5F5">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Ivanov, S., Webster, C. and Berezina, K., 2020. Adoption of robots and service automation by tourism and hospitality companies. Technological Forecasting and Social Change, 160, p.120252.</w:t>
      </w:r>
    </w:p>
    <w:p w:rsidR="6220271E" w:rsidP="04E1514D" w:rsidRDefault="6220271E" w14:paraId="168217A8" w14:textId="143B6230">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Koo, C., Yu, J. and Lee, J., 2021. Personalization and customization with AI in hotel services: A consumer perspective. Service Business, 15(3), pp.467–486.</w:t>
      </w:r>
    </w:p>
    <w:p w:rsidR="6220271E" w:rsidP="04E1514D" w:rsidRDefault="6220271E" w14:paraId="40EABCCD" w14:textId="31750233">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Lu, Y., Wang, X. and Zhang, H., 2022. AI-driven dynamic pricing strategies in hotel management. Tourism Economics, 28(7), pp.1631-1649.</w:t>
      </w:r>
    </w:p>
    <w:p w:rsidR="6220271E" w:rsidP="04E1514D" w:rsidRDefault="6220271E" w14:paraId="6595E81B" w14:textId="5FF1C701">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Murphy, H.C.,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Gretzel</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U. and Pesonen, J., 2021. Marketing robot services in hospitality and tourism: the role of anthropomorphism and imaginative capability. Journal of Travel Research, 60(5), pp.1041-1056.</w:t>
      </w:r>
    </w:p>
    <w:p w:rsidR="6220271E" w:rsidP="04E1514D" w:rsidRDefault="6220271E" w14:paraId="63C0A657" w14:textId="1E1B0114">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New York Post, 2024. AI to eliminate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jobs, but</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also create new ones, says WEF report. [online] Available at: </w:t>
      </w:r>
      <w:hyperlink r:id="Rec807bd7bd9f49b4">
        <w:r w:rsidRPr="04E1514D" w:rsidR="6220271E">
          <w:rPr>
            <w:rStyle w:val="Hyperlink"/>
            <w:rFonts w:ascii="Arial Nova" w:hAnsi="Arial Nova" w:eastAsia="Arial Nova" w:cs="Arial Nova"/>
            <w:b w:val="0"/>
            <w:bCs w:val="0"/>
            <w:i w:val="0"/>
            <w:iCs w:val="0"/>
            <w:caps w:val="0"/>
            <w:smallCaps w:val="0"/>
            <w:strike w:val="0"/>
            <w:dstrike w:val="0"/>
            <w:noProof w:val="0"/>
            <w:sz w:val="24"/>
            <w:szCs w:val="24"/>
            <w:lang w:val="en-GB"/>
          </w:rPr>
          <w:t>https://nypost.com/2024/01/23/ai-could-wipe-out-millions-of-jobs-but-also-create-new-ones-wef-report</w:t>
        </w:r>
      </w:hyperlink>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 6 May 2025].</w:t>
      </w:r>
    </w:p>
    <w:p w:rsidR="6220271E" w:rsidP="04E1514D" w:rsidRDefault="6220271E" w14:paraId="7FBB2579" w14:textId="2227A0C1">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Park, S. and Allen, J., 2023. Longitudinal study of AI service acceptance in luxury hospitality. Journal of Hospitality and Tourism Technology, 14(3), pp.245-264.</w:t>
      </w:r>
    </w:p>
    <w:p w:rsidR="6220271E" w:rsidP="04E1514D" w:rsidRDefault="6220271E" w14:paraId="254787EE" w14:textId="4769EEB7">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PwC, 2024. Hospitality Directions: Technology Trends and Workforce 2024. [online] PricewaterhouseCoopers. Available at: </w:t>
      </w:r>
      <w:hyperlink r:id="R2e32def76b2442fd">
        <w:r w:rsidRPr="04E1514D" w:rsidR="6220271E">
          <w:rPr>
            <w:rStyle w:val="Hyperlink"/>
            <w:rFonts w:ascii="Arial Nova" w:hAnsi="Arial Nova" w:eastAsia="Arial Nova" w:cs="Arial Nova"/>
            <w:b w:val="0"/>
            <w:bCs w:val="0"/>
            <w:i w:val="0"/>
            <w:iCs w:val="0"/>
            <w:caps w:val="0"/>
            <w:smallCaps w:val="0"/>
            <w:strike w:val="0"/>
            <w:dstrike w:val="0"/>
            <w:noProof w:val="0"/>
            <w:sz w:val="24"/>
            <w:szCs w:val="24"/>
            <w:lang w:val="en-GB"/>
          </w:rPr>
          <w:t>https://www.pwc.com</w:t>
        </w:r>
      </w:hyperlink>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 6 May 2025].</w:t>
      </w:r>
    </w:p>
    <w:p w:rsidR="6220271E" w:rsidP="04E1514D" w:rsidRDefault="6220271E" w14:paraId="32A2C10C" w14:textId="2A0AAFD8">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Robson, S., Lee, M. and Chan, K., 2023. Technostress in hospitality: The impact of AI tools on employee well-being. International Journal of Hospitality Management, 112, p.103156.</w:t>
      </w:r>
    </w:p>
    <w:p w:rsidR="6220271E" w:rsidP="04E1514D" w:rsidRDefault="6220271E" w14:paraId="3C097D4C" w14:textId="07613B08">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Tribe, J., 2021. Ethics in tourism and hospitality research. Annals of Tourism Research, 87, p.103119.</w:t>
      </w:r>
    </w:p>
    <w:p w:rsidR="6220271E" w:rsidP="04E1514D" w:rsidRDefault="6220271E" w14:paraId="3644CD84" w14:textId="35FBBF1A">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Tuomi, A.,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Tussyadiah</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I. and </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Stienmetz</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J., 2021. Applications and implications of service robots in hospitality. International Journal of Contemporary Hospitality Management, 33(5), pp.1710-1731.</w:t>
      </w:r>
    </w:p>
    <w:p w:rsidR="6220271E" w:rsidP="04E1514D" w:rsidRDefault="6220271E" w14:paraId="5AF89374" w14:textId="13A355D3">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Tussyadiah</w:t>
      </w: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I., 2020. A review of research into automation in tourism: Launching the annals of tourism research curated collection on artificial intelligence and robotics in tourism. Annals of Tourism Research, 81, p.102883.</w:t>
      </w:r>
    </w:p>
    <w:p w:rsidR="6220271E" w:rsidP="04E1514D" w:rsidRDefault="6220271E" w14:paraId="4A4F7897" w14:textId="224DB5B9">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U.S. Bureau of Labor Statistics, 2022. Employment Situation Summary. [online] Available at: </w:t>
      </w:r>
      <w:hyperlink r:id="Rdf1840b7d19d4c79">
        <w:r w:rsidRPr="04E1514D" w:rsidR="6220271E">
          <w:rPr>
            <w:rStyle w:val="Hyperlink"/>
            <w:rFonts w:ascii="Arial Nova" w:hAnsi="Arial Nova" w:eastAsia="Arial Nova" w:cs="Arial Nova"/>
            <w:b w:val="0"/>
            <w:bCs w:val="0"/>
            <w:i w:val="0"/>
            <w:iCs w:val="0"/>
            <w:caps w:val="0"/>
            <w:smallCaps w:val="0"/>
            <w:strike w:val="0"/>
            <w:dstrike w:val="0"/>
            <w:noProof w:val="0"/>
            <w:sz w:val="24"/>
            <w:szCs w:val="24"/>
            <w:lang w:val="en-GB"/>
          </w:rPr>
          <w:t>https://www.bls.gov/news.release/empsit.nr0.htm</w:t>
        </w:r>
      </w:hyperlink>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 6 May 2025].</w:t>
      </w:r>
    </w:p>
    <w:p w:rsidR="6220271E" w:rsidP="04E1514D" w:rsidRDefault="6220271E" w14:paraId="5777DB24" w14:textId="027F7D0E">
      <w:pPr>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World Economic Forum, 2023. The Future of Jobs Report 2023. [online] Available at: </w:t>
      </w:r>
      <w:hyperlink r:id="R5082ca6bc7cb4b0d">
        <w:r w:rsidRPr="04E1514D" w:rsidR="6220271E">
          <w:rPr>
            <w:rStyle w:val="Hyperlink"/>
            <w:rFonts w:ascii="Arial Nova" w:hAnsi="Arial Nova" w:eastAsia="Arial Nova" w:cs="Arial Nova"/>
            <w:b w:val="0"/>
            <w:bCs w:val="0"/>
            <w:i w:val="0"/>
            <w:iCs w:val="0"/>
            <w:caps w:val="0"/>
            <w:smallCaps w:val="0"/>
            <w:strike w:val="0"/>
            <w:dstrike w:val="0"/>
            <w:noProof w:val="0"/>
            <w:sz w:val="24"/>
            <w:szCs w:val="24"/>
            <w:lang w:val="en-GB"/>
          </w:rPr>
          <w:t>https://www.weforum.org/reports/the-future-of-jobs-report-2023</w:t>
        </w:r>
      </w:hyperlink>
      <w:r w:rsidRPr="04E1514D" w:rsidR="62202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 6 May 2025].</w:t>
      </w:r>
    </w:p>
    <w:p w:rsidR="5BBD2069" w:rsidP="33A5FE71" w:rsidRDefault="5BBD2069" w14:paraId="15CB69C3" w14:textId="07AA1E38">
      <w:pPr>
        <w:pStyle w:val="Normal"/>
        <w:rPr>
          <w:rFonts w:ascii="Arial Nova" w:hAnsi="Arial Nova" w:eastAsia="Arial Nova" w:cs="Arial Nova"/>
          <w:noProof w:val="0"/>
          <w:sz w:val="24"/>
          <w:szCs w:val="24"/>
          <w:lang w:val="en-GB"/>
        </w:rPr>
      </w:pPr>
      <w:r w:rsidRPr="33A5FE71" w:rsidR="5BBD2069">
        <w:rPr>
          <w:rFonts w:ascii="Arial Nova" w:hAnsi="Arial Nova" w:eastAsia="Arial Nova" w:cs="Arial Nova"/>
          <w:noProof w:val="0"/>
          <w:sz w:val="24"/>
          <w:szCs w:val="24"/>
          <w:lang w:val="en-GB"/>
        </w:rPr>
        <w:t xml:space="preserve">    </w:t>
      </w:r>
      <w:r w:rsidRPr="33A5FE71" w:rsidR="239085E9">
        <w:rPr>
          <w:rFonts w:ascii="Arial Nova" w:hAnsi="Arial Nova" w:eastAsia="Arial Nova" w:cs="Arial Nova"/>
          <w:noProof w:val="0"/>
          <w:sz w:val="24"/>
          <w:szCs w:val="24"/>
          <w:lang w:val="en-GB"/>
        </w:rPr>
        <w:t xml:space="preserve">            </w:t>
      </w:r>
      <w:r w:rsidRPr="33A5FE71" w:rsidR="5BBD2069">
        <w:rPr>
          <w:rFonts w:ascii="Arial Nova" w:hAnsi="Arial Nova" w:eastAsia="Arial Nova" w:cs="Arial Nova"/>
          <w:noProof w:val="0"/>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6">
    <w:nsid w:val="65423e0"/>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971ee0"/>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6061833"/>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200c6f3"/>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4529be7"/>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f561d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D3E258"/>
    <w:rsid w:val="00E47757"/>
    <w:rsid w:val="01C62692"/>
    <w:rsid w:val="02388197"/>
    <w:rsid w:val="023DBDD9"/>
    <w:rsid w:val="024AABE9"/>
    <w:rsid w:val="029FDDE7"/>
    <w:rsid w:val="0332EBC3"/>
    <w:rsid w:val="038D3A11"/>
    <w:rsid w:val="03900B0A"/>
    <w:rsid w:val="03CC8789"/>
    <w:rsid w:val="04B47B65"/>
    <w:rsid w:val="04D098C7"/>
    <w:rsid w:val="04E1514D"/>
    <w:rsid w:val="055AE650"/>
    <w:rsid w:val="05A548B6"/>
    <w:rsid w:val="060A4F6A"/>
    <w:rsid w:val="06611BB1"/>
    <w:rsid w:val="079FB84E"/>
    <w:rsid w:val="07A968AE"/>
    <w:rsid w:val="08FC72D3"/>
    <w:rsid w:val="090DEADB"/>
    <w:rsid w:val="09A6BF00"/>
    <w:rsid w:val="0A0970D6"/>
    <w:rsid w:val="0A18FED1"/>
    <w:rsid w:val="0A52641F"/>
    <w:rsid w:val="0AB31043"/>
    <w:rsid w:val="0AF77BAC"/>
    <w:rsid w:val="0B6E78CA"/>
    <w:rsid w:val="0CA9673A"/>
    <w:rsid w:val="0CF3A682"/>
    <w:rsid w:val="0D578FBA"/>
    <w:rsid w:val="0DEA2E03"/>
    <w:rsid w:val="0EED69DF"/>
    <w:rsid w:val="0F01D285"/>
    <w:rsid w:val="0F9E7659"/>
    <w:rsid w:val="0FF882CA"/>
    <w:rsid w:val="1114CC1A"/>
    <w:rsid w:val="115599B1"/>
    <w:rsid w:val="1191C068"/>
    <w:rsid w:val="11DD435F"/>
    <w:rsid w:val="126FEDF3"/>
    <w:rsid w:val="12AEACFA"/>
    <w:rsid w:val="13C1FFA2"/>
    <w:rsid w:val="142165C3"/>
    <w:rsid w:val="14E10115"/>
    <w:rsid w:val="14E64BCA"/>
    <w:rsid w:val="15EFA88E"/>
    <w:rsid w:val="165445E2"/>
    <w:rsid w:val="167FFBDD"/>
    <w:rsid w:val="177BBD2B"/>
    <w:rsid w:val="17BDF0F7"/>
    <w:rsid w:val="186C0B8A"/>
    <w:rsid w:val="18A49ED1"/>
    <w:rsid w:val="18C4487A"/>
    <w:rsid w:val="18F7931D"/>
    <w:rsid w:val="19441ED4"/>
    <w:rsid w:val="19CD8CE0"/>
    <w:rsid w:val="19DB3748"/>
    <w:rsid w:val="1A7E6E3E"/>
    <w:rsid w:val="1B136460"/>
    <w:rsid w:val="1B3BFEEA"/>
    <w:rsid w:val="1BF0B2B8"/>
    <w:rsid w:val="1E989C34"/>
    <w:rsid w:val="1E9C7B40"/>
    <w:rsid w:val="1EC2D9AF"/>
    <w:rsid w:val="1EC9F1F5"/>
    <w:rsid w:val="1F832366"/>
    <w:rsid w:val="1FEBCE53"/>
    <w:rsid w:val="1FED8B75"/>
    <w:rsid w:val="1FFA08BE"/>
    <w:rsid w:val="20AC74FF"/>
    <w:rsid w:val="216F5BFA"/>
    <w:rsid w:val="22B18E33"/>
    <w:rsid w:val="22B2A0BD"/>
    <w:rsid w:val="22D846CE"/>
    <w:rsid w:val="2313DD31"/>
    <w:rsid w:val="23269AA5"/>
    <w:rsid w:val="2343BFFB"/>
    <w:rsid w:val="239085E9"/>
    <w:rsid w:val="23F61FB9"/>
    <w:rsid w:val="24E740FF"/>
    <w:rsid w:val="24FE0445"/>
    <w:rsid w:val="24FEDEA6"/>
    <w:rsid w:val="257CE6F3"/>
    <w:rsid w:val="25F14A3E"/>
    <w:rsid w:val="262971DB"/>
    <w:rsid w:val="26B33D3B"/>
    <w:rsid w:val="274A7E23"/>
    <w:rsid w:val="289F0EDA"/>
    <w:rsid w:val="28A6321F"/>
    <w:rsid w:val="28B1EF84"/>
    <w:rsid w:val="2916829E"/>
    <w:rsid w:val="2A92F993"/>
    <w:rsid w:val="2B0AF0F7"/>
    <w:rsid w:val="2B122155"/>
    <w:rsid w:val="2B7FB330"/>
    <w:rsid w:val="2BBE09D3"/>
    <w:rsid w:val="2C471ABC"/>
    <w:rsid w:val="2C6F6CA5"/>
    <w:rsid w:val="2CF8640C"/>
    <w:rsid w:val="2D151035"/>
    <w:rsid w:val="2D76C8CB"/>
    <w:rsid w:val="2DC814B3"/>
    <w:rsid w:val="2DF0C7D8"/>
    <w:rsid w:val="2DF27E8A"/>
    <w:rsid w:val="2DF2AE35"/>
    <w:rsid w:val="2DFD8845"/>
    <w:rsid w:val="2E10151B"/>
    <w:rsid w:val="2E7AB378"/>
    <w:rsid w:val="2ECA3DDA"/>
    <w:rsid w:val="2F196266"/>
    <w:rsid w:val="306EB806"/>
    <w:rsid w:val="308B4711"/>
    <w:rsid w:val="30B99E35"/>
    <w:rsid w:val="31A98930"/>
    <w:rsid w:val="322E2BEF"/>
    <w:rsid w:val="3249BEFC"/>
    <w:rsid w:val="3261CDEE"/>
    <w:rsid w:val="329D719A"/>
    <w:rsid w:val="335B79FB"/>
    <w:rsid w:val="33A5FE71"/>
    <w:rsid w:val="33B7330D"/>
    <w:rsid w:val="34169E45"/>
    <w:rsid w:val="3469A58C"/>
    <w:rsid w:val="3484BAF8"/>
    <w:rsid w:val="34AD2B7B"/>
    <w:rsid w:val="354FE0FA"/>
    <w:rsid w:val="356CBB68"/>
    <w:rsid w:val="3585FAC6"/>
    <w:rsid w:val="359CCBEA"/>
    <w:rsid w:val="35F0E324"/>
    <w:rsid w:val="3649EB89"/>
    <w:rsid w:val="365012A5"/>
    <w:rsid w:val="371F8663"/>
    <w:rsid w:val="373B023E"/>
    <w:rsid w:val="37AD611C"/>
    <w:rsid w:val="39E3AF54"/>
    <w:rsid w:val="3A3A9800"/>
    <w:rsid w:val="3AA38FC5"/>
    <w:rsid w:val="3AF7CEBB"/>
    <w:rsid w:val="3B595B43"/>
    <w:rsid w:val="3C81E152"/>
    <w:rsid w:val="3CB731B9"/>
    <w:rsid w:val="3D8C3E45"/>
    <w:rsid w:val="3E2431C8"/>
    <w:rsid w:val="3E309426"/>
    <w:rsid w:val="3EEEC68D"/>
    <w:rsid w:val="404860F6"/>
    <w:rsid w:val="4089ED3D"/>
    <w:rsid w:val="40B81269"/>
    <w:rsid w:val="4167E5A1"/>
    <w:rsid w:val="419BAFF1"/>
    <w:rsid w:val="41E1BFB7"/>
    <w:rsid w:val="424A1A96"/>
    <w:rsid w:val="42D3E258"/>
    <w:rsid w:val="43085615"/>
    <w:rsid w:val="430AB5B4"/>
    <w:rsid w:val="441A6F00"/>
    <w:rsid w:val="445BDFA5"/>
    <w:rsid w:val="44CDE43C"/>
    <w:rsid w:val="45731A5C"/>
    <w:rsid w:val="4581D02E"/>
    <w:rsid w:val="458CAEE2"/>
    <w:rsid w:val="45D6D85E"/>
    <w:rsid w:val="462B418D"/>
    <w:rsid w:val="464DF2CA"/>
    <w:rsid w:val="4667164C"/>
    <w:rsid w:val="477165F6"/>
    <w:rsid w:val="47D0A1FD"/>
    <w:rsid w:val="47D4F9E4"/>
    <w:rsid w:val="47FC24F0"/>
    <w:rsid w:val="48C4DFCB"/>
    <w:rsid w:val="48D7073F"/>
    <w:rsid w:val="48E5CBDB"/>
    <w:rsid w:val="490C80AA"/>
    <w:rsid w:val="4944EB39"/>
    <w:rsid w:val="49962AF0"/>
    <w:rsid w:val="49CF40ED"/>
    <w:rsid w:val="4A5559C3"/>
    <w:rsid w:val="4A843FDE"/>
    <w:rsid w:val="4AE08223"/>
    <w:rsid w:val="4B488958"/>
    <w:rsid w:val="4C8B3496"/>
    <w:rsid w:val="4CD1C43B"/>
    <w:rsid w:val="4D0E0DB9"/>
    <w:rsid w:val="4D4D794A"/>
    <w:rsid w:val="4DACA014"/>
    <w:rsid w:val="4DC3B234"/>
    <w:rsid w:val="4DEAE496"/>
    <w:rsid w:val="4DF114E9"/>
    <w:rsid w:val="4E0EFBAD"/>
    <w:rsid w:val="4EBBF258"/>
    <w:rsid w:val="4F09F246"/>
    <w:rsid w:val="4F1062C8"/>
    <w:rsid w:val="4F45D6CC"/>
    <w:rsid w:val="4F5849C8"/>
    <w:rsid w:val="4F5B3DF8"/>
    <w:rsid w:val="512FF9E4"/>
    <w:rsid w:val="515054E0"/>
    <w:rsid w:val="518C4D03"/>
    <w:rsid w:val="51E4A045"/>
    <w:rsid w:val="5215AD21"/>
    <w:rsid w:val="523AC7DA"/>
    <w:rsid w:val="52558C08"/>
    <w:rsid w:val="528CBF2D"/>
    <w:rsid w:val="5294D9D3"/>
    <w:rsid w:val="529FDBD5"/>
    <w:rsid w:val="531DB683"/>
    <w:rsid w:val="5342EC70"/>
    <w:rsid w:val="53AC0E81"/>
    <w:rsid w:val="53E04172"/>
    <w:rsid w:val="5408289E"/>
    <w:rsid w:val="547D0D19"/>
    <w:rsid w:val="5495049B"/>
    <w:rsid w:val="56CEC816"/>
    <w:rsid w:val="574FA214"/>
    <w:rsid w:val="57BC829C"/>
    <w:rsid w:val="599A5662"/>
    <w:rsid w:val="59BF21B0"/>
    <w:rsid w:val="5A725195"/>
    <w:rsid w:val="5B0854E6"/>
    <w:rsid w:val="5B0E8116"/>
    <w:rsid w:val="5B6CEF6A"/>
    <w:rsid w:val="5B883ADD"/>
    <w:rsid w:val="5BBD2069"/>
    <w:rsid w:val="5BD8B2A6"/>
    <w:rsid w:val="5C3DDE41"/>
    <w:rsid w:val="5C807A34"/>
    <w:rsid w:val="5C8C37E8"/>
    <w:rsid w:val="5D3B6311"/>
    <w:rsid w:val="5D712671"/>
    <w:rsid w:val="5DA7283B"/>
    <w:rsid w:val="5DEE7956"/>
    <w:rsid w:val="5EED2902"/>
    <w:rsid w:val="5EF2224B"/>
    <w:rsid w:val="5F5621A8"/>
    <w:rsid w:val="5F8D179F"/>
    <w:rsid w:val="5FE7A8E4"/>
    <w:rsid w:val="60AE864A"/>
    <w:rsid w:val="616CB75D"/>
    <w:rsid w:val="61BC3DCC"/>
    <w:rsid w:val="61F251A2"/>
    <w:rsid w:val="6220271E"/>
    <w:rsid w:val="624C9B7D"/>
    <w:rsid w:val="635A68F1"/>
    <w:rsid w:val="64B05468"/>
    <w:rsid w:val="652CFED0"/>
    <w:rsid w:val="6556B220"/>
    <w:rsid w:val="66A4E63D"/>
    <w:rsid w:val="67167D49"/>
    <w:rsid w:val="67596763"/>
    <w:rsid w:val="67A3A620"/>
    <w:rsid w:val="67B3795C"/>
    <w:rsid w:val="68758BA1"/>
    <w:rsid w:val="68DF7C6B"/>
    <w:rsid w:val="68E71866"/>
    <w:rsid w:val="691A498C"/>
    <w:rsid w:val="697811FF"/>
    <w:rsid w:val="6A1F4D4A"/>
    <w:rsid w:val="6ABA35DF"/>
    <w:rsid w:val="6ABB6D54"/>
    <w:rsid w:val="6ADEEB65"/>
    <w:rsid w:val="6B32D7C8"/>
    <w:rsid w:val="6B644D2E"/>
    <w:rsid w:val="6C0DC89C"/>
    <w:rsid w:val="6C58C3AC"/>
    <w:rsid w:val="6D0B40E3"/>
    <w:rsid w:val="6DFD60BD"/>
    <w:rsid w:val="6EF44A87"/>
    <w:rsid w:val="70002A5B"/>
    <w:rsid w:val="701F78CF"/>
    <w:rsid w:val="7134AD06"/>
    <w:rsid w:val="714447A6"/>
    <w:rsid w:val="71508D33"/>
    <w:rsid w:val="7151A527"/>
    <w:rsid w:val="7195765C"/>
    <w:rsid w:val="728AE773"/>
    <w:rsid w:val="7327257A"/>
    <w:rsid w:val="73863F63"/>
    <w:rsid w:val="74813E62"/>
    <w:rsid w:val="74C47D0D"/>
    <w:rsid w:val="74D59902"/>
    <w:rsid w:val="7525C5A2"/>
    <w:rsid w:val="75804145"/>
    <w:rsid w:val="75BF455E"/>
    <w:rsid w:val="75FB6EBF"/>
    <w:rsid w:val="762AFB60"/>
    <w:rsid w:val="771E46DE"/>
    <w:rsid w:val="7783F108"/>
    <w:rsid w:val="77997F4F"/>
    <w:rsid w:val="77A2E308"/>
    <w:rsid w:val="77E90CD3"/>
    <w:rsid w:val="7940A877"/>
    <w:rsid w:val="79F62CA4"/>
    <w:rsid w:val="7A7648D8"/>
    <w:rsid w:val="7A999BAD"/>
    <w:rsid w:val="7AABB08F"/>
    <w:rsid w:val="7B1BBBA2"/>
    <w:rsid w:val="7BF177C2"/>
    <w:rsid w:val="7C020951"/>
    <w:rsid w:val="7C060156"/>
    <w:rsid w:val="7C1CE343"/>
    <w:rsid w:val="7C42E846"/>
    <w:rsid w:val="7C57D8A2"/>
    <w:rsid w:val="7D12C350"/>
    <w:rsid w:val="7DFD07F5"/>
    <w:rsid w:val="7E28FE5F"/>
    <w:rsid w:val="7FD3C49B"/>
    <w:rsid w:val="7FD9D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3E258"/>
  <w15:chartTrackingRefBased/>
  <w15:docId w15:val="{52BB5BE0-2384-4EFD-8798-3440A3A92C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134AD06"/>
    <w:rPr>
      <w:color w:val="467886"/>
      <w:u w:val="single"/>
    </w:rPr>
  </w:style>
  <w:style w:type="paragraph" w:styleId="ListParagraph">
    <w:uiPriority w:val="34"/>
    <w:name w:val="List Paragraph"/>
    <w:basedOn w:val="Normal"/>
    <w:qFormat/>
    <w:rsid w:val="4DACA01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1f0fd7ffb154ae8" /><Relationship Type="http://schemas.openxmlformats.org/officeDocument/2006/relationships/hyperlink" Target="https://www.aarp.org/research/" TargetMode="External" Id="R54b89feb656d4561" /><Relationship Type="http://schemas.openxmlformats.org/officeDocument/2006/relationships/hyperlink" Target="https://group.accor.com/en/Actualites/2024/02/2023-full-year-results" TargetMode="External" Id="R8b2052fc067446b3" /><Relationship Type="http://schemas.openxmlformats.org/officeDocument/2006/relationships/hyperlink" Target="https://www2.deloitte.com" TargetMode="External" Id="R5b0c727c9f1d4c41" /><Relationship Type="http://schemas.openxmlformats.org/officeDocument/2006/relationships/hyperlink" Target="https://digital-strategy.ec.europa.eu/en/policies/regulatory-framework-ai" TargetMode="External" Id="R15262475effb4cce" /><Relationship Type="http://schemas.openxmlformats.org/officeDocument/2006/relationships/hyperlink" Target="https://www.expediagroup.com/research" TargetMode="External" Id="Re23b19394f3e41e6" /><Relationship Type="http://schemas.openxmlformats.org/officeDocument/2006/relationships/hyperlink" Target="https://www.technologyreview.com/2023/12/05/1084417/ais-carbon-footprint-is-bigger-than-you-think/.s" TargetMode="External" Id="R2d1a47d6e74643dd" /><Relationship Type="http://schemas.openxmlformats.org/officeDocument/2006/relationships/hyperlink" Target="https://nypost.com/2024/01/23/ai-could-wipe-out-millions-of-jobs-but-also-create-new-ones-wef-report" TargetMode="External" Id="Rec807bd7bd9f49b4" /><Relationship Type="http://schemas.openxmlformats.org/officeDocument/2006/relationships/hyperlink" Target="https://www.pwc.com" TargetMode="External" Id="R2e32def76b2442fd" /><Relationship Type="http://schemas.openxmlformats.org/officeDocument/2006/relationships/hyperlink" Target="https://www.bls.gov/news.release/empsit.nr0.htm" TargetMode="External" Id="Rdf1840b7d19d4c79" /><Relationship Type="http://schemas.openxmlformats.org/officeDocument/2006/relationships/hyperlink" Target="https://www.weforum.org/reports/the-future-of-jobs-report-2023" TargetMode="External" Id="R5082ca6bc7cb4b0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Shah Miah (1911285)</dc:creator>
  <keywords/>
  <dc:description/>
  <lastModifiedBy>Shah Miah (1911285)</lastModifiedBy>
  <revision>10</revision>
  <dcterms:created xsi:type="dcterms:W3CDTF">2025-05-10T20:51:17.1553801Z</dcterms:created>
  <dcterms:modified xsi:type="dcterms:W3CDTF">2025-05-23T22:25:24.1683010Z</dcterms:modified>
</coreProperties>
</file>