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129D7" w:rsidP="00C9A62E" w:rsidRDefault="00A129D7" w14:paraId="411C18B6" w14:textId="27F9BE7F">
      <w:pPr>
        <w:pStyle w:val="Normal"/>
        <w:jc w:val="center"/>
      </w:pPr>
      <w:r w:rsidR="77067036">
        <w:drawing>
          <wp:inline wp14:editId="1AE8E1BF" wp14:anchorId="275FA8DC">
            <wp:extent cx="4010025" cy="1323975"/>
            <wp:effectExtent l="0" t="0" r="0" b="0"/>
            <wp:docPr id="5794814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9481476" name="Picture 579481476"/>
                    <pic:cNvPicPr/>
                  </pic:nvPicPr>
                  <pic:blipFill>
                    <a:blip xmlns:r="http://schemas.openxmlformats.org/officeDocument/2006/relationships" r:embed="rId1077626821">
                      <a:extLst>
                        <a:ext uri="{28A0092B-C50C-407E-A947-70E740481C1C}">
                          <a14:useLocalDpi xmlns:a14="http://schemas.microsoft.com/office/drawing/2010/main"/>
                        </a:ext>
                      </a:extLst>
                    </a:blip>
                    <a:stretch>
                      <a:fillRect/>
                    </a:stretch>
                  </pic:blipFill>
                  <pic:spPr>
                    <a:xfrm>
                      <a:off x="0" y="0"/>
                      <a:ext cx="4010025" cy="1323975"/>
                    </a:xfrm>
                    <a:prstGeom prst="rect">
                      <a:avLst/>
                    </a:prstGeom>
                  </pic:spPr>
                </pic:pic>
              </a:graphicData>
            </a:graphic>
          </wp:inline>
        </w:drawing>
      </w:r>
    </w:p>
    <w:p w:rsidR="00A129D7" w:rsidP="00C9A62E" w:rsidRDefault="00A129D7" w14:paraId="28FDD03C" w14:textId="48D62865">
      <w:pPr>
        <w:pStyle w:val="Normal"/>
        <w:jc w:val="center"/>
      </w:pPr>
    </w:p>
    <w:p w:rsidR="00A129D7" w:rsidP="00C9A62E" w:rsidRDefault="00A129D7" w14:paraId="6B637371" w14:textId="31BC442A">
      <w:pPr>
        <w:pStyle w:val="Normal"/>
        <w:jc w:val="center"/>
      </w:pPr>
    </w:p>
    <w:p w:rsidR="00A129D7" w:rsidP="00C9A62E" w:rsidRDefault="00A129D7" w14:paraId="523242FD" w14:textId="5F118AE6">
      <w:pPr>
        <w:spacing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0C9A62E" w:rsidR="77067036">
        <w:rPr>
          <w:rFonts w:ascii="Arial" w:hAnsi="Arial" w:eastAsia="Arial" w:cs="Arial"/>
          <w:b w:val="0"/>
          <w:bCs w:val="0"/>
          <w:i w:val="0"/>
          <w:iCs w:val="0"/>
          <w:caps w:val="0"/>
          <w:smallCaps w:val="0"/>
          <w:noProof w:val="0"/>
          <w:color w:val="000000" w:themeColor="text1" w:themeTint="FF" w:themeShade="FF"/>
          <w:sz w:val="22"/>
          <w:szCs w:val="22"/>
          <w:lang w:val="en-GB"/>
        </w:rPr>
        <w:t>Rebecca Travers - 2128316</w:t>
      </w:r>
    </w:p>
    <w:p w:rsidR="00A129D7" w:rsidP="00C9A62E" w:rsidRDefault="00A129D7" w14:paraId="0DE6994C" w14:textId="70B87583">
      <w:pPr>
        <w:pStyle w:val="Normal"/>
        <w:suppressLineNumbers w:val="0"/>
        <w:bidi w:val="0"/>
        <w:spacing w:before="0" w:beforeAutospacing="off" w:after="160" w:afterAutospacing="off" w:line="259" w:lineRule="auto"/>
        <w:ind w:left="0" w:right="0"/>
        <w:jc w:val="center"/>
      </w:pPr>
      <w:r w:rsidRPr="00C9A62E" w:rsidR="77067036">
        <w:rPr>
          <w:rFonts w:ascii="Arial" w:hAnsi="Arial" w:eastAsia="Arial" w:cs="Arial"/>
          <w:b w:val="0"/>
          <w:bCs w:val="0"/>
          <w:i w:val="0"/>
          <w:iCs w:val="0"/>
          <w:caps w:val="0"/>
          <w:smallCaps w:val="0"/>
          <w:noProof w:val="0"/>
          <w:color w:val="000000" w:themeColor="text1" w:themeTint="FF" w:themeShade="FF"/>
          <w:sz w:val="22"/>
          <w:szCs w:val="22"/>
          <w:lang w:val="en-GB"/>
        </w:rPr>
        <w:t>MBA International Business</w:t>
      </w:r>
    </w:p>
    <w:p w:rsidR="00A129D7" w:rsidP="00C9A62E" w:rsidRDefault="00A129D7" w14:paraId="0620A1BF" w14:textId="7594F57C">
      <w:pPr>
        <w:spacing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0C9A62E" w:rsidR="77067036">
        <w:rPr>
          <w:rFonts w:ascii="Arial" w:hAnsi="Arial" w:eastAsia="Arial" w:cs="Arial"/>
          <w:b w:val="0"/>
          <w:bCs w:val="0"/>
          <w:i w:val="0"/>
          <w:iCs w:val="0"/>
          <w:caps w:val="0"/>
          <w:smallCaps w:val="0"/>
          <w:noProof w:val="0"/>
          <w:color w:val="000000" w:themeColor="text1" w:themeTint="FF" w:themeShade="FF"/>
          <w:sz w:val="22"/>
          <w:szCs w:val="22"/>
          <w:lang w:val="en-GB"/>
        </w:rPr>
        <w:t xml:space="preserve">Strategic Management </w:t>
      </w:r>
    </w:p>
    <w:p w:rsidR="00A129D7" w:rsidP="00C9A62E" w:rsidRDefault="00A129D7" w14:paraId="5E6CEEC0" w14:textId="6814C604">
      <w:pPr>
        <w:spacing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0C9A62E" w:rsidR="77067036">
        <w:rPr>
          <w:rFonts w:ascii="Arial" w:hAnsi="Arial" w:eastAsia="Arial" w:cs="Arial"/>
          <w:b w:val="0"/>
          <w:bCs w:val="0"/>
          <w:i w:val="0"/>
          <w:iCs w:val="0"/>
          <w:caps w:val="0"/>
          <w:smallCaps w:val="0"/>
          <w:noProof w:val="0"/>
          <w:color w:val="000000" w:themeColor="text1" w:themeTint="FF" w:themeShade="FF"/>
          <w:sz w:val="22"/>
          <w:szCs w:val="22"/>
          <w:lang w:val="en-GB"/>
        </w:rPr>
        <w:t>BMSW6104_BIRM</w:t>
      </w:r>
    </w:p>
    <w:p w:rsidR="00A129D7" w:rsidP="00C9A62E" w:rsidRDefault="00A129D7" w14:paraId="1064A928" w14:textId="355F2D63">
      <w:pPr>
        <w:spacing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0C9A62E" w:rsidR="77067036">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 </w:t>
      </w:r>
      <w:r w:rsidRPr="00C9A62E" w:rsidR="77067036">
        <w:rPr>
          <w:rFonts w:ascii="Arial" w:hAnsi="Arial" w:eastAsia="Arial" w:cs="Arial"/>
          <w:b w:val="0"/>
          <w:bCs w:val="0"/>
          <w:i w:val="0"/>
          <w:iCs w:val="0"/>
          <w:caps w:val="0"/>
          <w:smallCaps w:val="0"/>
          <w:noProof w:val="0"/>
          <w:color w:val="000000" w:themeColor="text1" w:themeTint="FF" w:themeShade="FF"/>
          <w:sz w:val="22"/>
          <w:szCs w:val="22"/>
          <w:lang w:val="en-GB"/>
        </w:rPr>
        <w:t>Zulf</w:t>
      </w:r>
      <w:r w:rsidRPr="00C9A62E" w:rsidR="77067036">
        <w:rPr>
          <w:rFonts w:ascii="Arial" w:hAnsi="Arial" w:eastAsia="Arial" w:cs="Arial"/>
          <w:b w:val="0"/>
          <w:bCs w:val="0"/>
          <w:i w:val="0"/>
          <w:iCs w:val="0"/>
          <w:caps w:val="0"/>
          <w:smallCaps w:val="0"/>
          <w:noProof w:val="0"/>
          <w:color w:val="000000" w:themeColor="text1" w:themeTint="FF" w:themeShade="FF"/>
          <w:sz w:val="22"/>
          <w:szCs w:val="22"/>
          <w:lang w:val="en-GB"/>
        </w:rPr>
        <w:t xml:space="preserve"> Khan</w:t>
      </w:r>
    </w:p>
    <w:p w:rsidR="00A129D7" w:rsidP="00C9A62E" w:rsidRDefault="00A129D7" w14:paraId="5AF0058C" w14:textId="7D61A74A">
      <w:pPr>
        <w:pStyle w:val="Normal"/>
        <w:jc w:val="center"/>
      </w:pPr>
    </w:p>
    <w:p w:rsidR="00A129D7" w:rsidP="00C9A62E" w:rsidRDefault="00A129D7" w14:paraId="148C2265" w14:textId="59764C2E">
      <w:pPr>
        <w:pStyle w:val="Normal"/>
        <w:jc w:val="center"/>
      </w:pPr>
      <w:r>
        <w:br w:type="page"/>
      </w:r>
    </w:p>
    <w:p w:rsidRPr="00A129D7" w:rsidR="00A129D7" w:rsidP="00C9A62E" w:rsidRDefault="00A129D7" w14:paraId="3180A8D9" w14:textId="42FEA14E">
      <w:pPr>
        <w:pStyle w:val="Heading1"/>
        <w:spacing w:line="360" w:lineRule="auto"/>
        <w:jc w:val="both"/>
        <w:rPr>
          <w:rFonts w:ascii="Arial" w:hAnsi="Arial" w:eastAsia="Arial" w:cs="Arial"/>
          <w:b w:val="0"/>
          <w:bCs w:val="0"/>
          <w:color w:val="auto"/>
          <w:sz w:val="24"/>
          <w:szCs w:val="24"/>
          <w:lang w:eastAsia="en-GB"/>
        </w:rPr>
      </w:pPr>
      <w:bookmarkStart w:name="_Toc437986025" w:id="484728604"/>
      <w:r w:rsidRPr="00C9A62E" w:rsidR="6F968453">
        <w:rPr>
          <w:rFonts w:ascii="Arial" w:hAnsi="Arial" w:eastAsia="Arial" w:cs="Arial"/>
          <w:b w:val="0"/>
          <w:bCs w:val="0"/>
          <w:color w:val="auto"/>
          <w:sz w:val="24"/>
          <w:szCs w:val="24"/>
        </w:rPr>
        <w:t>Executive summary</w:t>
      </w:r>
      <w:bookmarkEnd w:id="484728604"/>
    </w:p>
    <w:p w:rsidR="00A129D7" w:rsidP="00C9A62E" w:rsidRDefault="00A129D7" w14:paraId="0D018B8C" w14:textId="6D24742B">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62D498F8">
        <w:rPr>
          <w:rFonts w:ascii="Arial" w:hAnsi="Arial" w:eastAsia="Arial" w:cs="Arial"/>
          <w:b w:val="0"/>
          <w:bCs w:val="0"/>
          <w:noProof w:val="0"/>
          <w:color w:val="auto"/>
          <w:sz w:val="24"/>
          <w:szCs w:val="24"/>
          <w:lang w:val="en-GB"/>
        </w:rPr>
        <w:t xml:space="preserve">China presents both immense opportunities and formidable challenges for streaming platforms like Netflix. With over 1.4 billion people, advanced tech infrastructure, and a growing middle class, the country offers significant potential for subscriber growth. However, strict regulation, </w:t>
      </w:r>
      <w:r w:rsidRPr="00C9A62E" w:rsidR="62D498F8">
        <w:rPr>
          <w:rFonts w:ascii="Arial" w:hAnsi="Arial" w:eastAsia="Arial" w:cs="Arial"/>
          <w:b w:val="0"/>
          <w:bCs w:val="0"/>
          <w:noProof w:val="0"/>
          <w:color w:val="auto"/>
          <w:sz w:val="24"/>
          <w:szCs w:val="24"/>
          <w:lang w:val="en-GB"/>
        </w:rPr>
        <w:t>established</w:t>
      </w:r>
      <w:r w:rsidRPr="00C9A62E" w:rsidR="62D498F8">
        <w:rPr>
          <w:rFonts w:ascii="Arial" w:hAnsi="Arial" w:eastAsia="Arial" w:cs="Arial"/>
          <w:b w:val="0"/>
          <w:bCs w:val="0"/>
          <w:noProof w:val="0"/>
          <w:color w:val="auto"/>
          <w:sz w:val="24"/>
          <w:szCs w:val="24"/>
          <w:lang w:val="en-GB"/>
        </w:rPr>
        <w:t xml:space="preserve"> local streaming giants, and a unique digital environment create barriers to entry. This report evaluates Netflix’s chances and recommends a focused entry strategy. Using PESTLE, Porter’s Five Forces, and VRIO, it finds that while censorship, licensing, and data laws limit access, rising incomes and digital use drive demand for streaming. To succeed, Netflix must prioritise regulatory compliance, cultural adaptation, and local content. Dominant Chinese services—Tencent Video, </w:t>
      </w:r>
      <w:r w:rsidRPr="00C9A62E" w:rsidR="62D498F8">
        <w:rPr>
          <w:rFonts w:ascii="Arial" w:hAnsi="Arial" w:eastAsia="Arial" w:cs="Arial"/>
          <w:b w:val="0"/>
          <w:bCs w:val="0"/>
          <w:noProof w:val="0"/>
          <w:color w:val="auto"/>
          <w:sz w:val="24"/>
          <w:szCs w:val="24"/>
          <w:lang w:val="en-GB"/>
        </w:rPr>
        <w:t>iQIYI</w:t>
      </w:r>
      <w:r w:rsidRPr="00C9A62E" w:rsidR="62D498F8">
        <w:rPr>
          <w:rFonts w:ascii="Arial" w:hAnsi="Arial" w:eastAsia="Arial" w:cs="Arial"/>
          <w:b w:val="0"/>
          <w:bCs w:val="0"/>
          <w:noProof w:val="0"/>
          <w:color w:val="auto"/>
          <w:sz w:val="24"/>
          <w:szCs w:val="24"/>
          <w:lang w:val="en-GB"/>
        </w:rPr>
        <w:t xml:space="preserve">, and Youku—have close ties with regulators and local partners. While Netflix’s platform and brand are strong, a market-entry partnership or joint venture is essential to ensure compliance and content relevance. Building a tailored China portfolio and gradually rolling it out are critical steps. Regular performance reviews through a Balanced Scorecard and creating value under a Triple Bottom Line framework are also recommended. </w:t>
      </w:r>
      <w:r w:rsidRPr="00C9A62E" w:rsidR="62D498F8">
        <w:rPr>
          <w:rFonts w:ascii="Arial" w:hAnsi="Arial" w:eastAsia="Arial" w:cs="Arial"/>
          <w:b w:val="0"/>
          <w:bCs w:val="0"/>
          <w:noProof w:val="0"/>
          <w:color w:val="auto"/>
          <w:sz w:val="24"/>
          <w:szCs w:val="24"/>
          <w:lang w:val="en-GB"/>
        </w:rPr>
        <w:t>Ultimately, Netflix</w:t>
      </w:r>
      <w:r w:rsidRPr="00C9A62E" w:rsidR="62D498F8">
        <w:rPr>
          <w:rFonts w:ascii="Arial" w:hAnsi="Arial" w:eastAsia="Arial" w:cs="Arial"/>
          <w:b w:val="0"/>
          <w:bCs w:val="0"/>
          <w:noProof w:val="0"/>
          <w:color w:val="auto"/>
          <w:sz w:val="24"/>
          <w:szCs w:val="24"/>
          <w:lang w:val="en-GB"/>
        </w:rPr>
        <w:t xml:space="preserve"> can only succeed in China by pursuing disciplined, locally driven strategies, forming robust partnerships, and adapting global strengths to Chinese expectations.</w:t>
      </w:r>
    </w:p>
    <w:p w:rsidR="00A129D7" w:rsidP="00C9A62E" w:rsidRDefault="00A129D7" w14:paraId="560AB64F" w14:textId="1BC9F21E">
      <w:pPr>
        <w:spacing w:before="120" w:beforeAutospacing="off" w:after="120" w:afterAutospacing="off" w:line="360" w:lineRule="auto"/>
        <w:jc w:val="both"/>
        <w:rPr>
          <w:rFonts w:ascii="Arial" w:hAnsi="Arial" w:eastAsia="Arial" w:cs="Arial"/>
          <w:b w:val="0"/>
          <w:bCs w:val="0"/>
          <w:noProof w:val="0"/>
          <w:color w:val="auto"/>
          <w:sz w:val="24"/>
          <w:szCs w:val="24"/>
          <w:lang w:val="en-GB"/>
        </w:rPr>
      </w:pPr>
    </w:p>
    <w:p w:rsidR="00A129D7" w:rsidP="00C9A62E" w:rsidRDefault="00A129D7" w14:paraId="6F114B7D" w14:textId="1F68688E">
      <w:pPr>
        <w:pStyle w:val="Normal"/>
        <w:spacing w:line="360" w:lineRule="auto"/>
        <w:jc w:val="both"/>
        <w:rPr>
          <w:rFonts w:ascii="Arial" w:hAnsi="Arial" w:eastAsia="Arial" w:cs="Arial"/>
          <w:b w:val="0"/>
          <w:bCs w:val="0"/>
          <w:color w:val="auto"/>
          <w:sz w:val="24"/>
          <w:szCs w:val="24"/>
        </w:rPr>
      </w:pPr>
    </w:p>
    <w:p w:rsidR="00C9A62E" w:rsidP="00C9A62E" w:rsidRDefault="00C9A62E" w14:paraId="3D7D5491" w14:textId="5465693D">
      <w:pPr>
        <w:spacing w:line="360" w:lineRule="auto"/>
        <w:jc w:val="both"/>
        <w:rPr>
          <w:rFonts w:ascii="Arial" w:hAnsi="Arial" w:eastAsia="Arial" w:cs="Arial"/>
          <w:b w:val="0"/>
          <w:bCs w:val="0"/>
          <w:color w:val="auto"/>
          <w:sz w:val="24"/>
          <w:szCs w:val="24"/>
        </w:rPr>
      </w:pPr>
      <w:r w:rsidRPr="00C9A62E">
        <w:rPr>
          <w:rFonts w:ascii="Arial" w:hAnsi="Arial" w:eastAsia="Arial" w:cs="Arial"/>
          <w:b w:val="0"/>
          <w:bCs w:val="0"/>
          <w:color w:val="auto"/>
          <w:sz w:val="24"/>
          <w:szCs w:val="24"/>
        </w:rPr>
        <w:br w:type="page"/>
      </w:r>
    </w:p>
    <w:p w:rsidR="00C9A62E" w:rsidP="00C9A62E" w:rsidRDefault="00C9A62E" w14:paraId="0884F01E" w14:textId="7DAA2536">
      <w:pPr>
        <w:pStyle w:val="Normal"/>
        <w:spacing w:line="360" w:lineRule="auto"/>
        <w:jc w:val="both"/>
        <w:rPr>
          <w:rFonts w:ascii="Arial" w:hAnsi="Arial" w:eastAsia="Arial" w:cs="Arial"/>
          <w:b w:val="0"/>
          <w:bCs w:val="0"/>
          <w:color w:val="auto"/>
          <w:sz w:val="24"/>
          <w:szCs w:val="24"/>
        </w:rPr>
      </w:pPr>
    </w:p>
    <w:sdt>
      <w:sdtPr>
        <w:id w:val="1286976814"/>
        <w:docPartObj>
          <w:docPartGallery w:val="Table of Contents"/>
          <w:docPartUnique/>
        </w:docPartObj>
      </w:sdtPr>
      <w:sdtContent>
        <w:p w:rsidR="00A129D7" w:rsidP="00C9A62E" w:rsidRDefault="00A129D7" w14:paraId="1D7D0F0F" w14:textId="2F8DD42B">
          <w:pPr>
            <w:pStyle w:val="TOCHeading"/>
            <w:spacing w:line="360" w:lineRule="auto"/>
            <w:jc w:val="both"/>
            <w:rPr>
              <w:rFonts w:ascii="Arial" w:hAnsi="Arial" w:eastAsia="Arial" w:cs="Arial"/>
              <w:b w:val="0"/>
              <w:bCs w:val="0"/>
              <w:color w:val="auto"/>
              <w:sz w:val="24"/>
              <w:szCs w:val="24"/>
            </w:rPr>
          </w:pPr>
          <w:r w:rsidRPr="00C9A62E" w:rsidR="20DC2CAB">
            <w:rPr>
              <w:rFonts w:ascii="Arial" w:hAnsi="Arial" w:eastAsia="Arial" w:cs="Arial"/>
              <w:b w:val="0"/>
              <w:bCs w:val="0"/>
              <w:color w:val="auto"/>
              <w:sz w:val="24"/>
              <w:szCs w:val="24"/>
            </w:rPr>
            <w:t>Table of Contents</w:t>
          </w:r>
        </w:p>
        <w:p w:rsidR="00CD5E49" w:rsidP="00C9A62E" w:rsidRDefault="4A7425AA" w14:paraId="50DFEE94" w14:textId="5ECDDB71">
          <w:pPr>
            <w:pStyle w:val="TOC1"/>
            <w:tabs>
              <w:tab w:val="right" w:leader="dot" w:pos="9015"/>
            </w:tabs>
            <w:rPr>
              <w:rStyle w:val="Hyperlink"/>
              <w:noProof/>
              <w:lang w:eastAsia="en-GB"/>
            </w:rPr>
          </w:pPr>
          <w:r>
            <w:fldChar w:fldCharType="begin"/>
          </w:r>
          <w:r>
            <w:instrText xml:space="preserve">TOC \o "1-3" \z \u \h</w:instrText>
          </w:r>
          <w:r>
            <w:fldChar w:fldCharType="separate"/>
          </w:r>
          <w:hyperlink w:anchor="_Toc437986025">
            <w:r w:rsidRPr="00C9A62E" w:rsidR="00C9A62E">
              <w:rPr>
                <w:rStyle w:val="Hyperlink"/>
              </w:rPr>
              <w:t>Executive summary</w:t>
            </w:r>
            <w:r>
              <w:tab/>
            </w:r>
            <w:r>
              <w:fldChar w:fldCharType="begin"/>
            </w:r>
            <w:r>
              <w:instrText xml:space="preserve">PAGEREF _Toc437986025 \h</w:instrText>
            </w:r>
            <w:r>
              <w:fldChar w:fldCharType="separate"/>
            </w:r>
            <w:r w:rsidRPr="00C9A62E" w:rsidR="00C9A62E">
              <w:rPr>
                <w:rStyle w:val="Hyperlink"/>
              </w:rPr>
              <w:t>1</w:t>
            </w:r>
            <w:r>
              <w:fldChar w:fldCharType="end"/>
            </w:r>
          </w:hyperlink>
        </w:p>
        <w:p w:rsidR="00CD5E49" w:rsidP="00C9A62E" w:rsidRDefault="4A7425AA" w14:paraId="39D08DB7" w14:textId="50503EB1">
          <w:pPr>
            <w:pStyle w:val="TOC1"/>
            <w:tabs>
              <w:tab w:val="right" w:leader="dot" w:pos="9015"/>
            </w:tabs>
            <w:rPr>
              <w:rStyle w:val="Hyperlink"/>
              <w:noProof/>
            </w:rPr>
          </w:pPr>
          <w:hyperlink w:anchor="_Toc1183399809">
            <w:r w:rsidRPr="00C9A62E" w:rsidR="00C9A62E">
              <w:rPr>
                <w:rStyle w:val="Hyperlink"/>
              </w:rPr>
              <w:t>Introduction</w:t>
            </w:r>
            <w:r>
              <w:tab/>
            </w:r>
            <w:r>
              <w:fldChar w:fldCharType="begin"/>
            </w:r>
            <w:r>
              <w:instrText xml:space="preserve">PAGEREF _Toc1183399809 \h</w:instrText>
            </w:r>
            <w:r>
              <w:fldChar w:fldCharType="separate"/>
            </w:r>
            <w:r w:rsidRPr="00C9A62E" w:rsidR="00C9A62E">
              <w:rPr>
                <w:rStyle w:val="Hyperlink"/>
              </w:rPr>
              <w:t>3</w:t>
            </w:r>
            <w:r>
              <w:fldChar w:fldCharType="end"/>
            </w:r>
          </w:hyperlink>
        </w:p>
        <w:p w:rsidR="00CD5E49" w:rsidP="00C9A62E" w:rsidRDefault="4A7425AA" w14:paraId="10D9792E" w14:textId="51F4884A">
          <w:pPr>
            <w:pStyle w:val="TOC1"/>
            <w:tabs>
              <w:tab w:val="right" w:leader="dot" w:pos="9015"/>
            </w:tabs>
            <w:rPr>
              <w:rStyle w:val="Hyperlink"/>
              <w:noProof/>
              <w:lang w:eastAsia="en-GB"/>
            </w:rPr>
          </w:pPr>
          <w:hyperlink w:anchor="_Toc349291085">
            <w:r w:rsidRPr="00C9A62E" w:rsidR="00C9A62E">
              <w:rPr>
                <w:rStyle w:val="Hyperlink"/>
              </w:rPr>
              <w:t>Netflix: Current Situation</w:t>
            </w:r>
            <w:r>
              <w:tab/>
            </w:r>
            <w:r>
              <w:fldChar w:fldCharType="begin"/>
            </w:r>
            <w:r>
              <w:instrText xml:space="preserve">PAGEREF _Toc349291085 \h</w:instrText>
            </w:r>
            <w:r>
              <w:fldChar w:fldCharType="separate"/>
            </w:r>
            <w:r w:rsidRPr="00C9A62E" w:rsidR="00C9A62E">
              <w:rPr>
                <w:rStyle w:val="Hyperlink"/>
              </w:rPr>
              <w:t>4</w:t>
            </w:r>
            <w:r>
              <w:fldChar w:fldCharType="end"/>
            </w:r>
          </w:hyperlink>
        </w:p>
        <w:p w:rsidR="4A7425AA" w:rsidP="00C9A62E" w:rsidRDefault="4A7425AA" w14:paraId="130230D4" w14:textId="0B6F1632">
          <w:pPr>
            <w:pStyle w:val="TOC2"/>
            <w:tabs>
              <w:tab w:val="right" w:leader="dot" w:pos="9015"/>
            </w:tabs>
            <w:rPr>
              <w:rStyle w:val="Hyperlink"/>
            </w:rPr>
          </w:pPr>
          <w:hyperlink w:anchor="_Toc404360204">
            <w:r w:rsidRPr="00C9A62E" w:rsidR="00C9A62E">
              <w:rPr>
                <w:rStyle w:val="Hyperlink"/>
              </w:rPr>
              <w:t>Target Market</w:t>
            </w:r>
            <w:r>
              <w:tab/>
            </w:r>
            <w:r>
              <w:fldChar w:fldCharType="begin"/>
            </w:r>
            <w:r>
              <w:instrText xml:space="preserve">PAGEREF _Toc404360204 \h</w:instrText>
            </w:r>
            <w:r>
              <w:fldChar w:fldCharType="separate"/>
            </w:r>
            <w:r w:rsidRPr="00C9A62E" w:rsidR="00C9A62E">
              <w:rPr>
                <w:rStyle w:val="Hyperlink"/>
              </w:rPr>
              <w:t>6</w:t>
            </w:r>
            <w:r>
              <w:fldChar w:fldCharType="end"/>
            </w:r>
          </w:hyperlink>
        </w:p>
        <w:p w:rsidR="00C9A62E" w:rsidP="00C9A62E" w:rsidRDefault="00C9A62E" w14:paraId="6FC0B578" w14:textId="10A9E0A7">
          <w:pPr>
            <w:pStyle w:val="TOC1"/>
            <w:tabs>
              <w:tab w:val="right" w:leader="dot" w:pos="9015"/>
            </w:tabs>
            <w:rPr>
              <w:rStyle w:val="Hyperlink"/>
            </w:rPr>
          </w:pPr>
          <w:hyperlink w:anchor="_Toc2078260966">
            <w:r w:rsidRPr="00C9A62E" w:rsidR="00C9A62E">
              <w:rPr>
                <w:rStyle w:val="Hyperlink"/>
              </w:rPr>
              <w:t>Comprehensive Strategic Analysis</w:t>
            </w:r>
            <w:r>
              <w:tab/>
            </w:r>
            <w:r>
              <w:fldChar w:fldCharType="begin"/>
            </w:r>
            <w:r>
              <w:instrText xml:space="preserve">PAGEREF _Toc2078260966 \h</w:instrText>
            </w:r>
            <w:r>
              <w:fldChar w:fldCharType="separate"/>
            </w:r>
            <w:r w:rsidRPr="00C9A62E" w:rsidR="00C9A62E">
              <w:rPr>
                <w:rStyle w:val="Hyperlink"/>
              </w:rPr>
              <w:t>6</w:t>
            </w:r>
            <w:r>
              <w:fldChar w:fldCharType="end"/>
            </w:r>
          </w:hyperlink>
        </w:p>
        <w:p w:rsidR="00C9A62E" w:rsidP="00C9A62E" w:rsidRDefault="00C9A62E" w14:paraId="4F5FEE16" w14:textId="10007B94">
          <w:pPr>
            <w:pStyle w:val="TOC2"/>
            <w:tabs>
              <w:tab w:val="right" w:leader="dot" w:pos="9015"/>
            </w:tabs>
            <w:rPr>
              <w:rStyle w:val="Hyperlink"/>
            </w:rPr>
          </w:pPr>
          <w:hyperlink w:anchor="_Toc253564526">
            <w:r w:rsidRPr="00C9A62E" w:rsidR="00C9A62E">
              <w:rPr>
                <w:rStyle w:val="Hyperlink"/>
              </w:rPr>
              <w:t>1. PESTLE Analysis</w:t>
            </w:r>
            <w:r>
              <w:tab/>
            </w:r>
            <w:r>
              <w:fldChar w:fldCharType="begin"/>
            </w:r>
            <w:r>
              <w:instrText xml:space="preserve">PAGEREF _Toc253564526 \h</w:instrText>
            </w:r>
            <w:r>
              <w:fldChar w:fldCharType="separate"/>
            </w:r>
            <w:r w:rsidRPr="00C9A62E" w:rsidR="00C9A62E">
              <w:rPr>
                <w:rStyle w:val="Hyperlink"/>
              </w:rPr>
              <w:t>7</w:t>
            </w:r>
            <w:r>
              <w:fldChar w:fldCharType="end"/>
            </w:r>
          </w:hyperlink>
        </w:p>
        <w:p w:rsidR="00C9A62E" w:rsidP="00C9A62E" w:rsidRDefault="00C9A62E" w14:paraId="0358604C" w14:textId="5F569C55">
          <w:pPr>
            <w:pStyle w:val="TOC3"/>
            <w:tabs>
              <w:tab w:val="right" w:leader="dot" w:pos="9015"/>
            </w:tabs>
            <w:rPr>
              <w:rStyle w:val="Hyperlink"/>
            </w:rPr>
          </w:pPr>
          <w:hyperlink w:anchor="_Toc209231532">
            <w:r w:rsidRPr="00C9A62E" w:rsidR="00C9A62E">
              <w:rPr>
                <w:rStyle w:val="Hyperlink"/>
              </w:rPr>
              <w:t>Political Factors</w:t>
            </w:r>
            <w:r>
              <w:tab/>
            </w:r>
            <w:r>
              <w:fldChar w:fldCharType="begin"/>
            </w:r>
            <w:r>
              <w:instrText xml:space="preserve">PAGEREF _Toc209231532 \h</w:instrText>
            </w:r>
            <w:r>
              <w:fldChar w:fldCharType="separate"/>
            </w:r>
            <w:r w:rsidRPr="00C9A62E" w:rsidR="00C9A62E">
              <w:rPr>
                <w:rStyle w:val="Hyperlink"/>
              </w:rPr>
              <w:t>7</w:t>
            </w:r>
            <w:r>
              <w:fldChar w:fldCharType="end"/>
            </w:r>
          </w:hyperlink>
        </w:p>
        <w:p w:rsidR="00C9A62E" w:rsidP="00C9A62E" w:rsidRDefault="00C9A62E" w14:paraId="585D3AFB" w14:textId="1238785E">
          <w:pPr>
            <w:pStyle w:val="TOC3"/>
            <w:tabs>
              <w:tab w:val="right" w:leader="dot" w:pos="9015"/>
            </w:tabs>
            <w:rPr>
              <w:rStyle w:val="Hyperlink"/>
            </w:rPr>
          </w:pPr>
          <w:hyperlink w:anchor="_Toc2065939429">
            <w:r w:rsidRPr="00C9A62E" w:rsidR="00C9A62E">
              <w:rPr>
                <w:rStyle w:val="Hyperlink"/>
              </w:rPr>
              <w:t>Economic Factors</w:t>
            </w:r>
            <w:r>
              <w:tab/>
            </w:r>
            <w:r>
              <w:fldChar w:fldCharType="begin"/>
            </w:r>
            <w:r>
              <w:instrText xml:space="preserve">PAGEREF _Toc2065939429 \h</w:instrText>
            </w:r>
            <w:r>
              <w:fldChar w:fldCharType="separate"/>
            </w:r>
            <w:r w:rsidRPr="00C9A62E" w:rsidR="00C9A62E">
              <w:rPr>
                <w:rStyle w:val="Hyperlink"/>
              </w:rPr>
              <w:t>7</w:t>
            </w:r>
            <w:r>
              <w:fldChar w:fldCharType="end"/>
            </w:r>
          </w:hyperlink>
        </w:p>
        <w:p w:rsidR="00C9A62E" w:rsidP="00C9A62E" w:rsidRDefault="00C9A62E" w14:paraId="6B1C6E39" w14:textId="7BEC51CF">
          <w:pPr>
            <w:pStyle w:val="TOC3"/>
            <w:tabs>
              <w:tab w:val="right" w:leader="dot" w:pos="9015"/>
            </w:tabs>
            <w:rPr>
              <w:rStyle w:val="Hyperlink"/>
            </w:rPr>
          </w:pPr>
          <w:hyperlink w:anchor="_Toc1587051446">
            <w:r w:rsidRPr="00C9A62E" w:rsidR="00C9A62E">
              <w:rPr>
                <w:rStyle w:val="Hyperlink"/>
              </w:rPr>
              <w:t>Social Factors</w:t>
            </w:r>
            <w:r>
              <w:tab/>
            </w:r>
            <w:r>
              <w:fldChar w:fldCharType="begin"/>
            </w:r>
            <w:r>
              <w:instrText xml:space="preserve">PAGEREF _Toc1587051446 \h</w:instrText>
            </w:r>
            <w:r>
              <w:fldChar w:fldCharType="separate"/>
            </w:r>
            <w:r w:rsidRPr="00C9A62E" w:rsidR="00C9A62E">
              <w:rPr>
                <w:rStyle w:val="Hyperlink"/>
              </w:rPr>
              <w:t>8</w:t>
            </w:r>
            <w:r>
              <w:fldChar w:fldCharType="end"/>
            </w:r>
          </w:hyperlink>
        </w:p>
        <w:p w:rsidR="00C9A62E" w:rsidP="00C9A62E" w:rsidRDefault="00C9A62E" w14:paraId="17E5CEA2" w14:textId="6C0304EB">
          <w:pPr>
            <w:pStyle w:val="TOC3"/>
            <w:tabs>
              <w:tab w:val="right" w:leader="dot" w:pos="9015"/>
            </w:tabs>
            <w:rPr>
              <w:rStyle w:val="Hyperlink"/>
            </w:rPr>
          </w:pPr>
          <w:hyperlink w:anchor="_Toc1372474373">
            <w:r w:rsidRPr="00C9A62E" w:rsidR="00C9A62E">
              <w:rPr>
                <w:rStyle w:val="Hyperlink"/>
              </w:rPr>
              <w:t>Technological Factors</w:t>
            </w:r>
            <w:r>
              <w:tab/>
            </w:r>
            <w:r>
              <w:fldChar w:fldCharType="begin"/>
            </w:r>
            <w:r>
              <w:instrText xml:space="preserve">PAGEREF _Toc1372474373 \h</w:instrText>
            </w:r>
            <w:r>
              <w:fldChar w:fldCharType="separate"/>
            </w:r>
            <w:r w:rsidRPr="00C9A62E" w:rsidR="00C9A62E">
              <w:rPr>
                <w:rStyle w:val="Hyperlink"/>
              </w:rPr>
              <w:t>8</w:t>
            </w:r>
            <w:r>
              <w:fldChar w:fldCharType="end"/>
            </w:r>
          </w:hyperlink>
        </w:p>
        <w:p w:rsidR="00C9A62E" w:rsidP="00C9A62E" w:rsidRDefault="00C9A62E" w14:paraId="70C832CA" w14:textId="03F4A202">
          <w:pPr>
            <w:pStyle w:val="TOC3"/>
            <w:tabs>
              <w:tab w:val="right" w:leader="dot" w:pos="9015"/>
            </w:tabs>
            <w:rPr>
              <w:rStyle w:val="Hyperlink"/>
            </w:rPr>
          </w:pPr>
          <w:hyperlink w:anchor="_Toc968335873">
            <w:r w:rsidRPr="00C9A62E" w:rsidR="00C9A62E">
              <w:rPr>
                <w:rStyle w:val="Hyperlink"/>
              </w:rPr>
              <w:t>Legal Factors</w:t>
            </w:r>
            <w:r>
              <w:tab/>
            </w:r>
            <w:r>
              <w:fldChar w:fldCharType="begin"/>
            </w:r>
            <w:r>
              <w:instrText xml:space="preserve">PAGEREF _Toc968335873 \h</w:instrText>
            </w:r>
            <w:r>
              <w:fldChar w:fldCharType="separate"/>
            </w:r>
            <w:r w:rsidRPr="00C9A62E" w:rsidR="00C9A62E">
              <w:rPr>
                <w:rStyle w:val="Hyperlink"/>
              </w:rPr>
              <w:t>9</w:t>
            </w:r>
            <w:r>
              <w:fldChar w:fldCharType="end"/>
            </w:r>
          </w:hyperlink>
        </w:p>
        <w:p w:rsidR="00C9A62E" w:rsidP="00C9A62E" w:rsidRDefault="00C9A62E" w14:paraId="2C61D79D" w14:textId="496A3B6D">
          <w:pPr>
            <w:pStyle w:val="TOC3"/>
            <w:tabs>
              <w:tab w:val="right" w:leader="dot" w:pos="9015"/>
            </w:tabs>
            <w:rPr>
              <w:rStyle w:val="Hyperlink"/>
            </w:rPr>
          </w:pPr>
          <w:hyperlink w:anchor="_Toc1873046320">
            <w:r w:rsidRPr="00C9A62E" w:rsidR="00C9A62E">
              <w:rPr>
                <w:rStyle w:val="Hyperlink"/>
              </w:rPr>
              <w:t>Environmental Factors</w:t>
            </w:r>
            <w:r>
              <w:tab/>
            </w:r>
            <w:r>
              <w:fldChar w:fldCharType="begin"/>
            </w:r>
            <w:r>
              <w:instrText xml:space="preserve">PAGEREF _Toc1873046320 \h</w:instrText>
            </w:r>
            <w:r>
              <w:fldChar w:fldCharType="separate"/>
            </w:r>
            <w:r w:rsidRPr="00C9A62E" w:rsidR="00C9A62E">
              <w:rPr>
                <w:rStyle w:val="Hyperlink"/>
              </w:rPr>
              <w:t>9</w:t>
            </w:r>
            <w:r>
              <w:fldChar w:fldCharType="end"/>
            </w:r>
          </w:hyperlink>
        </w:p>
        <w:p w:rsidR="00C9A62E" w:rsidP="00C9A62E" w:rsidRDefault="00C9A62E" w14:paraId="2E363F17" w14:textId="49536838">
          <w:pPr>
            <w:pStyle w:val="TOC2"/>
            <w:tabs>
              <w:tab w:val="right" w:leader="dot" w:pos="9015"/>
            </w:tabs>
            <w:rPr>
              <w:rStyle w:val="Hyperlink"/>
            </w:rPr>
          </w:pPr>
          <w:hyperlink w:anchor="_Toc1889635049">
            <w:r w:rsidRPr="00C9A62E" w:rsidR="00C9A62E">
              <w:rPr>
                <w:rStyle w:val="Hyperlink"/>
              </w:rPr>
              <w:t>2. Porter’s Five Forces Analysis</w:t>
            </w:r>
            <w:r>
              <w:tab/>
            </w:r>
            <w:r>
              <w:fldChar w:fldCharType="begin"/>
            </w:r>
            <w:r>
              <w:instrText xml:space="preserve">PAGEREF _Toc1889635049 \h</w:instrText>
            </w:r>
            <w:r>
              <w:fldChar w:fldCharType="separate"/>
            </w:r>
            <w:r w:rsidRPr="00C9A62E" w:rsidR="00C9A62E">
              <w:rPr>
                <w:rStyle w:val="Hyperlink"/>
              </w:rPr>
              <w:t>9</w:t>
            </w:r>
            <w:r>
              <w:fldChar w:fldCharType="end"/>
            </w:r>
          </w:hyperlink>
        </w:p>
        <w:p w:rsidR="00C9A62E" w:rsidP="00C9A62E" w:rsidRDefault="00C9A62E" w14:paraId="4F8D81F3" w14:textId="0AE0332D">
          <w:pPr>
            <w:pStyle w:val="TOC3"/>
            <w:tabs>
              <w:tab w:val="right" w:leader="dot" w:pos="9015"/>
            </w:tabs>
            <w:rPr>
              <w:rStyle w:val="Hyperlink"/>
            </w:rPr>
          </w:pPr>
          <w:hyperlink w:anchor="_Toc517012524">
            <w:r w:rsidRPr="00C9A62E" w:rsidR="00C9A62E">
              <w:rPr>
                <w:rStyle w:val="Hyperlink"/>
              </w:rPr>
              <w:t>Competitive Rivalry (High)</w:t>
            </w:r>
            <w:r>
              <w:tab/>
            </w:r>
            <w:r>
              <w:fldChar w:fldCharType="begin"/>
            </w:r>
            <w:r>
              <w:instrText xml:space="preserve">PAGEREF _Toc517012524 \h</w:instrText>
            </w:r>
            <w:r>
              <w:fldChar w:fldCharType="separate"/>
            </w:r>
            <w:r w:rsidRPr="00C9A62E" w:rsidR="00C9A62E">
              <w:rPr>
                <w:rStyle w:val="Hyperlink"/>
              </w:rPr>
              <w:t>9</w:t>
            </w:r>
            <w:r>
              <w:fldChar w:fldCharType="end"/>
            </w:r>
          </w:hyperlink>
        </w:p>
        <w:p w:rsidR="00C9A62E" w:rsidP="00C9A62E" w:rsidRDefault="00C9A62E" w14:paraId="4595142C" w14:textId="4DDC7FB7">
          <w:pPr>
            <w:pStyle w:val="TOC3"/>
            <w:tabs>
              <w:tab w:val="right" w:leader="dot" w:pos="9015"/>
            </w:tabs>
            <w:rPr>
              <w:rStyle w:val="Hyperlink"/>
            </w:rPr>
          </w:pPr>
          <w:hyperlink w:anchor="_Toc1830418276">
            <w:r w:rsidRPr="00C9A62E" w:rsidR="00C9A62E">
              <w:rPr>
                <w:rStyle w:val="Hyperlink"/>
              </w:rPr>
              <w:t>Threat of New Entrants (Low)</w:t>
            </w:r>
            <w:r>
              <w:tab/>
            </w:r>
            <w:r>
              <w:fldChar w:fldCharType="begin"/>
            </w:r>
            <w:r>
              <w:instrText xml:space="preserve">PAGEREF _Toc1830418276 \h</w:instrText>
            </w:r>
            <w:r>
              <w:fldChar w:fldCharType="separate"/>
            </w:r>
            <w:r w:rsidRPr="00C9A62E" w:rsidR="00C9A62E">
              <w:rPr>
                <w:rStyle w:val="Hyperlink"/>
              </w:rPr>
              <w:t>9</w:t>
            </w:r>
            <w:r>
              <w:fldChar w:fldCharType="end"/>
            </w:r>
          </w:hyperlink>
        </w:p>
        <w:p w:rsidR="00C9A62E" w:rsidP="00C9A62E" w:rsidRDefault="00C9A62E" w14:paraId="2E8D7E51" w14:textId="53DC5E45">
          <w:pPr>
            <w:pStyle w:val="TOC3"/>
            <w:tabs>
              <w:tab w:val="right" w:leader="dot" w:pos="9015"/>
            </w:tabs>
            <w:rPr>
              <w:rStyle w:val="Hyperlink"/>
            </w:rPr>
          </w:pPr>
          <w:hyperlink w:anchor="_Toc1774024791">
            <w:r w:rsidRPr="00C9A62E" w:rsidR="00C9A62E">
              <w:rPr>
                <w:rStyle w:val="Hyperlink"/>
              </w:rPr>
              <w:t>Bargaining Power of Buyers (Moderate)</w:t>
            </w:r>
            <w:r>
              <w:tab/>
            </w:r>
            <w:r>
              <w:fldChar w:fldCharType="begin"/>
            </w:r>
            <w:r>
              <w:instrText xml:space="preserve">PAGEREF _Toc1774024791 \h</w:instrText>
            </w:r>
            <w:r>
              <w:fldChar w:fldCharType="separate"/>
            </w:r>
            <w:r w:rsidRPr="00C9A62E" w:rsidR="00C9A62E">
              <w:rPr>
                <w:rStyle w:val="Hyperlink"/>
              </w:rPr>
              <w:t>10</w:t>
            </w:r>
            <w:r>
              <w:fldChar w:fldCharType="end"/>
            </w:r>
          </w:hyperlink>
        </w:p>
        <w:p w:rsidR="00C9A62E" w:rsidP="00C9A62E" w:rsidRDefault="00C9A62E" w14:paraId="504F7C6A" w14:textId="56AE9DD9">
          <w:pPr>
            <w:pStyle w:val="TOC3"/>
            <w:tabs>
              <w:tab w:val="right" w:leader="dot" w:pos="9015"/>
            </w:tabs>
            <w:rPr>
              <w:rStyle w:val="Hyperlink"/>
            </w:rPr>
          </w:pPr>
          <w:hyperlink w:anchor="_Toc2106528553">
            <w:r w:rsidRPr="00C9A62E" w:rsidR="00C9A62E">
              <w:rPr>
                <w:rStyle w:val="Hyperlink"/>
              </w:rPr>
              <w:t>Bargaining Power of Suppliers (High)</w:t>
            </w:r>
            <w:r>
              <w:tab/>
            </w:r>
            <w:r>
              <w:fldChar w:fldCharType="begin"/>
            </w:r>
            <w:r>
              <w:instrText xml:space="preserve">PAGEREF _Toc2106528553 \h</w:instrText>
            </w:r>
            <w:r>
              <w:fldChar w:fldCharType="separate"/>
            </w:r>
            <w:r w:rsidRPr="00C9A62E" w:rsidR="00C9A62E">
              <w:rPr>
                <w:rStyle w:val="Hyperlink"/>
              </w:rPr>
              <w:t>10</w:t>
            </w:r>
            <w:r>
              <w:fldChar w:fldCharType="end"/>
            </w:r>
          </w:hyperlink>
        </w:p>
        <w:p w:rsidR="00C9A62E" w:rsidP="00C9A62E" w:rsidRDefault="00C9A62E" w14:paraId="42DC7376" w14:textId="145BE966">
          <w:pPr>
            <w:pStyle w:val="TOC1"/>
            <w:tabs>
              <w:tab w:val="right" w:leader="dot" w:pos="9015"/>
            </w:tabs>
            <w:rPr>
              <w:rStyle w:val="Hyperlink"/>
            </w:rPr>
          </w:pPr>
          <w:hyperlink w:anchor="_Toc1077404972">
            <w:r w:rsidRPr="00C9A62E" w:rsidR="00C9A62E">
              <w:rPr>
                <w:rStyle w:val="Hyperlink"/>
              </w:rPr>
              <w:t>Internal Audit</w:t>
            </w:r>
            <w:r>
              <w:tab/>
            </w:r>
            <w:r>
              <w:fldChar w:fldCharType="begin"/>
            </w:r>
            <w:r>
              <w:instrText xml:space="preserve">PAGEREF _Toc1077404972 \h</w:instrText>
            </w:r>
            <w:r>
              <w:fldChar w:fldCharType="separate"/>
            </w:r>
            <w:r w:rsidRPr="00C9A62E" w:rsidR="00C9A62E">
              <w:rPr>
                <w:rStyle w:val="Hyperlink"/>
              </w:rPr>
              <w:t>10</w:t>
            </w:r>
            <w:r>
              <w:fldChar w:fldCharType="end"/>
            </w:r>
          </w:hyperlink>
        </w:p>
        <w:p w:rsidR="00C9A62E" w:rsidP="00C9A62E" w:rsidRDefault="00C9A62E" w14:paraId="40962B34" w14:textId="4E4AAC64">
          <w:pPr>
            <w:pStyle w:val="TOC2"/>
            <w:tabs>
              <w:tab w:val="right" w:leader="dot" w:pos="9015"/>
            </w:tabs>
            <w:rPr>
              <w:rStyle w:val="Hyperlink"/>
            </w:rPr>
          </w:pPr>
          <w:hyperlink w:anchor="_Toc695233809">
            <w:r w:rsidRPr="00C9A62E" w:rsidR="00C9A62E">
              <w:rPr>
                <w:rStyle w:val="Hyperlink"/>
              </w:rPr>
              <w:t>VRIO</w:t>
            </w:r>
            <w:r>
              <w:tab/>
            </w:r>
            <w:r>
              <w:fldChar w:fldCharType="begin"/>
            </w:r>
            <w:r>
              <w:instrText xml:space="preserve">PAGEREF _Toc695233809 \h</w:instrText>
            </w:r>
            <w:r>
              <w:fldChar w:fldCharType="separate"/>
            </w:r>
            <w:r w:rsidRPr="00C9A62E" w:rsidR="00C9A62E">
              <w:rPr>
                <w:rStyle w:val="Hyperlink"/>
              </w:rPr>
              <w:t>10</w:t>
            </w:r>
            <w:r>
              <w:fldChar w:fldCharType="end"/>
            </w:r>
          </w:hyperlink>
        </w:p>
        <w:p w:rsidR="00C9A62E" w:rsidP="00C9A62E" w:rsidRDefault="00C9A62E" w14:paraId="037B51A3" w14:textId="208EB9B3">
          <w:pPr>
            <w:pStyle w:val="TOC3"/>
            <w:tabs>
              <w:tab w:val="right" w:leader="dot" w:pos="9015"/>
            </w:tabs>
            <w:rPr>
              <w:rStyle w:val="Hyperlink"/>
            </w:rPr>
          </w:pPr>
          <w:hyperlink w:anchor="_Toc1984484403">
            <w:r w:rsidRPr="00C9A62E" w:rsidR="00C9A62E">
              <w:rPr>
                <w:rStyle w:val="Hyperlink"/>
              </w:rPr>
              <w:t>Brand Reputation and Global Market Position</w:t>
            </w:r>
            <w:r>
              <w:tab/>
            </w:r>
            <w:r>
              <w:fldChar w:fldCharType="begin"/>
            </w:r>
            <w:r>
              <w:instrText xml:space="preserve">PAGEREF _Toc1984484403 \h</w:instrText>
            </w:r>
            <w:r>
              <w:fldChar w:fldCharType="separate"/>
            </w:r>
            <w:r w:rsidRPr="00C9A62E" w:rsidR="00C9A62E">
              <w:rPr>
                <w:rStyle w:val="Hyperlink"/>
              </w:rPr>
              <w:t>11</w:t>
            </w:r>
            <w:r>
              <w:fldChar w:fldCharType="end"/>
            </w:r>
          </w:hyperlink>
        </w:p>
        <w:p w:rsidR="00C9A62E" w:rsidP="00C9A62E" w:rsidRDefault="00C9A62E" w14:paraId="1A81CD49" w14:textId="74DA3424">
          <w:pPr>
            <w:pStyle w:val="TOC3"/>
            <w:tabs>
              <w:tab w:val="right" w:leader="dot" w:pos="9015"/>
            </w:tabs>
            <w:rPr>
              <w:rStyle w:val="Hyperlink"/>
            </w:rPr>
          </w:pPr>
          <w:hyperlink w:anchor="_Toc1941727701">
            <w:r w:rsidRPr="00C9A62E" w:rsidR="00C9A62E">
              <w:rPr>
                <w:rStyle w:val="Hyperlink"/>
              </w:rPr>
              <w:t>Data Analytics and Personalisation Algorithms</w:t>
            </w:r>
            <w:r>
              <w:tab/>
            </w:r>
            <w:r>
              <w:fldChar w:fldCharType="begin"/>
            </w:r>
            <w:r>
              <w:instrText xml:space="preserve">PAGEREF _Toc1941727701 \h</w:instrText>
            </w:r>
            <w:r>
              <w:fldChar w:fldCharType="separate"/>
            </w:r>
            <w:r w:rsidRPr="00C9A62E" w:rsidR="00C9A62E">
              <w:rPr>
                <w:rStyle w:val="Hyperlink"/>
              </w:rPr>
              <w:t>11</w:t>
            </w:r>
            <w:r>
              <w:fldChar w:fldCharType="end"/>
            </w:r>
          </w:hyperlink>
        </w:p>
        <w:p w:rsidR="00C9A62E" w:rsidP="00C9A62E" w:rsidRDefault="00C9A62E" w14:paraId="270C8B94" w14:textId="2E1CE6B3">
          <w:pPr>
            <w:pStyle w:val="TOC3"/>
            <w:tabs>
              <w:tab w:val="right" w:leader="dot" w:pos="9015"/>
            </w:tabs>
            <w:rPr>
              <w:rStyle w:val="Hyperlink"/>
            </w:rPr>
          </w:pPr>
          <w:hyperlink w:anchor="_Toc1471380248">
            <w:r w:rsidRPr="00C9A62E" w:rsidR="00C9A62E">
              <w:rPr>
                <w:rStyle w:val="Hyperlink"/>
              </w:rPr>
              <w:t>Content Library and Original Productions</w:t>
            </w:r>
            <w:r>
              <w:tab/>
            </w:r>
            <w:r>
              <w:fldChar w:fldCharType="begin"/>
            </w:r>
            <w:r>
              <w:instrText xml:space="preserve">PAGEREF _Toc1471380248 \h</w:instrText>
            </w:r>
            <w:r>
              <w:fldChar w:fldCharType="separate"/>
            </w:r>
            <w:r w:rsidRPr="00C9A62E" w:rsidR="00C9A62E">
              <w:rPr>
                <w:rStyle w:val="Hyperlink"/>
              </w:rPr>
              <w:t>11</w:t>
            </w:r>
            <w:r>
              <w:fldChar w:fldCharType="end"/>
            </w:r>
          </w:hyperlink>
        </w:p>
        <w:p w:rsidR="00C9A62E" w:rsidP="00C9A62E" w:rsidRDefault="00C9A62E" w14:paraId="3D8797D8" w14:textId="084B2763">
          <w:pPr>
            <w:pStyle w:val="TOC3"/>
            <w:tabs>
              <w:tab w:val="right" w:leader="dot" w:pos="9015"/>
            </w:tabs>
            <w:rPr>
              <w:rStyle w:val="Hyperlink"/>
            </w:rPr>
          </w:pPr>
          <w:hyperlink w:anchor="_Toc1408346888">
            <w:r w:rsidRPr="00C9A62E" w:rsidR="00C9A62E">
              <w:rPr>
                <w:rStyle w:val="Hyperlink"/>
              </w:rPr>
              <w:t>Organisational Culture and Leadership</w:t>
            </w:r>
            <w:r>
              <w:tab/>
            </w:r>
            <w:r>
              <w:fldChar w:fldCharType="begin"/>
            </w:r>
            <w:r>
              <w:instrText xml:space="preserve">PAGEREF _Toc1408346888 \h</w:instrText>
            </w:r>
            <w:r>
              <w:fldChar w:fldCharType="separate"/>
            </w:r>
            <w:r w:rsidRPr="00C9A62E" w:rsidR="00C9A62E">
              <w:rPr>
                <w:rStyle w:val="Hyperlink"/>
              </w:rPr>
              <w:t>12</w:t>
            </w:r>
            <w:r>
              <w:fldChar w:fldCharType="end"/>
            </w:r>
          </w:hyperlink>
        </w:p>
        <w:p w:rsidR="00C9A62E" w:rsidP="00C9A62E" w:rsidRDefault="00C9A62E" w14:paraId="4A6892E3" w14:textId="2692DE44">
          <w:pPr>
            <w:pStyle w:val="TOC3"/>
            <w:tabs>
              <w:tab w:val="right" w:leader="dot" w:pos="9015"/>
            </w:tabs>
            <w:rPr>
              <w:rStyle w:val="Hyperlink"/>
            </w:rPr>
          </w:pPr>
          <w:hyperlink w:anchor="_Toc33515137">
            <w:r w:rsidRPr="00C9A62E" w:rsidR="00C9A62E">
              <w:rPr>
                <w:rStyle w:val="Hyperlink"/>
              </w:rPr>
              <w:t>Financial Resources</w:t>
            </w:r>
            <w:r>
              <w:tab/>
            </w:r>
            <w:r>
              <w:fldChar w:fldCharType="begin"/>
            </w:r>
            <w:r>
              <w:instrText xml:space="preserve">PAGEREF _Toc33515137 \h</w:instrText>
            </w:r>
            <w:r>
              <w:fldChar w:fldCharType="separate"/>
            </w:r>
            <w:r w:rsidRPr="00C9A62E" w:rsidR="00C9A62E">
              <w:rPr>
                <w:rStyle w:val="Hyperlink"/>
              </w:rPr>
              <w:t>12</w:t>
            </w:r>
            <w:r>
              <w:fldChar w:fldCharType="end"/>
            </w:r>
          </w:hyperlink>
        </w:p>
        <w:p w:rsidR="00C9A62E" w:rsidP="00C9A62E" w:rsidRDefault="00C9A62E" w14:paraId="4D300785" w14:textId="1D18F129">
          <w:pPr>
            <w:pStyle w:val="TOC3"/>
            <w:tabs>
              <w:tab w:val="right" w:leader="dot" w:pos="9015"/>
            </w:tabs>
            <w:rPr>
              <w:rStyle w:val="Hyperlink"/>
            </w:rPr>
          </w:pPr>
          <w:hyperlink w:anchor="_Toc1631486277">
            <w:r w:rsidRPr="00C9A62E" w:rsidR="00C9A62E">
              <w:rPr>
                <w:rStyle w:val="Hyperlink"/>
              </w:rPr>
              <w:t>Key Issues Emerging from VRIO</w:t>
            </w:r>
            <w:r>
              <w:tab/>
            </w:r>
            <w:r>
              <w:fldChar w:fldCharType="begin"/>
            </w:r>
            <w:r>
              <w:instrText xml:space="preserve">PAGEREF _Toc1631486277 \h</w:instrText>
            </w:r>
            <w:r>
              <w:fldChar w:fldCharType="separate"/>
            </w:r>
            <w:r w:rsidRPr="00C9A62E" w:rsidR="00C9A62E">
              <w:rPr>
                <w:rStyle w:val="Hyperlink"/>
              </w:rPr>
              <w:t>12</w:t>
            </w:r>
            <w:r>
              <w:fldChar w:fldCharType="end"/>
            </w:r>
          </w:hyperlink>
        </w:p>
        <w:p w:rsidR="00C9A62E" w:rsidP="00C9A62E" w:rsidRDefault="00C9A62E" w14:paraId="19C4FAD5" w14:textId="317C7644">
          <w:pPr>
            <w:pStyle w:val="TOC2"/>
            <w:tabs>
              <w:tab w:val="right" w:leader="dot" w:pos="9015"/>
            </w:tabs>
            <w:rPr>
              <w:rStyle w:val="Hyperlink"/>
            </w:rPr>
          </w:pPr>
          <w:hyperlink w:anchor="_Toc1562986993">
            <w:r w:rsidRPr="00C9A62E" w:rsidR="00C9A62E">
              <w:rPr>
                <w:rStyle w:val="Hyperlink"/>
              </w:rPr>
              <w:t>Value Chain Analysis</w:t>
            </w:r>
            <w:r>
              <w:tab/>
            </w:r>
            <w:r>
              <w:fldChar w:fldCharType="begin"/>
            </w:r>
            <w:r>
              <w:instrText xml:space="preserve">PAGEREF _Toc1562986993 \h</w:instrText>
            </w:r>
            <w:r>
              <w:fldChar w:fldCharType="separate"/>
            </w:r>
            <w:r w:rsidRPr="00C9A62E" w:rsidR="00C9A62E">
              <w:rPr>
                <w:rStyle w:val="Hyperlink"/>
              </w:rPr>
              <w:t>12</w:t>
            </w:r>
            <w:r>
              <w:fldChar w:fldCharType="end"/>
            </w:r>
          </w:hyperlink>
        </w:p>
        <w:p w:rsidR="00C9A62E" w:rsidP="00C9A62E" w:rsidRDefault="00C9A62E" w14:paraId="61D3CE3D" w14:textId="213C4FC7">
          <w:pPr>
            <w:pStyle w:val="TOC3"/>
            <w:tabs>
              <w:tab w:val="right" w:leader="dot" w:pos="9015"/>
            </w:tabs>
            <w:rPr>
              <w:rStyle w:val="Hyperlink"/>
            </w:rPr>
          </w:pPr>
          <w:hyperlink w:anchor="_Toc937663825">
            <w:r w:rsidRPr="00C9A62E" w:rsidR="00C9A62E">
              <w:rPr>
                <w:rStyle w:val="Hyperlink"/>
              </w:rPr>
              <w:t>Inbound Logistics: Content Acquisition and Licensing</w:t>
            </w:r>
            <w:r>
              <w:tab/>
            </w:r>
            <w:r>
              <w:fldChar w:fldCharType="begin"/>
            </w:r>
            <w:r>
              <w:instrText xml:space="preserve">PAGEREF _Toc937663825 \h</w:instrText>
            </w:r>
            <w:r>
              <w:fldChar w:fldCharType="separate"/>
            </w:r>
            <w:r w:rsidRPr="00C9A62E" w:rsidR="00C9A62E">
              <w:rPr>
                <w:rStyle w:val="Hyperlink"/>
              </w:rPr>
              <w:t>13</w:t>
            </w:r>
            <w:r>
              <w:fldChar w:fldCharType="end"/>
            </w:r>
          </w:hyperlink>
        </w:p>
        <w:p w:rsidR="00C9A62E" w:rsidP="00C9A62E" w:rsidRDefault="00C9A62E" w14:paraId="6494F04D" w14:textId="3801674E">
          <w:pPr>
            <w:pStyle w:val="TOC3"/>
            <w:tabs>
              <w:tab w:val="right" w:leader="dot" w:pos="9015"/>
            </w:tabs>
            <w:rPr>
              <w:rStyle w:val="Hyperlink"/>
            </w:rPr>
          </w:pPr>
          <w:hyperlink w:anchor="_Toc1747230532">
            <w:r w:rsidRPr="00C9A62E" w:rsidR="00C9A62E">
              <w:rPr>
                <w:rStyle w:val="Hyperlink"/>
              </w:rPr>
              <w:t>Operations: Streaming Platform and Algorithm Development</w:t>
            </w:r>
            <w:r>
              <w:tab/>
            </w:r>
            <w:r>
              <w:fldChar w:fldCharType="begin"/>
            </w:r>
            <w:r>
              <w:instrText xml:space="preserve">PAGEREF _Toc1747230532 \h</w:instrText>
            </w:r>
            <w:r>
              <w:fldChar w:fldCharType="separate"/>
            </w:r>
            <w:r w:rsidRPr="00C9A62E" w:rsidR="00C9A62E">
              <w:rPr>
                <w:rStyle w:val="Hyperlink"/>
              </w:rPr>
              <w:t>13</w:t>
            </w:r>
            <w:r>
              <w:fldChar w:fldCharType="end"/>
            </w:r>
          </w:hyperlink>
        </w:p>
        <w:p w:rsidR="00C9A62E" w:rsidP="00C9A62E" w:rsidRDefault="00C9A62E" w14:paraId="71606A51" w14:textId="77247054">
          <w:pPr>
            <w:pStyle w:val="TOC3"/>
            <w:tabs>
              <w:tab w:val="right" w:leader="dot" w:pos="9015"/>
            </w:tabs>
            <w:rPr>
              <w:rStyle w:val="Hyperlink"/>
            </w:rPr>
          </w:pPr>
          <w:hyperlink w:anchor="_Toc833815482">
            <w:r w:rsidRPr="00C9A62E" w:rsidR="00C9A62E">
              <w:rPr>
                <w:rStyle w:val="Hyperlink"/>
              </w:rPr>
              <w:t>Outbound Logistics: Content Delivery</w:t>
            </w:r>
            <w:r>
              <w:tab/>
            </w:r>
            <w:r>
              <w:fldChar w:fldCharType="begin"/>
            </w:r>
            <w:r>
              <w:instrText xml:space="preserve">PAGEREF _Toc833815482 \h</w:instrText>
            </w:r>
            <w:r>
              <w:fldChar w:fldCharType="separate"/>
            </w:r>
            <w:r w:rsidRPr="00C9A62E" w:rsidR="00C9A62E">
              <w:rPr>
                <w:rStyle w:val="Hyperlink"/>
              </w:rPr>
              <w:t>13</w:t>
            </w:r>
            <w:r>
              <w:fldChar w:fldCharType="end"/>
            </w:r>
          </w:hyperlink>
        </w:p>
        <w:p w:rsidR="00C9A62E" w:rsidP="00C9A62E" w:rsidRDefault="00C9A62E" w14:paraId="51BB4B65" w14:textId="168B1C49">
          <w:pPr>
            <w:pStyle w:val="TOC3"/>
            <w:tabs>
              <w:tab w:val="right" w:leader="dot" w:pos="9015"/>
            </w:tabs>
            <w:rPr>
              <w:rStyle w:val="Hyperlink"/>
            </w:rPr>
          </w:pPr>
          <w:hyperlink w:anchor="_Toc1792019838">
            <w:r w:rsidRPr="00C9A62E" w:rsidR="00C9A62E">
              <w:rPr>
                <w:rStyle w:val="Hyperlink"/>
              </w:rPr>
              <w:t>Marketing and Sales</w:t>
            </w:r>
            <w:r>
              <w:tab/>
            </w:r>
            <w:r>
              <w:fldChar w:fldCharType="begin"/>
            </w:r>
            <w:r>
              <w:instrText xml:space="preserve">PAGEREF _Toc1792019838 \h</w:instrText>
            </w:r>
            <w:r>
              <w:fldChar w:fldCharType="separate"/>
            </w:r>
            <w:r w:rsidRPr="00C9A62E" w:rsidR="00C9A62E">
              <w:rPr>
                <w:rStyle w:val="Hyperlink"/>
              </w:rPr>
              <w:t>13</w:t>
            </w:r>
            <w:r>
              <w:fldChar w:fldCharType="end"/>
            </w:r>
          </w:hyperlink>
        </w:p>
        <w:p w:rsidR="00C9A62E" w:rsidP="00C9A62E" w:rsidRDefault="00C9A62E" w14:paraId="26E74785" w14:textId="2CFE86D0">
          <w:pPr>
            <w:pStyle w:val="TOC3"/>
            <w:tabs>
              <w:tab w:val="right" w:leader="dot" w:pos="9015"/>
            </w:tabs>
            <w:rPr>
              <w:rStyle w:val="Hyperlink"/>
            </w:rPr>
          </w:pPr>
          <w:hyperlink w:anchor="_Toc450874904">
            <w:r w:rsidRPr="00C9A62E" w:rsidR="00C9A62E">
              <w:rPr>
                <w:rStyle w:val="Hyperlink"/>
              </w:rPr>
              <w:t>Service: Customer Experience and Support</w:t>
            </w:r>
            <w:r>
              <w:tab/>
            </w:r>
            <w:r>
              <w:fldChar w:fldCharType="begin"/>
            </w:r>
            <w:r>
              <w:instrText xml:space="preserve">PAGEREF _Toc450874904 \h</w:instrText>
            </w:r>
            <w:r>
              <w:fldChar w:fldCharType="separate"/>
            </w:r>
            <w:r w:rsidRPr="00C9A62E" w:rsidR="00C9A62E">
              <w:rPr>
                <w:rStyle w:val="Hyperlink"/>
              </w:rPr>
              <w:t>13</w:t>
            </w:r>
            <w:r>
              <w:fldChar w:fldCharType="end"/>
            </w:r>
          </w:hyperlink>
        </w:p>
        <w:p w:rsidR="00C9A62E" w:rsidP="00C9A62E" w:rsidRDefault="00C9A62E" w14:paraId="660D7D08" w14:textId="12C56A5D">
          <w:pPr>
            <w:pStyle w:val="TOC3"/>
            <w:tabs>
              <w:tab w:val="right" w:leader="dot" w:pos="9015"/>
            </w:tabs>
            <w:rPr>
              <w:rStyle w:val="Hyperlink"/>
            </w:rPr>
          </w:pPr>
          <w:hyperlink w:anchor="_Toc2045779510">
            <w:r w:rsidRPr="00C9A62E" w:rsidR="00C9A62E">
              <w:rPr>
                <w:rStyle w:val="Hyperlink"/>
              </w:rPr>
              <w:t>Support Activities</w:t>
            </w:r>
            <w:r>
              <w:tab/>
            </w:r>
            <w:r>
              <w:fldChar w:fldCharType="begin"/>
            </w:r>
            <w:r>
              <w:instrText xml:space="preserve">PAGEREF _Toc2045779510 \h</w:instrText>
            </w:r>
            <w:r>
              <w:fldChar w:fldCharType="separate"/>
            </w:r>
            <w:r w:rsidRPr="00C9A62E" w:rsidR="00C9A62E">
              <w:rPr>
                <w:rStyle w:val="Hyperlink"/>
              </w:rPr>
              <w:t>14</w:t>
            </w:r>
            <w:r>
              <w:fldChar w:fldCharType="end"/>
            </w:r>
          </w:hyperlink>
        </w:p>
        <w:p w:rsidR="00C9A62E" w:rsidP="00C9A62E" w:rsidRDefault="00C9A62E" w14:paraId="11343597" w14:textId="57104754">
          <w:pPr>
            <w:pStyle w:val="TOC1"/>
            <w:tabs>
              <w:tab w:val="right" w:leader="dot" w:pos="9015"/>
            </w:tabs>
            <w:rPr>
              <w:rStyle w:val="Hyperlink"/>
            </w:rPr>
          </w:pPr>
          <w:hyperlink w:anchor="_Toc1889819733">
            <w:r w:rsidRPr="00C9A62E" w:rsidR="00C9A62E">
              <w:rPr>
                <w:rStyle w:val="Hyperlink"/>
              </w:rPr>
              <w:t>Strategy Formulation</w:t>
            </w:r>
            <w:r>
              <w:tab/>
            </w:r>
            <w:r>
              <w:fldChar w:fldCharType="begin"/>
            </w:r>
            <w:r>
              <w:instrText xml:space="preserve">PAGEREF _Toc1889819733 \h</w:instrText>
            </w:r>
            <w:r>
              <w:fldChar w:fldCharType="separate"/>
            </w:r>
            <w:r w:rsidRPr="00C9A62E" w:rsidR="00C9A62E">
              <w:rPr>
                <w:rStyle w:val="Hyperlink"/>
              </w:rPr>
              <w:t>14</w:t>
            </w:r>
            <w:r>
              <w:fldChar w:fldCharType="end"/>
            </w:r>
          </w:hyperlink>
        </w:p>
        <w:p w:rsidR="00C9A62E" w:rsidP="00C9A62E" w:rsidRDefault="00C9A62E" w14:paraId="317E7AEC" w14:textId="4791EE8B">
          <w:pPr>
            <w:pStyle w:val="TOC2"/>
            <w:tabs>
              <w:tab w:val="right" w:leader="dot" w:pos="9015"/>
            </w:tabs>
            <w:rPr>
              <w:rStyle w:val="Hyperlink"/>
            </w:rPr>
          </w:pPr>
          <w:hyperlink w:anchor="_Toc1897877404">
            <w:r w:rsidRPr="00C9A62E" w:rsidR="00C9A62E">
              <w:rPr>
                <w:rStyle w:val="Hyperlink"/>
              </w:rPr>
              <w:t>Key Strategy Formulation Options</w:t>
            </w:r>
            <w:r>
              <w:tab/>
            </w:r>
            <w:r>
              <w:fldChar w:fldCharType="begin"/>
            </w:r>
            <w:r>
              <w:instrText xml:space="preserve">PAGEREF _Toc1897877404 \h</w:instrText>
            </w:r>
            <w:r>
              <w:fldChar w:fldCharType="separate"/>
            </w:r>
            <w:r w:rsidRPr="00C9A62E" w:rsidR="00C9A62E">
              <w:rPr>
                <w:rStyle w:val="Hyperlink"/>
              </w:rPr>
              <w:t>14</w:t>
            </w:r>
            <w:r>
              <w:fldChar w:fldCharType="end"/>
            </w:r>
          </w:hyperlink>
        </w:p>
        <w:p w:rsidR="00C9A62E" w:rsidP="00C9A62E" w:rsidRDefault="00C9A62E" w14:paraId="79B6C908" w14:textId="3F281D0B">
          <w:pPr>
            <w:pStyle w:val="TOC3"/>
            <w:tabs>
              <w:tab w:val="right" w:leader="dot" w:pos="9015"/>
            </w:tabs>
            <w:rPr>
              <w:rStyle w:val="Hyperlink"/>
            </w:rPr>
          </w:pPr>
          <w:hyperlink w:anchor="_Toc1463794051">
            <w:r w:rsidRPr="00C9A62E" w:rsidR="00C9A62E">
              <w:rPr>
                <w:rStyle w:val="Hyperlink"/>
              </w:rPr>
              <w:t>Ansoff Matrix</w:t>
            </w:r>
            <w:r>
              <w:tab/>
            </w:r>
            <w:r>
              <w:fldChar w:fldCharType="begin"/>
            </w:r>
            <w:r>
              <w:instrText xml:space="preserve">PAGEREF _Toc1463794051 \h</w:instrText>
            </w:r>
            <w:r>
              <w:fldChar w:fldCharType="separate"/>
            </w:r>
            <w:r w:rsidRPr="00C9A62E" w:rsidR="00C9A62E">
              <w:rPr>
                <w:rStyle w:val="Hyperlink"/>
              </w:rPr>
              <w:t>14</w:t>
            </w:r>
            <w:r>
              <w:fldChar w:fldCharType="end"/>
            </w:r>
          </w:hyperlink>
        </w:p>
        <w:p w:rsidR="00C9A62E" w:rsidP="00C9A62E" w:rsidRDefault="00C9A62E" w14:paraId="0DDDC759" w14:textId="549EADB3">
          <w:pPr>
            <w:pStyle w:val="TOC1"/>
            <w:tabs>
              <w:tab w:val="right" w:leader="dot" w:pos="9015"/>
            </w:tabs>
            <w:rPr>
              <w:rStyle w:val="Hyperlink"/>
            </w:rPr>
          </w:pPr>
          <w:hyperlink w:anchor="_Toc1586628962">
            <w:r w:rsidRPr="00C9A62E" w:rsidR="00C9A62E">
              <w:rPr>
                <w:rStyle w:val="Hyperlink"/>
              </w:rPr>
              <w:t>Recommendations</w:t>
            </w:r>
            <w:r>
              <w:tab/>
            </w:r>
            <w:r>
              <w:fldChar w:fldCharType="begin"/>
            </w:r>
            <w:r>
              <w:instrText xml:space="preserve">PAGEREF _Toc1586628962 \h</w:instrText>
            </w:r>
            <w:r>
              <w:fldChar w:fldCharType="separate"/>
            </w:r>
            <w:r w:rsidRPr="00C9A62E" w:rsidR="00C9A62E">
              <w:rPr>
                <w:rStyle w:val="Hyperlink"/>
              </w:rPr>
              <w:t>20</w:t>
            </w:r>
            <w:r>
              <w:fldChar w:fldCharType="end"/>
            </w:r>
          </w:hyperlink>
        </w:p>
        <w:p w:rsidR="00C9A62E" w:rsidP="00C9A62E" w:rsidRDefault="00C9A62E" w14:paraId="2DB6694F" w14:textId="51A9DE7F">
          <w:pPr>
            <w:pStyle w:val="TOC1"/>
            <w:tabs>
              <w:tab w:val="right" w:leader="dot" w:pos="9015"/>
            </w:tabs>
            <w:rPr>
              <w:rStyle w:val="Hyperlink"/>
            </w:rPr>
          </w:pPr>
          <w:hyperlink w:anchor="_Toc1318971012">
            <w:r w:rsidRPr="00C9A62E" w:rsidR="00C9A62E">
              <w:rPr>
                <w:rStyle w:val="Hyperlink"/>
              </w:rPr>
              <w:t>Conclusion</w:t>
            </w:r>
            <w:r>
              <w:tab/>
            </w:r>
            <w:r>
              <w:fldChar w:fldCharType="begin"/>
            </w:r>
            <w:r>
              <w:instrText xml:space="preserve">PAGEREF _Toc1318971012 \h</w:instrText>
            </w:r>
            <w:r>
              <w:fldChar w:fldCharType="separate"/>
            </w:r>
            <w:r w:rsidRPr="00C9A62E" w:rsidR="00C9A62E">
              <w:rPr>
                <w:rStyle w:val="Hyperlink"/>
              </w:rPr>
              <w:t>21</w:t>
            </w:r>
            <w:r>
              <w:fldChar w:fldCharType="end"/>
            </w:r>
          </w:hyperlink>
        </w:p>
        <w:p w:rsidR="00C9A62E" w:rsidP="00C9A62E" w:rsidRDefault="00C9A62E" w14:paraId="3C81FE37" w14:textId="72DC6F57">
          <w:pPr>
            <w:pStyle w:val="TOC1"/>
            <w:tabs>
              <w:tab w:val="right" w:leader="dot" w:pos="9015"/>
            </w:tabs>
            <w:rPr>
              <w:rStyle w:val="Hyperlink"/>
            </w:rPr>
          </w:pPr>
          <w:hyperlink w:anchor="_Toc1889301012">
            <w:r w:rsidRPr="00C9A62E" w:rsidR="00C9A62E">
              <w:rPr>
                <w:rStyle w:val="Hyperlink"/>
              </w:rPr>
              <w:t>References</w:t>
            </w:r>
            <w:r>
              <w:tab/>
            </w:r>
            <w:r>
              <w:fldChar w:fldCharType="begin"/>
            </w:r>
            <w:r>
              <w:instrText xml:space="preserve">PAGEREF _Toc1889301012 \h</w:instrText>
            </w:r>
            <w:r>
              <w:fldChar w:fldCharType="separate"/>
            </w:r>
            <w:r w:rsidRPr="00C9A62E" w:rsidR="00C9A62E">
              <w:rPr>
                <w:rStyle w:val="Hyperlink"/>
              </w:rPr>
              <w:t>22</w:t>
            </w:r>
            <w:r>
              <w:fldChar w:fldCharType="end"/>
            </w:r>
          </w:hyperlink>
          <w:r>
            <w:fldChar w:fldCharType="end"/>
          </w:r>
        </w:p>
      </w:sdtContent>
    </w:sdt>
    <w:p w:rsidR="00A129D7" w:rsidP="00C9A62E" w:rsidRDefault="00A129D7" w14:paraId="61B767CC" w14:textId="020A8912">
      <w:pPr>
        <w:spacing w:line="360" w:lineRule="auto"/>
        <w:jc w:val="both"/>
        <w:rPr>
          <w:rFonts w:ascii="Arial" w:hAnsi="Arial" w:eastAsia="Arial" w:cs="Arial"/>
          <w:b w:val="0"/>
          <w:bCs w:val="0"/>
          <w:color w:val="auto"/>
          <w:sz w:val="24"/>
          <w:szCs w:val="24"/>
        </w:rPr>
      </w:pPr>
    </w:p>
    <w:p w:rsidR="00A129D7" w:rsidP="00C9A62E" w:rsidRDefault="00A129D7" w14:paraId="4094BFDC" w14:textId="77777777">
      <w:pPr>
        <w:spacing w:line="360" w:lineRule="auto"/>
        <w:jc w:val="both"/>
        <w:rPr>
          <w:rFonts w:ascii="Arial" w:hAnsi="Arial" w:eastAsia="Arial" w:cs="Arial"/>
          <w:b w:val="0"/>
          <w:bCs w:val="0"/>
          <w:color w:val="auto"/>
          <w:sz w:val="24"/>
          <w:szCs w:val="24"/>
        </w:rPr>
      </w:pPr>
    </w:p>
    <w:p w:rsidR="00A129D7" w:rsidP="00C9A62E" w:rsidRDefault="00A129D7" w14:paraId="4C2C6AD5" w14:textId="60E3B1DA">
      <w:pPr>
        <w:spacing w:line="360" w:lineRule="auto"/>
        <w:jc w:val="both"/>
        <w:rPr>
          <w:rFonts w:ascii="Arial" w:hAnsi="Arial" w:eastAsia="Arial" w:cs="Arial"/>
          <w:b w:val="0"/>
          <w:bCs w:val="0"/>
          <w:color w:val="auto"/>
          <w:sz w:val="24"/>
          <w:szCs w:val="24"/>
        </w:rPr>
      </w:pPr>
      <w:r w:rsidRPr="00C9A62E">
        <w:rPr>
          <w:rFonts w:ascii="Arial" w:hAnsi="Arial" w:eastAsia="Arial" w:cs="Arial"/>
          <w:b w:val="0"/>
          <w:bCs w:val="0"/>
          <w:color w:val="auto"/>
          <w:sz w:val="24"/>
          <w:szCs w:val="24"/>
        </w:rPr>
        <w:br w:type="page"/>
      </w:r>
    </w:p>
    <w:p w:rsidR="00000399" w:rsidP="00C9A62E" w:rsidRDefault="00CD5E49" w14:paraId="266762FC" w14:textId="77D14BC2">
      <w:pPr>
        <w:pStyle w:val="Heading1"/>
        <w:spacing w:line="360" w:lineRule="auto"/>
        <w:jc w:val="both"/>
        <w:rPr>
          <w:rFonts w:ascii="Arial" w:hAnsi="Arial" w:eastAsia="Arial" w:cs="Arial"/>
          <w:b w:val="0"/>
          <w:bCs w:val="0"/>
          <w:color w:val="auto"/>
          <w:sz w:val="24"/>
          <w:szCs w:val="24"/>
        </w:rPr>
      </w:pPr>
      <w:bookmarkStart w:name="_Toc1183399809" w:id="1953840988"/>
      <w:r w:rsidRPr="00C9A62E" w:rsidR="20DC2CAB">
        <w:rPr>
          <w:rFonts w:ascii="Arial" w:hAnsi="Arial" w:eastAsia="Arial" w:cs="Arial"/>
          <w:b w:val="0"/>
          <w:bCs w:val="0"/>
          <w:color w:val="auto"/>
          <w:sz w:val="24"/>
          <w:szCs w:val="24"/>
        </w:rPr>
        <w:t>Introduction</w:t>
      </w:r>
      <w:bookmarkEnd w:id="1953840988"/>
      <w:r w:rsidRPr="00C9A62E" w:rsidR="20DC2CAB">
        <w:rPr>
          <w:rFonts w:ascii="Arial" w:hAnsi="Arial" w:eastAsia="Arial" w:cs="Arial"/>
          <w:b w:val="0"/>
          <w:bCs w:val="0"/>
          <w:color w:val="auto"/>
          <w:sz w:val="24"/>
          <w:szCs w:val="24"/>
        </w:rPr>
        <w:t xml:space="preserve"> </w:t>
      </w:r>
    </w:p>
    <w:p w:rsidR="00000399" w:rsidP="00C9A62E" w:rsidRDefault="00CD5E49" w14:paraId="26387F47" w14:textId="1F35487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1324A132">
        <w:rPr>
          <w:rFonts w:ascii="Arial" w:hAnsi="Arial" w:eastAsia="Arial" w:cs="Arial"/>
          <w:b w:val="0"/>
          <w:bCs w:val="0"/>
          <w:noProof w:val="0"/>
          <w:color w:val="auto"/>
          <w:sz w:val="24"/>
          <w:szCs w:val="24"/>
          <w:lang w:val="en-GB"/>
        </w:rPr>
        <w:t xml:space="preserve">What can we learn about strategic agility from Netflix, a leader in the entertainment industry? This report argues that Netflix’s ability to </w:t>
      </w:r>
      <w:r w:rsidRPr="00C9A62E" w:rsidR="1324A132">
        <w:rPr>
          <w:rFonts w:ascii="Arial" w:hAnsi="Arial" w:eastAsia="Arial" w:cs="Arial"/>
          <w:b w:val="0"/>
          <w:bCs w:val="0"/>
          <w:noProof w:val="0"/>
          <w:color w:val="auto"/>
          <w:sz w:val="24"/>
          <w:szCs w:val="24"/>
          <w:lang w:val="en-GB"/>
        </w:rPr>
        <w:t>maintain</w:t>
      </w:r>
      <w:r w:rsidRPr="00C9A62E" w:rsidR="1324A132">
        <w:rPr>
          <w:rFonts w:ascii="Arial" w:hAnsi="Arial" w:eastAsia="Arial" w:cs="Arial"/>
          <w:b w:val="0"/>
          <w:bCs w:val="0"/>
          <w:noProof w:val="0"/>
          <w:color w:val="auto"/>
          <w:sz w:val="24"/>
          <w:szCs w:val="24"/>
          <w:lang w:val="en-GB"/>
        </w:rPr>
        <w:t xml:space="preserve"> market leadership stems from its disciplined approach to strategic management and adaptive decision-making. By learning from both achievements and setbacks, as Kools and George (2020) </w:t>
      </w:r>
      <w:r w:rsidRPr="00C9A62E" w:rsidR="1324A132">
        <w:rPr>
          <w:rFonts w:ascii="Arial" w:hAnsi="Arial" w:eastAsia="Arial" w:cs="Arial"/>
          <w:b w:val="0"/>
          <w:bCs w:val="0"/>
          <w:noProof w:val="0"/>
          <w:color w:val="auto"/>
          <w:sz w:val="24"/>
          <w:szCs w:val="24"/>
          <w:lang w:val="en-GB"/>
        </w:rPr>
        <w:t>observe</w:t>
      </w:r>
      <w:r w:rsidRPr="00C9A62E" w:rsidR="1324A132">
        <w:rPr>
          <w:rFonts w:ascii="Arial" w:hAnsi="Arial" w:eastAsia="Arial" w:cs="Arial"/>
          <w:b w:val="0"/>
          <w:bCs w:val="0"/>
          <w:noProof w:val="0"/>
          <w:color w:val="auto"/>
          <w:sz w:val="24"/>
          <w:szCs w:val="24"/>
          <w:lang w:val="en-GB"/>
        </w:rPr>
        <w:t>, Netflix adapts to shifting conditions and secures a sustainable competitive advantage. Since the 1970s, strategic management has focused on how organisations develop and sustain strategies for long-term success (</w:t>
      </w:r>
      <w:r w:rsidRPr="00C9A62E" w:rsidR="1324A132">
        <w:rPr>
          <w:rFonts w:ascii="Arial" w:hAnsi="Arial" w:eastAsia="Arial" w:cs="Arial"/>
          <w:b w:val="0"/>
          <w:bCs w:val="0"/>
          <w:noProof w:val="0"/>
          <w:color w:val="auto"/>
          <w:sz w:val="24"/>
          <w:szCs w:val="24"/>
          <w:lang w:val="en-GB"/>
        </w:rPr>
        <w:t>O'Shannassy</w:t>
      </w:r>
      <w:r w:rsidRPr="00C9A62E" w:rsidR="1324A132">
        <w:rPr>
          <w:rFonts w:ascii="Arial" w:hAnsi="Arial" w:eastAsia="Arial" w:cs="Arial"/>
          <w:b w:val="0"/>
          <w:bCs w:val="0"/>
          <w:noProof w:val="0"/>
          <w:color w:val="auto"/>
          <w:sz w:val="24"/>
          <w:szCs w:val="24"/>
          <w:lang w:val="en-GB"/>
        </w:rPr>
        <w:t>, 2015).</w:t>
      </w:r>
    </w:p>
    <w:p w:rsidR="00000399" w:rsidP="00C9A62E" w:rsidRDefault="00CD5E49" w14:paraId="0352500F" w14:textId="14290AD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1324A132">
        <w:rPr>
          <w:rFonts w:ascii="Arial" w:hAnsi="Arial" w:eastAsia="Arial" w:cs="Arial"/>
          <w:b w:val="0"/>
          <w:bCs w:val="0"/>
          <w:noProof w:val="0"/>
          <w:color w:val="auto"/>
          <w:sz w:val="24"/>
          <w:szCs w:val="24"/>
          <w:lang w:val="en-GB"/>
        </w:rPr>
        <w:t xml:space="preserve">Organisational structure and strategic alignment drive firm performance by enabling efficient resource allocation and cohesive strategy implementation (Chatzoglou et al., 2018; </w:t>
      </w:r>
      <w:r w:rsidRPr="00C9A62E" w:rsidR="1324A132">
        <w:rPr>
          <w:rFonts w:ascii="Arial" w:hAnsi="Arial" w:eastAsia="Arial" w:cs="Arial"/>
          <w:b w:val="0"/>
          <w:bCs w:val="0"/>
          <w:noProof w:val="0"/>
          <w:color w:val="auto"/>
          <w:sz w:val="24"/>
          <w:szCs w:val="24"/>
          <w:lang w:val="en-GB"/>
        </w:rPr>
        <w:t>Gavurova</w:t>
      </w:r>
      <w:r w:rsidRPr="00C9A62E" w:rsidR="1324A132">
        <w:rPr>
          <w:rFonts w:ascii="Arial" w:hAnsi="Arial" w:eastAsia="Arial" w:cs="Arial"/>
          <w:b w:val="0"/>
          <w:bCs w:val="0"/>
          <w:noProof w:val="0"/>
          <w:color w:val="auto"/>
          <w:sz w:val="24"/>
          <w:szCs w:val="24"/>
          <w:lang w:val="en-GB"/>
        </w:rPr>
        <w:t xml:space="preserve"> et al., 2020). In an era of globalisation and digital disruption, strategic agility is essential for competitiveness. This report </w:t>
      </w:r>
      <w:r w:rsidRPr="00C9A62E" w:rsidR="1324A132">
        <w:rPr>
          <w:rFonts w:ascii="Arial" w:hAnsi="Arial" w:eastAsia="Arial" w:cs="Arial"/>
          <w:b w:val="0"/>
          <w:bCs w:val="0"/>
          <w:noProof w:val="0"/>
          <w:color w:val="auto"/>
          <w:sz w:val="24"/>
          <w:szCs w:val="24"/>
          <w:lang w:val="en-GB"/>
        </w:rPr>
        <w:t>demonstrates</w:t>
      </w:r>
      <w:r w:rsidRPr="00C9A62E" w:rsidR="1324A132">
        <w:rPr>
          <w:rFonts w:ascii="Arial" w:hAnsi="Arial" w:eastAsia="Arial" w:cs="Arial"/>
          <w:b w:val="0"/>
          <w:bCs w:val="0"/>
          <w:noProof w:val="0"/>
          <w:color w:val="auto"/>
          <w:sz w:val="24"/>
          <w:szCs w:val="24"/>
          <w:lang w:val="en-GB"/>
        </w:rPr>
        <w:t>, through the Netflix case, how agility—embodied in a highly adaptive organisational structure—enables rapid response to market shifts and consumer demands, directly supporting sustained market leadership.</w:t>
      </w:r>
    </w:p>
    <w:p w:rsidR="00000399" w:rsidP="00C9A62E" w:rsidRDefault="00CD5E49" w14:paraId="4F77C6DE" w14:textId="4D078819">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1324A132">
        <w:rPr>
          <w:rFonts w:ascii="Arial" w:hAnsi="Arial" w:eastAsia="Arial" w:cs="Arial"/>
          <w:b w:val="0"/>
          <w:bCs w:val="0"/>
          <w:noProof w:val="0"/>
          <w:color w:val="auto"/>
          <w:sz w:val="24"/>
          <w:szCs w:val="24"/>
          <w:lang w:val="en-GB"/>
        </w:rPr>
        <w:t xml:space="preserve">This report uses Netflix to illustrate how strategic management and decision-making sustain market leadership through industry and consumer shifts. Netflix’s agility and responsiveness are central to its global growth, particularly in complex but high-potential markets such as China. Despite strict regulations and local rivals like </w:t>
      </w:r>
      <w:r w:rsidRPr="00C9A62E" w:rsidR="1324A132">
        <w:rPr>
          <w:rFonts w:ascii="Arial" w:hAnsi="Arial" w:eastAsia="Arial" w:cs="Arial"/>
          <w:b w:val="0"/>
          <w:bCs w:val="0"/>
          <w:noProof w:val="0"/>
          <w:color w:val="auto"/>
          <w:sz w:val="24"/>
          <w:szCs w:val="24"/>
          <w:lang w:val="en-GB"/>
        </w:rPr>
        <w:t>iQIYI</w:t>
      </w:r>
      <w:r w:rsidRPr="00C9A62E" w:rsidR="1324A132">
        <w:rPr>
          <w:rFonts w:ascii="Arial" w:hAnsi="Arial" w:eastAsia="Arial" w:cs="Arial"/>
          <w:b w:val="0"/>
          <w:bCs w:val="0"/>
          <w:noProof w:val="0"/>
          <w:color w:val="auto"/>
          <w:sz w:val="24"/>
          <w:szCs w:val="24"/>
          <w:lang w:val="en-GB"/>
        </w:rPr>
        <w:t xml:space="preserve"> (Kokas, 2020), China </w:t>
      </w:r>
      <w:r w:rsidRPr="00C9A62E" w:rsidR="1324A132">
        <w:rPr>
          <w:rFonts w:ascii="Arial" w:hAnsi="Arial" w:eastAsia="Arial" w:cs="Arial"/>
          <w:b w:val="0"/>
          <w:bCs w:val="0"/>
          <w:noProof w:val="0"/>
          <w:color w:val="auto"/>
          <w:sz w:val="24"/>
          <w:szCs w:val="24"/>
          <w:lang w:val="en-GB"/>
        </w:rPr>
        <w:t>remains</w:t>
      </w:r>
      <w:r w:rsidRPr="00C9A62E" w:rsidR="1324A132">
        <w:rPr>
          <w:rFonts w:ascii="Arial" w:hAnsi="Arial" w:eastAsia="Arial" w:cs="Arial"/>
          <w:b w:val="0"/>
          <w:bCs w:val="0"/>
          <w:noProof w:val="0"/>
          <w:color w:val="auto"/>
          <w:sz w:val="24"/>
          <w:szCs w:val="24"/>
          <w:lang w:val="en-GB"/>
        </w:rPr>
        <w:t xml:space="preserve"> compelling given its 1.4 billion digitally savvy consumers and significant expansion of its entertainment market (Statista, 2025).</w:t>
      </w:r>
    </w:p>
    <w:p w:rsidR="5F2DE34F" w:rsidP="00C9A62E" w:rsidRDefault="5F2DE34F" w14:paraId="58815881" w14:textId="48E58E16">
      <w:pPr>
        <w:pStyle w:val="Heading1"/>
        <w:spacing w:line="360" w:lineRule="auto"/>
        <w:jc w:val="both"/>
        <w:rPr>
          <w:rFonts w:ascii="Arial" w:hAnsi="Arial" w:eastAsia="Arial" w:cs="Arial"/>
          <w:b w:val="0"/>
          <w:bCs w:val="0"/>
          <w:noProof w:val="0"/>
          <w:color w:val="auto"/>
          <w:sz w:val="24"/>
          <w:szCs w:val="24"/>
          <w:lang w:val="en-GB"/>
        </w:rPr>
      </w:pPr>
      <w:bookmarkStart w:name="_Toc349291085" w:id="154562004"/>
      <w:r w:rsidRPr="00C9A62E" w:rsidR="5F2DE34F">
        <w:rPr>
          <w:rFonts w:ascii="Arial" w:hAnsi="Arial" w:eastAsia="Arial" w:cs="Arial"/>
          <w:b w:val="0"/>
          <w:bCs w:val="0"/>
          <w:noProof w:val="0"/>
          <w:color w:val="auto"/>
          <w:sz w:val="24"/>
          <w:szCs w:val="24"/>
          <w:lang w:val="en-GB"/>
        </w:rPr>
        <w:t>Netflix: Current Situation</w:t>
      </w:r>
      <w:bookmarkEnd w:id="154562004"/>
    </w:p>
    <w:p w:rsidR="5F2DE34F" w:rsidP="00C9A62E" w:rsidRDefault="5F2DE34F" w14:paraId="73986E47" w14:textId="23AD5ED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2DE34F">
        <w:rPr>
          <w:rFonts w:ascii="Arial" w:hAnsi="Arial" w:eastAsia="Arial" w:cs="Arial"/>
          <w:b w:val="0"/>
          <w:bCs w:val="0"/>
          <w:noProof w:val="0"/>
          <w:color w:val="auto"/>
          <w:sz w:val="24"/>
          <w:szCs w:val="24"/>
          <w:lang w:val="en-GB"/>
        </w:rPr>
        <w:t>Netflix was founded in 1997 by Reed Hastings and Marc Randolph in the United States. It started as a DVD rental company and later became a global streaming leader (Challa &amp; Jena, 2024).</w:t>
      </w:r>
    </w:p>
    <w:p w:rsidR="5F2DE34F" w:rsidP="00C9A62E" w:rsidRDefault="5F2DE34F" w14:paraId="0C4C26D1" w14:textId="2F9854E9">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2DE34F">
        <w:rPr>
          <w:rFonts w:ascii="Arial" w:hAnsi="Arial" w:eastAsia="Arial" w:cs="Arial"/>
          <w:b w:val="0"/>
          <w:bCs w:val="0"/>
          <w:noProof w:val="0"/>
          <w:color w:val="auto"/>
          <w:sz w:val="24"/>
          <w:szCs w:val="24"/>
          <w:lang w:val="en-GB"/>
        </w:rPr>
        <w:t>Netflix’s mission is "to entertain the world," with a vision of providing accessible, high-quality, and diverse entertainment for a global audience. Netflix differentiates itself through its broad on-demand library, robust portfolio of original productions exclusive to the platform, and the integration of innovative interactive experiences, all offered via a user-friendly subscription model.</w:t>
      </w:r>
    </w:p>
    <w:p w:rsidR="5F2DE34F" w:rsidP="00C9A62E" w:rsidRDefault="5F2DE34F" w14:paraId="08582C31" w14:textId="15F9EEB8">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2DE34F">
        <w:rPr>
          <w:rFonts w:ascii="Arial" w:hAnsi="Arial" w:eastAsia="Arial" w:cs="Arial"/>
          <w:b w:val="0"/>
          <w:bCs w:val="0"/>
          <w:noProof w:val="0"/>
          <w:color w:val="auto"/>
          <w:sz w:val="24"/>
          <w:szCs w:val="24"/>
          <w:lang w:val="en-GB"/>
        </w:rPr>
        <w:t>In recent years, Netflix has expanded to over 190 countries and now has more than 230 million subscribers (Lotz, Eklund, &amp; Soroka, 2022). Its success stems from offering both licensed content and original shows—such as Stranger Things, The Crown, and Squid Game—that attract viewers and build brand loyalty, thereby securing its status as a digital entertainment leader (Challa &amp; Jena, 2024; Lotz, Eklund, &amp; Soroka, 2022).</w:t>
      </w:r>
    </w:p>
    <w:p w:rsidR="5F2DE34F" w:rsidP="00C9A62E" w:rsidRDefault="5F2DE34F" w14:paraId="150658A6" w14:textId="1D28D25A">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2DE34F">
        <w:rPr>
          <w:rFonts w:ascii="Arial" w:hAnsi="Arial" w:eastAsia="Arial" w:cs="Arial"/>
          <w:b w:val="0"/>
          <w:bCs w:val="0"/>
          <w:noProof w:val="0"/>
          <w:color w:val="auto"/>
          <w:sz w:val="24"/>
          <w:szCs w:val="24"/>
          <w:lang w:val="en-GB"/>
        </w:rPr>
        <w:t xml:space="preserve">Several strategic capabilities underpin Netflix’s continued growth and distinguish it from competitors. Its advanced technological infrastructure ensures reliable streaming and scalability across diverse markets. High brand recognition and a strong portfolio of original content reinforce its credibility. The use of advanced analytics enables precise audience targeting and personalised recommendations. Extensive global experience </w:t>
      </w:r>
      <w:r w:rsidRPr="00C9A62E" w:rsidR="5F2DE34F">
        <w:rPr>
          <w:rFonts w:ascii="Arial" w:hAnsi="Arial" w:eastAsia="Arial" w:cs="Arial"/>
          <w:b w:val="0"/>
          <w:bCs w:val="0"/>
          <w:noProof w:val="0"/>
          <w:color w:val="auto"/>
          <w:sz w:val="24"/>
          <w:szCs w:val="24"/>
          <w:lang w:val="en-GB"/>
        </w:rPr>
        <w:t>provides</w:t>
      </w:r>
      <w:r w:rsidRPr="00C9A62E" w:rsidR="5F2DE34F">
        <w:rPr>
          <w:rFonts w:ascii="Arial" w:hAnsi="Arial" w:eastAsia="Arial" w:cs="Arial"/>
          <w:b w:val="0"/>
          <w:bCs w:val="0"/>
          <w:noProof w:val="0"/>
          <w:color w:val="auto"/>
          <w:sz w:val="24"/>
          <w:szCs w:val="24"/>
          <w:lang w:val="en-GB"/>
        </w:rPr>
        <w:t xml:space="preserve"> critical insight for cultural adaptation and regulatory compliance, further differentiating Netflix within the industry.</w:t>
      </w:r>
    </w:p>
    <w:p w:rsidR="5F2DE34F" w:rsidP="00C9A62E" w:rsidRDefault="5F2DE34F" w14:paraId="015C063D" w14:textId="13AF9B9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2DE34F">
        <w:rPr>
          <w:rFonts w:ascii="Arial" w:hAnsi="Arial" w:eastAsia="Arial" w:cs="Arial"/>
          <w:b w:val="0"/>
          <w:bCs w:val="0"/>
          <w:noProof w:val="0"/>
          <w:color w:val="auto"/>
          <w:sz w:val="24"/>
          <w:szCs w:val="24"/>
          <w:lang w:val="en-GB"/>
        </w:rPr>
        <w:t xml:space="preserve">As a leading global streaming provider, Netflix aims to deliver engaging content accessible at any time and from any location. Its strategic </w:t>
      </w:r>
      <w:r w:rsidRPr="00C9A62E" w:rsidR="5F2DE34F">
        <w:rPr>
          <w:rFonts w:ascii="Arial" w:hAnsi="Arial" w:eastAsia="Arial" w:cs="Arial"/>
          <w:b w:val="0"/>
          <w:bCs w:val="0"/>
          <w:noProof w:val="0"/>
          <w:color w:val="auto"/>
          <w:sz w:val="24"/>
          <w:szCs w:val="24"/>
          <w:lang w:val="en-GB"/>
        </w:rPr>
        <w:t>objectives</w:t>
      </w:r>
      <w:r w:rsidRPr="00C9A62E" w:rsidR="5F2DE34F">
        <w:rPr>
          <w:rFonts w:ascii="Arial" w:hAnsi="Arial" w:eastAsia="Arial" w:cs="Arial"/>
          <w:b w:val="0"/>
          <w:bCs w:val="0"/>
          <w:noProof w:val="0"/>
          <w:color w:val="auto"/>
          <w:sz w:val="24"/>
          <w:szCs w:val="24"/>
          <w:lang w:val="en-GB"/>
        </w:rPr>
        <w:t xml:space="preserve"> encompass global expansion, subscriber growth, increased investment in original programming, technological innovation, and sustained long-term profitability.</w:t>
      </w:r>
    </w:p>
    <w:p w:rsidR="5F2DE34F" w:rsidP="00C9A62E" w:rsidRDefault="5F2DE34F" w14:paraId="7A93A821" w14:textId="16C81AC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2DE34F">
        <w:rPr>
          <w:rFonts w:ascii="Arial" w:hAnsi="Arial" w:eastAsia="Arial" w:cs="Arial"/>
          <w:b w:val="0"/>
          <w:bCs w:val="0"/>
          <w:noProof w:val="0"/>
          <w:color w:val="auto"/>
          <w:sz w:val="24"/>
          <w:szCs w:val="24"/>
          <w:lang w:val="en-GB"/>
        </w:rPr>
        <w:t xml:space="preserve">Established in 1997, Netflix is publicly traded. It trades on NASDAQ (NFLX) and uses standard governance, including a Board, executives, and shareholder oversight (Curry, 2025). Reed Hastings became Executive </w:t>
      </w:r>
      <w:r w:rsidRPr="00C9A62E" w:rsidR="5F2DE34F">
        <w:rPr>
          <w:rFonts w:ascii="Arial" w:hAnsi="Arial" w:eastAsia="Arial" w:cs="Arial"/>
          <w:b w:val="0"/>
          <w:bCs w:val="0"/>
          <w:noProof w:val="0"/>
          <w:color w:val="auto"/>
          <w:sz w:val="24"/>
          <w:szCs w:val="24"/>
          <w:lang w:val="en-GB"/>
        </w:rPr>
        <w:t>Chairman</w:t>
      </w:r>
      <w:r w:rsidRPr="00C9A62E" w:rsidR="5F2DE34F">
        <w:rPr>
          <w:rFonts w:ascii="Arial" w:hAnsi="Arial" w:eastAsia="Arial" w:cs="Arial"/>
          <w:b w:val="0"/>
          <w:bCs w:val="0"/>
          <w:noProof w:val="0"/>
          <w:color w:val="auto"/>
          <w:sz w:val="24"/>
          <w:szCs w:val="24"/>
          <w:lang w:val="en-GB"/>
        </w:rPr>
        <w:t xml:space="preserve"> after stepping down as CEO in 2023, while Greg Peters and Ted Sarandos now share the CEO role, providing stable leadership. </w:t>
      </w:r>
      <w:r w:rsidRPr="00C9A62E" w:rsidR="780A08C3">
        <w:rPr>
          <w:rFonts w:ascii="Arial" w:hAnsi="Arial" w:eastAsia="Arial" w:cs="Arial"/>
          <w:b w:val="0"/>
          <w:bCs w:val="0"/>
          <w:noProof w:val="0"/>
          <w:color w:val="auto"/>
          <w:sz w:val="24"/>
          <w:szCs w:val="24"/>
          <w:lang w:val="en-GB"/>
        </w:rPr>
        <w:t>Organis</w:t>
      </w:r>
      <w:r w:rsidRPr="00C9A62E" w:rsidR="5F2DE34F">
        <w:rPr>
          <w:rFonts w:ascii="Arial" w:hAnsi="Arial" w:eastAsia="Arial" w:cs="Arial"/>
          <w:b w:val="0"/>
          <w:bCs w:val="0"/>
          <w:noProof w:val="0"/>
          <w:color w:val="auto"/>
          <w:sz w:val="24"/>
          <w:szCs w:val="24"/>
          <w:lang w:val="en-GB"/>
        </w:rPr>
        <w:t>ational</w:t>
      </w:r>
      <w:r w:rsidRPr="00C9A62E" w:rsidR="1620DDEF">
        <w:rPr>
          <w:rFonts w:ascii="Arial" w:hAnsi="Arial" w:eastAsia="Arial" w:cs="Arial"/>
          <w:b w:val="0"/>
          <w:bCs w:val="0"/>
          <w:noProof w:val="0"/>
          <w:color w:val="auto"/>
          <w:sz w:val="24"/>
          <w:szCs w:val="24"/>
          <w:lang w:val="en-GB"/>
        </w:rPr>
        <w:t>ly, Netflix employs a decentralised, function-</w:t>
      </w:r>
      <w:r w:rsidRPr="00C9A62E" w:rsidR="5223C31C">
        <w:rPr>
          <w:rFonts w:ascii="Arial" w:hAnsi="Arial" w:eastAsia="Arial" w:cs="Arial"/>
          <w:b w:val="0"/>
          <w:bCs w:val="0"/>
          <w:noProof w:val="0"/>
          <w:color w:val="auto"/>
          <w:sz w:val="24"/>
          <w:szCs w:val="24"/>
          <w:lang w:val="en-GB"/>
        </w:rPr>
        <w:t>based structure</w:t>
      </w:r>
      <w:r w:rsidRPr="00C9A62E" w:rsidR="5223C31C">
        <w:rPr>
          <w:rFonts w:ascii="Arial" w:hAnsi="Arial" w:eastAsia="Arial" w:cs="Arial"/>
          <w:b w:val="0"/>
          <w:bCs w:val="0"/>
          <w:noProof w:val="0"/>
          <w:color w:val="auto"/>
          <w:sz w:val="24"/>
          <w:szCs w:val="24"/>
          <w:lang w:val="en-GB"/>
        </w:rPr>
        <w:t>, which</w:t>
      </w:r>
      <w:r w:rsidRPr="00C9A62E" w:rsidR="5F2DE34F">
        <w:rPr>
          <w:rFonts w:ascii="Arial" w:hAnsi="Arial" w:eastAsia="Arial" w:cs="Arial"/>
          <w:b w:val="0"/>
          <w:bCs w:val="0"/>
          <w:noProof w:val="0"/>
          <w:color w:val="auto"/>
          <w:sz w:val="24"/>
          <w:szCs w:val="24"/>
          <w:lang w:val="en-GB"/>
        </w:rPr>
        <w:t xml:space="preserve"> enables effective management of content creation, technology, marketing, and operations across diverse local markets. Operating in a rapidly evolving industry, the company must continuously adapt to technological advancements and shifting consumer preferences. Netflix also faces increasing competition from global and regional streaming providers, including Disney+, Amazon Prime Video, and </w:t>
      </w:r>
      <w:r w:rsidRPr="00C9A62E" w:rsidR="5F2DE34F">
        <w:rPr>
          <w:rFonts w:ascii="Arial" w:hAnsi="Arial" w:eastAsia="Arial" w:cs="Arial"/>
          <w:b w:val="0"/>
          <w:bCs w:val="0"/>
          <w:noProof w:val="0"/>
          <w:color w:val="auto"/>
          <w:sz w:val="24"/>
          <w:szCs w:val="24"/>
          <w:lang w:val="en-GB"/>
        </w:rPr>
        <w:t>iQIYI</w:t>
      </w:r>
      <w:r w:rsidRPr="00C9A62E" w:rsidR="5F2DE34F">
        <w:rPr>
          <w:rFonts w:ascii="Arial" w:hAnsi="Arial" w:eastAsia="Arial" w:cs="Arial"/>
          <w:b w:val="0"/>
          <w:bCs w:val="0"/>
          <w:noProof w:val="0"/>
          <w:color w:val="auto"/>
          <w:sz w:val="24"/>
          <w:szCs w:val="24"/>
          <w:lang w:val="en-GB"/>
        </w:rPr>
        <w:t>.</w:t>
      </w:r>
    </w:p>
    <w:p w:rsidR="5F2DE34F" w:rsidP="00C9A62E" w:rsidRDefault="5F2DE34F" w14:paraId="3CA5DB13" w14:textId="13601161">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2DE34F">
        <w:rPr>
          <w:rFonts w:ascii="Arial" w:hAnsi="Arial" w:eastAsia="Arial" w:cs="Arial"/>
          <w:b w:val="0"/>
          <w:bCs w:val="0"/>
          <w:noProof w:val="0"/>
          <w:color w:val="auto"/>
          <w:sz w:val="24"/>
          <w:szCs w:val="24"/>
          <w:lang w:val="en-GB"/>
        </w:rPr>
        <w:t xml:space="preserve">Netflix’s core offering centres on the streaming of films, series, documentaries, and original productions—collectively branded as "Netflix Originals." The company provides various subscription tiers, including ad-supported options introduced in 2022. With operations spanning more than 190 countries, Netflix </w:t>
      </w:r>
      <w:r w:rsidRPr="00C9A62E" w:rsidR="5F2DE34F">
        <w:rPr>
          <w:rFonts w:ascii="Arial" w:hAnsi="Arial" w:eastAsia="Arial" w:cs="Arial"/>
          <w:b w:val="0"/>
          <w:bCs w:val="0"/>
          <w:noProof w:val="0"/>
          <w:color w:val="auto"/>
          <w:sz w:val="24"/>
          <w:szCs w:val="24"/>
          <w:lang w:val="en-GB"/>
        </w:rPr>
        <w:t>maintains</w:t>
      </w:r>
      <w:r w:rsidRPr="00C9A62E" w:rsidR="5F2DE34F">
        <w:rPr>
          <w:rFonts w:ascii="Arial" w:hAnsi="Arial" w:eastAsia="Arial" w:cs="Arial"/>
          <w:b w:val="0"/>
          <w:bCs w:val="0"/>
          <w:noProof w:val="0"/>
          <w:color w:val="auto"/>
          <w:sz w:val="24"/>
          <w:szCs w:val="24"/>
          <w:lang w:val="en-GB"/>
        </w:rPr>
        <w:t xml:space="preserve"> a strong presence in North America, Europe, and Latin America. It is also pursuing selective expansion in parts of Asia.</w:t>
      </w:r>
    </w:p>
    <w:p w:rsidR="5F2DE34F" w:rsidP="00C9A62E" w:rsidRDefault="5F2DE34F" w14:paraId="0B3B0B1E" w14:textId="73E29366">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2DE34F">
        <w:rPr>
          <w:rFonts w:ascii="Arial" w:hAnsi="Arial" w:eastAsia="Arial" w:cs="Arial"/>
          <w:b w:val="0"/>
          <w:bCs w:val="0"/>
          <w:noProof w:val="0"/>
          <w:color w:val="auto"/>
          <w:sz w:val="24"/>
          <w:szCs w:val="24"/>
          <w:lang w:val="en-GB"/>
        </w:rPr>
        <w:t xml:space="preserve">In 2025, Netflix reported revenues exceeding $ 39 billion (Curry, 2025). This growth came </w:t>
      </w:r>
      <w:r w:rsidRPr="00C9A62E" w:rsidR="5F2DE34F">
        <w:rPr>
          <w:rFonts w:ascii="Arial" w:hAnsi="Arial" w:eastAsia="Arial" w:cs="Arial"/>
          <w:b w:val="0"/>
          <w:bCs w:val="0"/>
          <w:noProof w:val="0"/>
          <w:color w:val="auto"/>
          <w:sz w:val="24"/>
          <w:szCs w:val="24"/>
          <w:lang w:val="en-GB"/>
        </w:rPr>
        <w:t>mainly from</w:t>
      </w:r>
      <w:r w:rsidRPr="00C9A62E" w:rsidR="5F2DE34F">
        <w:rPr>
          <w:rFonts w:ascii="Arial" w:hAnsi="Arial" w:eastAsia="Arial" w:cs="Arial"/>
          <w:b w:val="0"/>
          <w:bCs w:val="0"/>
          <w:noProof w:val="0"/>
          <w:color w:val="auto"/>
          <w:sz w:val="24"/>
          <w:szCs w:val="24"/>
          <w:lang w:val="en-GB"/>
        </w:rPr>
        <w:t xml:space="preserve"> more subscribers and increased ad income. Strong cash flow lets Netflix keep investing in content, giving it an edge in global streaming.</w:t>
      </w:r>
    </w:p>
    <w:p w:rsidR="144E8088" w:rsidP="00C9A62E" w:rsidRDefault="144E8088" w14:paraId="36D1E028" w14:textId="12678148">
      <w:pPr>
        <w:pStyle w:val="Heading2"/>
        <w:spacing w:line="360" w:lineRule="auto"/>
        <w:jc w:val="both"/>
        <w:rPr>
          <w:rFonts w:ascii="Arial" w:hAnsi="Arial" w:eastAsia="Arial" w:cs="Arial"/>
          <w:b w:val="0"/>
          <w:bCs w:val="0"/>
          <w:color w:val="auto"/>
          <w:sz w:val="24"/>
          <w:szCs w:val="24"/>
        </w:rPr>
      </w:pPr>
      <w:bookmarkStart w:name="_Toc404360204" w:id="283145988"/>
      <w:r w:rsidRPr="00C9A62E" w:rsidR="144E8088">
        <w:rPr>
          <w:rFonts w:ascii="Arial" w:hAnsi="Arial" w:eastAsia="Arial" w:cs="Arial"/>
          <w:b w:val="0"/>
          <w:bCs w:val="0"/>
          <w:color w:val="auto"/>
          <w:sz w:val="24"/>
          <w:szCs w:val="24"/>
        </w:rPr>
        <w:t>Target Market</w:t>
      </w:r>
      <w:bookmarkEnd w:id="283145988"/>
    </w:p>
    <w:p w:rsidR="133744A3" w:rsidP="00C9A62E" w:rsidRDefault="133744A3" w14:paraId="79394ABC" w14:textId="56B9A8EB">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133744A3">
        <w:rPr>
          <w:rFonts w:ascii="Arial" w:hAnsi="Arial" w:eastAsia="Arial" w:cs="Arial"/>
          <w:b w:val="0"/>
          <w:bCs w:val="0"/>
          <w:noProof w:val="0"/>
          <w:color w:val="auto"/>
          <w:sz w:val="24"/>
          <w:szCs w:val="24"/>
          <w:lang w:val="en-GB"/>
        </w:rPr>
        <w:t xml:space="preserve">China </w:t>
      </w:r>
      <w:r w:rsidRPr="00C9A62E" w:rsidR="133744A3">
        <w:rPr>
          <w:rFonts w:ascii="Arial" w:hAnsi="Arial" w:eastAsia="Arial" w:cs="Arial"/>
          <w:b w:val="0"/>
          <w:bCs w:val="0"/>
          <w:noProof w:val="0"/>
          <w:color w:val="auto"/>
          <w:sz w:val="24"/>
          <w:szCs w:val="24"/>
          <w:lang w:val="en-GB"/>
        </w:rPr>
        <w:t>represents</w:t>
      </w:r>
      <w:r w:rsidRPr="00C9A62E" w:rsidR="133744A3">
        <w:rPr>
          <w:rFonts w:ascii="Arial" w:hAnsi="Arial" w:eastAsia="Arial" w:cs="Arial"/>
          <w:b w:val="0"/>
          <w:bCs w:val="0"/>
          <w:noProof w:val="0"/>
          <w:color w:val="auto"/>
          <w:sz w:val="24"/>
          <w:szCs w:val="24"/>
          <w:lang w:val="en-GB"/>
        </w:rPr>
        <w:t xml:space="preserve"> a significant international expansion opportunity for Netflix due to its large scale, advanced digital infrastructure, and rapidly evolving demand for online entertainment. With 1.4 billion consumers and a fast-growing middle class, China offers substantial long-term potential for subscriber growth. However, Kokas (2020) </w:t>
      </w:r>
      <w:r w:rsidRPr="00C9A62E" w:rsidR="133744A3">
        <w:rPr>
          <w:rFonts w:ascii="Arial" w:hAnsi="Arial" w:eastAsia="Arial" w:cs="Arial"/>
          <w:b w:val="0"/>
          <w:bCs w:val="0"/>
          <w:noProof w:val="0"/>
          <w:color w:val="auto"/>
          <w:sz w:val="24"/>
          <w:szCs w:val="24"/>
          <w:lang w:val="en-GB"/>
        </w:rPr>
        <w:t>identifies</w:t>
      </w:r>
      <w:r w:rsidRPr="00C9A62E" w:rsidR="133744A3">
        <w:rPr>
          <w:rFonts w:ascii="Arial" w:hAnsi="Arial" w:eastAsia="Arial" w:cs="Arial"/>
          <w:b w:val="0"/>
          <w:bCs w:val="0"/>
          <w:noProof w:val="0"/>
          <w:color w:val="auto"/>
          <w:sz w:val="24"/>
          <w:szCs w:val="24"/>
          <w:lang w:val="en-GB"/>
        </w:rPr>
        <w:t xml:space="preserve"> considerable challenges for global organisations; for example, Google exited the Chinese market due to regulatory obstacles. China’s market is highly digitalised, with widespread mobile connectivity and strong broadband penetration, and its population </w:t>
      </w:r>
      <w:r w:rsidRPr="00C9A62E" w:rsidR="133744A3">
        <w:rPr>
          <w:rFonts w:ascii="Arial" w:hAnsi="Arial" w:eastAsia="Arial" w:cs="Arial"/>
          <w:b w:val="0"/>
          <w:bCs w:val="0"/>
          <w:noProof w:val="0"/>
          <w:color w:val="auto"/>
          <w:sz w:val="24"/>
          <w:szCs w:val="24"/>
          <w:lang w:val="en-GB"/>
        </w:rPr>
        <w:t>demonstrates</w:t>
      </w:r>
      <w:r w:rsidRPr="00C9A62E" w:rsidR="133744A3">
        <w:rPr>
          <w:rFonts w:ascii="Arial" w:hAnsi="Arial" w:eastAsia="Arial" w:cs="Arial"/>
          <w:b w:val="0"/>
          <w:bCs w:val="0"/>
          <w:noProof w:val="0"/>
          <w:color w:val="auto"/>
          <w:sz w:val="24"/>
          <w:szCs w:val="24"/>
          <w:lang w:val="en-GB"/>
        </w:rPr>
        <w:t xml:space="preserve"> sophisticated media consumption habits. As a result, demand for premium streaming content, particularly international films, series, and high-quality domestic productions, continues to increase. Tufte, Jin, and Wu (2016) note that these trends are supported by rising disposable incomes in China.</w:t>
      </w:r>
    </w:p>
    <w:p w:rsidR="133744A3" w:rsidP="00C9A62E" w:rsidRDefault="133744A3" w14:paraId="64D00B0C" w14:textId="5A6D322A">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133744A3">
        <w:rPr>
          <w:rFonts w:ascii="Arial" w:hAnsi="Arial" w:eastAsia="Arial" w:cs="Arial"/>
          <w:b w:val="0"/>
          <w:bCs w:val="0"/>
          <w:noProof w:val="0"/>
          <w:color w:val="auto"/>
          <w:sz w:val="24"/>
          <w:szCs w:val="24"/>
          <w:lang w:val="en-GB"/>
        </w:rPr>
        <w:t xml:space="preserve">Jeffreys and Xu (2023) highlight that the Chinese government has invested </w:t>
      </w:r>
      <w:r w:rsidRPr="00C9A62E" w:rsidR="65F61F90">
        <w:rPr>
          <w:rFonts w:ascii="Arial" w:hAnsi="Arial" w:eastAsia="Arial" w:cs="Arial"/>
          <w:b w:val="0"/>
          <w:bCs w:val="0"/>
          <w:noProof w:val="0"/>
          <w:color w:val="auto"/>
          <w:sz w:val="24"/>
          <w:szCs w:val="24"/>
          <w:lang w:val="en-GB"/>
        </w:rPr>
        <w:t>in</w:t>
      </w:r>
      <w:r w:rsidRPr="00C9A62E" w:rsidR="133744A3">
        <w:rPr>
          <w:rFonts w:ascii="Arial" w:hAnsi="Arial" w:eastAsia="Arial" w:cs="Arial"/>
          <w:b w:val="0"/>
          <w:bCs w:val="0"/>
          <w:noProof w:val="0"/>
          <w:color w:val="auto"/>
          <w:sz w:val="24"/>
          <w:szCs w:val="24"/>
          <w:lang w:val="en-GB"/>
        </w:rPr>
        <w:t xml:space="preserve"> developing the world's largest media and entertainment market, supported by regulatory frameworks intended to promote a “soft power” presence domestically and internationally. China’s entertainment industry is undergoing significant transformation, driven by government investment in digital media and a shift from traditional television to online platforms. While regulatory constraints and strong domestic competitors present challenges, they also create opportunities. Strategic partnerships, content localisation, and co-production ventures may </w:t>
      </w:r>
      <w:r w:rsidRPr="00C9A62E" w:rsidR="133744A3">
        <w:rPr>
          <w:rFonts w:ascii="Arial" w:hAnsi="Arial" w:eastAsia="Arial" w:cs="Arial"/>
          <w:b w:val="0"/>
          <w:bCs w:val="0"/>
          <w:noProof w:val="0"/>
          <w:color w:val="auto"/>
          <w:sz w:val="24"/>
          <w:szCs w:val="24"/>
          <w:lang w:val="en-GB"/>
        </w:rPr>
        <w:t>facilitate</w:t>
      </w:r>
      <w:r w:rsidRPr="00C9A62E" w:rsidR="133744A3">
        <w:rPr>
          <w:rFonts w:ascii="Arial" w:hAnsi="Arial" w:eastAsia="Arial" w:cs="Arial"/>
          <w:b w:val="0"/>
          <w:bCs w:val="0"/>
          <w:noProof w:val="0"/>
          <w:color w:val="auto"/>
          <w:sz w:val="24"/>
          <w:szCs w:val="24"/>
          <w:lang w:val="en-GB"/>
        </w:rPr>
        <w:t xml:space="preserve"> market entry. Expanding into China enables Netflix to access a large, dynamic, and commercially attractive market, aligning with its global growth </w:t>
      </w:r>
      <w:r w:rsidRPr="00C9A62E" w:rsidR="133744A3">
        <w:rPr>
          <w:rFonts w:ascii="Arial" w:hAnsi="Arial" w:eastAsia="Arial" w:cs="Arial"/>
          <w:b w:val="0"/>
          <w:bCs w:val="0"/>
          <w:noProof w:val="0"/>
          <w:color w:val="auto"/>
          <w:sz w:val="24"/>
          <w:szCs w:val="24"/>
          <w:lang w:val="en-GB"/>
        </w:rPr>
        <w:t>objectives</w:t>
      </w:r>
      <w:r w:rsidRPr="00C9A62E" w:rsidR="133744A3">
        <w:rPr>
          <w:rFonts w:ascii="Arial" w:hAnsi="Arial" w:eastAsia="Arial" w:cs="Arial"/>
          <w:b w:val="0"/>
          <w:bCs w:val="0"/>
          <w:noProof w:val="0"/>
          <w:color w:val="auto"/>
          <w:sz w:val="24"/>
          <w:szCs w:val="24"/>
          <w:lang w:val="en-GB"/>
        </w:rPr>
        <w:t>.</w:t>
      </w:r>
    </w:p>
    <w:p w:rsidR="133744A3" w:rsidP="00C9A62E" w:rsidRDefault="133744A3" w14:paraId="5E8D2C7E" w14:textId="5362F62F">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133744A3">
        <w:rPr>
          <w:rFonts w:ascii="Arial" w:hAnsi="Arial" w:eastAsia="Arial" w:cs="Arial"/>
          <w:b w:val="0"/>
          <w:bCs w:val="0"/>
          <w:noProof w:val="0"/>
          <w:color w:val="auto"/>
          <w:sz w:val="24"/>
          <w:szCs w:val="24"/>
          <w:lang w:val="en-GB"/>
        </w:rPr>
        <w:t>Taken together, these characteristics make China’s entertainment market not only challenging but also highly attractive to international services like Netflix, setting the stage for strategic expansion.</w:t>
      </w:r>
    </w:p>
    <w:p w:rsidR="541E588D" w:rsidP="00C9A62E" w:rsidRDefault="541E588D" w14:paraId="2D8472BA" w14:textId="6600A8DB">
      <w:pPr>
        <w:pStyle w:val="Heading1"/>
        <w:spacing w:line="360" w:lineRule="auto"/>
        <w:jc w:val="both"/>
        <w:rPr>
          <w:rFonts w:ascii="Arial" w:hAnsi="Arial" w:eastAsia="Arial" w:cs="Arial"/>
          <w:b w:val="0"/>
          <w:bCs w:val="0"/>
          <w:color w:val="auto"/>
          <w:sz w:val="24"/>
          <w:szCs w:val="24"/>
        </w:rPr>
      </w:pPr>
      <w:bookmarkStart w:name="_Toc2078260966" w:id="1113034067"/>
      <w:r w:rsidRPr="00C9A62E" w:rsidR="541E588D">
        <w:rPr>
          <w:rFonts w:ascii="Arial" w:hAnsi="Arial" w:eastAsia="Arial" w:cs="Arial"/>
          <w:b w:val="0"/>
          <w:bCs w:val="0"/>
          <w:color w:val="auto"/>
          <w:sz w:val="24"/>
          <w:szCs w:val="24"/>
        </w:rPr>
        <w:t>Comprehensive Strategic Analysis</w:t>
      </w:r>
      <w:bookmarkEnd w:id="1113034067"/>
    </w:p>
    <w:p w:rsidR="5EAB156E" w:rsidP="00C9A62E" w:rsidRDefault="5EAB156E" w14:paraId="72F96121" w14:textId="040FC3A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EAB156E">
        <w:rPr>
          <w:rFonts w:ascii="Arial" w:hAnsi="Arial" w:eastAsia="Arial" w:cs="Arial"/>
          <w:b w:val="0"/>
          <w:bCs w:val="0"/>
          <w:noProof w:val="0"/>
          <w:color w:val="auto"/>
          <w:sz w:val="24"/>
          <w:szCs w:val="24"/>
          <w:lang w:val="en-GB"/>
        </w:rPr>
        <w:t xml:space="preserve">Expanding into China </w:t>
      </w:r>
      <w:r w:rsidRPr="00C9A62E" w:rsidR="5EAB156E">
        <w:rPr>
          <w:rFonts w:ascii="Arial" w:hAnsi="Arial" w:eastAsia="Arial" w:cs="Arial"/>
          <w:b w:val="0"/>
          <w:bCs w:val="0"/>
          <w:noProof w:val="0"/>
          <w:color w:val="auto"/>
          <w:sz w:val="24"/>
          <w:szCs w:val="24"/>
          <w:lang w:val="en-GB"/>
        </w:rPr>
        <w:t>represents</w:t>
      </w:r>
      <w:r w:rsidRPr="00C9A62E" w:rsidR="5EAB156E">
        <w:rPr>
          <w:rFonts w:ascii="Arial" w:hAnsi="Arial" w:eastAsia="Arial" w:cs="Arial"/>
          <w:b w:val="0"/>
          <w:bCs w:val="0"/>
          <w:noProof w:val="0"/>
          <w:color w:val="auto"/>
          <w:sz w:val="24"/>
          <w:szCs w:val="24"/>
          <w:lang w:val="en-GB"/>
        </w:rPr>
        <w:t xml:space="preserve"> a pivotal strategic opportunity for Netflix, offering access to a vast consumer base, a sophisticated digital ecosystem, and a rapidly expanding entertainment sector. However, formidable challenges—including stringent regulations, entrenched local competitors, and pronounced cultural distinctions—demand rigorous executive scrutiny. This analysis equips Netflix’s board with actionable insights for decisive market entry. Leveraging PESTLE and Porter’s Five Forces, we deliver a robust external audit of China, highlighting key forces shaping strategic direction. The </w:t>
      </w:r>
      <w:r w:rsidRPr="00C9A62E" w:rsidR="5EAB156E">
        <w:rPr>
          <w:rFonts w:ascii="Arial" w:hAnsi="Arial" w:eastAsia="Arial" w:cs="Arial"/>
          <w:b w:val="0"/>
          <w:bCs w:val="0"/>
          <w:noProof w:val="0"/>
          <w:color w:val="auto"/>
          <w:sz w:val="24"/>
          <w:szCs w:val="24"/>
          <w:lang w:val="en-GB"/>
        </w:rPr>
        <w:t>subsequent</w:t>
      </w:r>
      <w:r w:rsidRPr="00C9A62E" w:rsidR="5EAB156E">
        <w:rPr>
          <w:rFonts w:ascii="Arial" w:hAnsi="Arial" w:eastAsia="Arial" w:cs="Arial"/>
          <w:b w:val="0"/>
          <w:bCs w:val="0"/>
          <w:noProof w:val="0"/>
          <w:color w:val="auto"/>
          <w:sz w:val="24"/>
          <w:szCs w:val="24"/>
          <w:lang w:val="en-GB"/>
        </w:rPr>
        <w:t xml:space="preserve"> internal audit evaluates Netflix’s assets, capabilities, and competitive standing using the VRIO model and value chain analysis. This comprehensive assessment informs Netflix’s executive approach to the Chinese market.</w:t>
      </w:r>
    </w:p>
    <w:p w:rsidR="4ADADD8C" w:rsidP="00C9A62E" w:rsidRDefault="4ADADD8C" w14:paraId="30E7B02F" w14:textId="258763F4">
      <w:pPr>
        <w:pStyle w:val="Heading2"/>
        <w:spacing w:line="360" w:lineRule="auto"/>
        <w:jc w:val="both"/>
        <w:rPr>
          <w:rFonts w:ascii="Arial" w:hAnsi="Arial" w:eastAsia="Arial" w:cs="Arial"/>
          <w:b w:val="0"/>
          <w:bCs w:val="0"/>
          <w:noProof w:val="0"/>
          <w:color w:val="auto"/>
          <w:sz w:val="24"/>
          <w:szCs w:val="24"/>
          <w:lang w:val="en-GB"/>
        </w:rPr>
      </w:pPr>
      <w:bookmarkStart w:name="_Toc253564526" w:id="1456886071"/>
      <w:r w:rsidRPr="00C9A62E" w:rsidR="4ADADD8C">
        <w:rPr>
          <w:rFonts w:ascii="Arial" w:hAnsi="Arial" w:eastAsia="Arial" w:cs="Arial"/>
          <w:b w:val="0"/>
          <w:bCs w:val="0"/>
          <w:noProof w:val="0"/>
          <w:color w:val="auto"/>
          <w:sz w:val="24"/>
          <w:szCs w:val="24"/>
          <w:lang w:val="en-GB"/>
        </w:rPr>
        <w:t>1. PESTLE Analysis</w:t>
      </w:r>
      <w:bookmarkEnd w:id="1456886071"/>
    </w:p>
    <w:p w:rsidR="4BE0E3B7" w:rsidP="00C9A62E" w:rsidRDefault="4BE0E3B7" w14:paraId="5BC7C7B7" w14:textId="303D61F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4BE0E3B7">
        <w:rPr>
          <w:rFonts w:ascii="Arial" w:hAnsi="Arial" w:eastAsia="Arial" w:cs="Arial"/>
          <w:b w:val="0"/>
          <w:bCs w:val="0"/>
          <w:noProof w:val="0"/>
          <w:color w:val="auto"/>
          <w:sz w:val="24"/>
          <w:szCs w:val="24"/>
          <w:lang w:val="en-GB"/>
        </w:rPr>
        <w:t>PESTEL analysis acts as a strategic powerhouse, unlocking insights into the macro-environment’s far-reaching external forces that shape entire industries and businesses. As de Sousa and Castañeda-Ayarza (2022) highlight, these forces drive transformation and define the competitive landscape.</w:t>
      </w:r>
    </w:p>
    <w:p w:rsidR="4ADADD8C" w:rsidP="00C9A62E" w:rsidRDefault="4ADADD8C" w14:paraId="641743C8" w14:textId="6C81ECCB">
      <w:pPr>
        <w:pStyle w:val="Heading3"/>
        <w:spacing w:line="360" w:lineRule="auto"/>
        <w:jc w:val="both"/>
        <w:rPr>
          <w:rFonts w:ascii="Arial" w:hAnsi="Arial" w:eastAsia="Arial" w:cs="Arial"/>
          <w:b w:val="0"/>
          <w:bCs w:val="0"/>
          <w:noProof w:val="0"/>
          <w:color w:val="auto"/>
          <w:sz w:val="24"/>
          <w:szCs w:val="24"/>
          <w:lang w:val="en-GB"/>
        </w:rPr>
      </w:pPr>
      <w:bookmarkStart w:name="_Toc209231532" w:id="96033471"/>
      <w:r w:rsidRPr="00C9A62E" w:rsidR="4ADADD8C">
        <w:rPr>
          <w:rFonts w:ascii="Arial" w:hAnsi="Arial" w:eastAsia="Arial" w:cs="Arial"/>
          <w:b w:val="0"/>
          <w:bCs w:val="0"/>
          <w:noProof w:val="0"/>
          <w:color w:val="auto"/>
          <w:sz w:val="24"/>
          <w:szCs w:val="24"/>
          <w:lang w:val="en-GB"/>
        </w:rPr>
        <w:t>Political Factors</w:t>
      </w:r>
      <w:bookmarkEnd w:id="96033471"/>
    </w:p>
    <w:p w:rsidR="4ADADD8C" w:rsidP="00C9A62E" w:rsidRDefault="4ADADD8C" w14:paraId="259C035D" w14:textId="73BFCB29">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4ADADD8C">
        <w:rPr>
          <w:rFonts w:ascii="Arial" w:hAnsi="Arial" w:eastAsia="Arial" w:cs="Arial"/>
          <w:b w:val="0"/>
          <w:bCs w:val="0"/>
          <w:noProof w:val="0"/>
          <w:color w:val="auto"/>
          <w:sz w:val="24"/>
          <w:szCs w:val="24"/>
          <w:lang w:val="en-GB"/>
        </w:rPr>
        <w:t xml:space="preserve">China </w:t>
      </w:r>
      <w:r w:rsidRPr="00C9A62E" w:rsidR="4ADADD8C">
        <w:rPr>
          <w:rFonts w:ascii="Arial" w:hAnsi="Arial" w:eastAsia="Arial" w:cs="Arial"/>
          <w:b w:val="0"/>
          <w:bCs w:val="0"/>
          <w:noProof w:val="0"/>
          <w:color w:val="auto"/>
          <w:sz w:val="24"/>
          <w:szCs w:val="24"/>
          <w:lang w:val="en-GB"/>
        </w:rPr>
        <w:t>maintains</w:t>
      </w:r>
      <w:r w:rsidRPr="00C9A62E" w:rsidR="4ADADD8C">
        <w:rPr>
          <w:rFonts w:ascii="Arial" w:hAnsi="Arial" w:eastAsia="Arial" w:cs="Arial"/>
          <w:b w:val="0"/>
          <w:bCs w:val="0"/>
          <w:noProof w:val="0"/>
          <w:color w:val="auto"/>
          <w:sz w:val="24"/>
          <w:szCs w:val="24"/>
          <w:lang w:val="en-GB"/>
        </w:rPr>
        <w:t xml:space="preserve"> strong state intervention, especially in the media, digital, and cultural industries. Foreign streaming platforms face licensing, censorship, and data localisation restrictions. Jeffreys and Xu (2023) state that China’s entertainment sectors are tightly regulated to bolster domestic industries and advance national "soft power." These rules create significant entry barriers. Government intervention could mean stricter licensing amid political tensions, further limiting content and platform operations. Heightened data localisation could arise from national security efforts, increasing compliance challenges. A sudden shift in censorship laws may follow changes in government or international relations, resulting in greater controls. Given these risks, partnering with a state-linked company may be the best way to navigate these political complexities.</w:t>
      </w:r>
    </w:p>
    <w:p w:rsidR="4ADADD8C" w:rsidP="00C9A62E" w:rsidRDefault="4ADADD8C" w14:paraId="6DFD7D05" w14:textId="2D3C0B14">
      <w:pPr>
        <w:pStyle w:val="Heading3"/>
        <w:spacing w:line="360" w:lineRule="auto"/>
        <w:jc w:val="both"/>
        <w:rPr>
          <w:rFonts w:ascii="Arial" w:hAnsi="Arial" w:eastAsia="Arial" w:cs="Arial"/>
          <w:b w:val="0"/>
          <w:bCs w:val="0"/>
          <w:noProof w:val="0"/>
          <w:color w:val="auto"/>
          <w:sz w:val="24"/>
          <w:szCs w:val="24"/>
          <w:lang w:val="en-GB"/>
        </w:rPr>
      </w:pPr>
      <w:bookmarkStart w:name="_Toc2065939429" w:id="2128807936"/>
      <w:r w:rsidRPr="00C9A62E" w:rsidR="4ADADD8C">
        <w:rPr>
          <w:rFonts w:ascii="Arial" w:hAnsi="Arial" w:eastAsia="Arial" w:cs="Arial"/>
          <w:b w:val="0"/>
          <w:bCs w:val="0"/>
          <w:noProof w:val="0"/>
          <w:color w:val="auto"/>
          <w:sz w:val="24"/>
          <w:szCs w:val="24"/>
          <w:lang w:val="en-GB"/>
        </w:rPr>
        <w:t>Economic Factors</w:t>
      </w:r>
      <w:bookmarkEnd w:id="2128807936"/>
    </w:p>
    <w:p w:rsidR="4ADADD8C" w:rsidP="00C9A62E" w:rsidRDefault="4ADADD8C" w14:paraId="3CCD0674" w14:textId="6962A67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4ADADD8C">
        <w:rPr>
          <w:rFonts w:ascii="Arial" w:hAnsi="Arial" w:eastAsia="Arial" w:cs="Arial"/>
          <w:b w:val="0"/>
          <w:bCs w:val="0"/>
          <w:noProof w:val="0"/>
          <w:color w:val="auto"/>
          <w:sz w:val="24"/>
          <w:szCs w:val="24"/>
          <w:lang w:val="en-GB"/>
        </w:rPr>
        <w:t>China</w:t>
      </w:r>
      <w:r w:rsidRPr="00C9A62E" w:rsidR="4ADADD8C">
        <w:rPr>
          <w:rFonts w:ascii="Arial" w:hAnsi="Arial" w:eastAsia="Arial" w:cs="Arial"/>
          <w:b w:val="0"/>
          <w:bCs w:val="0"/>
          <w:noProof w:val="0"/>
          <w:color w:val="auto"/>
          <w:sz w:val="24"/>
          <w:szCs w:val="24"/>
          <w:lang w:val="en-GB"/>
        </w:rPr>
        <w:t xml:space="preserve"> </w:t>
      </w:r>
      <w:r w:rsidRPr="00C9A62E" w:rsidR="4ADADD8C">
        <w:rPr>
          <w:rFonts w:ascii="Arial" w:hAnsi="Arial" w:eastAsia="Arial" w:cs="Arial"/>
          <w:b w:val="0"/>
          <w:bCs w:val="0"/>
          <w:noProof w:val="0"/>
          <w:color w:val="auto"/>
          <w:sz w:val="24"/>
          <w:szCs w:val="24"/>
          <w:lang w:val="en-GB"/>
        </w:rPr>
        <w:t>represents</w:t>
      </w:r>
      <w:r w:rsidRPr="00C9A62E" w:rsidR="4ADADD8C">
        <w:rPr>
          <w:rFonts w:ascii="Arial" w:hAnsi="Arial" w:eastAsia="Arial" w:cs="Arial"/>
          <w:b w:val="0"/>
          <w:bCs w:val="0"/>
          <w:noProof w:val="0"/>
          <w:color w:val="auto"/>
          <w:sz w:val="24"/>
          <w:szCs w:val="24"/>
          <w:lang w:val="en-GB"/>
        </w:rPr>
        <w:t xml:space="preserve"> one of the world’s largest and fastest-growing digital economies, with 579 million online users compared to 212 million in the US (Zhuge, 2018). Rising disposable incomes, an expanding urban middle class, and strong consumer appetite for online entertainment create favourable economic conditions. The country’s subscription video-on-demand (SVOD) market has grown rapidly, driven by increasing broadband penetration and widespread adoption of mobile streaming (Zhuge, 2018). Despite economic fluctuations, consumer spending on entertainment </w:t>
      </w:r>
      <w:r w:rsidRPr="00C9A62E" w:rsidR="4ADADD8C">
        <w:rPr>
          <w:rFonts w:ascii="Arial" w:hAnsi="Arial" w:eastAsia="Arial" w:cs="Arial"/>
          <w:b w:val="0"/>
          <w:bCs w:val="0"/>
          <w:noProof w:val="0"/>
          <w:color w:val="auto"/>
          <w:sz w:val="24"/>
          <w:szCs w:val="24"/>
          <w:lang w:val="en-GB"/>
        </w:rPr>
        <w:t>remains</w:t>
      </w:r>
      <w:r w:rsidRPr="00C9A62E" w:rsidR="4ADADD8C">
        <w:rPr>
          <w:rFonts w:ascii="Arial" w:hAnsi="Arial" w:eastAsia="Arial" w:cs="Arial"/>
          <w:b w:val="0"/>
          <w:bCs w:val="0"/>
          <w:noProof w:val="0"/>
          <w:color w:val="auto"/>
          <w:sz w:val="24"/>
          <w:szCs w:val="24"/>
          <w:lang w:val="en-GB"/>
        </w:rPr>
        <w:t xml:space="preserve"> resilient. For Netflix, this suggests strong long-term revenue potential, although price sensitivity and local competition may shape pricing strategies.</w:t>
      </w:r>
    </w:p>
    <w:p w:rsidR="4ADADD8C" w:rsidP="00C9A62E" w:rsidRDefault="4ADADD8C" w14:paraId="21D5721C" w14:textId="737B5C87">
      <w:pPr>
        <w:pStyle w:val="Heading3"/>
        <w:spacing w:line="360" w:lineRule="auto"/>
        <w:jc w:val="both"/>
        <w:rPr>
          <w:rFonts w:ascii="Arial" w:hAnsi="Arial" w:eastAsia="Arial" w:cs="Arial"/>
          <w:b w:val="0"/>
          <w:bCs w:val="0"/>
          <w:noProof w:val="0"/>
          <w:color w:val="auto"/>
          <w:sz w:val="24"/>
          <w:szCs w:val="24"/>
          <w:lang w:val="en-GB"/>
        </w:rPr>
      </w:pPr>
      <w:bookmarkStart w:name="_Toc1587051446" w:id="233510748"/>
      <w:r w:rsidRPr="00C9A62E" w:rsidR="4ADADD8C">
        <w:rPr>
          <w:rFonts w:ascii="Arial" w:hAnsi="Arial" w:eastAsia="Arial" w:cs="Arial"/>
          <w:b w:val="0"/>
          <w:bCs w:val="0"/>
          <w:noProof w:val="0"/>
          <w:color w:val="auto"/>
          <w:sz w:val="24"/>
          <w:szCs w:val="24"/>
          <w:lang w:val="en-GB"/>
        </w:rPr>
        <w:t>Social Factors</w:t>
      </w:r>
      <w:bookmarkEnd w:id="233510748"/>
    </w:p>
    <w:p w:rsidR="4ADADD8C" w:rsidP="00C9A62E" w:rsidRDefault="4ADADD8C" w14:paraId="2FAEF9C9" w14:textId="24FE71BB">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4ADADD8C">
        <w:rPr>
          <w:rFonts w:ascii="Arial" w:hAnsi="Arial" w:eastAsia="Arial" w:cs="Arial"/>
          <w:b w:val="0"/>
          <w:bCs w:val="0"/>
          <w:noProof w:val="0"/>
          <w:color w:val="auto"/>
          <w:sz w:val="24"/>
          <w:szCs w:val="24"/>
          <w:lang w:val="en-GB"/>
        </w:rPr>
        <w:t xml:space="preserve">Chinese consumers are among the most active digital users globally. Their viewing habits reflect mobile-first consumption, interactive features, and strong links between social media and entertainment. Zhuge (2018) shows that video consumption in China is deeply intertwined with social networking. Users engage via comments, reposts, and community recommendations. This “social layer” on video platforms such as </w:t>
      </w:r>
      <w:r w:rsidRPr="00C9A62E" w:rsidR="4ADADD8C">
        <w:rPr>
          <w:rFonts w:ascii="Arial" w:hAnsi="Arial" w:eastAsia="Arial" w:cs="Arial"/>
          <w:b w:val="0"/>
          <w:bCs w:val="0"/>
          <w:noProof w:val="0"/>
          <w:color w:val="auto"/>
          <w:sz w:val="24"/>
          <w:szCs w:val="24"/>
          <w:lang w:val="en-GB"/>
        </w:rPr>
        <w:t>Bilibili</w:t>
      </w:r>
      <w:r w:rsidRPr="00C9A62E" w:rsidR="4ADADD8C">
        <w:rPr>
          <w:rFonts w:ascii="Arial" w:hAnsi="Arial" w:eastAsia="Arial" w:cs="Arial"/>
          <w:b w:val="0"/>
          <w:bCs w:val="0"/>
          <w:noProof w:val="0"/>
          <w:color w:val="auto"/>
          <w:sz w:val="24"/>
          <w:szCs w:val="24"/>
          <w:lang w:val="en-GB"/>
        </w:rPr>
        <w:t xml:space="preserve"> and Tencent Video creates a participatory culture fundamentally different from that in Western markets. To succeed, Netflix should enhance social interactivity, localisation, and culturally relevant storytelling. Jeffreys and Xu (2023) note the state’s growing regulation of celebrity culture and online fan communities. Netflix must tailor content responsibly. Understanding Hofstede's cultural dimensions, like collectivism and power distance, can clarify these patterns. Collectivism emphasises group-based interaction, making platforms that support shared experiences more appealing. High power distance may shape </w:t>
      </w:r>
      <w:r w:rsidRPr="00C9A62E" w:rsidR="4ADADD8C">
        <w:rPr>
          <w:rFonts w:ascii="Arial" w:hAnsi="Arial" w:eastAsia="Arial" w:cs="Arial"/>
          <w:b w:val="0"/>
          <w:bCs w:val="0"/>
          <w:noProof w:val="0"/>
          <w:color w:val="auto"/>
          <w:sz w:val="24"/>
          <w:szCs w:val="24"/>
          <w:lang w:val="en-GB"/>
        </w:rPr>
        <w:t>perceptions</w:t>
      </w:r>
      <w:r w:rsidRPr="00C9A62E" w:rsidR="4ADADD8C">
        <w:rPr>
          <w:rFonts w:ascii="Arial" w:hAnsi="Arial" w:eastAsia="Arial" w:cs="Arial"/>
          <w:b w:val="0"/>
          <w:bCs w:val="0"/>
          <w:noProof w:val="0"/>
          <w:color w:val="auto"/>
          <w:sz w:val="24"/>
          <w:szCs w:val="24"/>
          <w:lang w:val="en-GB"/>
        </w:rPr>
        <w:t xml:space="preserve"> of authority and celebrity influence online. Netflix should design content and platforms that respect these nuances.</w:t>
      </w:r>
    </w:p>
    <w:p w:rsidR="4ADADD8C" w:rsidP="00C9A62E" w:rsidRDefault="4ADADD8C" w14:paraId="0D313EC7" w14:textId="21EFEA93">
      <w:pPr>
        <w:pStyle w:val="Heading3"/>
        <w:spacing w:line="360" w:lineRule="auto"/>
        <w:jc w:val="both"/>
        <w:rPr>
          <w:rFonts w:ascii="Arial" w:hAnsi="Arial" w:eastAsia="Arial" w:cs="Arial"/>
          <w:b w:val="0"/>
          <w:bCs w:val="0"/>
          <w:noProof w:val="0"/>
          <w:color w:val="auto"/>
          <w:sz w:val="24"/>
          <w:szCs w:val="24"/>
          <w:lang w:val="en-GB"/>
        </w:rPr>
      </w:pPr>
      <w:bookmarkStart w:name="_Toc1372474373" w:id="1759557481"/>
      <w:r w:rsidRPr="00C9A62E" w:rsidR="4ADADD8C">
        <w:rPr>
          <w:rFonts w:ascii="Arial" w:hAnsi="Arial" w:eastAsia="Arial" w:cs="Arial"/>
          <w:b w:val="0"/>
          <w:bCs w:val="0"/>
          <w:noProof w:val="0"/>
          <w:color w:val="auto"/>
          <w:sz w:val="24"/>
          <w:szCs w:val="24"/>
          <w:lang w:val="en-GB"/>
        </w:rPr>
        <w:t>Technological Factors</w:t>
      </w:r>
      <w:bookmarkEnd w:id="1759557481"/>
    </w:p>
    <w:p w:rsidR="16C1F48F" w:rsidP="00C9A62E" w:rsidRDefault="16C1F48F" w14:paraId="36B144A6" w14:textId="415495C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16C1F48F">
        <w:rPr>
          <w:rFonts w:ascii="Arial" w:hAnsi="Arial" w:eastAsia="Arial" w:cs="Arial"/>
          <w:b w:val="0"/>
          <w:bCs w:val="0"/>
          <w:noProof w:val="0"/>
          <w:color w:val="auto"/>
          <w:sz w:val="24"/>
          <w:szCs w:val="24"/>
          <w:lang w:val="en-GB"/>
        </w:rPr>
        <w:t xml:space="preserve">China has advanced digital infrastructure, extensive 5G networks, and strong AI (Li </w:t>
      </w:r>
      <w:r w:rsidRPr="00C9A62E" w:rsidR="16C1F48F">
        <w:rPr>
          <w:rFonts w:ascii="Arial" w:hAnsi="Arial" w:eastAsia="Arial" w:cs="Arial"/>
          <w:b w:val="0"/>
          <w:bCs w:val="0"/>
          <w:i w:val="1"/>
          <w:iCs w:val="1"/>
          <w:noProof w:val="0"/>
          <w:color w:val="auto"/>
          <w:sz w:val="24"/>
          <w:szCs w:val="24"/>
          <w:lang w:val="en-GB"/>
        </w:rPr>
        <w:t>et al.,</w:t>
      </w:r>
      <w:r w:rsidRPr="00C9A62E" w:rsidR="16C1F48F">
        <w:rPr>
          <w:rFonts w:ascii="Arial" w:hAnsi="Arial" w:eastAsia="Arial" w:cs="Arial"/>
          <w:b w:val="0"/>
          <w:bCs w:val="0"/>
          <w:noProof w:val="0"/>
          <w:color w:val="auto"/>
          <w:sz w:val="24"/>
          <w:szCs w:val="24"/>
          <w:lang w:val="en-GB"/>
        </w:rPr>
        <w:t xml:space="preserve"> 2022). Domestic platforms feature recommendation algorithms, interactive tools, and mobile integration. Even with Netflix’s technology, Zhuge (2018) notes that Chinese platforms form hybrid ecosystems that blend streaming, social networking, and community interaction. To respond, Netflix should adapt its interface by adding social features, deeper community interaction, and tighter mobile integration to compete with these multifunctional platforms.</w:t>
      </w:r>
    </w:p>
    <w:p w:rsidR="4ADADD8C" w:rsidP="00C9A62E" w:rsidRDefault="4ADADD8C" w14:paraId="6FE18074" w14:textId="147499CF">
      <w:pPr>
        <w:pStyle w:val="Heading3"/>
        <w:spacing w:line="360" w:lineRule="auto"/>
        <w:jc w:val="both"/>
        <w:rPr>
          <w:rFonts w:ascii="Arial" w:hAnsi="Arial" w:eastAsia="Arial" w:cs="Arial"/>
          <w:b w:val="0"/>
          <w:bCs w:val="0"/>
          <w:noProof w:val="0"/>
          <w:color w:val="auto"/>
          <w:sz w:val="24"/>
          <w:szCs w:val="24"/>
          <w:lang w:val="en-GB"/>
        </w:rPr>
      </w:pPr>
      <w:bookmarkStart w:name="_Toc968335873" w:id="1449753870"/>
      <w:r w:rsidRPr="00C9A62E" w:rsidR="4ADADD8C">
        <w:rPr>
          <w:rFonts w:ascii="Arial" w:hAnsi="Arial" w:eastAsia="Arial" w:cs="Arial"/>
          <w:b w:val="0"/>
          <w:bCs w:val="0"/>
          <w:noProof w:val="0"/>
          <w:color w:val="auto"/>
          <w:sz w:val="24"/>
          <w:szCs w:val="24"/>
          <w:lang w:val="en-GB"/>
        </w:rPr>
        <w:t>Legal Factors</w:t>
      </w:r>
      <w:bookmarkEnd w:id="1449753870"/>
    </w:p>
    <w:p w:rsidR="620B32F4" w:rsidP="00C9A62E" w:rsidRDefault="620B32F4" w14:paraId="2363A566" w14:textId="6E504B6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620B32F4">
        <w:rPr>
          <w:rFonts w:ascii="Arial" w:hAnsi="Arial" w:eastAsia="Arial" w:cs="Arial"/>
          <w:b w:val="0"/>
          <w:bCs w:val="0"/>
          <w:noProof w:val="0"/>
          <w:color w:val="auto"/>
          <w:sz w:val="24"/>
          <w:szCs w:val="24"/>
          <w:lang w:val="en-GB"/>
        </w:rPr>
        <w:t xml:space="preserve">Beyond content laws and censorship, China mandates that foreign media companies </w:t>
      </w:r>
      <w:r w:rsidRPr="00C9A62E" w:rsidR="620B32F4">
        <w:rPr>
          <w:rFonts w:ascii="Arial" w:hAnsi="Arial" w:eastAsia="Arial" w:cs="Arial"/>
          <w:b w:val="0"/>
          <w:bCs w:val="0"/>
          <w:noProof w:val="0"/>
          <w:color w:val="auto"/>
          <w:sz w:val="24"/>
          <w:szCs w:val="24"/>
          <w:lang w:val="en-GB"/>
        </w:rPr>
        <w:t>operate</w:t>
      </w:r>
      <w:r w:rsidRPr="00C9A62E" w:rsidR="620B32F4">
        <w:rPr>
          <w:rFonts w:ascii="Arial" w:hAnsi="Arial" w:eastAsia="Arial" w:cs="Arial"/>
          <w:b w:val="0"/>
          <w:bCs w:val="0"/>
          <w:noProof w:val="0"/>
          <w:color w:val="auto"/>
          <w:sz w:val="24"/>
          <w:szCs w:val="24"/>
          <w:lang w:val="en-GB"/>
        </w:rPr>
        <w:t xml:space="preserve"> through domestic partnerships, as noted by Jeffreys and Xu (2023). While intellectual property protections are improving, enforcement inconsistencies persist. Data and cybersecurity statutes impose complex compliance demands (Song, 2024). Netflix leadership must execute a rigorous compliance protocol to address these legal requirements and safeguard operational integrity.</w:t>
      </w:r>
    </w:p>
    <w:p w:rsidR="4ADADD8C" w:rsidP="00C9A62E" w:rsidRDefault="4ADADD8C" w14:paraId="6EC625F2" w14:textId="64F673AE">
      <w:pPr>
        <w:pStyle w:val="Heading3"/>
        <w:spacing w:line="360" w:lineRule="auto"/>
        <w:jc w:val="both"/>
        <w:rPr>
          <w:rFonts w:ascii="Arial" w:hAnsi="Arial" w:eastAsia="Arial" w:cs="Arial"/>
          <w:b w:val="0"/>
          <w:bCs w:val="0"/>
          <w:noProof w:val="0"/>
          <w:color w:val="auto"/>
          <w:sz w:val="24"/>
          <w:szCs w:val="24"/>
          <w:lang w:val="en-GB"/>
        </w:rPr>
      </w:pPr>
      <w:bookmarkStart w:name="_Toc1873046320" w:id="1805763908"/>
      <w:r w:rsidRPr="00C9A62E" w:rsidR="4ADADD8C">
        <w:rPr>
          <w:rFonts w:ascii="Arial" w:hAnsi="Arial" w:eastAsia="Arial" w:cs="Arial"/>
          <w:b w:val="0"/>
          <w:bCs w:val="0"/>
          <w:noProof w:val="0"/>
          <w:color w:val="auto"/>
          <w:sz w:val="24"/>
          <w:szCs w:val="24"/>
          <w:lang w:val="en-GB"/>
        </w:rPr>
        <w:t>Environmental Factors</w:t>
      </w:r>
      <w:bookmarkEnd w:id="1805763908"/>
    </w:p>
    <w:p w:rsidR="2E5D3B7E" w:rsidP="00C9A62E" w:rsidRDefault="2E5D3B7E" w14:paraId="4CE46E9A" w14:textId="63E890E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E5D3B7E">
        <w:rPr>
          <w:rFonts w:ascii="Arial" w:hAnsi="Arial" w:eastAsia="Arial" w:cs="Arial"/>
          <w:b w:val="0"/>
          <w:bCs w:val="0"/>
          <w:noProof w:val="0"/>
          <w:color w:val="auto"/>
          <w:sz w:val="24"/>
          <w:szCs w:val="24"/>
          <w:lang w:val="en-GB"/>
        </w:rPr>
        <w:t xml:space="preserve">While streaming’s environmental impact is limited, China’s acceleration toward digital efficiency and low-carbon technology may influence infrastructure strategies (Zhao, et al., 2023). Netflix’s cloud-centric model can align strategically with Chinese sustainability </w:t>
      </w:r>
      <w:r w:rsidRPr="00C9A62E" w:rsidR="2E5D3B7E">
        <w:rPr>
          <w:rFonts w:ascii="Arial" w:hAnsi="Arial" w:eastAsia="Arial" w:cs="Arial"/>
          <w:b w:val="0"/>
          <w:bCs w:val="0"/>
          <w:noProof w:val="0"/>
          <w:color w:val="auto"/>
          <w:sz w:val="24"/>
          <w:szCs w:val="24"/>
          <w:lang w:val="en-GB"/>
        </w:rPr>
        <w:t xml:space="preserve">mandates, </w:t>
      </w:r>
      <w:r w:rsidRPr="00C9A62E" w:rsidR="530E9B13">
        <w:rPr>
          <w:rFonts w:ascii="Arial" w:hAnsi="Arial" w:eastAsia="Arial" w:cs="Arial"/>
          <w:b w:val="0"/>
          <w:bCs w:val="0"/>
          <w:noProof w:val="0"/>
          <w:color w:val="auto"/>
          <w:sz w:val="24"/>
          <w:szCs w:val="24"/>
          <w:lang w:val="en-GB"/>
        </w:rPr>
        <w:t>if</w:t>
      </w:r>
      <w:r w:rsidRPr="00C9A62E" w:rsidR="2E5D3B7E">
        <w:rPr>
          <w:rFonts w:ascii="Arial" w:hAnsi="Arial" w:eastAsia="Arial" w:cs="Arial"/>
          <w:b w:val="0"/>
          <w:bCs w:val="0"/>
          <w:noProof w:val="0"/>
          <w:color w:val="auto"/>
          <w:sz w:val="24"/>
          <w:szCs w:val="24"/>
          <w:lang w:val="en-GB"/>
        </w:rPr>
        <w:t xml:space="preserve"> data centre operations meet local environmental standards.</w:t>
      </w:r>
    </w:p>
    <w:p w:rsidR="4ADADD8C" w:rsidP="00C9A62E" w:rsidRDefault="4ADADD8C" w14:paraId="20033A09" w14:textId="4A8D55BC">
      <w:pPr>
        <w:pStyle w:val="Heading2"/>
        <w:spacing w:line="360" w:lineRule="auto"/>
        <w:jc w:val="both"/>
        <w:rPr>
          <w:rFonts w:ascii="Arial" w:hAnsi="Arial" w:eastAsia="Arial" w:cs="Arial"/>
          <w:b w:val="0"/>
          <w:bCs w:val="0"/>
          <w:noProof w:val="0"/>
          <w:color w:val="auto"/>
          <w:sz w:val="24"/>
          <w:szCs w:val="24"/>
          <w:lang w:val="en-GB"/>
        </w:rPr>
      </w:pPr>
      <w:bookmarkStart w:name="_Toc1889635049" w:id="2075510465"/>
      <w:r w:rsidRPr="00C9A62E" w:rsidR="4ADADD8C">
        <w:rPr>
          <w:rFonts w:ascii="Arial" w:hAnsi="Arial" w:eastAsia="Arial" w:cs="Arial"/>
          <w:b w:val="0"/>
          <w:bCs w:val="0"/>
          <w:noProof w:val="0"/>
          <w:color w:val="auto"/>
          <w:sz w:val="24"/>
          <w:szCs w:val="24"/>
          <w:lang w:val="en-GB"/>
        </w:rPr>
        <w:t>2. Porter’s Five Forces Analysis</w:t>
      </w:r>
      <w:bookmarkEnd w:id="2075510465"/>
    </w:p>
    <w:p w:rsidR="343946D7" w:rsidP="00C9A62E" w:rsidRDefault="343946D7" w14:paraId="575FB15B" w14:textId="503996A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43946D7">
        <w:rPr>
          <w:rFonts w:ascii="Arial" w:hAnsi="Arial" w:eastAsia="Arial" w:cs="Arial"/>
          <w:b w:val="0"/>
          <w:bCs w:val="0"/>
          <w:noProof w:val="0"/>
          <w:color w:val="auto"/>
          <w:sz w:val="24"/>
          <w:szCs w:val="24"/>
          <w:lang w:val="en-GB"/>
        </w:rPr>
        <w:t xml:space="preserve">Porter’s Five Forces framework empowers organisations to </w:t>
      </w:r>
      <w:r w:rsidRPr="00C9A62E" w:rsidR="343946D7">
        <w:rPr>
          <w:rFonts w:ascii="Arial" w:hAnsi="Arial" w:eastAsia="Arial" w:cs="Arial"/>
          <w:b w:val="0"/>
          <w:bCs w:val="0"/>
          <w:noProof w:val="0"/>
          <w:color w:val="auto"/>
          <w:sz w:val="24"/>
          <w:szCs w:val="24"/>
          <w:lang w:val="en-GB"/>
        </w:rPr>
        <w:t>outmanoeuvre</w:t>
      </w:r>
      <w:r w:rsidRPr="00C9A62E" w:rsidR="343946D7">
        <w:rPr>
          <w:rFonts w:ascii="Arial" w:hAnsi="Arial" w:eastAsia="Arial" w:cs="Arial"/>
          <w:b w:val="0"/>
          <w:bCs w:val="0"/>
          <w:noProof w:val="0"/>
          <w:color w:val="auto"/>
          <w:sz w:val="24"/>
          <w:szCs w:val="24"/>
          <w:lang w:val="en-GB"/>
        </w:rPr>
        <w:t xml:space="preserve"> competitors and master market dynamics by driving strategic reinvention and cultivating a bold, expansive competitive vision (Mahat, 2019).</w:t>
      </w:r>
    </w:p>
    <w:p w:rsidR="4ADADD8C" w:rsidP="00C9A62E" w:rsidRDefault="4ADADD8C" w14:paraId="4DB93E3E" w14:textId="79DF6E89">
      <w:pPr>
        <w:pStyle w:val="Heading3"/>
        <w:spacing w:line="360" w:lineRule="auto"/>
        <w:jc w:val="both"/>
        <w:rPr>
          <w:rFonts w:ascii="Arial" w:hAnsi="Arial" w:eastAsia="Arial" w:cs="Arial"/>
          <w:b w:val="0"/>
          <w:bCs w:val="0"/>
          <w:noProof w:val="0"/>
          <w:color w:val="auto"/>
          <w:sz w:val="24"/>
          <w:szCs w:val="24"/>
          <w:lang w:val="en-GB"/>
        </w:rPr>
      </w:pPr>
      <w:bookmarkStart w:name="_Toc517012524" w:id="1105989961"/>
      <w:r w:rsidRPr="00C9A62E" w:rsidR="4ADADD8C">
        <w:rPr>
          <w:rFonts w:ascii="Arial" w:hAnsi="Arial" w:eastAsia="Arial" w:cs="Arial"/>
          <w:b w:val="0"/>
          <w:bCs w:val="0"/>
          <w:noProof w:val="0"/>
          <w:color w:val="auto"/>
          <w:sz w:val="24"/>
          <w:szCs w:val="24"/>
          <w:lang w:val="en-GB"/>
        </w:rPr>
        <w:t>Competitive Rivalry (High)</w:t>
      </w:r>
      <w:bookmarkEnd w:id="1105989961"/>
    </w:p>
    <w:p w:rsidR="4ADADD8C" w:rsidP="00C9A62E" w:rsidRDefault="4ADADD8C" w14:paraId="2613BAB5" w14:textId="76DDC3A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4ADADD8C">
        <w:rPr>
          <w:rFonts w:ascii="Arial" w:hAnsi="Arial" w:eastAsia="Arial" w:cs="Arial"/>
          <w:b w:val="0"/>
          <w:bCs w:val="0"/>
          <w:noProof w:val="0"/>
          <w:color w:val="auto"/>
          <w:sz w:val="24"/>
          <w:szCs w:val="24"/>
          <w:lang w:val="en-GB"/>
        </w:rPr>
        <w:t xml:space="preserve">The Chinese SVOD market is led by Tencent Video, </w:t>
      </w:r>
      <w:r w:rsidRPr="00C9A62E" w:rsidR="4ADADD8C">
        <w:rPr>
          <w:rFonts w:ascii="Arial" w:hAnsi="Arial" w:eastAsia="Arial" w:cs="Arial"/>
          <w:b w:val="0"/>
          <w:bCs w:val="0"/>
          <w:noProof w:val="0"/>
          <w:color w:val="auto"/>
          <w:sz w:val="24"/>
          <w:szCs w:val="24"/>
          <w:lang w:val="en-GB"/>
        </w:rPr>
        <w:t>iQIYI</w:t>
      </w:r>
      <w:r w:rsidRPr="00C9A62E" w:rsidR="4ADADD8C">
        <w:rPr>
          <w:rFonts w:ascii="Arial" w:hAnsi="Arial" w:eastAsia="Arial" w:cs="Arial"/>
          <w:b w:val="0"/>
          <w:bCs w:val="0"/>
          <w:noProof w:val="0"/>
          <w:color w:val="auto"/>
          <w:sz w:val="24"/>
          <w:szCs w:val="24"/>
          <w:lang w:val="en-GB"/>
        </w:rPr>
        <w:t xml:space="preserve">, Youku, and </w:t>
      </w:r>
      <w:r w:rsidRPr="00C9A62E" w:rsidR="4ADADD8C">
        <w:rPr>
          <w:rFonts w:ascii="Arial" w:hAnsi="Arial" w:eastAsia="Arial" w:cs="Arial"/>
          <w:b w:val="0"/>
          <w:bCs w:val="0"/>
          <w:noProof w:val="0"/>
          <w:color w:val="auto"/>
          <w:sz w:val="24"/>
          <w:szCs w:val="24"/>
          <w:lang w:val="en-GB"/>
        </w:rPr>
        <w:t>Bilibili</w:t>
      </w:r>
      <w:r w:rsidRPr="00C9A62E" w:rsidR="4ADADD8C">
        <w:rPr>
          <w:rFonts w:ascii="Arial" w:hAnsi="Arial" w:eastAsia="Arial" w:cs="Arial"/>
          <w:b w:val="0"/>
          <w:bCs w:val="0"/>
          <w:noProof w:val="0"/>
          <w:color w:val="auto"/>
          <w:sz w:val="24"/>
          <w:szCs w:val="24"/>
          <w:lang w:val="en-GB"/>
        </w:rPr>
        <w:t>—all backed by major gaming, social media, and e-commerce firms</w:t>
      </w:r>
      <w:r w:rsidRPr="00C9A62E" w:rsidR="6F5463AA">
        <w:rPr>
          <w:rFonts w:ascii="Arial" w:hAnsi="Arial" w:eastAsia="Arial" w:cs="Arial"/>
          <w:b w:val="0"/>
          <w:bCs w:val="0"/>
          <w:noProof w:val="0"/>
          <w:color w:val="auto"/>
          <w:sz w:val="24"/>
          <w:szCs w:val="24"/>
          <w:lang w:val="en-GB"/>
        </w:rPr>
        <w:t xml:space="preserve"> (Kokas, 2020)</w:t>
      </w:r>
      <w:r w:rsidRPr="00C9A62E" w:rsidR="4ADADD8C">
        <w:rPr>
          <w:rFonts w:ascii="Arial" w:hAnsi="Arial" w:eastAsia="Arial" w:cs="Arial"/>
          <w:b w:val="0"/>
          <w:bCs w:val="0"/>
          <w:noProof w:val="0"/>
          <w:color w:val="auto"/>
          <w:sz w:val="24"/>
          <w:szCs w:val="24"/>
          <w:lang w:val="en-GB"/>
        </w:rPr>
        <w:t>. These platforms combine streaming and social features, which drive user engagement in China (Zhuge, 2018). Domestic rivals command loyalty and foster intense competition.</w:t>
      </w:r>
    </w:p>
    <w:p w:rsidR="4ADADD8C" w:rsidP="00C9A62E" w:rsidRDefault="4ADADD8C" w14:paraId="619A6AF7" w14:textId="3289B195">
      <w:pPr>
        <w:pStyle w:val="Heading3"/>
        <w:spacing w:line="360" w:lineRule="auto"/>
        <w:jc w:val="both"/>
        <w:rPr>
          <w:rFonts w:ascii="Arial" w:hAnsi="Arial" w:eastAsia="Arial" w:cs="Arial"/>
          <w:b w:val="0"/>
          <w:bCs w:val="0"/>
          <w:noProof w:val="0"/>
          <w:color w:val="auto"/>
          <w:sz w:val="24"/>
          <w:szCs w:val="24"/>
          <w:lang w:val="en-GB"/>
        </w:rPr>
      </w:pPr>
      <w:bookmarkStart w:name="_Toc1830418276" w:id="789025032"/>
      <w:r w:rsidRPr="00C9A62E" w:rsidR="4ADADD8C">
        <w:rPr>
          <w:rFonts w:ascii="Arial" w:hAnsi="Arial" w:eastAsia="Arial" w:cs="Arial"/>
          <w:b w:val="0"/>
          <w:bCs w:val="0"/>
          <w:noProof w:val="0"/>
          <w:color w:val="auto"/>
          <w:sz w:val="24"/>
          <w:szCs w:val="24"/>
          <w:lang w:val="en-GB"/>
        </w:rPr>
        <w:t>Threat of New Entrants (Low)</w:t>
      </w:r>
      <w:bookmarkEnd w:id="789025032"/>
    </w:p>
    <w:p w:rsidR="50FD6276" w:rsidP="00C9A62E" w:rsidRDefault="50FD6276" w14:paraId="28FB9009" w14:textId="37CF5C49">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0FD6276">
        <w:rPr>
          <w:rFonts w:ascii="Arial" w:hAnsi="Arial" w:eastAsia="Arial" w:cs="Arial"/>
          <w:b w:val="0"/>
          <w:bCs w:val="0"/>
          <w:noProof w:val="0"/>
          <w:color w:val="auto"/>
          <w:sz w:val="24"/>
          <w:szCs w:val="24"/>
          <w:lang w:val="en-GB"/>
        </w:rPr>
        <w:t xml:space="preserve">Even amid the growing allure of the Chinese market, Netflix faces significant entry barriers, primarily </w:t>
      </w:r>
      <w:r w:rsidRPr="00C9A62E" w:rsidR="0B98AD83">
        <w:rPr>
          <w:rFonts w:ascii="Arial" w:hAnsi="Arial" w:eastAsia="Arial" w:cs="Arial"/>
          <w:b w:val="0"/>
          <w:bCs w:val="0"/>
          <w:noProof w:val="0"/>
          <w:color w:val="auto"/>
          <w:sz w:val="24"/>
          <w:szCs w:val="24"/>
          <w:lang w:val="en-GB"/>
        </w:rPr>
        <w:t>regulatory (</w:t>
      </w:r>
      <w:r w:rsidRPr="00C9A62E" w:rsidR="50FD6276">
        <w:rPr>
          <w:rFonts w:ascii="Arial" w:hAnsi="Arial" w:eastAsia="Arial" w:cs="Arial"/>
          <w:b w:val="0"/>
          <w:bCs w:val="0"/>
          <w:noProof w:val="0"/>
          <w:color w:val="auto"/>
          <w:sz w:val="24"/>
          <w:szCs w:val="24"/>
          <w:lang w:val="en-GB"/>
        </w:rPr>
        <w:t xml:space="preserve">Jeffreys and Xu, 2023). Restrictions on licensing and content requirements pose significant challenges, making it crucial for Netflix to consider alliances or joint ventures with local firms to mitigate these structural barriers (Zhao, 2018). Besides these regulatory challenges, Netflix must also address the capability hurdles presented by local consumer preferences and content demands. Investing in local content </w:t>
      </w:r>
      <w:r w:rsidRPr="00C9A62E" w:rsidR="3C01B3B5">
        <w:rPr>
          <w:rFonts w:ascii="Arial" w:hAnsi="Arial" w:eastAsia="Arial" w:cs="Arial"/>
          <w:b w:val="0"/>
          <w:bCs w:val="0"/>
          <w:noProof w:val="0"/>
          <w:color w:val="auto"/>
          <w:sz w:val="24"/>
          <w:szCs w:val="24"/>
          <w:lang w:val="en-GB"/>
        </w:rPr>
        <w:t>expertise</w:t>
      </w:r>
      <w:r w:rsidRPr="00C9A62E" w:rsidR="50FD6276">
        <w:rPr>
          <w:rFonts w:ascii="Arial" w:hAnsi="Arial" w:eastAsia="Arial" w:cs="Arial"/>
          <w:b w:val="0"/>
          <w:bCs w:val="0"/>
          <w:noProof w:val="0"/>
          <w:color w:val="auto"/>
          <w:sz w:val="24"/>
          <w:szCs w:val="24"/>
          <w:lang w:val="en-GB"/>
        </w:rPr>
        <w:t xml:space="preserve"> through partnerships or hiring locally can help bridge this gap. By separating these challenges, Netflix can better navigate the landscape through strategic external alliances and targeted internal investments.</w:t>
      </w:r>
    </w:p>
    <w:p w:rsidR="50FD6276" w:rsidP="00C9A62E" w:rsidRDefault="50FD6276" w14:paraId="594479B2" w14:textId="3893E8F3">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0FD6276">
        <w:rPr>
          <w:rFonts w:ascii="Arial" w:hAnsi="Arial" w:eastAsia="Arial" w:cs="Arial"/>
          <w:b w:val="0"/>
          <w:bCs w:val="0"/>
          <w:noProof w:val="0"/>
          <w:color w:val="auto"/>
          <w:sz w:val="24"/>
          <w:szCs w:val="24"/>
          <w:lang w:val="en-GB"/>
        </w:rPr>
        <w:t>China’s entertainment includes short-video apps like Douyin, social streaming, gaming, live commerce, and user-generated content. Zhuge (2018) notes that blending video and social networking increases substitution risk as users move between formats.</w:t>
      </w:r>
    </w:p>
    <w:p w:rsidR="4ADADD8C" w:rsidP="00C9A62E" w:rsidRDefault="4ADADD8C" w14:paraId="5A227534" w14:textId="4F0640DA">
      <w:pPr>
        <w:pStyle w:val="Heading3"/>
        <w:spacing w:line="360" w:lineRule="auto"/>
        <w:jc w:val="both"/>
        <w:rPr>
          <w:rFonts w:ascii="Arial" w:hAnsi="Arial" w:eastAsia="Arial" w:cs="Arial"/>
          <w:b w:val="0"/>
          <w:bCs w:val="0"/>
          <w:noProof w:val="0"/>
          <w:color w:val="auto"/>
          <w:sz w:val="24"/>
          <w:szCs w:val="24"/>
          <w:lang w:val="en-GB"/>
        </w:rPr>
      </w:pPr>
      <w:bookmarkStart w:name="_Toc1774024791" w:id="8642189"/>
      <w:r w:rsidRPr="00C9A62E" w:rsidR="4ADADD8C">
        <w:rPr>
          <w:rFonts w:ascii="Arial" w:hAnsi="Arial" w:eastAsia="Arial" w:cs="Arial"/>
          <w:b w:val="0"/>
          <w:bCs w:val="0"/>
          <w:noProof w:val="0"/>
          <w:color w:val="auto"/>
          <w:sz w:val="24"/>
          <w:szCs w:val="24"/>
          <w:lang w:val="en-GB"/>
        </w:rPr>
        <w:t>Bargaining Power of Buyers (Moderate)</w:t>
      </w:r>
      <w:bookmarkEnd w:id="8642189"/>
    </w:p>
    <w:p w:rsidR="6C0BCA23" w:rsidP="00C9A62E" w:rsidRDefault="6C0BCA23" w14:paraId="7CFB54F2" w14:textId="10AF67AA">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6C0BCA23">
        <w:rPr>
          <w:rFonts w:ascii="Arial" w:hAnsi="Arial" w:eastAsia="Arial" w:cs="Arial"/>
          <w:b w:val="0"/>
          <w:bCs w:val="0"/>
          <w:noProof w:val="0"/>
          <w:color w:val="auto"/>
          <w:sz w:val="24"/>
          <w:szCs w:val="24"/>
          <w:lang w:val="en-GB"/>
        </w:rPr>
        <w:t>Netflix’s executive team must rigorously evaluate the feasibility of premium pricing amidst intense local competition (Kokas, 2020). Strategic consideration of ad-supported models or competitive pricing tiers will be essential to secure market share in China’s price-sensitive SVOD environment.</w:t>
      </w:r>
    </w:p>
    <w:p w:rsidR="4ADADD8C" w:rsidP="00C9A62E" w:rsidRDefault="4ADADD8C" w14:paraId="0537914D" w14:textId="531DDECA">
      <w:pPr>
        <w:pStyle w:val="Heading3"/>
        <w:spacing w:line="360" w:lineRule="auto"/>
        <w:jc w:val="both"/>
        <w:rPr>
          <w:rFonts w:ascii="Arial" w:hAnsi="Arial" w:eastAsia="Arial" w:cs="Arial"/>
          <w:b w:val="0"/>
          <w:bCs w:val="0"/>
          <w:noProof w:val="0"/>
          <w:color w:val="auto"/>
          <w:sz w:val="24"/>
          <w:szCs w:val="24"/>
          <w:lang w:val="en-GB"/>
        </w:rPr>
      </w:pPr>
      <w:bookmarkStart w:name="_Toc2106528553" w:id="730033069"/>
      <w:r w:rsidRPr="00C9A62E" w:rsidR="4ADADD8C">
        <w:rPr>
          <w:rFonts w:ascii="Arial" w:hAnsi="Arial" w:eastAsia="Arial" w:cs="Arial"/>
          <w:b w:val="0"/>
          <w:bCs w:val="0"/>
          <w:noProof w:val="0"/>
          <w:color w:val="auto"/>
          <w:sz w:val="24"/>
          <w:szCs w:val="24"/>
          <w:lang w:val="en-GB"/>
        </w:rPr>
        <w:t>Bargaining Power of Suppliers (High)</w:t>
      </w:r>
      <w:bookmarkEnd w:id="730033069"/>
    </w:p>
    <w:p w:rsidR="2466AD22" w:rsidP="00C9A62E" w:rsidRDefault="2466AD22" w14:paraId="3DA40AEB" w14:textId="707E9F9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466AD22">
        <w:rPr>
          <w:rFonts w:ascii="Arial" w:hAnsi="Arial" w:eastAsia="Arial" w:cs="Arial"/>
          <w:b w:val="0"/>
          <w:bCs w:val="0"/>
          <w:noProof w:val="0"/>
          <w:color w:val="auto"/>
          <w:sz w:val="24"/>
          <w:szCs w:val="24"/>
          <w:lang w:val="en-GB"/>
        </w:rPr>
        <w:t>Local production entities, talent, and studios wield substantial negotiating power, often favouring exclusive partnerships with dominant players (Jeffreys and Xu, 2023). Regulatory frameworks further limit access to foreign content, compelling Netflix to invest in strategic co-productions and local content (Song, 2024). Executives should reframe these partnerships not solely as compliance, but as catalysts for creative innovation and capability development. By positioning suppliers as collaborative innovation partners, Netflix leadership can shift bargaining dynamics, gain unrivalled market insights, and shape emerging consumer trends.</w:t>
      </w:r>
    </w:p>
    <w:p w:rsidR="02DE12A8" w:rsidP="00C9A62E" w:rsidRDefault="02DE12A8" w14:paraId="375F3FB4" w14:textId="03CAEB0B">
      <w:pPr>
        <w:pStyle w:val="Heading1"/>
        <w:spacing w:line="360" w:lineRule="auto"/>
        <w:jc w:val="both"/>
        <w:rPr>
          <w:rFonts w:ascii="Arial" w:hAnsi="Arial" w:eastAsia="Arial" w:cs="Arial"/>
          <w:b w:val="0"/>
          <w:bCs w:val="0"/>
          <w:noProof w:val="0"/>
          <w:color w:val="auto"/>
          <w:sz w:val="24"/>
          <w:szCs w:val="24"/>
          <w:lang w:val="en-GB"/>
        </w:rPr>
      </w:pPr>
      <w:bookmarkStart w:name="_Toc1077404972" w:id="1627708181"/>
      <w:r w:rsidRPr="00C9A62E" w:rsidR="02DE12A8">
        <w:rPr>
          <w:rFonts w:ascii="Arial" w:hAnsi="Arial" w:eastAsia="Arial" w:cs="Arial"/>
          <w:b w:val="0"/>
          <w:bCs w:val="0"/>
          <w:noProof w:val="0"/>
          <w:color w:val="auto"/>
          <w:sz w:val="24"/>
          <w:szCs w:val="24"/>
          <w:lang w:val="en-GB"/>
        </w:rPr>
        <w:t>Internal Audit</w:t>
      </w:r>
      <w:bookmarkEnd w:id="1627708181"/>
    </w:p>
    <w:p w:rsidR="02DE12A8" w:rsidP="00C9A62E" w:rsidRDefault="02DE12A8" w14:paraId="631295A7" w14:textId="0BE43E17">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A robust internal audit is indispensable for executive understanding of Netflix’s organisational capabilities, strategic strengths, and limitations relevant to entering the Chinese market. This assessment applies the VRIO and Value Chain Analysis frameworks to rigorously evaluate Netflix's resources, core competencies, and value-creation activities, shaping its competitive posture. Key issues surfaced through this audit will be directly aligned to external market demands, enabling data-driven leadership decisions.</w:t>
      </w:r>
    </w:p>
    <w:p w:rsidR="02DE12A8" w:rsidP="00C9A62E" w:rsidRDefault="02DE12A8" w14:paraId="550A3A42" w14:textId="1192BCFA">
      <w:pPr>
        <w:pStyle w:val="Heading2"/>
        <w:spacing w:line="360" w:lineRule="auto"/>
        <w:jc w:val="both"/>
        <w:rPr>
          <w:rFonts w:ascii="Arial" w:hAnsi="Arial" w:eastAsia="Arial" w:cs="Arial"/>
          <w:b w:val="0"/>
          <w:bCs w:val="0"/>
          <w:noProof w:val="0"/>
          <w:color w:val="auto"/>
          <w:sz w:val="24"/>
          <w:szCs w:val="24"/>
          <w:lang w:val="en-GB"/>
        </w:rPr>
      </w:pPr>
      <w:bookmarkStart w:name="_Toc695233809" w:id="1189237021"/>
      <w:r w:rsidRPr="00C9A62E" w:rsidR="02DE12A8">
        <w:rPr>
          <w:rFonts w:ascii="Arial" w:hAnsi="Arial" w:eastAsia="Arial" w:cs="Arial"/>
          <w:b w:val="0"/>
          <w:bCs w:val="0"/>
          <w:noProof w:val="0"/>
          <w:color w:val="auto"/>
          <w:sz w:val="24"/>
          <w:szCs w:val="24"/>
          <w:lang w:val="en-GB"/>
        </w:rPr>
        <w:t>VRIO</w:t>
      </w:r>
      <w:bookmarkEnd w:id="1189237021"/>
    </w:p>
    <w:p w:rsidR="57D95D9F" w:rsidP="00C9A62E" w:rsidRDefault="57D95D9F" w14:paraId="19F9758C" w14:textId="3F4E81E7">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7D95D9F">
        <w:rPr>
          <w:rFonts w:ascii="Arial" w:hAnsi="Arial" w:eastAsia="Arial" w:cs="Arial"/>
          <w:b w:val="0"/>
          <w:bCs w:val="0"/>
          <w:noProof w:val="0"/>
          <w:color w:val="auto"/>
          <w:sz w:val="24"/>
          <w:szCs w:val="24"/>
          <w:lang w:val="en-GB"/>
        </w:rPr>
        <w:t>VRIO analysis acts as a strategic spotlight, illuminating the unique resources and capabilities that fuel sustained competitive advantage</w:t>
      </w:r>
      <w:r w:rsidRPr="00C9A62E" w:rsidR="0DD592CC">
        <w:rPr>
          <w:rFonts w:ascii="Arial" w:hAnsi="Arial" w:eastAsia="Arial" w:cs="Arial"/>
          <w:b w:val="0"/>
          <w:bCs w:val="0"/>
          <w:noProof w:val="0"/>
          <w:color w:val="auto"/>
          <w:sz w:val="24"/>
          <w:szCs w:val="24"/>
          <w:lang w:val="en-GB"/>
        </w:rPr>
        <w:t xml:space="preserve"> (</w:t>
      </w:r>
      <w:r w:rsidRPr="00C9A62E" w:rsidR="0DD592CC">
        <w:rPr>
          <w:rFonts w:ascii="Arial" w:hAnsi="Arial" w:eastAsia="Arial" w:cs="Arial"/>
          <w:b w:val="0"/>
          <w:bCs w:val="0"/>
          <w:noProof w:val="0"/>
          <w:color w:val="auto"/>
          <w:sz w:val="24"/>
          <w:szCs w:val="24"/>
          <w:lang w:val="en-GB"/>
        </w:rPr>
        <w:t>Fisher, Wisneski, and Bakker, 2020</w:t>
      </w:r>
      <w:r w:rsidRPr="00C9A62E" w:rsidR="0386BA3E">
        <w:rPr>
          <w:rFonts w:ascii="Arial" w:hAnsi="Arial" w:eastAsia="Arial" w:cs="Arial"/>
          <w:b w:val="0"/>
          <w:bCs w:val="0"/>
          <w:noProof w:val="0"/>
          <w:color w:val="auto"/>
          <w:sz w:val="24"/>
          <w:szCs w:val="24"/>
          <w:lang w:val="en-GB"/>
        </w:rPr>
        <w:t xml:space="preserve">; </w:t>
      </w:r>
      <w:r w:rsidRPr="00C9A62E" w:rsidR="0386BA3E">
        <w:rPr>
          <w:rFonts w:ascii="Arial" w:hAnsi="Arial" w:eastAsia="Arial" w:cs="Arial"/>
          <w:b w:val="0"/>
          <w:bCs w:val="0"/>
          <w:noProof w:val="0"/>
          <w:color w:val="auto"/>
          <w:sz w:val="24"/>
          <w:szCs w:val="24"/>
          <w:lang w:val="en-GB"/>
        </w:rPr>
        <w:t>Kodono</w:t>
      </w:r>
      <w:r w:rsidRPr="00C9A62E" w:rsidR="0386BA3E">
        <w:rPr>
          <w:rFonts w:ascii="Arial" w:hAnsi="Arial" w:eastAsia="Arial" w:cs="Arial"/>
          <w:b w:val="0"/>
          <w:bCs w:val="0"/>
          <w:noProof w:val="0"/>
          <w:color w:val="auto"/>
          <w:sz w:val="24"/>
          <w:szCs w:val="24"/>
          <w:lang w:val="en-GB"/>
        </w:rPr>
        <w:t xml:space="preserve">, Y., Zhang, </w:t>
      </w:r>
      <w:r w:rsidRPr="00C9A62E" w:rsidR="0386BA3E">
        <w:rPr>
          <w:rFonts w:ascii="Arial" w:hAnsi="Arial" w:eastAsia="Arial" w:cs="Arial"/>
          <w:b w:val="0"/>
          <w:bCs w:val="0"/>
          <w:noProof w:val="0"/>
          <w:color w:val="auto"/>
          <w:sz w:val="24"/>
          <w:szCs w:val="24"/>
          <w:lang w:val="en-GB"/>
        </w:rPr>
        <w:t>Q.</w:t>
      </w:r>
      <w:r w:rsidRPr="00C9A62E" w:rsidR="0386BA3E">
        <w:rPr>
          <w:rFonts w:ascii="Arial" w:hAnsi="Arial" w:eastAsia="Arial" w:cs="Arial"/>
          <w:b w:val="0"/>
          <w:bCs w:val="0"/>
          <w:noProof w:val="0"/>
          <w:color w:val="auto"/>
          <w:sz w:val="24"/>
          <w:szCs w:val="24"/>
          <w:lang w:val="en-GB"/>
        </w:rPr>
        <w:t xml:space="preserve"> and Yan, W. 2020</w:t>
      </w:r>
      <w:r w:rsidRPr="00C9A62E" w:rsidR="0DD592CC">
        <w:rPr>
          <w:rFonts w:ascii="Arial" w:hAnsi="Arial" w:eastAsia="Arial" w:cs="Arial"/>
          <w:b w:val="0"/>
          <w:bCs w:val="0"/>
          <w:noProof w:val="0"/>
          <w:color w:val="auto"/>
          <w:sz w:val="24"/>
          <w:szCs w:val="24"/>
          <w:lang w:val="en-GB"/>
        </w:rPr>
        <w:t>)</w:t>
      </w:r>
      <w:r w:rsidRPr="00C9A62E" w:rsidR="57D95D9F">
        <w:rPr>
          <w:rFonts w:ascii="Arial" w:hAnsi="Arial" w:eastAsia="Arial" w:cs="Arial"/>
          <w:b w:val="0"/>
          <w:bCs w:val="0"/>
          <w:noProof w:val="0"/>
          <w:color w:val="auto"/>
          <w:sz w:val="24"/>
          <w:szCs w:val="24"/>
          <w:lang w:val="en-GB"/>
        </w:rPr>
        <w:t xml:space="preserve">. </w:t>
      </w:r>
      <w:r w:rsidRPr="00C9A62E" w:rsidR="02DE12A8">
        <w:rPr>
          <w:rFonts w:ascii="Arial" w:hAnsi="Arial" w:eastAsia="Arial" w:cs="Arial"/>
          <w:b w:val="0"/>
          <w:bCs w:val="0"/>
          <w:noProof w:val="0"/>
          <w:color w:val="auto"/>
          <w:sz w:val="24"/>
          <w:szCs w:val="24"/>
          <w:lang w:val="en-GB"/>
        </w:rPr>
        <w:t>The VRIO framework enables Netflix leadership to assess whether key resources and capabilities are Valuable, Rare, Inimitable, and Organised to deliver sustained strategic advantage. This diagnostic is essential for executives assess</w:t>
      </w:r>
      <w:r w:rsidRPr="00C9A62E" w:rsidR="1BF22CAC">
        <w:rPr>
          <w:rFonts w:ascii="Arial" w:hAnsi="Arial" w:eastAsia="Arial" w:cs="Arial"/>
          <w:b w:val="0"/>
          <w:bCs w:val="0"/>
          <w:noProof w:val="0"/>
          <w:color w:val="auto"/>
          <w:sz w:val="24"/>
          <w:szCs w:val="24"/>
          <w:lang w:val="en-GB"/>
        </w:rPr>
        <w:t>ing</w:t>
      </w:r>
      <w:r w:rsidRPr="00C9A62E" w:rsidR="02DE12A8">
        <w:rPr>
          <w:rFonts w:ascii="Arial" w:hAnsi="Arial" w:eastAsia="Arial" w:cs="Arial"/>
          <w:b w:val="0"/>
          <w:bCs w:val="0"/>
          <w:noProof w:val="0"/>
          <w:color w:val="auto"/>
          <w:sz w:val="24"/>
          <w:szCs w:val="24"/>
          <w:lang w:val="en-GB"/>
        </w:rPr>
        <w:t xml:space="preserve"> Netflix’s readiness to enter highly regulated, competitive markets such as China.</w:t>
      </w:r>
    </w:p>
    <w:p w:rsidR="02DE12A8" w:rsidP="00C9A62E" w:rsidRDefault="02DE12A8" w14:paraId="7E25E5EB" w14:textId="53FF56C3">
      <w:pPr>
        <w:pStyle w:val="Heading3"/>
        <w:spacing w:line="360" w:lineRule="auto"/>
        <w:jc w:val="both"/>
        <w:rPr>
          <w:rFonts w:ascii="Arial" w:hAnsi="Arial" w:eastAsia="Arial" w:cs="Arial"/>
          <w:b w:val="0"/>
          <w:bCs w:val="0"/>
          <w:noProof w:val="0"/>
          <w:color w:val="auto"/>
          <w:sz w:val="24"/>
          <w:szCs w:val="24"/>
          <w:lang w:val="en-GB"/>
        </w:rPr>
      </w:pPr>
      <w:bookmarkStart w:name="_Toc1984484403" w:id="1864032959"/>
      <w:r w:rsidRPr="00C9A62E" w:rsidR="02DE12A8">
        <w:rPr>
          <w:rFonts w:ascii="Arial" w:hAnsi="Arial" w:eastAsia="Arial" w:cs="Arial"/>
          <w:b w:val="0"/>
          <w:bCs w:val="0"/>
          <w:noProof w:val="0"/>
          <w:color w:val="auto"/>
          <w:sz w:val="24"/>
          <w:szCs w:val="24"/>
          <w:lang w:val="en-GB"/>
        </w:rPr>
        <w:t>Brand Reputation and Global Market Position</w:t>
      </w:r>
      <w:bookmarkEnd w:id="1864032959"/>
    </w:p>
    <w:p w:rsidR="02DE12A8" w:rsidP="00C9A62E" w:rsidRDefault="02DE12A8" w14:paraId="105D2279" w14:textId="5D912C6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 xml:space="preserve">Netflix’s global brand stands as an industry benchmark for original content quality, innovation, and consumer focus (Shah, 2025). While this reputation is invaluable among Western audiences, Chinese platforms such as </w:t>
      </w:r>
      <w:r w:rsidRPr="00C9A62E" w:rsidR="02DE12A8">
        <w:rPr>
          <w:rFonts w:ascii="Arial" w:hAnsi="Arial" w:eastAsia="Arial" w:cs="Arial"/>
          <w:b w:val="0"/>
          <w:bCs w:val="0"/>
          <w:noProof w:val="0"/>
          <w:color w:val="auto"/>
          <w:sz w:val="24"/>
          <w:szCs w:val="24"/>
          <w:lang w:val="en-GB"/>
        </w:rPr>
        <w:t>iQIYI</w:t>
      </w:r>
      <w:r w:rsidRPr="00C9A62E" w:rsidR="02DE12A8">
        <w:rPr>
          <w:rFonts w:ascii="Arial" w:hAnsi="Arial" w:eastAsia="Arial" w:cs="Arial"/>
          <w:b w:val="0"/>
          <w:bCs w:val="0"/>
          <w:noProof w:val="0"/>
          <w:color w:val="auto"/>
          <w:sz w:val="24"/>
          <w:szCs w:val="24"/>
          <w:lang w:val="en-GB"/>
        </w:rPr>
        <w:t xml:space="preserve">, Youku, and </w:t>
      </w:r>
      <w:r w:rsidRPr="00C9A62E" w:rsidR="02DE12A8">
        <w:rPr>
          <w:rFonts w:ascii="Arial" w:hAnsi="Arial" w:eastAsia="Arial" w:cs="Arial"/>
          <w:b w:val="0"/>
          <w:bCs w:val="0"/>
          <w:noProof w:val="0"/>
          <w:color w:val="auto"/>
          <w:sz w:val="24"/>
          <w:szCs w:val="24"/>
          <w:lang w:val="en-GB"/>
        </w:rPr>
        <w:t>Bilibili</w:t>
      </w:r>
      <w:r w:rsidRPr="00C9A62E" w:rsidR="02DE12A8">
        <w:rPr>
          <w:rFonts w:ascii="Arial" w:hAnsi="Arial" w:eastAsia="Arial" w:cs="Arial"/>
          <w:b w:val="0"/>
          <w:bCs w:val="0"/>
          <w:noProof w:val="0"/>
          <w:color w:val="auto"/>
          <w:sz w:val="24"/>
          <w:szCs w:val="24"/>
          <w:lang w:val="en-GB"/>
        </w:rPr>
        <w:t xml:space="preserve"> already command strong market loyalty (Zhuge, 2018). Netflix’s brand is globally distinctive, but local recognition </w:t>
      </w:r>
      <w:r w:rsidRPr="00C9A62E" w:rsidR="02DE12A8">
        <w:rPr>
          <w:rFonts w:ascii="Arial" w:hAnsi="Arial" w:eastAsia="Arial" w:cs="Arial"/>
          <w:b w:val="0"/>
          <w:bCs w:val="0"/>
          <w:noProof w:val="0"/>
          <w:color w:val="auto"/>
          <w:sz w:val="24"/>
          <w:szCs w:val="24"/>
          <w:lang w:val="en-GB"/>
        </w:rPr>
        <w:t>remains</w:t>
      </w:r>
      <w:r w:rsidRPr="00C9A62E" w:rsidR="02DE12A8">
        <w:rPr>
          <w:rFonts w:ascii="Arial" w:hAnsi="Arial" w:eastAsia="Arial" w:cs="Arial"/>
          <w:b w:val="0"/>
          <w:bCs w:val="0"/>
          <w:noProof w:val="0"/>
          <w:color w:val="auto"/>
          <w:sz w:val="24"/>
          <w:szCs w:val="24"/>
          <w:lang w:val="en-GB"/>
        </w:rPr>
        <w:t xml:space="preserve"> underdeveloped due to prior absence. Executives must strengthen brand equity in China through influential partnerships and strategic local branding to enhance competitive advantage.</w:t>
      </w:r>
    </w:p>
    <w:p w:rsidR="02DE12A8" w:rsidP="00C9A62E" w:rsidRDefault="02DE12A8" w14:paraId="6672FD3C" w14:textId="13D93585">
      <w:pPr>
        <w:pStyle w:val="Heading3"/>
        <w:spacing w:line="360" w:lineRule="auto"/>
        <w:jc w:val="both"/>
        <w:rPr>
          <w:rFonts w:ascii="Arial" w:hAnsi="Arial" w:eastAsia="Arial" w:cs="Arial"/>
          <w:b w:val="0"/>
          <w:bCs w:val="0"/>
          <w:noProof w:val="0"/>
          <w:color w:val="auto"/>
          <w:sz w:val="24"/>
          <w:szCs w:val="24"/>
          <w:lang w:val="en-GB"/>
        </w:rPr>
      </w:pPr>
      <w:bookmarkStart w:name="_Toc1941727701" w:id="674409833"/>
      <w:r w:rsidRPr="00C9A62E" w:rsidR="02DE12A8">
        <w:rPr>
          <w:rFonts w:ascii="Arial" w:hAnsi="Arial" w:eastAsia="Arial" w:cs="Arial"/>
          <w:b w:val="0"/>
          <w:bCs w:val="0"/>
          <w:noProof w:val="0"/>
          <w:color w:val="auto"/>
          <w:sz w:val="24"/>
          <w:szCs w:val="24"/>
          <w:lang w:val="en-GB"/>
        </w:rPr>
        <w:t>Data Analytics and Personalisation Algorithms</w:t>
      </w:r>
      <w:bookmarkEnd w:id="674409833"/>
    </w:p>
    <w:p w:rsidR="02DE12A8" w:rsidP="00C9A62E" w:rsidRDefault="02DE12A8" w14:paraId="2842936E" w14:textId="321E3365">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 xml:space="preserve">Netflix’s proprietary recommendation algorithms </w:t>
      </w:r>
      <w:r w:rsidRPr="00C9A62E" w:rsidR="02DE12A8">
        <w:rPr>
          <w:rFonts w:ascii="Arial" w:hAnsi="Arial" w:eastAsia="Arial" w:cs="Arial"/>
          <w:b w:val="0"/>
          <w:bCs w:val="0"/>
          <w:noProof w:val="0"/>
          <w:color w:val="auto"/>
          <w:sz w:val="24"/>
          <w:szCs w:val="24"/>
          <w:lang w:val="en-GB"/>
        </w:rPr>
        <w:t>constitute</w:t>
      </w:r>
      <w:r w:rsidRPr="00C9A62E" w:rsidR="02DE12A8">
        <w:rPr>
          <w:rFonts w:ascii="Arial" w:hAnsi="Arial" w:eastAsia="Arial" w:cs="Arial"/>
          <w:b w:val="0"/>
          <w:bCs w:val="0"/>
          <w:noProof w:val="0"/>
          <w:color w:val="auto"/>
          <w:sz w:val="24"/>
          <w:szCs w:val="24"/>
          <w:lang w:val="en-GB"/>
        </w:rPr>
        <w:t xml:space="preserve"> a formidable competitive edge—increasing engagement, retention, and content discovery—and are rarely matched by competitors due to the company’s advanced data infrastructure</w:t>
      </w:r>
      <w:r w:rsidRPr="00C9A62E" w:rsidR="23B1CD87">
        <w:rPr>
          <w:rFonts w:ascii="Arial" w:hAnsi="Arial" w:eastAsia="Arial" w:cs="Arial"/>
          <w:b w:val="0"/>
          <w:bCs w:val="0"/>
          <w:noProof w:val="0"/>
          <w:color w:val="auto"/>
          <w:sz w:val="24"/>
          <w:szCs w:val="24"/>
          <w:lang w:val="en-GB"/>
        </w:rPr>
        <w:t xml:space="preserve"> (</w:t>
      </w:r>
      <w:r w:rsidRPr="00C9A62E" w:rsidR="23B1CD87">
        <w:rPr>
          <w:rFonts w:ascii="Arial" w:hAnsi="Arial" w:eastAsia="Arial" w:cs="Arial"/>
          <w:b w:val="0"/>
          <w:bCs w:val="0"/>
          <w:noProof w:val="0"/>
          <w:color w:val="auto"/>
          <w:sz w:val="24"/>
          <w:szCs w:val="24"/>
          <w:lang w:val="en-GB"/>
        </w:rPr>
        <w:t>Xheni</w:t>
      </w:r>
      <w:r w:rsidRPr="00C9A62E" w:rsidR="23B1CD87">
        <w:rPr>
          <w:rFonts w:ascii="Arial" w:hAnsi="Arial" w:eastAsia="Arial" w:cs="Arial"/>
          <w:b w:val="0"/>
          <w:bCs w:val="0"/>
          <w:noProof w:val="0"/>
          <w:color w:val="auto"/>
          <w:sz w:val="24"/>
          <w:szCs w:val="24"/>
          <w:lang w:val="en-GB"/>
        </w:rPr>
        <w:t xml:space="preserve"> Simaku, 2022)</w:t>
      </w:r>
      <w:r w:rsidRPr="00C9A62E" w:rsidR="02DE12A8">
        <w:rPr>
          <w:rFonts w:ascii="Arial" w:hAnsi="Arial" w:eastAsia="Arial" w:cs="Arial"/>
          <w:b w:val="0"/>
          <w:bCs w:val="0"/>
          <w:noProof w:val="0"/>
          <w:color w:val="auto"/>
          <w:sz w:val="24"/>
          <w:szCs w:val="24"/>
          <w:lang w:val="en-GB"/>
        </w:rPr>
        <w:t xml:space="preserve">. However, to maximise advantage in China, Netflix executives must mandate significant adaptation of these capabilities to </w:t>
      </w:r>
      <w:r w:rsidRPr="00C9A62E" w:rsidR="02DE12A8">
        <w:rPr>
          <w:rFonts w:ascii="Arial" w:hAnsi="Arial" w:eastAsia="Arial" w:cs="Arial"/>
          <w:b w:val="0"/>
          <w:bCs w:val="0"/>
          <w:noProof w:val="0"/>
          <w:color w:val="auto"/>
          <w:sz w:val="24"/>
          <w:szCs w:val="24"/>
          <w:lang w:val="en-GB"/>
        </w:rPr>
        <w:t>comply with</w:t>
      </w:r>
      <w:r w:rsidRPr="00C9A62E" w:rsidR="02DE12A8">
        <w:rPr>
          <w:rFonts w:ascii="Arial" w:hAnsi="Arial" w:eastAsia="Arial" w:cs="Arial"/>
          <w:b w:val="0"/>
          <w:bCs w:val="0"/>
          <w:noProof w:val="0"/>
          <w:color w:val="auto"/>
          <w:sz w:val="24"/>
          <w:szCs w:val="24"/>
          <w:lang w:val="en-GB"/>
        </w:rPr>
        <w:t xml:space="preserve"> local data regulations and align with China’s unique viewing behaviours shaped by social influence. Strategic localisation is essential to fully </w:t>
      </w:r>
      <w:r w:rsidRPr="00C9A62E" w:rsidR="02DE12A8">
        <w:rPr>
          <w:rFonts w:ascii="Arial" w:hAnsi="Arial" w:eastAsia="Arial" w:cs="Arial"/>
          <w:b w:val="0"/>
          <w:bCs w:val="0"/>
          <w:noProof w:val="0"/>
          <w:color w:val="auto"/>
          <w:sz w:val="24"/>
          <w:szCs w:val="24"/>
          <w:lang w:val="en-GB"/>
        </w:rPr>
        <w:t>leverage</w:t>
      </w:r>
      <w:r w:rsidRPr="00C9A62E" w:rsidR="02DE12A8">
        <w:rPr>
          <w:rFonts w:ascii="Arial" w:hAnsi="Arial" w:eastAsia="Arial" w:cs="Arial"/>
          <w:b w:val="0"/>
          <w:bCs w:val="0"/>
          <w:noProof w:val="0"/>
          <w:color w:val="auto"/>
          <w:sz w:val="24"/>
          <w:szCs w:val="24"/>
          <w:lang w:val="en-GB"/>
        </w:rPr>
        <w:t xml:space="preserve"> this differentiator.</w:t>
      </w:r>
    </w:p>
    <w:p w:rsidR="02DE12A8" w:rsidP="00C9A62E" w:rsidRDefault="02DE12A8" w14:paraId="5D73C2A7" w14:textId="22AFDCB3">
      <w:pPr>
        <w:pStyle w:val="Heading3"/>
        <w:spacing w:line="360" w:lineRule="auto"/>
        <w:jc w:val="both"/>
        <w:rPr>
          <w:rFonts w:ascii="Arial" w:hAnsi="Arial" w:eastAsia="Arial" w:cs="Arial"/>
          <w:b w:val="0"/>
          <w:bCs w:val="0"/>
          <w:noProof w:val="0"/>
          <w:color w:val="auto"/>
          <w:sz w:val="24"/>
          <w:szCs w:val="24"/>
          <w:lang w:val="en-GB"/>
        </w:rPr>
      </w:pPr>
      <w:bookmarkStart w:name="_Toc1471380248" w:id="128701937"/>
      <w:r w:rsidRPr="00C9A62E" w:rsidR="02DE12A8">
        <w:rPr>
          <w:rFonts w:ascii="Arial" w:hAnsi="Arial" w:eastAsia="Arial" w:cs="Arial"/>
          <w:b w:val="0"/>
          <w:bCs w:val="0"/>
          <w:noProof w:val="0"/>
          <w:color w:val="auto"/>
          <w:sz w:val="24"/>
          <w:szCs w:val="24"/>
          <w:lang w:val="en-GB"/>
        </w:rPr>
        <w:t>Content Library and Original Productions</w:t>
      </w:r>
      <w:bookmarkEnd w:id="128701937"/>
    </w:p>
    <w:p w:rsidR="02DE12A8" w:rsidP="00C9A62E" w:rsidRDefault="02DE12A8" w14:paraId="18638FA0" w14:textId="32FB0F45">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 xml:space="preserve">Netflix’s global library, including acclaimed originals such as </w:t>
      </w:r>
      <w:r w:rsidRPr="00C9A62E" w:rsidR="02DE12A8">
        <w:rPr>
          <w:rFonts w:ascii="Arial" w:hAnsi="Arial" w:eastAsia="Arial" w:cs="Arial"/>
          <w:b w:val="0"/>
          <w:bCs w:val="0"/>
          <w:i w:val="1"/>
          <w:iCs w:val="1"/>
          <w:noProof w:val="0"/>
          <w:color w:val="auto"/>
          <w:sz w:val="24"/>
          <w:szCs w:val="24"/>
          <w:lang w:val="en-GB"/>
        </w:rPr>
        <w:t>The Crown</w:t>
      </w:r>
      <w:r w:rsidRPr="00C9A62E" w:rsidR="02DE12A8">
        <w:rPr>
          <w:rFonts w:ascii="Arial" w:hAnsi="Arial" w:eastAsia="Arial" w:cs="Arial"/>
          <w:b w:val="0"/>
          <w:bCs w:val="0"/>
          <w:noProof w:val="0"/>
          <w:color w:val="auto"/>
          <w:sz w:val="24"/>
          <w:szCs w:val="24"/>
          <w:lang w:val="en-GB"/>
        </w:rPr>
        <w:t xml:space="preserve"> and </w:t>
      </w:r>
      <w:r w:rsidRPr="00C9A62E" w:rsidR="02DE12A8">
        <w:rPr>
          <w:rFonts w:ascii="Arial" w:hAnsi="Arial" w:eastAsia="Arial" w:cs="Arial"/>
          <w:b w:val="0"/>
          <w:bCs w:val="0"/>
          <w:i w:val="1"/>
          <w:iCs w:val="1"/>
          <w:noProof w:val="0"/>
          <w:color w:val="auto"/>
          <w:sz w:val="24"/>
          <w:szCs w:val="24"/>
          <w:lang w:val="en-GB"/>
        </w:rPr>
        <w:t>Stranger Things</w:t>
      </w:r>
      <w:r w:rsidRPr="00C9A62E" w:rsidR="02DE12A8">
        <w:rPr>
          <w:rFonts w:ascii="Arial" w:hAnsi="Arial" w:eastAsia="Arial" w:cs="Arial"/>
          <w:b w:val="0"/>
          <w:bCs w:val="0"/>
          <w:noProof w:val="0"/>
          <w:color w:val="auto"/>
          <w:sz w:val="24"/>
          <w:szCs w:val="24"/>
          <w:lang w:val="en-GB"/>
        </w:rPr>
        <w:t>, offers a rich and diverse pool of exclusive content</w:t>
      </w:r>
      <w:r w:rsidRPr="00C9A62E" w:rsidR="25D076FF">
        <w:rPr>
          <w:rFonts w:ascii="Arial" w:hAnsi="Arial" w:eastAsia="Arial" w:cs="Arial"/>
          <w:b w:val="0"/>
          <w:bCs w:val="0"/>
          <w:noProof w:val="0"/>
          <w:color w:val="auto"/>
          <w:sz w:val="24"/>
          <w:szCs w:val="24"/>
          <w:lang w:val="en-GB"/>
        </w:rPr>
        <w:t xml:space="preserve"> (</w:t>
      </w:r>
      <w:r w:rsidRPr="00C9A62E" w:rsidR="25D076FF">
        <w:rPr>
          <w:rFonts w:ascii="Arial" w:hAnsi="Arial" w:eastAsia="Arial" w:cs="Arial"/>
          <w:b w:val="0"/>
          <w:bCs w:val="0"/>
          <w:noProof w:val="0"/>
          <w:color w:val="auto"/>
          <w:sz w:val="24"/>
          <w:szCs w:val="24"/>
          <w:lang w:val="en-GB"/>
        </w:rPr>
        <w:t>Zhuge, 2018)</w:t>
      </w:r>
      <w:r w:rsidRPr="00C9A62E" w:rsidR="02DE12A8">
        <w:rPr>
          <w:rFonts w:ascii="Arial" w:hAnsi="Arial" w:eastAsia="Arial" w:cs="Arial"/>
          <w:b w:val="0"/>
          <w:bCs w:val="0"/>
          <w:noProof w:val="0"/>
          <w:color w:val="auto"/>
          <w:sz w:val="24"/>
          <w:szCs w:val="24"/>
          <w:lang w:val="en-GB"/>
        </w:rPr>
        <w:t>. This resource is valuable internationally and partly rare, but not entirely suitable for China due to strict censorship and regulatory frameworks</w:t>
      </w:r>
      <w:r w:rsidRPr="00C9A62E" w:rsidR="06B3EF48">
        <w:rPr>
          <w:rFonts w:ascii="Arial" w:hAnsi="Arial" w:eastAsia="Arial" w:cs="Arial"/>
          <w:b w:val="0"/>
          <w:bCs w:val="0"/>
          <w:noProof w:val="0"/>
          <w:color w:val="auto"/>
          <w:sz w:val="24"/>
          <w:szCs w:val="24"/>
          <w:lang w:val="en-GB"/>
        </w:rPr>
        <w:t xml:space="preserve"> (</w:t>
      </w:r>
      <w:r w:rsidRPr="00C9A62E" w:rsidR="06B3EF48">
        <w:rPr>
          <w:rFonts w:ascii="Arial" w:hAnsi="Arial" w:eastAsia="Arial" w:cs="Arial"/>
          <w:b w:val="0"/>
          <w:bCs w:val="0"/>
          <w:noProof w:val="0"/>
          <w:color w:val="auto"/>
          <w:sz w:val="24"/>
          <w:szCs w:val="24"/>
          <w:lang w:val="en-GB"/>
        </w:rPr>
        <w:t>Jeffreys and Xu, 2023)</w:t>
      </w:r>
      <w:r w:rsidRPr="00C9A62E" w:rsidR="02DE12A8">
        <w:rPr>
          <w:rFonts w:ascii="Arial" w:hAnsi="Arial" w:eastAsia="Arial" w:cs="Arial"/>
          <w:b w:val="0"/>
          <w:bCs w:val="0"/>
          <w:noProof w:val="0"/>
          <w:color w:val="auto"/>
          <w:sz w:val="24"/>
          <w:szCs w:val="24"/>
          <w:lang w:val="en-GB"/>
        </w:rPr>
        <w:t>. The difficulty of imitation is high, but irrelevant if the content does not pass approval. As a result, Netflix’s original content advantage is constrained by regulatory barriers. To address this, Netflix must invest in Mandarin-language co-productions and collaborations with Chinese studios to build a locally compliant and culturally aligned content portfolio.</w:t>
      </w:r>
    </w:p>
    <w:p w:rsidR="02DE12A8" w:rsidP="00C9A62E" w:rsidRDefault="02DE12A8" w14:paraId="43E3803D" w14:textId="5C84DE67">
      <w:pPr>
        <w:pStyle w:val="Heading3"/>
        <w:spacing w:line="360" w:lineRule="auto"/>
        <w:jc w:val="both"/>
        <w:rPr>
          <w:rFonts w:ascii="Arial" w:hAnsi="Arial" w:eastAsia="Arial" w:cs="Arial"/>
          <w:b w:val="0"/>
          <w:bCs w:val="0"/>
          <w:noProof w:val="0"/>
          <w:color w:val="auto"/>
          <w:sz w:val="24"/>
          <w:szCs w:val="24"/>
          <w:lang w:val="en-GB"/>
        </w:rPr>
      </w:pPr>
      <w:bookmarkStart w:name="_Toc1408346888" w:id="305095565"/>
      <w:r w:rsidRPr="00C9A62E" w:rsidR="02DE12A8">
        <w:rPr>
          <w:rFonts w:ascii="Arial" w:hAnsi="Arial" w:eastAsia="Arial" w:cs="Arial"/>
          <w:b w:val="0"/>
          <w:bCs w:val="0"/>
          <w:noProof w:val="0"/>
          <w:color w:val="auto"/>
          <w:sz w:val="24"/>
          <w:szCs w:val="24"/>
          <w:lang w:val="en-GB"/>
        </w:rPr>
        <w:t>Organisational Culture and Leadership</w:t>
      </w:r>
      <w:bookmarkEnd w:id="305095565"/>
    </w:p>
    <w:p w:rsidR="02DE12A8" w:rsidP="00C9A62E" w:rsidRDefault="02DE12A8" w14:paraId="7A1E994E" w14:textId="6EBC0C31">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Netflix is known for its culture of innovation, autonomy, and agility, encapsulated in its “Freedom and Responsibility” ethos</w:t>
      </w:r>
      <w:r w:rsidRPr="00C9A62E" w:rsidR="7288EDA6">
        <w:rPr>
          <w:rFonts w:ascii="Arial" w:hAnsi="Arial" w:eastAsia="Arial" w:cs="Arial"/>
          <w:b w:val="0"/>
          <w:bCs w:val="0"/>
          <w:noProof w:val="0"/>
          <w:color w:val="auto"/>
          <w:sz w:val="24"/>
          <w:szCs w:val="24"/>
          <w:lang w:val="en-GB"/>
        </w:rPr>
        <w:t xml:space="preserve"> (</w:t>
      </w:r>
      <w:r w:rsidRPr="00C9A62E" w:rsidR="7288EDA6">
        <w:rPr>
          <w:rFonts w:ascii="Arial" w:hAnsi="Arial" w:eastAsia="Arial" w:cs="Arial"/>
          <w:b w:val="0"/>
          <w:bCs w:val="0"/>
          <w:noProof w:val="0"/>
          <w:color w:val="auto"/>
          <w:sz w:val="24"/>
          <w:szCs w:val="24"/>
          <w:lang w:val="en-GB"/>
        </w:rPr>
        <w:t>Jeffreys and Xu, 2023; Kokas</w:t>
      </w:r>
      <w:r w:rsidRPr="00C9A62E" w:rsidR="384129F4">
        <w:rPr>
          <w:rFonts w:ascii="Arial" w:hAnsi="Arial" w:eastAsia="Arial" w:cs="Arial"/>
          <w:b w:val="0"/>
          <w:bCs w:val="0"/>
          <w:noProof w:val="0"/>
          <w:color w:val="auto"/>
          <w:sz w:val="24"/>
          <w:szCs w:val="24"/>
          <w:lang w:val="en-GB"/>
        </w:rPr>
        <w:t xml:space="preserve"> 2020</w:t>
      </w:r>
      <w:r w:rsidRPr="00C9A62E" w:rsidR="7288EDA6">
        <w:rPr>
          <w:rFonts w:ascii="Arial" w:hAnsi="Arial" w:eastAsia="Arial" w:cs="Arial"/>
          <w:b w:val="0"/>
          <w:bCs w:val="0"/>
          <w:noProof w:val="0"/>
          <w:color w:val="auto"/>
          <w:sz w:val="24"/>
          <w:szCs w:val="24"/>
          <w:lang w:val="en-GB"/>
        </w:rPr>
        <w:t>)</w:t>
      </w:r>
      <w:r w:rsidRPr="00C9A62E" w:rsidR="02DE12A8">
        <w:rPr>
          <w:rFonts w:ascii="Arial" w:hAnsi="Arial" w:eastAsia="Arial" w:cs="Arial"/>
          <w:b w:val="0"/>
          <w:bCs w:val="0"/>
          <w:noProof w:val="0"/>
          <w:color w:val="auto"/>
          <w:sz w:val="24"/>
          <w:szCs w:val="24"/>
          <w:lang w:val="en-GB"/>
        </w:rPr>
        <w:t>. This culture is valuable, enabling rapid decision-making and creative experimentation. However, Chinese markets demand strong regulatory alignment, hierarchical collaboration, and political sensitivity</w:t>
      </w:r>
      <w:r w:rsidRPr="00C9A62E" w:rsidR="1DC9C8F0">
        <w:rPr>
          <w:rFonts w:ascii="Arial" w:hAnsi="Arial" w:eastAsia="Arial" w:cs="Arial"/>
          <w:b w:val="0"/>
          <w:bCs w:val="0"/>
          <w:noProof w:val="0"/>
          <w:color w:val="auto"/>
          <w:sz w:val="24"/>
          <w:szCs w:val="24"/>
          <w:lang w:val="en-GB"/>
        </w:rPr>
        <w:t xml:space="preserve"> (Jeffreys and Xu, 2023; Song, 2025)</w:t>
      </w:r>
      <w:r w:rsidRPr="00C9A62E" w:rsidR="02DE12A8">
        <w:rPr>
          <w:rFonts w:ascii="Arial" w:hAnsi="Arial" w:eastAsia="Arial" w:cs="Arial"/>
          <w:b w:val="0"/>
          <w:bCs w:val="0"/>
          <w:noProof w:val="0"/>
          <w:color w:val="auto"/>
          <w:sz w:val="24"/>
          <w:szCs w:val="24"/>
          <w:lang w:val="en-GB"/>
        </w:rPr>
        <w:t>. Netflix must therefore adjust its operational style when working with state regulators and domestic partners. Although well-organised for global markets, Netflix’s organisational culture requires adaptation to function effectively within China’s institutional boundaries.</w:t>
      </w:r>
    </w:p>
    <w:p w:rsidR="02DE12A8" w:rsidP="00C9A62E" w:rsidRDefault="02DE12A8" w14:paraId="1C7ED034" w14:textId="395F2671">
      <w:pPr>
        <w:pStyle w:val="Heading3"/>
        <w:spacing w:line="360" w:lineRule="auto"/>
        <w:jc w:val="both"/>
        <w:rPr>
          <w:rFonts w:ascii="Arial" w:hAnsi="Arial" w:eastAsia="Arial" w:cs="Arial"/>
          <w:b w:val="0"/>
          <w:bCs w:val="0"/>
          <w:noProof w:val="0"/>
          <w:color w:val="auto"/>
          <w:sz w:val="24"/>
          <w:szCs w:val="24"/>
          <w:lang w:val="en-GB"/>
        </w:rPr>
      </w:pPr>
      <w:bookmarkStart w:name="_Toc33515137" w:id="1119355043"/>
      <w:r w:rsidRPr="00C9A62E" w:rsidR="02DE12A8">
        <w:rPr>
          <w:rFonts w:ascii="Arial" w:hAnsi="Arial" w:eastAsia="Arial" w:cs="Arial"/>
          <w:b w:val="0"/>
          <w:bCs w:val="0"/>
          <w:noProof w:val="0"/>
          <w:color w:val="auto"/>
          <w:sz w:val="24"/>
          <w:szCs w:val="24"/>
          <w:lang w:val="en-GB"/>
        </w:rPr>
        <w:t>Financial Resources</w:t>
      </w:r>
      <w:bookmarkEnd w:id="1119355043"/>
    </w:p>
    <w:p w:rsidR="02DE12A8" w:rsidP="00C9A62E" w:rsidRDefault="02DE12A8" w14:paraId="4C9381DC" w14:textId="122792A0">
      <w:pPr>
        <w:pStyle w:val="Normal"/>
        <w:suppressLineNumbers w:val="0"/>
        <w:bidi w:val="0"/>
        <w:spacing w:before="120" w:beforeAutospacing="off" w:after="120" w:afterAutospacing="off" w:line="360" w:lineRule="auto"/>
        <w:ind w:left="0" w:right="0"/>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 xml:space="preserve">Netflix’s strong financial capacity—including </w:t>
      </w:r>
      <w:r w:rsidRPr="00C9A62E" w:rsidR="5DD25B4E">
        <w:rPr>
          <w:rFonts w:ascii="Arial" w:hAnsi="Arial" w:eastAsia="Arial" w:cs="Arial"/>
          <w:b w:val="0"/>
          <w:bCs w:val="0"/>
          <w:noProof w:val="0"/>
          <w:color w:val="auto"/>
          <w:sz w:val="24"/>
          <w:szCs w:val="24"/>
          <w:lang w:val="en-GB"/>
        </w:rPr>
        <w:t>significant</w:t>
      </w:r>
      <w:r w:rsidRPr="00C9A62E" w:rsidR="02DE12A8">
        <w:rPr>
          <w:rFonts w:ascii="Arial" w:hAnsi="Arial" w:eastAsia="Arial" w:cs="Arial"/>
          <w:b w:val="0"/>
          <w:bCs w:val="0"/>
          <w:noProof w:val="0"/>
          <w:color w:val="auto"/>
          <w:sz w:val="24"/>
          <w:szCs w:val="24"/>
          <w:lang w:val="en-GB"/>
        </w:rPr>
        <w:t xml:space="preserve"> investments in content and global expansion—allows it to absorb regulatory costs, negotiate partnerships, and fund substantial localisation initiatives</w:t>
      </w:r>
      <w:r w:rsidRPr="00C9A62E" w:rsidR="3A4AAF03">
        <w:rPr>
          <w:rFonts w:ascii="Arial" w:hAnsi="Arial" w:eastAsia="Arial" w:cs="Arial"/>
          <w:b w:val="0"/>
          <w:bCs w:val="0"/>
          <w:noProof w:val="0"/>
          <w:color w:val="auto"/>
          <w:sz w:val="24"/>
          <w:szCs w:val="24"/>
          <w:lang w:val="en-GB"/>
        </w:rPr>
        <w:t xml:space="preserve"> (</w:t>
      </w:r>
      <w:r w:rsidRPr="00C9A62E" w:rsidR="5388E870">
        <w:rPr>
          <w:rFonts w:ascii="Arial" w:hAnsi="Arial" w:eastAsia="Arial" w:cs="Arial"/>
          <w:b w:val="0"/>
          <w:bCs w:val="0"/>
          <w:noProof w:val="0"/>
          <w:color w:val="auto"/>
          <w:sz w:val="24"/>
          <w:szCs w:val="24"/>
          <w:lang w:val="en-GB"/>
        </w:rPr>
        <w:t xml:space="preserve">Netflix INC, </w:t>
      </w:r>
      <w:r w:rsidRPr="00C9A62E" w:rsidR="3A4AAF03">
        <w:rPr>
          <w:rFonts w:ascii="Arial" w:hAnsi="Arial" w:eastAsia="Arial" w:cs="Arial"/>
          <w:b w:val="0"/>
          <w:bCs w:val="0"/>
          <w:noProof w:val="0"/>
          <w:color w:val="auto"/>
          <w:sz w:val="24"/>
          <w:szCs w:val="24"/>
          <w:lang w:val="en-GB"/>
        </w:rPr>
        <w:t>2025)</w:t>
      </w:r>
      <w:r w:rsidRPr="00C9A62E" w:rsidR="02DE12A8">
        <w:rPr>
          <w:rFonts w:ascii="Arial" w:hAnsi="Arial" w:eastAsia="Arial" w:cs="Arial"/>
          <w:b w:val="0"/>
          <w:bCs w:val="0"/>
          <w:noProof w:val="0"/>
          <w:color w:val="auto"/>
          <w:sz w:val="24"/>
          <w:szCs w:val="24"/>
          <w:lang w:val="en-GB"/>
        </w:rPr>
        <w:t xml:space="preserve">. This resource is valuable but not rare, as Chinese competitors backed by Tencent, Baidu, or Alibaba </w:t>
      </w:r>
      <w:r w:rsidRPr="00C9A62E" w:rsidR="02DE12A8">
        <w:rPr>
          <w:rFonts w:ascii="Arial" w:hAnsi="Arial" w:eastAsia="Arial" w:cs="Arial"/>
          <w:b w:val="0"/>
          <w:bCs w:val="0"/>
          <w:noProof w:val="0"/>
          <w:color w:val="auto"/>
          <w:sz w:val="24"/>
          <w:szCs w:val="24"/>
          <w:lang w:val="en-GB"/>
        </w:rPr>
        <w:t>possess</w:t>
      </w:r>
      <w:r w:rsidRPr="00C9A62E" w:rsidR="02DE12A8">
        <w:rPr>
          <w:rFonts w:ascii="Arial" w:hAnsi="Arial" w:eastAsia="Arial" w:cs="Arial"/>
          <w:b w:val="0"/>
          <w:bCs w:val="0"/>
          <w:noProof w:val="0"/>
          <w:color w:val="auto"/>
          <w:sz w:val="24"/>
          <w:szCs w:val="24"/>
          <w:lang w:val="en-GB"/>
        </w:rPr>
        <w:t xml:space="preserve"> equal or greater financial power</w:t>
      </w:r>
      <w:r w:rsidRPr="00C9A62E" w:rsidR="57725F98">
        <w:rPr>
          <w:rFonts w:ascii="Arial" w:hAnsi="Arial" w:eastAsia="Arial" w:cs="Arial"/>
          <w:b w:val="0"/>
          <w:bCs w:val="0"/>
          <w:noProof w:val="0"/>
          <w:color w:val="auto"/>
          <w:sz w:val="24"/>
          <w:szCs w:val="24"/>
          <w:lang w:val="en-GB"/>
        </w:rPr>
        <w:t xml:space="preserve"> (Shen, 2020)</w:t>
      </w:r>
      <w:r w:rsidRPr="00C9A62E" w:rsidR="02DE12A8">
        <w:rPr>
          <w:rFonts w:ascii="Arial" w:hAnsi="Arial" w:eastAsia="Arial" w:cs="Arial"/>
          <w:b w:val="0"/>
          <w:bCs w:val="0"/>
          <w:noProof w:val="0"/>
          <w:color w:val="auto"/>
          <w:sz w:val="24"/>
          <w:szCs w:val="24"/>
          <w:lang w:val="en-GB"/>
        </w:rPr>
        <w:t>. Thus, Netflix’s financial capability is a necessary but not differentiating advantage in China.</w:t>
      </w:r>
    </w:p>
    <w:p w:rsidR="02DE12A8" w:rsidP="00C9A62E" w:rsidRDefault="02DE12A8" w14:paraId="4AB537D2" w14:textId="3601E94A">
      <w:pPr>
        <w:pStyle w:val="Heading3"/>
        <w:spacing w:line="360" w:lineRule="auto"/>
        <w:jc w:val="both"/>
        <w:rPr>
          <w:rFonts w:ascii="Arial" w:hAnsi="Arial" w:eastAsia="Arial" w:cs="Arial"/>
          <w:b w:val="0"/>
          <w:bCs w:val="0"/>
          <w:noProof w:val="0"/>
          <w:color w:val="auto"/>
          <w:sz w:val="24"/>
          <w:szCs w:val="24"/>
          <w:lang w:val="en-GB"/>
        </w:rPr>
      </w:pPr>
      <w:bookmarkStart w:name="_Toc1631486277" w:id="1147667920"/>
      <w:r w:rsidRPr="00C9A62E" w:rsidR="02DE12A8">
        <w:rPr>
          <w:rFonts w:ascii="Arial" w:hAnsi="Arial" w:eastAsia="Arial" w:cs="Arial"/>
          <w:b w:val="0"/>
          <w:bCs w:val="0"/>
          <w:noProof w:val="0"/>
          <w:color w:val="auto"/>
          <w:sz w:val="24"/>
          <w:szCs w:val="24"/>
          <w:lang w:val="en-GB"/>
        </w:rPr>
        <w:t>Key Issues Emerging from VRIO</w:t>
      </w:r>
      <w:bookmarkEnd w:id="1147667920"/>
    </w:p>
    <w:p w:rsidR="02DE12A8" w:rsidP="00C9A62E" w:rsidRDefault="02DE12A8" w14:paraId="5FE36EE9" w14:textId="37881741">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Netflix’s strongest VRIO advantages—including its algorithms, brand, and content capabilities—are not fully transferable to China without significant localisation. Regulatory barriers weaken the value of its global content library, so Netflix must focus on developing local co-productions, adapting algorithms, and localising its platform to achieve differentiation. Strategic partnerships are also essential to overcome institutional and organisational challenges in the Chinese market.</w:t>
      </w:r>
    </w:p>
    <w:p w:rsidR="02DE12A8" w:rsidP="00C9A62E" w:rsidRDefault="02DE12A8" w14:paraId="46497176" w14:textId="2228A542">
      <w:pPr>
        <w:pStyle w:val="Normal"/>
        <w:spacing w:line="360" w:lineRule="auto"/>
        <w:jc w:val="both"/>
        <w:rPr>
          <w:rFonts w:ascii="Arial" w:hAnsi="Arial" w:eastAsia="Arial" w:cs="Arial"/>
          <w:b w:val="0"/>
          <w:bCs w:val="0"/>
          <w:noProof w:val="0"/>
          <w:color w:val="auto"/>
          <w:sz w:val="24"/>
          <w:szCs w:val="24"/>
          <w:lang w:val="en-GB"/>
        </w:rPr>
      </w:pPr>
      <w:bookmarkStart w:name="_Toc1562986993" w:id="1116086712"/>
      <w:r w:rsidRPr="00C9A62E" w:rsidR="02DE12A8">
        <w:rPr>
          <w:rStyle w:val="Heading2Char"/>
          <w:rFonts w:ascii="Arial" w:hAnsi="Arial" w:eastAsia="Arial" w:cs="Arial"/>
          <w:b w:val="0"/>
          <w:bCs w:val="0"/>
          <w:noProof w:val="0"/>
          <w:color w:val="auto"/>
          <w:sz w:val="24"/>
          <w:szCs w:val="24"/>
          <w:lang w:val="en-GB"/>
        </w:rPr>
        <w:t>Value Chain Analysis</w:t>
      </w:r>
      <w:bookmarkEnd w:id="1116086712"/>
    </w:p>
    <w:p w:rsidR="63A494E3" w:rsidP="00C9A62E" w:rsidRDefault="63A494E3" w14:paraId="4D8A4203" w14:textId="15B0F00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63A494E3">
        <w:rPr>
          <w:rFonts w:ascii="Arial" w:hAnsi="Arial" w:eastAsia="Arial" w:cs="Arial"/>
          <w:b w:val="0"/>
          <w:bCs w:val="0"/>
          <w:noProof w:val="0"/>
          <w:color w:val="auto"/>
          <w:sz w:val="24"/>
          <w:szCs w:val="24"/>
          <w:lang w:val="en-GB"/>
        </w:rPr>
        <w:t xml:space="preserve">Value chain analysis is a powerful lens for uncovering how each business activity adds value, transforming raw inputs into competitive advantage. Popularised by Michael Porter, this approach empowers firms to strategically analyse, optimise, and differentiate every stage of their operations (Azalie &amp; Kamarulzaman, 2022; Pratiwi </w:t>
      </w:r>
      <w:r w:rsidRPr="00C9A62E" w:rsidR="63A494E3">
        <w:rPr>
          <w:rFonts w:ascii="Arial" w:hAnsi="Arial" w:eastAsia="Arial" w:cs="Arial"/>
          <w:b w:val="0"/>
          <w:bCs w:val="0"/>
          <w:i w:val="1"/>
          <w:iCs w:val="1"/>
          <w:noProof w:val="0"/>
          <w:color w:val="auto"/>
          <w:sz w:val="24"/>
          <w:szCs w:val="24"/>
          <w:lang w:val="en-GB"/>
        </w:rPr>
        <w:t xml:space="preserve">et al., </w:t>
      </w:r>
      <w:r w:rsidRPr="00C9A62E" w:rsidR="63A494E3">
        <w:rPr>
          <w:rFonts w:ascii="Arial" w:hAnsi="Arial" w:eastAsia="Arial" w:cs="Arial"/>
          <w:b w:val="0"/>
          <w:bCs w:val="0"/>
          <w:noProof w:val="0"/>
          <w:color w:val="auto"/>
          <w:sz w:val="24"/>
          <w:szCs w:val="24"/>
          <w:lang w:val="en-GB"/>
        </w:rPr>
        <w:t>2024; Ruan, 2020).</w:t>
      </w:r>
      <w:r w:rsidRPr="00C9A62E" w:rsidR="63A494E3">
        <w:rPr>
          <w:rFonts w:ascii="Arial" w:hAnsi="Arial" w:eastAsia="Arial" w:cs="Arial"/>
          <w:b w:val="0"/>
          <w:bCs w:val="0"/>
          <w:noProof w:val="0"/>
          <w:color w:val="auto"/>
          <w:sz w:val="24"/>
          <w:szCs w:val="24"/>
          <w:lang w:val="en-GB"/>
        </w:rPr>
        <w:t xml:space="preserve"> </w:t>
      </w:r>
      <w:r w:rsidRPr="00C9A62E" w:rsidR="02DE12A8">
        <w:rPr>
          <w:rFonts w:ascii="Arial" w:hAnsi="Arial" w:eastAsia="Arial" w:cs="Arial"/>
          <w:b w:val="0"/>
          <w:bCs w:val="0"/>
          <w:noProof w:val="0"/>
          <w:color w:val="auto"/>
          <w:sz w:val="24"/>
          <w:szCs w:val="24"/>
          <w:lang w:val="en-GB"/>
        </w:rPr>
        <w:t xml:space="preserve">Understanding these processes helps </w:t>
      </w:r>
      <w:r w:rsidRPr="00C9A62E" w:rsidR="02DE12A8">
        <w:rPr>
          <w:rFonts w:ascii="Arial" w:hAnsi="Arial" w:eastAsia="Arial" w:cs="Arial"/>
          <w:b w:val="0"/>
          <w:bCs w:val="0"/>
          <w:noProof w:val="0"/>
          <w:color w:val="auto"/>
          <w:sz w:val="24"/>
          <w:szCs w:val="24"/>
          <w:lang w:val="en-GB"/>
        </w:rPr>
        <w:t>determine</w:t>
      </w:r>
      <w:r w:rsidRPr="00C9A62E" w:rsidR="02DE12A8">
        <w:rPr>
          <w:rFonts w:ascii="Arial" w:hAnsi="Arial" w:eastAsia="Arial" w:cs="Arial"/>
          <w:b w:val="0"/>
          <w:bCs w:val="0"/>
          <w:noProof w:val="0"/>
          <w:color w:val="auto"/>
          <w:sz w:val="24"/>
          <w:szCs w:val="24"/>
          <w:lang w:val="en-GB"/>
        </w:rPr>
        <w:t xml:space="preserve"> how Netflix must adapt to </w:t>
      </w:r>
      <w:r w:rsidRPr="00C9A62E" w:rsidR="02DE12A8">
        <w:rPr>
          <w:rFonts w:ascii="Arial" w:hAnsi="Arial" w:eastAsia="Arial" w:cs="Arial"/>
          <w:b w:val="0"/>
          <w:bCs w:val="0"/>
          <w:noProof w:val="0"/>
          <w:color w:val="auto"/>
          <w:sz w:val="24"/>
          <w:szCs w:val="24"/>
          <w:lang w:val="en-GB"/>
        </w:rPr>
        <w:t>operate</w:t>
      </w:r>
      <w:r w:rsidRPr="00C9A62E" w:rsidR="02DE12A8">
        <w:rPr>
          <w:rFonts w:ascii="Arial" w:hAnsi="Arial" w:eastAsia="Arial" w:cs="Arial"/>
          <w:b w:val="0"/>
          <w:bCs w:val="0"/>
          <w:noProof w:val="0"/>
          <w:color w:val="auto"/>
          <w:sz w:val="24"/>
          <w:szCs w:val="24"/>
          <w:lang w:val="en-GB"/>
        </w:rPr>
        <w:t xml:space="preserve"> effectively in China.</w:t>
      </w:r>
    </w:p>
    <w:p w:rsidR="02DE12A8" w:rsidP="00C9A62E" w:rsidRDefault="02DE12A8" w14:paraId="23B5D0F0" w14:textId="7D825802">
      <w:pPr>
        <w:pStyle w:val="Heading3"/>
        <w:spacing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 xml:space="preserve"> </w:t>
      </w:r>
      <w:bookmarkStart w:name="_Toc937663825" w:id="2117842966"/>
      <w:r w:rsidRPr="00C9A62E" w:rsidR="02DE12A8">
        <w:rPr>
          <w:rFonts w:ascii="Arial" w:hAnsi="Arial" w:eastAsia="Arial" w:cs="Arial"/>
          <w:b w:val="0"/>
          <w:bCs w:val="0"/>
          <w:noProof w:val="0"/>
          <w:color w:val="auto"/>
          <w:sz w:val="24"/>
          <w:szCs w:val="24"/>
          <w:lang w:val="en-GB"/>
        </w:rPr>
        <w:t>Inbound Logistics: Content Acquisition and Licensing</w:t>
      </w:r>
      <w:bookmarkEnd w:id="2117842966"/>
    </w:p>
    <w:p w:rsidR="02DE12A8" w:rsidP="00C9A62E" w:rsidRDefault="02DE12A8" w14:paraId="3DA06B20" w14:textId="214E3DE3">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 xml:space="preserve">Netflix’s inbound </w:t>
      </w:r>
      <w:r w:rsidRPr="00C9A62E" w:rsidR="78868618">
        <w:rPr>
          <w:rFonts w:ascii="Arial" w:hAnsi="Arial" w:eastAsia="Arial" w:cs="Arial"/>
          <w:b w:val="0"/>
          <w:bCs w:val="0"/>
          <w:noProof w:val="0"/>
          <w:color w:val="auto"/>
          <w:sz w:val="24"/>
          <w:szCs w:val="24"/>
          <w:lang w:val="en-GB"/>
        </w:rPr>
        <w:t>coordination</w:t>
      </w:r>
      <w:r w:rsidRPr="00C9A62E" w:rsidR="02DE12A8">
        <w:rPr>
          <w:rFonts w:ascii="Arial" w:hAnsi="Arial" w:eastAsia="Arial" w:cs="Arial"/>
          <w:b w:val="0"/>
          <w:bCs w:val="0"/>
          <w:noProof w:val="0"/>
          <w:color w:val="auto"/>
          <w:sz w:val="24"/>
          <w:szCs w:val="24"/>
          <w:lang w:val="en-GB"/>
        </w:rPr>
        <w:t xml:space="preserve"> </w:t>
      </w:r>
      <w:r w:rsidRPr="00C9A62E" w:rsidR="5CE48BB2">
        <w:rPr>
          <w:rFonts w:ascii="Arial" w:hAnsi="Arial" w:eastAsia="Arial" w:cs="Arial"/>
          <w:b w:val="0"/>
          <w:bCs w:val="0"/>
          <w:noProof w:val="0"/>
          <w:color w:val="auto"/>
          <w:sz w:val="24"/>
          <w:szCs w:val="24"/>
          <w:lang w:val="en-GB"/>
        </w:rPr>
        <w:t>relies</w:t>
      </w:r>
      <w:r w:rsidRPr="00C9A62E" w:rsidR="02DE12A8">
        <w:rPr>
          <w:rFonts w:ascii="Arial" w:hAnsi="Arial" w:eastAsia="Arial" w:cs="Arial"/>
          <w:b w:val="0"/>
          <w:bCs w:val="0"/>
          <w:noProof w:val="0"/>
          <w:color w:val="auto"/>
          <w:sz w:val="24"/>
          <w:szCs w:val="24"/>
          <w:lang w:val="en-GB"/>
        </w:rPr>
        <w:t xml:space="preserve"> on </w:t>
      </w:r>
      <w:r w:rsidRPr="00C9A62E" w:rsidR="02DE12A8">
        <w:rPr>
          <w:rFonts w:ascii="Arial" w:hAnsi="Arial" w:eastAsia="Arial" w:cs="Arial"/>
          <w:b w:val="0"/>
          <w:bCs w:val="0"/>
          <w:noProof w:val="0"/>
          <w:color w:val="auto"/>
          <w:sz w:val="24"/>
          <w:szCs w:val="24"/>
          <w:lang w:val="en-GB"/>
        </w:rPr>
        <w:t>acquiring</w:t>
      </w:r>
      <w:r w:rsidRPr="00C9A62E" w:rsidR="02DE12A8">
        <w:rPr>
          <w:rFonts w:ascii="Arial" w:hAnsi="Arial" w:eastAsia="Arial" w:cs="Arial"/>
          <w:b w:val="0"/>
          <w:bCs w:val="0"/>
          <w:noProof w:val="0"/>
          <w:color w:val="auto"/>
          <w:sz w:val="24"/>
          <w:szCs w:val="24"/>
          <w:lang w:val="en-GB"/>
        </w:rPr>
        <w:t xml:space="preserve"> global licensing rights and developing original content</w:t>
      </w:r>
      <w:r w:rsidRPr="00C9A62E" w:rsidR="7A30C51B">
        <w:rPr>
          <w:rFonts w:ascii="Arial" w:hAnsi="Arial" w:eastAsia="Arial" w:cs="Arial"/>
          <w:b w:val="0"/>
          <w:bCs w:val="0"/>
          <w:noProof w:val="0"/>
          <w:color w:val="auto"/>
          <w:sz w:val="24"/>
          <w:szCs w:val="24"/>
          <w:lang w:val="en-GB"/>
        </w:rPr>
        <w:t xml:space="preserve"> (</w:t>
      </w:r>
      <w:r w:rsidRPr="00C9A62E" w:rsidR="7A30C51B">
        <w:rPr>
          <w:rFonts w:ascii="Arial" w:hAnsi="Arial" w:eastAsia="Arial" w:cs="Arial"/>
          <w:b w:val="0"/>
          <w:bCs w:val="0"/>
          <w:noProof w:val="0"/>
          <w:color w:val="auto"/>
          <w:sz w:val="24"/>
          <w:szCs w:val="24"/>
          <w:lang w:val="en-GB"/>
        </w:rPr>
        <w:t xml:space="preserve">Asmar, </w:t>
      </w:r>
      <w:r w:rsidRPr="00C9A62E" w:rsidR="7A30C51B">
        <w:rPr>
          <w:rFonts w:ascii="Arial" w:hAnsi="Arial" w:eastAsia="Arial" w:cs="Arial"/>
          <w:b w:val="0"/>
          <w:bCs w:val="0"/>
          <w:noProof w:val="0"/>
          <w:color w:val="auto"/>
          <w:sz w:val="24"/>
          <w:szCs w:val="24"/>
          <w:lang w:val="en-GB"/>
        </w:rPr>
        <w:t>Raats</w:t>
      </w:r>
      <w:r w:rsidRPr="00C9A62E" w:rsidR="7A30C51B">
        <w:rPr>
          <w:rFonts w:ascii="Arial" w:hAnsi="Arial" w:eastAsia="Arial" w:cs="Arial"/>
          <w:b w:val="0"/>
          <w:bCs w:val="0"/>
          <w:noProof w:val="0"/>
          <w:color w:val="auto"/>
          <w:sz w:val="24"/>
          <w:szCs w:val="24"/>
          <w:lang w:val="en-GB"/>
        </w:rPr>
        <w:t xml:space="preserve">, and Van </w:t>
      </w:r>
      <w:r w:rsidRPr="00C9A62E" w:rsidR="7A30C51B">
        <w:rPr>
          <w:rFonts w:ascii="Arial" w:hAnsi="Arial" w:eastAsia="Arial" w:cs="Arial"/>
          <w:b w:val="0"/>
          <w:bCs w:val="0"/>
          <w:noProof w:val="0"/>
          <w:color w:val="auto"/>
          <w:sz w:val="24"/>
          <w:szCs w:val="24"/>
          <w:lang w:val="en-GB"/>
        </w:rPr>
        <w:t>Audenhove</w:t>
      </w:r>
      <w:r w:rsidRPr="00C9A62E" w:rsidR="7A30C51B">
        <w:rPr>
          <w:rFonts w:ascii="Arial" w:hAnsi="Arial" w:eastAsia="Arial" w:cs="Arial"/>
          <w:b w:val="0"/>
          <w:bCs w:val="0"/>
          <w:noProof w:val="0"/>
          <w:color w:val="auto"/>
          <w:sz w:val="24"/>
          <w:szCs w:val="24"/>
          <w:lang w:val="en-GB"/>
        </w:rPr>
        <w:t>, 2025)</w:t>
      </w:r>
      <w:r w:rsidRPr="00C9A62E" w:rsidR="02DE12A8">
        <w:rPr>
          <w:rFonts w:ascii="Arial" w:hAnsi="Arial" w:eastAsia="Arial" w:cs="Arial"/>
          <w:b w:val="0"/>
          <w:bCs w:val="0"/>
          <w:noProof w:val="0"/>
          <w:color w:val="auto"/>
          <w:sz w:val="24"/>
          <w:szCs w:val="24"/>
          <w:lang w:val="en-GB"/>
        </w:rPr>
        <w:t>. In China, foreign content acquisition is heavily restricted, and licensing requires state approval. This stage must shift toward localised acquisition through co-productions and content partnerships with Chinese studios aligned with cultural policy guidelines.</w:t>
      </w:r>
    </w:p>
    <w:p w:rsidR="02DE12A8" w:rsidP="00C9A62E" w:rsidRDefault="02DE12A8" w14:paraId="0AF48270" w14:textId="787029B8">
      <w:pPr>
        <w:pStyle w:val="Heading3"/>
        <w:spacing w:line="360" w:lineRule="auto"/>
        <w:jc w:val="both"/>
        <w:rPr>
          <w:rFonts w:ascii="Arial" w:hAnsi="Arial" w:eastAsia="Arial" w:cs="Arial"/>
          <w:b w:val="0"/>
          <w:bCs w:val="0"/>
          <w:noProof w:val="0"/>
          <w:color w:val="auto"/>
          <w:sz w:val="24"/>
          <w:szCs w:val="24"/>
          <w:lang w:val="en-GB"/>
        </w:rPr>
      </w:pPr>
      <w:bookmarkStart w:name="_Toc1747230532" w:id="90459943"/>
      <w:r w:rsidRPr="00C9A62E" w:rsidR="02DE12A8">
        <w:rPr>
          <w:rFonts w:ascii="Arial" w:hAnsi="Arial" w:eastAsia="Arial" w:cs="Arial"/>
          <w:b w:val="0"/>
          <w:bCs w:val="0"/>
          <w:noProof w:val="0"/>
          <w:color w:val="auto"/>
          <w:sz w:val="24"/>
          <w:szCs w:val="24"/>
          <w:lang w:val="en-GB"/>
        </w:rPr>
        <w:t>Operations: Streaming Platform and Algorithm Development</w:t>
      </w:r>
      <w:bookmarkEnd w:id="90459943"/>
    </w:p>
    <w:p w:rsidR="02DE12A8" w:rsidP="00C9A62E" w:rsidRDefault="02DE12A8" w14:paraId="73E6767F" w14:textId="13ABC505">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Netflix’s operations include platform development, encoding, algorithm tuning, and cloud infrastructure (AWS)</w:t>
      </w:r>
      <w:r w:rsidRPr="00C9A62E" w:rsidR="062A0CBF">
        <w:rPr>
          <w:rFonts w:ascii="Arial" w:hAnsi="Arial" w:eastAsia="Arial" w:cs="Arial"/>
          <w:b w:val="0"/>
          <w:bCs w:val="0"/>
          <w:noProof w:val="0"/>
          <w:color w:val="auto"/>
          <w:sz w:val="24"/>
          <w:szCs w:val="24"/>
          <w:lang w:val="en-GB"/>
        </w:rPr>
        <w:t xml:space="preserve"> (Asmar, </w:t>
      </w:r>
      <w:r w:rsidRPr="00C9A62E" w:rsidR="062A0CBF">
        <w:rPr>
          <w:rFonts w:ascii="Arial" w:hAnsi="Arial" w:eastAsia="Arial" w:cs="Arial"/>
          <w:b w:val="0"/>
          <w:bCs w:val="0"/>
          <w:noProof w:val="0"/>
          <w:color w:val="auto"/>
          <w:sz w:val="24"/>
          <w:szCs w:val="24"/>
          <w:lang w:val="en-GB"/>
        </w:rPr>
        <w:t>Raats</w:t>
      </w:r>
      <w:r w:rsidRPr="00C9A62E" w:rsidR="062A0CBF">
        <w:rPr>
          <w:rFonts w:ascii="Arial" w:hAnsi="Arial" w:eastAsia="Arial" w:cs="Arial"/>
          <w:b w:val="0"/>
          <w:bCs w:val="0"/>
          <w:noProof w:val="0"/>
          <w:color w:val="auto"/>
          <w:sz w:val="24"/>
          <w:szCs w:val="24"/>
          <w:lang w:val="en-GB"/>
        </w:rPr>
        <w:t xml:space="preserve">, and Van </w:t>
      </w:r>
      <w:r w:rsidRPr="00C9A62E" w:rsidR="062A0CBF">
        <w:rPr>
          <w:rFonts w:ascii="Arial" w:hAnsi="Arial" w:eastAsia="Arial" w:cs="Arial"/>
          <w:b w:val="0"/>
          <w:bCs w:val="0"/>
          <w:noProof w:val="0"/>
          <w:color w:val="auto"/>
          <w:sz w:val="24"/>
          <w:szCs w:val="24"/>
          <w:lang w:val="en-GB"/>
        </w:rPr>
        <w:t>Audenhove</w:t>
      </w:r>
      <w:r w:rsidRPr="00C9A62E" w:rsidR="062A0CBF">
        <w:rPr>
          <w:rFonts w:ascii="Arial" w:hAnsi="Arial" w:eastAsia="Arial" w:cs="Arial"/>
          <w:b w:val="0"/>
          <w:bCs w:val="0"/>
          <w:noProof w:val="0"/>
          <w:color w:val="auto"/>
          <w:sz w:val="24"/>
          <w:szCs w:val="24"/>
          <w:lang w:val="en-GB"/>
        </w:rPr>
        <w:t>, 2025)</w:t>
      </w:r>
      <w:r w:rsidRPr="00C9A62E" w:rsidR="02DE12A8">
        <w:rPr>
          <w:rFonts w:ascii="Arial" w:hAnsi="Arial" w:eastAsia="Arial" w:cs="Arial"/>
          <w:b w:val="0"/>
          <w:bCs w:val="0"/>
          <w:noProof w:val="0"/>
          <w:color w:val="auto"/>
          <w:sz w:val="24"/>
          <w:szCs w:val="24"/>
          <w:lang w:val="en-GB"/>
        </w:rPr>
        <w:t xml:space="preserve">. These activities are central to its value creation. However, Chinese regulations require data storage within China and ban the use of foreign cloud providers for media content. Netflix would need to migrate operations to local cloud partners (e.g., Alibaba Cloud), adapt data-processing practices, and redesign algorithms to fit </w:t>
      </w:r>
      <w:r w:rsidRPr="00C9A62E" w:rsidR="0AE9B25D">
        <w:rPr>
          <w:rFonts w:ascii="Arial" w:hAnsi="Arial" w:eastAsia="Arial" w:cs="Arial"/>
          <w:b w:val="0"/>
          <w:bCs w:val="0"/>
          <w:noProof w:val="0"/>
          <w:color w:val="auto"/>
          <w:sz w:val="24"/>
          <w:szCs w:val="24"/>
          <w:lang w:val="en-GB"/>
        </w:rPr>
        <w:t>China is</w:t>
      </w:r>
      <w:r w:rsidRPr="00C9A62E" w:rsidR="02DE12A8">
        <w:rPr>
          <w:rFonts w:ascii="Arial" w:hAnsi="Arial" w:eastAsia="Arial" w:cs="Arial"/>
          <w:b w:val="0"/>
          <w:bCs w:val="0"/>
          <w:noProof w:val="0"/>
          <w:color w:val="auto"/>
          <w:sz w:val="24"/>
          <w:szCs w:val="24"/>
          <w:lang w:val="en-GB"/>
        </w:rPr>
        <w:t xml:space="preserve"> social–video ecosystem.</w:t>
      </w:r>
    </w:p>
    <w:p w:rsidR="02DE12A8" w:rsidP="00C9A62E" w:rsidRDefault="02DE12A8" w14:paraId="4A226CC6" w14:textId="2E53121A">
      <w:pPr>
        <w:pStyle w:val="Heading3"/>
        <w:spacing w:line="360" w:lineRule="auto"/>
        <w:jc w:val="both"/>
        <w:rPr>
          <w:rFonts w:ascii="Arial" w:hAnsi="Arial" w:eastAsia="Arial" w:cs="Arial"/>
          <w:b w:val="0"/>
          <w:bCs w:val="0"/>
          <w:noProof w:val="0"/>
          <w:color w:val="auto"/>
          <w:sz w:val="24"/>
          <w:szCs w:val="24"/>
          <w:lang w:val="en-GB"/>
        </w:rPr>
      </w:pPr>
      <w:bookmarkStart w:name="_Toc833815482" w:id="1677921953"/>
      <w:r w:rsidRPr="00C9A62E" w:rsidR="02DE12A8">
        <w:rPr>
          <w:rFonts w:ascii="Arial" w:hAnsi="Arial" w:eastAsia="Arial" w:cs="Arial"/>
          <w:b w:val="0"/>
          <w:bCs w:val="0"/>
          <w:noProof w:val="0"/>
          <w:color w:val="auto"/>
          <w:sz w:val="24"/>
          <w:szCs w:val="24"/>
          <w:lang w:val="en-GB"/>
        </w:rPr>
        <w:t>Outbound Logistics: Content Delivery</w:t>
      </w:r>
      <w:bookmarkEnd w:id="1677921953"/>
    </w:p>
    <w:p w:rsidR="02DE12A8" w:rsidP="00C9A62E" w:rsidRDefault="02DE12A8" w14:paraId="1CC804FF" w14:textId="664665BA">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 xml:space="preserve">Netflix </w:t>
      </w:r>
      <w:r w:rsidRPr="00C9A62E" w:rsidR="02DE12A8">
        <w:rPr>
          <w:rFonts w:ascii="Arial" w:hAnsi="Arial" w:eastAsia="Arial" w:cs="Arial"/>
          <w:b w:val="0"/>
          <w:bCs w:val="0"/>
          <w:noProof w:val="0"/>
          <w:color w:val="auto"/>
          <w:sz w:val="24"/>
          <w:szCs w:val="24"/>
          <w:lang w:val="en-GB"/>
        </w:rPr>
        <w:t>leverages</w:t>
      </w:r>
      <w:r w:rsidRPr="00C9A62E" w:rsidR="02DE12A8">
        <w:rPr>
          <w:rFonts w:ascii="Arial" w:hAnsi="Arial" w:eastAsia="Arial" w:cs="Arial"/>
          <w:b w:val="0"/>
          <w:bCs w:val="0"/>
          <w:noProof w:val="0"/>
          <w:color w:val="auto"/>
          <w:sz w:val="24"/>
          <w:szCs w:val="24"/>
          <w:lang w:val="en-GB"/>
        </w:rPr>
        <w:t xml:space="preserve"> global Content Delivery Networks (CDNs) to deliver high-quality streaming. In China, content delivery must </w:t>
      </w:r>
      <w:r w:rsidRPr="00C9A62E" w:rsidR="02DE12A8">
        <w:rPr>
          <w:rFonts w:ascii="Arial" w:hAnsi="Arial" w:eastAsia="Arial" w:cs="Arial"/>
          <w:b w:val="0"/>
          <w:bCs w:val="0"/>
          <w:noProof w:val="0"/>
          <w:color w:val="auto"/>
          <w:sz w:val="24"/>
          <w:szCs w:val="24"/>
          <w:lang w:val="en-GB"/>
        </w:rPr>
        <w:t>comply with</w:t>
      </w:r>
      <w:r w:rsidRPr="00C9A62E" w:rsidR="02DE12A8">
        <w:rPr>
          <w:rFonts w:ascii="Arial" w:hAnsi="Arial" w:eastAsia="Arial" w:cs="Arial"/>
          <w:b w:val="0"/>
          <w:bCs w:val="0"/>
          <w:noProof w:val="0"/>
          <w:color w:val="auto"/>
          <w:sz w:val="24"/>
          <w:szCs w:val="24"/>
          <w:lang w:val="en-GB"/>
        </w:rPr>
        <w:t xml:space="preserve"> the Great </w:t>
      </w:r>
      <w:r w:rsidRPr="00C9A62E" w:rsidR="02DE12A8">
        <w:rPr>
          <w:rFonts w:ascii="Arial" w:hAnsi="Arial" w:eastAsia="Arial" w:cs="Arial"/>
          <w:b w:val="0"/>
          <w:bCs w:val="0"/>
          <w:noProof w:val="0"/>
          <w:color w:val="auto"/>
          <w:sz w:val="24"/>
          <w:szCs w:val="24"/>
          <w:lang w:val="en-GB"/>
        </w:rPr>
        <w:t>Firewall</w:t>
      </w:r>
      <w:r w:rsidRPr="00C9A62E" w:rsidR="02DE12A8">
        <w:rPr>
          <w:rFonts w:ascii="Arial" w:hAnsi="Arial" w:eastAsia="Arial" w:cs="Arial"/>
          <w:b w:val="0"/>
          <w:bCs w:val="0"/>
          <w:noProof w:val="0"/>
          <w:color w:val="auto"/>
          <w:sz w:val="24"/>
          <w:szCs w:val="24"/>
          <w:lang w:val="en-GB"/>
        </w:rPr>
        <w:t xml:space="preserve"> and local bandwidth regulations</w:t>
      </w:r>
      <w:r w:rsidRPr="00C9A62E" w:rsidR="5A0BD0DB">
        <w:rPr>
          <w:rFonts w:ascii="Arial" w:hAnsi="Arial" w:eastAsia="Arial" w:cs="Arial"/>
          <w:b w:val="0"/>
          <w:bCs w:val="0"/>
          <w:noProof w:val="0"/>
          <w:color w:val="auto"/>
          <w:sz w:val="24"/>
          <w:szCs w:val="24"/>
          <w:lang w:val="en-GB"/>
        </w:rPr>
        <w:t xml:space="preserve"> (</w:t>
      </w:r>
      <w:r w:rsidRPr="00C9A62E" w:rsidR="5A0BD0DB">
        <w:rPr>
          <w:rFonts w:ascii="Arial" w:hAnsi="Arial" w:eastAsia="Arial" w:cs="Arial"/>
          <w:b w:val="0"/>
          <w:bCs w:val="0"/>
          <w:i w:val="0"/>
          <w:iCs w:val="0"/>
          <w:caps w:val="0"/>
          <w:smallCaps w:val="0"/>
          <w:noProof w:val="0"/>
          <w:color w:val="auto"/>
          <w:sz w:val="24"/>
          <w:szCs w:val="24"/>
          <w:lang w:val="en-GB"/>
        </w:rPr>
        <w:t>Kodono</w:t>
      </w:r>
      <w:r w:rsidRPr="00C9A62E" w:rsidR="5A0BD0DB">
        <w:rPr>
          <w:rFonts w:ascii="Arial" w:hAnsi="Arial" w:eastAsia="Arial" w:cs="Arial"/>
          <w:b w:val="0"/>
          <w:bCs w:val="0"/>
          <w:i w:val="0"/>
          <w:iCs w:val="0"/>
          <w:caps w:val="0"/>
          <w:smallCaps w:val="0"/>
          <w:noProof w:val="0"/>
          <w:color w:val="auto"/>
          <w:sz w:val="24"/>
          <w:szCs w:val="24"/>
          <w:lang w:val="en-GB"/>
        </w:rPr>
        <w:t>, Zhang, and Yan, 2020</w:t>
      </w:r>
      <w:r w:rsidRPr="00C9A62E" w:rsidR="5A0BD0DB">
        <w:rPr>
          <w:rFonts w:ascii="Arial" w:hAnsi="Arial" w:eastAsia="Arial" w:cs="Arial"/>
          <w:b w:val="0"/>
          <w:bCs w:val="0"/>
          <w:i w:val="0"/>
          <w:iCs w:val="0"/>
          <w:caps w:val="0"/>
          <w:smallCaps w:val="0"/>
          <w:noProof w:val="0"/>
          <w:color w:val="auto"/>
          <w:sz w:val="24"/>
          <w:szCs w:val="24"/>
          <w:lang w:val="en-GB"/>
        </w:rPr>
        <w:t>).</w:t>
      </w:r>
      <w:r w:rsidRPr="00C9A62E" w:rsidR="02DE12A8">
        <w:rPr>
          <w:rFonts w:ascii="Arial" w:hAnsi="Arial" w:eastAsia="Arial" w:cs="Arial"/>
          <w:b w:val="0"/>
          <w:bCs w:val="0"/>
          <w:noProof w:val="0"/>
          <w:color w:val="auto"/>
          <w:sz w:val="24"/>
          <w:szCs w:val="24"/>
          <w:lang w:val="en-GB"/>
        </w:rPr>
        <w:t xml:space="preserve"> Partnering with Chinese telecom providers (China Mobile, China Unicom) would be crucial to </w:t>
      </w:r>
      <w:r w:rsidRPr="00C9A62E" w:rsidR="02DE12A8">
        <w:rPr>
          <w:rFonts w:ascii="Arial" w:hAnsi="Arial" w:eastAsia="Arial" w:cs="Arial"/>
          <w:b w:val="0"/>
          <w:bCs w:val="0"/>
          <w:noProof w:val="0"/>
          <w:color w:val="auto"/>
          <w:sz w:val="24"/>
          <w:szCs w:val="24"/>
          <w:lang w:val="en-GB"/>
        </w:rPr>
        <w:t>maintain</w:t>
      </w:r>
      <w:r w:rsidRPr="00C9A62E" w:rsidR="02DE12A8">
        <w:rPr>
          <w:rFonts w:ascii="Arial" w:hAnsi="Arial" w:eastAsia="Arial" w:cs="Arial"/>
          <w:b w:val="0"/>
          <w:bCs w:val="0"/>
          <w:noProof w:val="0"/>
          <w:color w:val="auto"/>
          <w:sz w:val="24"/>
          <w:szCs w:val="24"/>
          <w:lang w:val="en-GB"/>
        </w:rPr>
        <w:t xml:space="preserve"> streaming quality.</w:t>
      </w:r>
    </w:p>
    <w:p w:rsidR="02DE12A8" w:rsidP="00C9A62E" w:rsidRDefault="02DE12A8" w14:paraId="2D34BFC9" w14:textId="04CB9AA8">
      <w:pPr>
        <w:pStyle w:val="Heading3"/>
        <w:spacing w:line="360" w:lineRule="auto"/>
        <w:jc w:val="both"/>
        <w:rPr>
          <w:rFonts w:ascii="Arial" w:hAnsi="Arial" w:eastAsia="Arial" w:cs="Arial"/>
          <w:b w:val="0"/>
          <w:bCs w:val="0"/>
          <w:noProof w:val="0"/>
          <w:color w:val="auto"/>
          <w:sz w:val="24"/>
          <w:szCs w:val="24"/>
          <w:lang w:val="en-GB"/>
        </w:rPr>
      </w:pPr>
      <w:bookmarkStart w:name="_Toc1792019838" w:id="2075614442"/>
      <w:r w:rsidRPr="00C9A62E" w:rsidR="02DE12A8">
        <w:rPr>
          <w:rFonts w:ascii="Arial" w:hAnsi="Arial" w:eastAsia="Arial" w:cs="Arial"/>
          <w:b w:val="0"/>
          <w:bCs w:val="0"/>
          <w:noProof w:val="0"/>
          <w:color w:val="auto"/>
          <w:sz w:val="24"/>
          <w:szCs w:val="24"/>
          <w:lang w:val="en-GB"/>
        </w:rPr>
        <w:t>Marketing and Sales</w:t>
      </w:r>
      <w:bookmarkEnd w:id="2075614442"/>
    </w:p>
    <w:p w:rsidR="02DE12A8" w:rsidP="00C9A62E" w:rsidRDefault="02DE12A8" w14:paraId="0EE6ABF8" w14:textId="165822D8">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Netflix’s marketing traditionally emphasises digital promotion, trailers, and personalised recommendations. However, Zhuge (2018) highlights that in China, content consumption is embedded within social networking ecosystems. As a result, Netflix must integrate with WeChat, Weibo, and Douyin and adopt fan-driven promotional strategies familiar to Chinese audiences</w:t>
      </w:r>
      <w:r w:rsidRPr="00C9A62E" w:rsidR="6FC3FCF9">
        <w:rPr>
          <w:rFonts w:ascii="Arial" w:hAnsi="Arial" w:eastAsia="Arial" w:cs="Arial"/>
          <w:b w:val="0"/>
          <w:bCs w:val="0"/>
          <w:noProof w:val="0"/>
          <w:color w:val="auto"/>
          <w:sz w:val="24"/>
          <w:szCs w:val="24"/>
          <w:lang w:val="en-GB"/>
        </w:rPr>
        <w:t xml:space="preserve"> (</w:t>
      </w:r>
      <w:r w:rsidRPr="00C9A62E" w:rsidR="6FC3FCF9">
        <w:rPr>
          <w:rFonts w:ascii="Arial" w:hAnsi="Arial" w:eastAsia="Arial" w:cs="Arial"/>
          <w:b w:val="0"/>
          <w:bCs w:val="0"/>
          <w:noProof w:val="0"/>
          <w:color w:val="auto"/>
          <w:sz w:val="24"/>
          <w:szCs w:val="24"/>
          <w:lang w:val="en-GB"/>
        </w:rPr>
        <w:t xml:space="preserve">Zhang, and </w:t>
      </w:r>
      <w:r w:rsidRPr="00C9A62E" w:rsidR="6FC3FCF9">
        <w:rPr>
          <w:rFonts w:ascii="Arial" w:hAnsi="Arial" w:eastAsia="Arial" w:cs="Arial"/>
          <w:b w:val="0"/>
          <w:bCs w:val="0"/>
          <w:noProof w:val="0"/>
          <w:color w:val="auto"/>
          <w:sz w:val="24"/>
          <w:szCs w:val="24"/>
          <w:lang w:val="en-GB"/>
        </w:rPr>
        <w:t>Cassany</w:t>
      </w:r>
      <w:r w:rsidRPr="00C9A62E" w:rsidR="6FC3FCF9">
        <w:rPr>
          <w:rFonts w:ascii="Arial" w:hAnsi="Arial" w:eastAsia="Arial" w:cs="Arial"/>
          <w:b w:val="0"/>
          <w:bCs w:val="0"/>
          <w:noProof w:val="0"/>
          <w:color w:val="auto"/>
          <w:sz w:val="24"/>
          <w:szCs w:val="24"/>
          <w:lang w:val="en-GB"/>
        </w:rPr>
        <w:t>, 2020)</w:t>
      </w:r>
      <w:r w:rsidRPr="00C9A62E" w:rsidR="02DE12A8">
        <w:rPr>
          <w:rFonts w:ascii="Arial" w:hAnsi="Arial" w:eastAsia="Arial" w:cs="Arial"/>
          <w:b w:val="0"/>
          <w:bCs w:val="0"/>
          <w:noProof w:val="0"/>
          <w:color w:val="auto"/>
          <w:sz w:val="24"/>
          <w:szCs w:val="24"/>
          <w:lang w:val="en-GB"/>
        </w:rPr>
        <w:t>. Joint marketing with partners (e.g., Tencent) is essential.</w:t>
      </w:r>
    </w:p>
    <w:p w:rsidR="02DE12A8" w:rsidP="00C9A62E" w:rsidRDefault="02DE12A8" w14:paraId="4DAA7D6C" w14:textId="7A07B2BC">
      <w:pPr>
        <w:spacing w:before="120" w:beforeAutospacing="off" w:after="120" w:afterAutospacing="off" w:line="360" w:lineRule="auto"/>
        <w:jc w:val="both"/>
        <w:rPr>
          <w:rFonts w:ascii="Arial" w:hAnsi="Arial" w:eastAsia="Arial" w:cs="Arial"/>
          <w:b w:val="0"/>
          <w:bCs w:val="0"/>
          <w:noProof w:val="0"/>
          <w:color w:val="auto"/>
          <w:sz w:val="24"/>
          <w:szCs w:val="24"/>
          <w:lang w:val="en-GB"/>
        </w:rPr>
      </w:pPr>
      <w:bookmarkStart w:name="_Toc450874904" w:id="2014185266"/>
      <w:r w:rsidRPr="00C9A62E" w:rsidR="02DE12A8">
        <w:rPr>
          <w:rStyle w:val="Heading3Char"/>
          <w:rFonts w:ascii="Arial" w:hAnsi="Arial" w:eastAsia="Arial" w:cs="Arial"/>
          <w:b w:val="0"/>
          <w:bCs w:val="0"/>
          <w:noProof w:val="0"/>
          <w:color w:val="auto"/>
          <w:sz w:val="24"/>
          <w:szCs w:val="24"/>
          <w:lang w:val="en-GB"/>
        </w:rPr>
        <w:t>Service: Customer Experience and Support</w:t>
      </w:r>
      <w:bookmarkEnd w:id="2014185266"/>
    </w:p>
    <w:p w:rsidR="02DE12A8" w:rsidP="00C9A62E" w:rsidRDefault="02DE12A8" w14:paraId="7BB42F4F" w14:textId="585D109B">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Netflix excels in intuitive UI design and customer support. However, Chinese consumers expect interactive viewing experiences such as real-time comments (</w:t>
      </w:r>
      <w:r w:rsidRPr="00C9A62E" w:rsidR="02DE12A8">
        <w:rPr>
          <w:rFonts w:ascii="Arial" w:hAnsi="Arial" w:eastAsia="Arial" w:cs="Arial"/>
          <w:b w:val="0"/>
          <w:bCs w:val="0"/>
          <w:noProof w:val="0"/>
          <w:color w:val="auto"/>
          <w:sz w:val="24"/>
          <w:szCs w:val="24"/>
          <w:lang w:val="en-GB"/>
        </w:rPr>
        <w:t>danmu</w:t>
      </w:r>
      <w:r w:rsidRPr="00C9A62E" w:rsidR="02DE12A8">
        <w:rPr>
          <w:rFonts w:ascii="Arial" w:hAnsi="Arial" w:eastAsia="Arial" w:cs="Arial"/>
          <w:b w:val="0"/>
          <w:bCs w:val="0"/>
          <w:noProof w:val="0"/>
          <w:color w:val="auto"/>
          <w:sz w:val="24"/>
          <w:szCs w:val="24"/>
          <w:lang w:val="en-GB"/>
        </w:rPr>
        <w:t>), live chats, and community forums</w:t>
      </w:r>
      <w:r w:rsidRPr="00C9A62E" w:rsidR="2FE0A3C0">
        <w:rPr>
          <w:rFonts w:ascii="Arial" w:hAnsi="Arial" w:eastAsia="Arial" w:cs="Arial"/>
          <w:b w:val="0"/>
          <w:bCs w:val="0"/>
          <w:noProof w:val="0"/>
          <w:color w:val="auto"/>
          <w:sz w:val="24"/>
          <w:szCs w:val="24"/>
          <w:lang w:val="en-GB"/>
        </w:rPr>
        <w:t xml:space="preserve"> </w:t>
      </w:r>
      <w:r w:rsidRPr="00C9A62E" w:rsidR="3A95740A">
        <w:rPr>
          <w:rFonts w:ascii="Arial" w:hAnsi="Arial" w:eastAsia="Arial" w:cs="Arial"/>
          <w:b w:val="0"/>
          <w:bCs w:val="0"/>
          <w:noProof w:val="0"/>
          <w:color w:val="auto"/>
          <w:sz w:val="24"/>
          <w:szCs w:val="24"/>
          <w:lang w:val="en-GB"/>
        </w:rPr>
        <w:t>(</w:t>
      </w:r>
      <w:r w:rsidRPr="00C9A62E" w:rsidR="2FE0A3C0">
        <w:rPr>
          <w:rFonts w:ascii="Arial" w:hAnsi="Arial" w:eastAsia="Arial" w:cs="Arial"/>
          <w:b w:val="0"/>
          <w:bCs w:val="0"/>
          <w:noProof w:val="0"/>
          <w:color w:val="auto"/>
          <w:sz w:val="24"/>
          <w:szCs w:val="24"/>
          <w:lang w:val="en-GB"/>
        </w:rPr>
        <w:t xml:space="preserve">Zhang, and </w:t>
      </w:r>
      <w:r w:rsidRPr="00C9A62E" w:rsidR="2FE0A3C0">
        <w:rPr>
          <w:rFonts w:ascii="Arial" w:hAnsi="Arial" w:eastAsia="Arial" w:cs="Arial"/>
          <w:b w:val="0"/>
          <w:bCs w:val="0"/>
          <w:noProof w:val="0"/>
          <w:color w:val="auto"/>
          <w:sz w:val="24"/>
          <w:szCs w:val="24"/>
          <w:lang w:val="en-GB"/>
        </w:rPr>
        <w:t>Cassany</w:t>
      </w:r>
      <w:r w:rsidRPr="00C9A62E" w:rsidR="2FE0A3C0">
        <w:rPr>
          <w:rFonts w:ascii="Arial" w:hAnsi="Arial" w:eastAsia="Arial" w:cs="Arial"/>
          <w:b w:val="0"/>
          <w:bCs w:val="0"/>
          <w:noProof w:val="0"/>
          <w:color w:val="auto"/>
          <w:sz w:val="24"/>
          <w:szCs w:val="24"/>
          <w:lang w:val="en-GB"/>
        </w:rPr>
        <w:t>, 2020)</w:t>
      </w:r>
      <w:r w:rsidRPr="00C9A62E" w:rsidR="02DE12A8">
        <w:rPr>
          <w:rFonts w:ascii="Arial" w:hAnsi="Arial" w:eastAsia="Arial" w:cs="Arial"/>
          <w:b w:val="0"/>
          <w:bCs w:val="0"/>
          <w:noProof w:val="0"/>
          <w:color w:val="auto"/>
          <w:sz w:val="24"/>
          <w:szCs w:val="24"/>
          <w:lang w:val="en-GB"/>
        </w:rPr>
        <w:t>. These features must be integrated to match domestic platform standards and user expectations.</w:t>
      </w:r>
    </w:p>
    <w:p w:rsidR="02DE12A8" w:rsidP="00C9A62E" w:rsidRDefault="02DE12A8" w14:paraId="5435E199" w14:textId="52607051">
      <w:pPr>
        <w:pStyle w:val="Heading3"/>
        <w:spacing w:line="360" w:lineRule="auto"/>
        <w:jc w:val="both"/>
        <w:rPr>
          <w:rFonts w:ascii="Arial" w:hAnsi="Arial" w:eastAsia="Arial" w:cs="Arial"/>
          <w:b w:val="0"/>
          <w:bCs w:val="0"/>
          <w:noProof w:val="0"/>
          <w:color w:val="auto"/>
          <w:sz w:val="24"/>
          <w:szCs w:val="24"/>
          <w:lang w:val="en-GB"/>
        </w:rPr>
      </w:pPr>
      <w:bookmarkStart w:name="_Toc2045779510" w:id="602038340"/>
      <w:r w:rsidRPr="00C9A62E" w:rsidR="02DE12A8">
        <w:rPr>
          <w:rFonts w:ascii="Arial" w:hAnsi="Arial" w:eastAsia="Arial" w:cs="Arial"/>
          <w:b w:val="0"/>
          <w:bCs w:val="0"/>
          <w:noProof w:val="0"/>
          <w:color w:val="auto"/>
          <w:sz w:val="24"/>
          <w:szCs w:val="24"/>
          <w:lang w:val="en-GB"/>
        </w:rPr>
        <w:t>Support Activities</w:t>
      </w:r>
      <w:bookmarkEnd w:id="602038340"/>
    </w:p>
    <w:p w:rsidR="02DE12A8" w:rsidP="00C9A62E" w:rsidRDefault="02DE12A8" w14:paraId="2653DB27" w14:textId="5F8A1956">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2DE12A8">
        <w:rPr>
          <w:rFonts w:ascii="Arial" w:hAnsi="Arial" w:eastAsia="Arial" w:cs="Arial"/>
          <w:b w:val="0"/>
          <w:bCs w:val="0"/>
          <w:noProof w:val="0"/>
          <w:color w:val="auto"/>
          <w:sz w:val="24"/>
          <w:szCs w:val="24"/>
          <w:lang w:val="en-GB"/>
        </w:rPr>
        <w:t xml:space="preserve">Netflix’s support activities in China must focus on developing mobile-first and social features, building local teams with regulatory </w:t>
      </w:r>
      <w:r w:rsidRPr="00C9A62E" w:rsidR="02DE12A8">
        <w:rPr>
          <w:rFonts w:ascii="Arial" w:hAnsi="Arial" w:eastAsia="Arial" w:cs="Arial"/>
          <w:b w:val="0"/>
          <w:bCs w:val="0"/>
          <w:noProof w:val="0"/>
          <w:color w:val="auto"/>
          <w:sz w:val="24"/>
          <w:szCs w:val="24"/>
          <w:lang w:val="en-GB"/>
        </w:rPr>
        <w:t>expertise</w:t>
      </w:r>
      <w:r w:rsidRPr="00C9A62E" w:rsidR="02DE12A8">
        <w:rPr>
          <w:rFonts w:ascii="Arial" w:hAnsi="Arial" w:eastAsia="Arial" w:cs="Arial"/>
          <w:b w:val="0"/>
          <w:bCs w:val="0"/>
          <w:noProof w:val="0"/>
          <w:color w:val="auto"/>
          <w:sz w:val="24"/>
          <w:szCs w:val="24"/>
          <w:lang w:val="en-GB"/>
        </w:rPr>
        <w:t xml:space="preserve">, prioritising procurement from local studios and talent, and </w:t>
      </w:r>
      <w:r w:rsidRPr="00C9A62E" w:rsidR="02DE12A8">
        <w:rPr>
          <w:rFonts w:ascii="Arial" w:hAnsi="Arial" w:eastAsia="Arial" w:cs="Arial"/>
          <w:b w:val="0"/>
          <w:bCs w:val="0"/>
          <w:noProof w:val="0"/>
          <w:color w:val="auto"/>
          <w:sz w:val="24"/>
          <w:szCs w:val="24"/>
          <w:lang w:val="en-GB"/>
        </w:rPr>
        <w:t>operating</w:t>
      </w:r>
      <w:r w:rsidRPr="00C9A62E" w:rsidR="02DE12A8">
        <w:rPr>
          <w:rFonts w:ascii="Arial" w:hAnsi="Arial" w:eastAsia="Arial" w:cs="Arial"/>
          <w:b w:val="0"/>
          <w:bCs w:val="0"/>
          <w:noProof w:val="0"/>
          <w:color w:val="auto"/>
          <w:sz w:val="24"/>
          <w:szCs w:val="24"/>
          <w:lang w:val="en-GB"/>
        </w:rPr>
        <w:t xml:space="preserve"> under joint venture structures that </w:t>
      </w:r>
      <w:r w:rsidRPr="00C9A62E" w:rsidR="02DE12A8">
        <w:rPr>
          <w:rFonts w:ascii="Arial" w:hAnsi="Arial" w:eastAsia="Arial" w:cs="Arial"/>
          <w:b w:val="0"/>
          <w:bCs w:val="0"/>
          <w:noProof w:val="0"/>
          <w:color w:val="auto"/>
          <w:sz w:val="24"/>
          <w:szCs w:val="24"/>
          <w:lang w:val="en-GB"/>
        </w:rPr>
        <w:t>comply with</w:t>
      </w:r>
      <w:r w:rsidRPr="00C9A62E" w:rsidR="02DE12A8">
        <w:rPr>
          <w:rFonts w:ascii="Arial" w:hAnsi="Arial" w:eastAsia="Arial" w:cs="Arial"/>
          <w:b w:val="0"/>
          <w:bCs w:val="0"/>
          <w:noProof w:val="0"/>
          <w:color w:val="auto"/>
          <w:sz w:val="24"/>
          <w:szCs w:val="24"/>
          <w:lang w:val="en-GB"/>
        </w:rPr>
        <w:t xml:space="preserve"> government requirements.</w:t>
      </w:r>
    </w:p>
    <w:p w:rsidR="52BFA3AB" w:rsidP="00C9A62E" w:rsidRDefault="52BFA3AB" w14:paraId="5D8D9B27" w14:textId="1E733635">
      <w:pPr>
        <w:pStyle w:val="Heading1"/>
        <w:spacing w:line="360" w:lineRule="auto"/>
        <w:jc w:val="both"/>
        <w:rPr>
          <w:rFonts w:ascii="Arial" w:hAnsi="Arial" w:eastAsia="Arial" w:cs="Arial"/>
          <w:b w:val="0"/>
          <w:bCs w:val="0"/>
          <w:noProof w:val="0"/>
          <w:color w:val="auto"/>
          <w:sz w:val="24"/>
          <w:szCs w:val="24"/>
          <w:lang w:val="en-GB"/>
        </w:rPr>
      </w:pPr>
      <w:bookmarkStart w:name="_Toc1889819733" w:id="1280222014"/>
      <w:r w:rsidRPr="00C9A62E" w:rsidR="52BFA3AB">
        <w:rPr>
          <w:rFonts w:ascii="Arial" w:hAnsi="Arial" w:eastAsia="Arial" w:cs="Arial"/>
          <w:b w:val="0"/>
          <w:bCs w:val="0"/>
          <w:noProof w:val="0"/>
          <w:color w:val="auto"/>
          <w:sz w:val="24"/>
          <w:szCs w:val="24"/>
          <w:lang w:val="en-GB"/>
        </w:rPr>
        <w:t>Strategy Formulation</w:t>
      </w:r>
      <w:bookmarkEnd w:id="1280222014"/>
    </w:p>
    <w:p w:rsidR="3A48ECAF" w:rsidP="00C9A62E" w:rsidRDefault="3A48ECAF" w14:paraId="18D98C12" w14:textId="4F53499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A48ECAF">
        <w:rPr>
          <w:rFonts w:ascii="Arial" w:hAnsi="Arial" w:eastAsia="Arial" w:cs="Arial"/>
          <w:b w:val="0"/>
          <w:bCs w:val="0"/>
          <w:noProof w:val="0"/>
          <w:color w:val="auto"/>
          <w:sz w:val="24"/>
          <w:szCs w:val="24"/>
          <w:lang w:val="en-GB"/>
        </w:rPr>
        <w:t xml:space="preserve">Strategy formulation is the critical process through which an organisation develops strategic choices and action plans that align internal strengths with external opportunities and constraints. This process requires selecting ambitious growth paths, thoroughly assessing competitive dynamics, and effectively deploying resources to achieve long-term </w:t>
      </w:r>
      <w:r w:rsidRPr="00C9A62E" w:rsidR="3A48ECAF">
        <w:rPr>
          <w:rFonts w:ascii="Arial" w:hAnsi="Arial" w:eastAsia="Arial" w:cs="Arial"/>
          <w:b w:val="0"/>
          <w:bCs w:val="0"/>
          <w:noProof w:val="0"/>
          <w:color w:val="auto"/>
          <w:sz w:val="24"/>
          <w:szCs w:val="24"/>
          <w:lang w:val="en-GB"/>
        </w:rPr>
        <w:t>objectives</w:t>
      </w:r>
      <w:r w:rsidRPr="00C9A62E" w:rsidR="3A48ECAF">
        <w:rPr>
          <w:rFonts w:ascii="Arial" w:hAnsi="Arial" w:eastAsia="Arial" w:cs="Arial"/>
          <w:b w:val="0"/>
          <w:bCs w:val="0"/>
          <w:noProof w:val="0"/>
          <w:color w:val="auto"/>
          <w:sz w:val="24"/>
          <w:szCs w:val="24"/>
          <w:lang w:val="en-GB"/>
        </w:rPr>
        <w:t xml:space="preserve"> (Watts, Cope, and Hulme, 1998). For Netflix, robust strategy formulation is essential following an internal audit that revealed significant challenges, including regulatory restrictions, localisation demands, and partnership requirements in China. Employing a structured strategic framework is necessary to </w:t>
      </w:r>
      <w:r w:rsidRPr="00C9A62E" w:rsidR="3A48ECAF">
        <w:rPr>
          <w:rFonts w:ascii="Arial" w:hAnsi="Arial" w:eastAsia="Arial" w:cs="Arial"/>
          <w:b w:val="0"/>
          <w:bCs w:val="0"/>
          <w:noProof w:val="0"/>
          <w:color w:val="auto"/>
          <w:sz w:val="24"/>
          <w:szCs w:val="24"/>
          <w:lang w:val="en-GB"/>
        </w:rPr>
        <w:t>determine</w:t>
      </w:r>
      <w:r w:rsidRPr="00C9A62E" w:rsidR="3A48ECAF">
        <w:rPr>
          <w:rFonts w:ascii="Arial" w:hAnsi="Arial" w:eastAsia="Arial" w:cs="Arial"/>
          <w:b w:val="0"/>
          <w:bCs w:val="0"/>
          <w:noProof w:val="0"/>
          <w:color w:val="auto"/>
          <w:sz w:val="24"/>
          <w:szCs w:val="24"/>
          <w:lang w:val="en-GB"/>
        </w:rPr>
        <w:t xml:space="preserve"> the most effective market-entry and growth strategies.</w:t>
      </w:r>
    </w:p>
    <w:p w:rsidR="3A48ECAF" w:rsidP="00C9A62E" w:rsidRDefault="3A48ECAF" w14:paraId="18EC6C66" w14:textId="2C81D0D8">
      <w:pPr>
        <w:pStyle w:val="Heading2"/>
        <w:spacing w:line="360" w:lineRule="auto"/>
        <w:jc w:val="both"/>
        <w:rPr>
          <w:rFonts w:ascii="Arial" w:hAnsi="Arial" w:eastAsia="Arial" w:cs="Arial"/>
          <w:b w:val="0"/>
          <w:bCs w:val="0"/>
          <w:noProof w:val="0"/>
          <w:color w:val="auto"/>
          <w:sz w:val="24"/>
          <w:szCs w:val="24"/>
          <w:lang w:val="en-GB"/>
        </w:rPr>
      </w:pPr>
      <w:bookmarkStart w:name="_Toc1897877404" w:id="1738139573"/>
      <w:r w:rsidRPr="00C9A62E" w:rsidR="3A48ECAF">
        <w:rPr>
          <w:rFonts w:ascii="Arial" w:hAnsi="Arial" w:eastAsia="Arial" w:cs="Arial"/>
          <w:b w:val="0"/>
          <w:bCs w:val="0"/>
          <w:noProof w:val="0"/>
          <w:color w:val="auto"/>
          <w:sz w:val="24"/>
          <w:szCs w:val="24"/>
          <w:lang w:val="en-GB"/>
        </w:rPr>
        <w:t>Key Strategy Formulation Options</w:t>
      </w:r>
      <w:bookmarkEnd w:id="1738139573"/>
    </w:p>
    <w:p w:rsidR="550B8BBB" w:rsidP="00C9A62E" w:rsidRDefault="550B8BBB" w14:paraId="46822DB5" w14:textId="2BA24382">
      <w:pPr>
        <w:pStyle w:val="Heading3"/>
        <w:spacing w:line="360" w:lineRule="auto"/>
        <w:jc w:val="both"/>
        <w:rPr>
          <w:rFonts w:ascii="Arial" w:hAnsi="Arial" w:eastAsia="Arial" w:cs="Arial"/>
          <w:b w:val="0"/>
          <w:bCs w:val="0"/>
          <w:noProof w:val="0"/>
          <w:color w:val="auto"/>
          <w:sz w:val="24"/>
          <w:szCs w:val="24"/>
          <w:lang w:val="en-GB"/>
        </w:rPr>
      </w:pPr>
      <w:bookmarkStart w:name="_Toc1463794051" w:id="955916817"/>
      <w:r w:rsidRPr="00C9A62E" w:rsidR="550B8BBB">
        <w:rPr>
          <w:rFonts w:ascii="Arial" w:hAnsi="Arial" w:eastAsia="Arial" w:cs="Arial"/>
          <w:b w:val="0"/>
          <w:bCs w:val="0"/>
          <w:noProof w:val="0"/>
          <w:color w:val="auto"/>
          <w:sz w:val="24"/>
          <w:szCs w:val="24"/>
          <w:lang w:val="en-GB"/>
        </w:rPr>
        <w:t>Ansoff Matrix</w:t>
      </w:r>
      <w:bookmarkEnd w:id="955916817"/>
    </w:p>
    <w:p w:rsidR="3A48ECAF" w:rsidP="00C9A62E" w:rsidRDefault="3A48ECAF" w14:paraId="635C8531" w14:textId="0727864F">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A48ECAF">
        <w:rPr>
          <w:rFonts w:ascii="Arial" w:hAnsi="Arial" w:eastAsia="Arial" w:cs="Arial"/>
          <w:b w:val="0"/>
          <w:bCs w:val="0"/>
          <w:noProof w:val="0"/>
          <w:color w:val="auto"/>
          <w:sz w:val="24"/>
          <w:szCs w:val="24"/>
          <w:lang w:val="en-GB"/>
        </w:rPr>
        <w:t>Market Penetration</w:t>
      </w:r>
      <w:r w:rsidRPr="00C9A62E" w:rsidR="3A48ECAF">
        <w:rPr>
          <w:rFonts w:ascii="Arial" w:hAnsi="Arial" w:eastAsia="Arial" w:cs="Arial"/>
          <w:b w:val="0"/>
          <w:bCs w:val="0"/>
          <w:noProof w:val="0"/>
          <w:color w:val="auto"/>
          <w:sz w:val="24"/>
          <w:szCs w:val="24"/>
          <w:lang w:val="en-GB"/>
        </w:rPr>
        <w:t xml:space="preserve"> – Expanding reach within existing markets through pricing strategies, marketing initiatives, or increased content investment. This approach </w:t>
      </w:r>
      <w:r w:rsidRPr="00C9A62E" w:rsidR="3A48ECAF">
        <w:rPr>
          <w:rFonts w:ascii="Arial" w:hAnsi="Arial" w:eastAsia="Arial" w:cs="Arial"/>
          <w:b w:val="0"/>
          <w:bCs w:val="0"/>
          <w:noProof w:val="0"/>
          <w:color w:val="auto"/>
          <w:sz w:val="24"/>
          <w:szCs w:val="24"/>
          <w:lang w:val="en-GB"/>
        </w:rPr>
        <w:t>leverages</w:t>
      </w:r>
      <w:r w:rsidRPr="00C9A62E" w:rsidR="3A48ECAF">
        <w:rPr>
          <w:rFonts w:ascii="Arial" w:hAnsi="Arial" w:eastAsia="Arial" w:cs="Arial"/>
          <w:b w:val="0"/>
          <w:bCs w:val="0"/>
          <w:noProof w:val="0"/>
          <w:color w:val="auto"/>
          <w:sz w:val="24"/>
          <w:szCs w:val="24"/>
          <w:lang w:val="en-GB"/>
        </w:rPr>
        <w:t xml:space="preserve"> Netflix’s scale to achieve potential cost advantages and differentiates the service by broadening feature offerings in established markets.</w:t>
      </w:r>
    </w:p>
    <w:p w:rsidR="3A48ECAF" w:rsidP="00C9A62E" w:rsidRDefault="3A48ECAF" w14:paraId="0CFF6D2A" w14:textId="169D4A92">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A48ECAF">
        <w:rPr>
          <w:rFonts w:ascii="Arial" w:hAnsi="Arial" w:eastAsia="Arial" w:cs="Arial"/>
          <w:b w:val="0"/>
          <w:bCs w:val="0"/>
          <w:noProof w:val="0"/>
          <w:color w:val="auto"/>
          <w:sz w:val="24"/>
          <w:szCs w:val="24"/>
          <w:lang w:val="en-GB"/>
        </w:rPr>
        <w:t xml:space="preserve">2. </w:t>
      </w:r>
      <w:r w:rsidRPr="00C9A62E" w:rsidR="3A48ECAF">
        <w:rPr>
          <w:rFonts w:ascii="Arial" w:hAnsi="Arial" w:eastAsia="Arial" w:cs="Arial"/>
          <w:b w:val="0"/>
          <w:bCs w:val="0"/>
          <w:noProof w:val="0"/>
          <w:color w:val="auto"/>
          <w:sz w:val="24"/>
          <w:szCs w:val="24"/>
          <w:lang w:val="en-GB"/>
        </w:rPr>
        <w:t>Product Development</w:t>
      </w:r>
      <w:r w:rsidRPr="00C9A62E" w:rsidR="3A48ECAF">
        <w:rPr>
          <w:rFonts w:ascii="Arial" w:hAnsi="Arial" w:eastAsia="Arial" w:cs="Arial"/>
          <w:b w:val="0"/>
          <w:bCs w:val="0"/>
          <w:noProof w:val="0"/>
          <w:color w:val="auto"/>
          <w:sz w:val="24"/>
          <w:szCs w:val="24"/>
          <w:lang w:val="en-GB"/>
        </w:rPr>
        <w:t xml:space="preserve"> – Developing new products or content for existing global subscribers. This strategy supports differentiation by introducing distinctive and innovative content that sets Netflix apart from local competitors.</w:t>
      </w:r>
    </w:p>
    <w:p w:rsidR="3A48ECAF" w:rsidP="00C9A62E" w:rsidRDefault="3A48ECAF" w14:paraId="0475E188" w14:textId="13A34AD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A48ECAF">
        <w:rPr>
          <w:rFonts w:ascii="Arial" w:hAnsi="Arial" w:eastAsia="Arial" w:cs="Arial"/>
          <w:b w:val="0"/>
          <w:bCs w:val="0"/>
          <w:noProof w:val="0"/>
          <w:color w:val="auto"/>
          <w:sz w:val="24"/>
          <w:szCs w:val="24"/>
          <w:lang w:val="en-GB"/>
        </w:rPr>
        <w:t xml:space="preserve">3. </w:t>
      </w:r>
      <w:r w:rsidRPr="00C9A62E" w:rsidR="3A48ECAF">
        <w:rPr>
          <w:rFonts w:ascii="Arial" w:hAnsi="Arial" w:eastAsia="Arial" w:cs="Arial"/>
          <w:b w:val="0"/>
          <w:bCs w:val="0"/>
          <w:noProof w:val="0"/>
          <w:color w:val="auto"/>
          <w:sz w:val="24"/>
          <w:szCs w:val="24"/>
          <w:lang w:val="en-GB"/>
        </w:rPr>
        <w:t>Market Development</w:t>
      </w:r>
      <w:r w:rsidRPr="00C9A62E" w:rsidR="3A48ECAF">
        <w:rPr>
          <w:rFonts w:ascii="Arial" w:hAnsi="Arial" w:eastAsia="Arial" w:cs="Arial"/>
          <w:b w:val="0"/>
          <w:bCs w:val="0"/>
          <w:noProof w:val="0"/>
          <w:color w:val="auto"/>
          <w:sz w:val="24"/>
          <w:szCs w:val="24"/>
          <w:lang w:val="en-GB"/>
        </w:rPr>
        <w:t xml:space="preserve"> – Expanding into new geographic markets, particularly those with significant growth potential, such as China. This strategy utilises a focus advantage by targeting specific regions and customising offerings to meet local demands.</w:t>
      </w:r>
    </w:p>
    <w:p w:rsidR="3A48ECAF" w:rsidP="00C9A62E" w:rsidRDefault="3A48ECAF" w14:paraId="3CA109C3" w14:textId="0FD34AF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A48ECAF">
        <w:rPr>
          <w:rFonts w:ascii="Arial" w:hAnsi="Arial" w:eastAsia="Arial" w:cs="Arial"/>
          <w:b w:val="0"/>
          <w:bCs w:val="0"/>
          <w:noProof w:val="0"/>
          <w:color w:val="auto"/>
          <w:sz w:val="24"/>
          <w:szCs w:val="24"/>
          <w:lang w:val="en-GB"/>
        </w:rPr>
        <w:t xml:space="preserve">4. </w:t>
      </w:r>
      <w:r w:rsidRPr="00C9A62E" w:rsidR="3A48ECAF">
        <w:rPr>
          <w:rFonts w:ascii="Arial" w:hAnsi="Arial" w:eastAsia="Arial" w:cs="Arial"/>
          <w:b w:val="0"/>
          <w:bCs w:val="0"/>
          <w:noProof w:val="0"/>
          <w:color w:val="auto"/>
          <w:sz w:val="24"/>
          <w:szCs w:val="24"/>
          <w:lang w:val="en-GB"/>
        </w:rPr>
        <w:t>Diversification</w:t>
      </w:r>
      <w:r w:rsidRPr="00C9A62E" w:rsidR="3A48ECAF">
        <w:rPr>
          <w:rFonts w:ascii="Arial" w:hAnsi="Arial" w:eastAsia="Arial" w:cs="Arial"/>
          <w:b w:val="0"/>
          <w:bCs w:val="0"/>
          <w:noProof w:val="0"/>
          <w:color w:val="auto"/>
          <w:sz w:val="24"/>
          <w:szCs w:val="24"/>
          <w:lang w:val="en-GB"/>
        </w:rPr>
        <w:t xml:space="preserve"> – Expanding into related or unrelated sectors, including gaming, merchandise, or live entertainment. This approach enables Netflix to achieve differentiation by offering a broader range of entertainment experiences that complement its core streaming services.</w:t>
      </w:r>
    </w:p>
    <w:p w:rsidR="3A48ECAF" w:rsidP="00C9A62E" w:rsidRDefault="3A48ECAF" w14:paraId="21F4D844" w14:textId="6CD5C04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A48ECAF">
        <w:rPr>
          <w:rFonts w:ascii="Arial" w:hAnsi="Arial" w:eastAsia="Arial" w:cs="Arial"/>
          <w:b w:val="0"/>
          <w:bCs w:val="0"/>
          <w:noProof w:val="0"/>
          <w:color w:val="auto"/>
          <w:sz w:val="24"/>
          <w:szCs w:val="24"/>
          <w:lang w:val="en-GB"/>
        </w:rPr>
        <w:t xml:space="preserve"> </w:t>
      </w:r>
      <w:r w:rsidRPr="00C9A62E" w:rsidR="3A48ECAF">
        <w:rPr>
          <w:rFonts w:ascii="Arial" w:hAnsi="Arial" w:eastAsia="Arial" w:cs="Arial"/>
          <w:b w:val="0"/>
          <w:bCs w:val="0"/>
          <w:noProof w:val="0"/>
          <w:color w:val="auto"/>
          <w:sz w:val="24"/>
          <w:szCs w:val="24"/>
          <w:lang w:val="en-GB"/>
        </w:rPr>
        <w:t xml:space="preserve">Competitive Positioning </w:t>
      </w:r>
      <w:r w:rsidRPr="00C9A62E" w:rsidR="3A48ECAF">
        <w:rPr>
          <w:rFonts w:ascii="Arial" w:hAnsi="Arial" w:eastAsia="Arial" w:cs="Arial"/>
          <w:b w:val="0"/>
          <w:bCs w:val="0"/>
          <w:noProof w:val="0"/>
          <w:color w:val="auto"/>
          <w:sz w:val="24"/>
          <w:szCs w:val="24"/>
          <w:lang w:val="en-GB"/>
        </w:rPr>
        <w:t xml:space="preserve">(Porter’s Generic Strategies) </w:t>
      </w:r>
    </w:p>
    <w:p w:rsidR="3A48ECAF" w:rsidP="00C9A62E" w:rsidRDefault="3A48ECAF" w14:paraId="791ED6B5" w14:textId="0FF20F1B">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A48ECAF">
        <w:rPr>
          <w:rFonts w:ascii="Arial" w:hAnsi="Arial" w:eastAsia="Arial" w:cs="Arial"/>
          <w:b w:val="0"/>
          <w:bCs w:val="0"/>
          <w:noProof w:val="0"/>
          <w:color w:val="auto"/>
          <w:sz w:val="24"/>
          <w:szCs w:val="24"/>
          <w:lang w:val="en-GB"/>
        </w:rPr>
        <w:t xml:space="preserve"> </w:t>
      </w:r>
      <w:r w:rsidRPr="00C9A62E" w:rsidR="32320D4A">
        <w:rPr>
          <w:rFonts w:ascii="Arial" w:hAnsi="Arial" w:eastAsia="Arial" w:cs="Arial"/>
          <w:b w:val="0"/>
          <w:bCs w:val="0"/>
          <w:noProof w:val="0"/>
          <w:color w:val="auto"/>
          <w:sz w:val="24"/>
          <w:szCs w:val="24"/>
          <w:lang w:val="en-GB"/>
        </w:rPr>
        <w:t>Porters'</w:t>
      </w:r>
      <w:r w:rsidRPr="00C9A62E" w:rsidR="0432DD73">
        <w:rPr>
          <w:rFonts w:ascii="Arial" w:hAnsi="Arial" w:eastAsia="Arial" w:cs="Arial"/>
          <w:b w:val="0"/>
          <w:bCs w:val="0"/>
          <w:noProof w:val="0"/>
          <w:color w:val="auto"/>
          <w:sz w:val="24"/>
          <w:szCs w:val="24"/>
          <w:lang w:val="en-GB"/>
        </w:rPr>
        <w:t xml:space="preserve"> generic strategies are concerned with e</w:t>
      </w:r>
      <w:r w:rsidRPr="00C9A62E" w:rsidR="3A48ECAF">
        <w:rPr>
          <w:rFonts w:ascii="Arial" w:hAnsi="Arial" w:eastAsia="Arial" w:cs="Arial"/>
          <w:b w:val="0"/>
          <w:bCs w:val="0"/>
          <w:noProof w:val="0"/>
          <w:color w:val="auto"/>
          <w:sz w:val="24"/>
          <w:szCs w:val="24"/>
          <w:lang w:val="en-GB"/>
        </w:rPr>
        <w:t>mploying differentiation, cost leadership, or focus strategies</w:t>
      </w:r>
      <w:r w:rsidRPr="00C9A62E" w:rsidR="647DB3DB">
        <w:rPr>
          <w:rFonts w:ascii="Arial" w:hAnsi="Arial" w:eastAsia="Arial" w:cs="Arial"/>
          <w:b w:val="0"/>
          <w:bCs w:val="0"/>
          <w:noProof w:val="0"/>
          <w:color w:val="auto"/>
          <w:sz w:val="24"/>
          <w:szCs w:val="24"/>
          <w:lang w:val="en-GB"/>
        </w:rPr>
        <w:t xml:space="preserve"> (</w:t>
      </w:r>
      <w:r w:rsidRPr="00C9A62E" w:rsidR="647DB3DB">
        <w:rPr>
          <w:rFonts w:ascii="Arial" w:hAnsi="Arial" w:eastAsia="Arial" w:cs="Arial"/>
          <w:b w:val="0"/>
          <w:bCs w:val="0"/>
          <w:i w:val="0"/>
          <w:iCs w:val="0"/>
          <w:caps w:val="0"/>
          <w:smallCaps w:val="0"/>
          <w:noProof w:val="0"/>
          <w:color w:val="auto"/>
          <w:sz w:val="24"/>
          <w:szCs w:val="24"/>
          <w:lang w:val="en-GB"/>
        </w:rPr>
        <w:t>Dixit, 2024)</w:t>
      </w:r>
      <w:r w:rsidRPr="00C9A62E" w:rsidR="3A48ECAF">
        <w:rPr>
          <w:rFonts w:ascii="Arial" w:hAnsi="Arial" w:eastAsia="Arial" w:cs="Arial"/>
          <w:b w:val="0"/>
          <w:bCs w:val="0"/>
          <w:noProof w:val="0"/>
          <w:color w:val="auto"/>
          <w:sz w:val="24"/>
          <w:szCs w:val="24"/>
          <w:lang w:val="en-GB"/>
        </w:rPr>
        <w:t xml:space="preserve">. Each approach </w:t>
      </w:r>
      <w:r w:rsidRPr="00C9A62E" w:rsidR="3A48ECAF">
        <w:rPr>
          <w:rFonts w:ascii="Arial" w:hAnsi="Arial" w:eastAsia="Arial" w:cs="Arial"/>
          <w:b w:val="0"/>
          <w:bCs w:val="0"/>
          <w:noProof w:val="0"/>
          <w:color w:val="auto"/>
          <w:sz w:val="24"/>
          <w:szCs w:val="24"/>
          <w:lang w:val="en-GB"/>
        </w:rPr>
        <w:t>seeks</w:t>
      </w:r>
      <w:r w:rsidRPr="00C9A62E" w:rsidR="3A48ECAF">
        <w:rPr>
          <w:rFonts w:ascii="Arial" w:hAnsi="Arial" w:eastAsia="Arial" w:cs="Arial"/>
          <w:b w:val="0"/>
          <w:bCs w:val="0"/>
          <w:noProof w:val="0"/>
          <w:color w:val="auto"/>
          <w:sz w:val="24"/>
          <w:szCs w:val="24"/>
          <w:lang w:val="en-GB"/>
        </w:rPr>
        <w:t xml:space="preserve"> to </w:t>
      </w:r>
      <w:r w:rsidRPr="00C9A62E" w:rsidR="3A48ECAF">
        <w:rPr>
          <w:rFonts w:ascii="Arial" w:hAnsi="Arial" w:eastAsia="Arial" w:cs="Arial"/>
          <w:b w:val="0"/>
          <w:bCs w:val="0"/>
          <w:noProof w:val="0"/>
          <w:color w:val="auto"/>
          <w:sz w:val="24"/>
          <w:szCs w:val="24"/>
          <w:lang w:val="en-GB"/>
        </w:rPr>
        <w:t>establish</w:t>
      </w:r>
      <w:r w:rsidRPr="00C9A62E" w:rsidR="3A48ECAF">
        <w:rPr>
          <w:rFonts w:ascii="Arial" w:hAnsi="Arial" w:eastAsia="Arial" w:cs="Arial"/>
          <w:b w:val="0"/>
          <w:bCs w:val="0"/>
          <w:noProof w:val="0"/>
          <w:color w:val="auto"/>
          <w:sz w:val="24"/>
          <w:szCs w:val="24"/>
          <w:lang w:val="en-GB"/>
        </w:rPr>
        <w:t xml:space="preserve"> a competitive advantage within China’s five-forces environment by addressing specific consumer needs and market gaps.</w:t>
      </w:r>
    </w:p>
    <w:p w:rsidR="3A48ECAF" w:rsidP="00C9A62E" w:rsidRDefault="3A48ECAF" w14:paraId="3FF87D29" w14:textId="03C67132">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3A48ECAF">
        <w:rPr>
          <w:rFonts w:ascii="Arial" w:hAnsi="Arial" w:eastAsia="Arial" w:cs="Arial"/>
          <w:b w:val="0"/>
          <w:bCs w:val="0"/>
          <w:noProof w:val="0"/>
          <w:color w:val="auto"/>
          <w:sz w:val="24"/>
          <w:szCs w:val="24"/>
          <w:lang w:val="en-GB"/>
        </w:rPr>
        <w:t xml:space="preserve">Portfolio Management </w:t>
      </w:r>
      <w:r w:rsidRPr="00C9A62E" w:rsidR="3A48ECAF">
        <w:rPr>
          <w:rFonts w:ascii="Arial" w:hAnsi="Arial" w:eastAsia="Arial" w:cs="Arial"/>
          <w:b w:val="0"/>
          <w:bCs w:val="0"/>
          <w:noProof w:val="0"/>
          <w:color w:val="auto"/>
          <w:sz w:val="24"/>
          <w:szCs w:val="24"/>
          <w:lang w:val="en-GB"/>
        </w:rPr>
        <w:t>(BCG Matrix)</w:t>
      </w:r>
      <w:r w:rsidRPr="00C9A62E" w:rsidR="3A48ECAF">
        <w:rPr>
          <w:rFonts w:ascii="Arial" w:hAnsi="Arial" w:eastAsia="Arial" w:cs="Arial"/>
          <w:b w:val="0"/>
          <w:bCs w:val="0"/>
          <w:noProof w:val="0"/>
          <w:color w:val="auto"/>
          <w:sz w:val="24"/>
          <w:szCs w:val="24"/>
          <w:lang w:val="en-GB"/>
        </w:rPr>
        <w:t xml:space="preserve"> </w:t>
      </w:r>
    </w:p>
    <w:p w:rsidR="17ECB84A" w:rsidP="00C9A62E" w:rsidRDefault="17ECB84A" w14:paraId="5C80D754" w14:textId="37645186">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17ECB84A">
        <w:rPr>
          <w:rFonts w:ascii="Arial" w:hAnsi="Arial" w:eastAsia="Arial" w:cs="Arial"/>
          <w:b w:val="0"/>
          <w:bCs w:val="0"/>
          <w:noProof w:val="0"/>
          <w:color w:val="auto"/>
          <w:sz w:val="24"/>
          <w:szCs w:val="24"/>
          <w:lang w:val="en-GB"/>
        </w:rPr>
        <w:t>Is</w:t>
      </w:r>
      <w:r w:rsidRPr="00C9A62E" w:rsidR="17ECB84A">
        <w:rPr>
          <w:rFonts w:ascii="Arial" w:hAnsi="Arial" w:eastAsia="Arial" w:cs="Arial"/>
          <w:b w:val="0"/>
          <w:bCs w:val="0"/>
          <w:noProof w:val="0"/>
          <w:color w:val="auto"/>
          <w:sz w:val="24"/>
          <w:szCs w:val="24"/>
          <w:lang w:val="en-GB"/>
        </w:rPr>
        <w:t xml:space="preserve"> the allocation of</w:t>
      </w:r>
      <w:r w:rsidRPr="00C9A62E" w:rsidR="3A48ECAF">
        <w:rPr>
          <w:rFonts w:ascii="Arial" w:hAnsi="Arial" w:eastAsia="Arial" w:cs="Arial"/>
          <w:b w:val="0"/>
          <w:bCs w:val="0"/>
          <w:noProof w:val="0"/>
          <w:color w:val="auto"/>
          <w:sz w:val="24"/>
          <w:szCs w:val="24"/>
          <w:lang w:val="en-GB"/>
        </w:rPr>
        <w:t xml:space="preserve"> resources to "stars," "</w:t>
      </w:r>
      <w:r w:rsidRPr="00C9A62E" w:rsidR="3A48ECAF">
        <w:rPr>
          <w:rFonts w:ascii="Arial" w:hAnsi="Arial" w:eastAsia="Arial" w:cs="Arial"/>
          <w:b w:val="0"/>
          <w:bCs w:val="0"/>
          <w:noProof w:val="0"/>
          <w:color w:val="auto"/>
          <w:sz w:val="24"/>
          <w:szCs w:val="24"/>
          <w:lang w:val="en-GB"/>
        </w:rPr>
        <w:t>cash cows</w:t>
      </w:r>
      <w:r w:rsidRPr="00C9A62E" w:rsidR="3A48ECAF">
        <w:rPr>
          <w:rFonts w:ascii="Arial" w:hAnsi="Arial" w:eastAsia="Arial" w:cs="Arial"/>
          <w:b w:val="0"/>
          <w:bCs w:val="0"/>
          <w:noProof w:val="0"/>
          <w:color w:val="auto"/>
          <w:sz w:val="24"/>
          <w:szCs w:val="24"/>
          <w:lang w:val="en-GB"/>
        </w:rPr>
        <w:t xml:space="preserve">," or "question marks." This method can improve cost efficiency and resource allocation, supporting </w:t>
      </w:r>
      <w:r w:rsidRPr="00C9A62E" w:rsidR="3A48ECAF">
        <w:rPr>
          <w:rFonts w:ascii="Arial" w:hAnsi="Arial" w:eastAsia="Arial" w:cs="Arial"/>
          <w:b w:val="0"/>
          <w:bCs w:val="0"/>
          <w:noProof w:val="0"/>
          <w:color w:val="auto"/>
          <w:sz w:val="24"/>
          <w:szCs w:val="24"/>
          <w:lang w:val="en-GB"/>
        </w:rPr>
        <w:t>optimal</w:t>
      </w:r>
      <w:r w:rsidRPr="00C9A62E" w:rsidR="3A48ECAF">
        <w:rPr>
          <w:rFonts w:ascii="Arial" w:hAnsi="Arial" w:eastAsia="Arial" w:cs="Arial"/>
          <w:b w:val="0"/>
          <w:bCs w:val="0"/>
          <w:noProof w:val="0"/>
          <w:color w:val="auto"/>
          <w:sz w:val="24"/>
          <w:szCs w:val="24"/>
          <w:lang w:val="en-GB"/>
        </w:rPr>
        <w:t xml:space="preserve"> strategic positioning across business segments</w:t>
      </w:r>
      <w:r w:rsidRPr="00C9A62E" w:rsidR="4D049B10">
        <w:rPr>
          <w:rFonts w:ascii="Arial" w:hAnsi="Arial" w:eastAsia="Arial" w:cs="Arial"/>
          <w:b w:val="0"/>
          <w:bCs w:val="0"/>
          <w:noProof w:val="0"/>
          <w:color w:val="auto"/>
          <w:sz w:val="24"/>
          <w:szCs w:val="24"/>
          <w:lang w:val="en-GB"/>
        </w:rPr>
        <w:t xml:space="preserve"> (Hung, and Wang, 2024).</w:t>
      </w:r>
    </w:p>
    <w:p w:rsidR="3A48ECAF" w:rsidP="00C9A62E" w:rsidRDefault="3A48ECAF" w14:paraId="7B3834B1" w14:textId="3361475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A48ECAF">
        <w:rPr>
          <w:rFonts w:ascii="Arial" w:hAnsi="Arial" w:eastAsia="Arial" w:cs="Arial"/>
          <w:b w:val="0"/>
          <w:bCs w:val="0"/>
          <w:noProof w:val="0"/>
          <w:color w:val="auto"/>
          <w:sz w:val="24"/>
          <w:szCs w:val="24"/>
          <w:lang w:val="en-GB"/>
        </w:rPr>
        <w:t xml:space="preserve">Among various frameworks, the Ansoff Growth Matrix is the most </w:t>
      </w:r>
      <w:r w:rsidRPr="00C9A62E" w:rsidR="3A48ECAF">
        <w:rPr>
          <w:rFonts w:ascii="Arial" w:hAnsi="Arial" w:eastAsia="Arial" w:cs="Arial"/>
          <w:b w:val="0"/>
          <w:bCs w:val="0"/>
          <w:noProof w:val="0"/>
          <w:color w:val="auto"/>
          <w:sz w:val="24"/>
          <w:szCs w:val="24"/>
          <w:lang w:val="en-GB"/>
        </w:rPr>
        <w:t>appropriate for</w:t>
      </w:r>
      <w:r w:rsidRPr="00C9A62E" w:rsidR="3A48ECAF">
        <w:rPr>
          <w:rFonts w:ascii="Arial" w:hAnsi="Arial" w:eastAsia="Arial" w:cs="Arial"/>
          <w:b w:val="0"/>
          <w:bCs w:val="0"/>
          <w:noProof w:val="0"/>
          <w:color w:val="auto"/>
          <w:sz w:val="24"/>
          <w:szCs w:val="24"/>
          <w:lang w:val="en-GB"/>
        </w:rPr>
        <w:t xml:space="preserve"> addressing Netflix’s strategic challenge. The primary requirement is market development and localisation, rather than cost competition or portfolio management. The Ansoff model specifically addresses market entry through product adaptation, which aligns with Netflix’s situation in China. In contrast, frameworks such as Porter’s Generic Strategies and the BCG Matrix do not prioritise market entry and adaptation to the same extent. Porter’s strategies focus on competitive advantage in established markets, while the BCG Matrix emphasises resource allocation among existing segments. The Ansoff Matrix, introduced by Igor Ansoff in 1965, </w:t>
      </w:r>
      <w:bookmarkStart w:name="_Int_0jp7ElUq" w:id="1564174914"/>
      <w:r w:rsidRPr="00C9A62E" w:rsidR="3A48ECAF">
        <w:rPr>
          <w:rFonts w:ascii="Arial" w:hAnsi="Arial" w:eastAsia="Arial" w:cs="Arial"/>
          <w:b w:val="0"/>
          <w:bCs w:val="0"/>
          <w:noProof w:val="0"/>
          <w:color w:val="auto"/>
          <w:sz w:val="24"/>
          <w:szCs w:val="24"/>
          <w:lang w:val="en-GB"/>
        </w:rPr>
        <w:t>facilitates</w:t>
      </w:r>
      <w:bookmarkEnd w:id="1564174914"/>
      <w:r w:rsidRPr="00C9A62E" w:rsidR="3A48ECAF">
        <w:rPr>
          <w:rFonts w:ascii="Arial" w:hAnsi="Arial" w:eastAsia="Arial" w:cs="Arial"/>
          <w:b w:val="0"/>
          <w:bCs w:val="0"/>
          <w:noProof w:val="0"/>
          <w:color w:val="auto"/>
          <w:sz w:val="24"/>
          <w:szCs w:val="24"/>
          <w:lang w:val="en-GB"/>
        </w:rPr>
        <w:t xml:space="preserve"> market expansion by enabling firms to analyse and pursue high-impact opportunities (Watts, Cope, and Hulme, 1998).</w:t>
      </w:r>
    </w:p>
    <w:p w:rsidR="2869CCEC" w:rsidP="00C9A62E" w:rsidRDefault="2869CCEC" w14:paraId="40FA74D2" w14:textId="3890E98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Application of the Ansoff Growth Matrix</w:t>
      </w:r>
    </w:p>
    <w:p w:rsidR="2869CCEC" w:rsidP="00C9A62E" w:rsidRDefault="2869CCEC" w14:paraId="144C82A9" w14:textId="149D22D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1. Market Penetration (Not Suitable for China)</w:t>
      </w:r>
    </w:p>
    <w:p w:rsidR="2869CCEC" w:rsidP="00C9A62E" w:rsidRDefault="2869CCEC" w14:paraId="40C3DFEC" w14:textId="792E3803">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 xml:space="preserve">Market penetration enhances Netflix’s existing subscriber base; however, this approach is not applicable in China, as Netflix currently lacks a direct market presence there (Jeffreys and Xu, 2023). While global penetration is important, it does not address the specific opportunities or constraints in China, such as regulatory barriers, censorship, or domestic competition. Therefore, this strategy does not resolve the internal and external challenges previously </w:t>
      </w:r>
      <w:r w:rsidRPr="00C9A62E" w:rsidR="2869CCEC">
        <w:rPr>
          <w:rFonts w:ascii="Arial" w:hAnsi="Arial" w:eastAsia="Arial" w:cs="Arial"/>
          <w:b w:val="0"/>
          <w:bCs w:val="0"/>
          <w:noProof w:val="0"/>
          <w:color w:val="auto"/>
          <w:sz w:val="24"/>
          <w:szCs w:val="24"/>
          <w:lang w:val="en-GB"/>
        </w:rPr>
        <w:t>identified</w:t>
      </w:r>
      <w:r w:rsidRPr="00C9A62E" w:rsidR="2869CCEC">
        <w:rPr>
          <w:rFonts w:ascii="Arial" w:hAnsi="Arial" w:eastAsia="Arial" w:cs="Arial"/>
          <w:b w:val="0"/>
          <w:bCs w:val="0"/>
          <w:noProof w:val="0"/>
          <w:color w:val="auto"/>
          <w:sz w:val="24"/>
          <w:szCs w:val="24"/>
          <w:lang w:val="en-GB"/>
        </w:rPr>
        <w:t>.</w:t>
      </w:r>
    </w:p>
    <w:p w:rsidR="2869CCEC" w:rsidP="00C9A62E" w:rsidRDefault="2869CCEC" w14:paraId="3097F846" w14:textId="6D5B8777">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2. Product Development (Partially Relevant)</w:t>
      </w:r>
    </w:p>
    <w:p w:rsidR="2869CCEC" w:rsidP="00C9A62E" w:rsidRDefault="2869CCEC" w14:paraId="3CCBDEC9" w14:textId="1D35D2F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 xml:space="preserve">Product development introduces new offerings for Netflix’s existing markets, including interactive content, gaming, or social-video features. Although this enhances Netflix’s overall competitiveness, it cannot serve as the primary strategy for China on its own. Nevertheless, it highlights the necessity for platform features such as </w:t>
      </w:r>
      <w:r w:rsidRPr="00C9A62E" w:rsidR="2869CCEC">
        <w:rPr>
          <w:rFonts w:ascii="Arial" w:hAnsi="Arial" w:eastAsia="Arial" w:cs="Arial"/>
          <w:b w:val="0"/>
          <w:bCs w:val="0"/>
          <w:noProof w:val="0"/>
          <w:color w:val="auto"/>
          <w:sz w:val="24"/>
          <w:szCs w:val="24"/>
          <w:lang w:val="en-GB"/>
        </w:rPr>
        <w:t>danmu</w:t>
      </w:r>
      <w:r w:rsidRPr="00C9A62E" w:rsidR="2869CCEC">
        <w:rPr>
          <w:rFonts w:ascii="Arial" w:hAnsi="Arial" w:eastAsia="Arial" w:cs="Arial"/>
          <w:b w:val="0"/>
          <w:bCs w:val="0"/>
          <w:noProof w:val="0"/>
          <w:color w:val="auto"/>
          <w:sz w:val="24"/>
          <w:szCs w:val="24"/>
          <w:lang w:val="en-GB"/>
        </w:rPr>
        <w:t xml:space="preserve"> (real-time comments) (Zhang and </w:t>
      </w:r>
      <w:r w:rsidRPr="00C9A62E" w:rsidR="2869CCEC">
        <w:rPr>
          <w:rFonts w:ascii="Arial" w:hAnsi="Arial" w:eastAsia="Arial" w:cs="Arial"/>
          <w:b w:val="0"/>
          <w:bCs w:val="0"/>
          <w:noProof w:val="0"/>
          <w:color w:val="auto"/>
          <w:sz w:val="24"/>
          <w:szCs w:val="24"/>
          <w:lang w:val="en-GB"/>
        </w:rPr>
        <w:t>Cassany</w:t>
      </w:r>
      <w:r w:rsidRPr="00C9A62E" w:rsidR="2869CCEC">
        <w:rPr>
          <w:rFonts w:ascii="Arial" w:hAnsi="Arial" w:eastAsia="Arial" w:cs="Arial"/>
          <w:b w:val="0"/>
          <w:bCs w:val="0"/>
          <w:noProof w:val="0"/>
          <w:color w:val="auto"/>
          <w:sz w:val="24"/>
          <w:szCs w:val="24"/>
          <w:lang w:val="en-GB"/>
        </w:rPr>
        <w:t>, 2020) and improved social networking integration, which are essential to Chinese video consumption patterns (Zhuge, 2018). Product development is, therefore, a critical supporting strategy for market success.</w:t>
      </w:r>
    </w:p>
    <w:p w:rsidR="00C9A62E" w:rsidP="00C9A62E" w:rsidRDefault="00C9A62E" w14:paraId="4252CC9C" w14:textId="20EDC5FF">
      <w:pPr>
        <w:spacing w:before="120" w:beforeAutospacing="off" w:after="120" w:afterAutospacing="off" w:line="360" w:lineRule="auto"/>
        <w:jc w:val="both"/>
        <w:rPr>
          <w:rFonts w:ascii="Arial" w:hAnsi="Arial" w:eastAsia="Arial" w:cs="Arial"/>
          <w:b w:val="0"/>
          <w:bCs w:val="0"/>
          <w:color w:val="auto"/>
          <w:sz w:val="24"/>
          <w:szCs w:val="24"/>
        </w:rPr>
      </w:pPr>
    </w:p>
    <w:p w:rsidR="2869CCEC" w:rsidP="00C9A62E" w:rsidRDefault="2869CCEC" w14:paraId="2565EAAB" w14:textId="4457D40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3. Market Development (Primary Recommended Strategy)</w:t>
      </w:r>
    </w:p>
    <w:p w:rsidR="2869CCEC" w:rsidP="00C9A62E" w:rsidRDefault="2869CCEC" w14:paraId="74AB5544" w14:textId="0723400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 xml:space="preserve">Market Development, which involves delivering tailored services in a new region, </w:t>
      </w:r>
      <w:r w:rsidRPr="00C9A62E" w:rsidR="2869CCEC">
        <w:rPr>
          <w:rFonts w:ascii="Arial" w:hAnsi="Arial" w:eastAsia="Arial" w:cs="Arial"/>
          <w:b w:val="0"/>
          <w:bCs w:val="0"/>
          <w:noProof w:val="0"/>
          <w:color w:val="auto"/>
          <w:sz w:val="24"/>
          <w:szCs w:val="24"/>
          <w:lang w:val="en-GB"/>
        </w:rPr>
        <w:t>represents</w:t>
      </w:r>
      <w:r w:rsidRPr="00C9A62E" w:rsidR="2869CCEC">
        <w:rPr>
          <w:rFonts w:ascii="Arial" w:hAnsi="Arial" w:eastAsia="Arial" w:cs="Arial"/>
          <w:b w:val="0"/>
          <w:bCs w:val="0"/>
          <w:noProof w:val="0"/>
          <w:color w:val="auto"/>
          <w:sz w:val="24"/>
          <w:szCs w:val="24"/>
          <w:lang w:val="en-GB"/>
        </w:rPr>
        <w:t xml:space="preserve"> the most suitable approach for Netflix’s expansion into China. The internal audit </w:t>
      </w:r>
      <w:r w:rsidRPr="00C9A62E" w:rsidR="2869CCEC">
        <w:rPr>
          <w:rFonts w:ascii="Arial" w:hAnsi="Arial" w:eastAsia="Arial" w:cs="Arial"/>
          <w:b w:val="0"/>
          <w:bCs w:val="0"/>
          <w:noProof w:val="0"/>
          <w:color w:val="auto"/>
          <w:sz w:val="24"/>
          <w:szCs w:val="24"/>
          <w:lang w:val="en-GB"/>
        </w:rPr>
        <w:t>indicates</w:t>
      </w:r>
      <w:r w:rsidRPr="00C9A62E" w:rsidR="2869CCEC">
        <w:rPr>
          <w:rFonts w:ascii="Arial" w:hAnsi="Arial" w:eastAsia="Arial" w:cs="Arial"/>
          <w:b w:val="0"/>
          <w:bCs w:val="0"/>
          <w:noProof w:val="0"/>
          <w:color w:val="auto"/>
          <w:sz w:val="24"/>
          <w:szCs w:val="24"/>
          <w:lang w:val="en-GB"/>
        </w:rPr>
        <w:t xml:space="preserve"> that Netflix’s brand, personalisation, and content will be effective only if adapted to China’s regulatory and cultural context. Market Development is essential because it emphasises </w:t>
      </w:r>
      <w:r w:rsidRPr="00C9A62E" w:rsidR="2869CCEC">
        <w:rPr>
          <w:rFonts w:ascii="Arial" w:hAnsi="Arial" w:eastAsia="Arial" w:cs="Arial"/>
          <w:b w:val="0"/>
          <w:bCs w:val="0"/>
          <w:noProof w:val="0"/>
          <w:color w:val="auto"/>
          <w:sz w:val="24"/>
          <w:szCs w:val="24"/>
          <w:lang w:val="en-GB"/>
        </w:rPr>
        <w:t>modifying</w:t>
      </w:r>
      <w:r w:rsidRPr="00C9A62E" w:rsidR="2869CCEC">
        <w:rPr>
          <w:rFonts w:ascii="Arial" w:hAnsi="Arial" w:eastAsia="Arial" w:cs="Arial"/>
          <w:b w:val="0"/>
          <w:bCs w:val="0"/>
          <w:noProof w:val="0"/>
          <w:color w:val="auto"/>
          <w:sz w:val="24"/>
          <w:szCs w:val="24"/>
          <w:lang w:val="en-GB"/>
        </w:rPr>
        <w:t xml:space="preserve"> the existing platform and content model, entering a dynamic new market, and implementing strategic adaptation through local partnerships.</w:t>
      </w:r>
    </w:p>
    <w:p w:rsidR="2869CCEC" w:rsidP="00C9A62E" w:rsidRDefault="2869CCEC" w14:paraId="398A36C6" w14:textId="07B2C57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To operationalise Market Development in China, Netflix’s strategy must include:</w:t>
      </w:r>
    </w:p>
    <w:p w:rsidR="2869CCEC" w:rsidP="00C9A62E" w:rsidRDefault="2869CCEC" w14:paraId="0DADFB4A" w14:textId="7E013632">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a) Joint Ventures or Partnerships</w:t>
      </w:r>
    </w:p>
    <w:p w:rsidR="2869CCEC" w:rsidP="00C9A62E" w:rsidRDefault="2869CCEC" w14:paraId="61688A97" w14:textId="24DC40D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Due to regulatory restrictions on foreign media ownership, forming partnerships with established Chinese firms such as Tencent, Alibaba, or Baidu is essential</w:t>
      </w:r>
      <w:r w:rsidRPr="00C9A62E" w:rsidR="1159C233">
        <w:rPr>
          <w:rFonts w:ascii="Arial" w:hAnsi="Arial" w:eastAsia="Arial" w:cs="Arial"/>
          <w:b w:val="0"/>
          <w:bCs w:val="0"/>
          <w:noProof w:val="0"/>
          <w:color w:val="auto"/>
          <w:sz w:val="24"/>
          <w:szCs w:val="24"/>
          <w:lang w:val="en-GB"/>
        </w:rPr>
        <w:t xml:space="preserve"> (Jia and </w:t>
      </w:r>
      <w:r w:rsidRPr="00C9A62E" w:rsidR="1159C233">
        <w:rPr>
          <w:rFonts w:ascii="Arial" w:hAnsi="Arial" w:eastAsia="Arial" w:cs="Arial"/>
          <w:b w:val="0"/>
          <w:bCs w:val="0"/>
          <w:noProof w:val="0"/>
          <w:color w:val="auto"/>
          <w:sz w:val="24"/>
          <w:szCs w:val="24"/>
          <w:lang w:val="en-GB"/>
        </w:rPr>
        <w:t>Winseck</w:t>
      </w:r>
      <w:r w:rsidRPr="00C9A62E" w:rsidR="1159C233">
        <w:rPr>
          <w:rFonts w:ascii="Arial" w:hAnsi="Arial" w:eastAsia="Arial" w:cs="Arial"/>
          <w:b w:val="0"/>
          <w:bCs w:val="0"/>
          <w:noProof w:val="0"/>
          <w:color w:val="auto"/>
          <w:sz w:val="24"/>
          <w:szCs w:val="24"/>
          <w:lang w:val="en-GB"/>
        </w:rPr>
        <w:t>,</w:t>
      </w:r>
      <w:r w:rsidRPr="00C9A62E" w:rsidR="1159C233">
        <w:rPr>
          <w:rFonts w:ascii="Arial" w:hAnsi="Arial" w:eastAsia="Arial" w:cs="Arial"/>
          <w:b w:val="0"/>
          <w:bCs w:val="0"/>
          <w:noProof w:val="0"/>
          <w:color w:val="auto"/>
          <w:sz w:val="24"/>
          <w:szCs w:val="24"/>
          <w:lang w:val="en-GB"/>
        </w:rPr>
        <w:t xml:space="preserve"> 2018)</w:t>
      </w:r>
      <w:r w:rsidRPr="00C9A62E" w:rsidR="2869CCEC">
        <w:rPr>
          <w:rFonts w:ascii="Arial" w:hAnsi="Arial" w:eastAsia="Arial" w:cs="Arial"/>
          <w:b w:val="0"/>
          <w:bCs w:val="0"/>
          <w:noProof w:val="0"/>
          <w:color w:val="auto"/>
          <w:sz w:val="24"/>
          <w:szCs w:val="24"/>
          <w:lang w:val="en-GB"/>
        </w:rPr>
        <w:t xml:space="preserve">. Such collaborations </w:t>
      </w:r>
      <w:r w:rsidRPr="00C9A62E" w:rsidR="2869CCEC">
        <w:rPr>
          <w:rFonts w:ascii="Arial" w:hAnsi="Arial" w:eastAsia="Arial" w:cs="Arial"/>
          <w:b w:val="0"/>
          <w:bCs w:val="0"/>
          <w:noProof w:val="0"/>
          <w:color w:val="auto"/>
          <w:sz w:val="24"/>
          <w:szCs w:val="24"/>
          <w:lang w:val="en-GB"/>
        </w:rPr>
        <w:t>facilitate</w:t>
      </w:r>
      <w:r w:rsidRPr="00C9A62E" w:rsidR="2869CCEC">
        <w:rPr>
          <w:rFonts w:ascii="Arial" w:hAnsi="Arial" w:eastAsia="Arial" w:cs="Arial"/>
          <w:b w:val="0"/>
          <w:bCs w:val="0"/>
          <w:noProof w:val="0"/>
          <w:color w:val="auto"/>
          <w:sz w:val="24"/>
          <w:szCs w:val="24"/>
          <w:lang w:val="en-GB"/>
        </w:rPr>
        <w:t xml:space="preserve"> licensing approvals, data localisation, and the integration of social networking features.</w:t>
      </w:r>
    </w:p>
    <w:p w:rsidR="2869CCEC" w:rsidP="00C9A62E" w:rsidRDefault="2869CCEC" w14:paraId="1CD722DA" w14:textId="106EF7B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b) Local Content Production</w:t>
      </w:r>
    </w:p>
    <w:p w:rsidR="2869CCEC" w:rsidP="00C9A62E" w:rsidRDefault="2869CCEC" w14:paraId="7A022276" w14:textId="5D29F309">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China’s entertainment sector is shaped by state priorities that emphasise “cultural confidence” and the promotion of socialist values</w:t>
      </w:r>
      <w:r w:rsidRPr="00C9A62E" w:rsidR="5C9F2251">
        <w:rPr>
          <w:rFonts w:ascii="Arial" w:hAnsi="Arial" w:eastAsia="Arial" w:cs="Arial"/>
          <w:b w:val="0"/>
          <w:bCs w:val="0"/>
          <w:noProof w:val="0"/>
          <w:color w:val="auto"/>
          <w:sz w:val="24"/>
          <w:szCs w:val="24"/>
          <w:lang w:val="en-GB"/>
        </w:rPr>
        <w:t xml:space="preserve"> </w:t>
      </w:r>
      <w:r w:rsidRPr="00C9A62E" w:rsidR="5C9F2251">
        <w:rPr>
          <w:rFonts w:ascii="Arial" w:hAnsi="Arial" w:eastAsia="Arial" w:cs="Arial"/>
          <w:b w:val="0"/>
          <w:bCs w:val="0"/>
          <w:noProof w:val="0"/>
          <w:color w:val="auto"/>
          <w:sz w:val="24"/>
          <w:szCs w:val="24"/>
          <w:lang w:val="en-GB"/>
        </w:rPr>
        <w:t>(</w:t>
      </w:r>
      <w:r w:rsidRPr="00C9A62E" w:rsidR="5C9F2251">
        <w:rPr>
          <w:rFonts w:ascii="Arial" w:hAnsi="Arial" w:eastAsia="Arial" w:cs="Arial"/>
          <w:b w:val="0"/>
          <w:bCs w:val="0"/>
          <w:noProof w:val="0"/>
          <w:color w:val="auto"/>
          <w:sz w:val="24"/>
          <w:szCs w:val="24"/>
          <w:lang w:val="en-GB"/>
        </w:rPr>
        <w:t>Komisarof</w:t>
      </w:r>
      <w:r w:rsidRPr="00C9A62E" w:rsidR="5C9F2251">
        <w:rPr>
          <w:rFonts w:ascii="Arial" w:hAnsi="Arial" w:eastAsia="Arial" w:cs="Arial"/>
          <w:b w:val="0"/>
          <w:bCs w:val="0"/>
          <w:noProof w:val="0"/>
          <w:color w:val="auto"/>
          <w:sz w:val="24"/>
          <w:szCs w:val="24"/>
          <w:lang w:val="en-GB"/>
        </w:rPr>
        <w:t xml:space="preserve"> and </w:t>
      </w:r>
      <w:r w:rsidRPr="00C9A62E" w:rsidR="5C9F2251">
        <w:rPr>
          <w:rFonts w:ascii="Arial" w:hAnsi="Arial" w:eastAsia="Arial" w:cs="Arial"/>
          <w:b w:val="0"/>
          <w:bCs w:val="0"/>
          <w:noProof w:val="0"/>
          <w:color w:val="auto"/>
          <w:sz w:val="24"/>
          <w:szCs w:val="24"/>
          <w:lang w:val="en-GB"/>
        </w:rPr>
        <w:t>Akaliyski</w:t>
      </w:r>
      <w:r w:rsidRPr="00C9A62E" w:rsidR="5C9F2251">
        <w:rPr>
          <w:rFonts w:ascii="Arial" w:hAnsi="Arial" w:eastAsia="Arial" w:cs="Arial"/>
          <w:b w:val="0"/>
          <w:bCs w:val="0"/>
          <w:noProof w:val="0"/>
          <w:color w:val="auto"/>
          <w:sz w:val="24"/>
          <w:szCs w:val="24"/>
          <w:lang w:val="en-GB"/>
        </w:rPr>
        <w:t xml:space="preserve"> , 2018)</w:t>
      </w:r>
      <w:r w:rsidRPr="00C9A62E" w:rsidR="2869CCEC">
        <w:rPr>
          <w:rFonts w:ascii="Arial" w:hAnsi="Arial" w:eastAsia="Arial" w:cs="Arial"/>
          <w:b w:val="0"/>
          <w:bCs w:val="0"/>
          <w:noProof w:val="0"/>
          <w:color w:val="auto"/>
          <w:sz w:val="24"/>
          <w:szCs w:val="24"/>
          <w:lang w:val="en-GB"/>
        </w:rPr>
        <w:t xml:space="preserve">. Netflix should intentionally develop a Mandarin-language content portfolio through co-productions that align with these policy </w:t>
      </w:r>
      <w:r w:rsidRPr="00C9A62E" w:rsidR="2869CCEC">
        <w:rPr>
          <w:rFonts w:ascii="Arial" w:hAnsi="Arial" w:eastAsia="Arial" w:cs="Arial"/>
          <w:b w:val="0"/>
          <w:bCs w:val="0"/>
          <w:noProof w:val="0"/>
          <w:color w:val="auto"/>
          <w:sz w:val="24"/>
          <w:szCs w:val="24"/>
          <w:lang w:val="en-GB"/>
        </w:rPr>
        <w:t>objectives</w:t>
      </w:r>
      <w:r w:rsidRPr="00C9A62E" w:rsidR="2869CCEC">
        <w:rPr>
          <w:rFonts w:ascii="Arial" w:hAnsi="Arial" w:eastAsia="Arial" w:cs="Arial"/>
          <w:b w:val="0"/>
          <w:bCs w:val="0"/>
          <w:noProof w:val="0"/>
          <w:color w:val="auto"/>
          <w:sz w:val="24"/>
          <w:szCs w:val="24"/>
          <w:lang w:val="en-GB"/>
        </w:rPr>
        <w:t>.</w:t>
      </w:r>
    </w:p>
    <w:p w:rsidR="2869CCEC" w:rsidP="00C9A62E" w:rsidRDefault="2869CCEC" w14:paraId="413B8B79" w14:textId="363C44C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c) Platform Adaptation</w:t>
      </w:r>
    </w:p>
    <w:p w:rsidR="2869CCEC" w:rsidP="00C9A62E" w:rsidRDefault="2869CCEC" w14:paraId="6AE37E69" w14:textId="17C3EF1A">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 xml:space="preserve">The internal audit </w:t>
      </w:r>
      <w:r w:rsidRPr="00C9A62E" w:rsidR="2869CCEC">
        <w:rPr>
          <w:rFonts w:ascii="Arial" w:hAnsi="Arial" w:eastAsia="Arial" w:cs="Arial"/>
          <w:b w:val="0"/>
          <w:bCs w:val="0"/>
          <w:noProof w:val="0"/>
          <w:color w:val="auto"/>
          <w:sz w:val="24"/>
          <w:szCs w:val="24"/>
          <w:lang w:val="en-GB"/>
        </w:rPr>
        <w:t>identified</w:t>
      </w:r>
      <w:r w:rsidRPr="00C9A62E" w:rsidR="2869CCEC">
        <w:rPr>
          <w:rFonts w:ascii="Arial" w:hAnsi="Arial" w:eastAsia="Arial" w:cs="Arial"/>
          <w:b w:val="0"/>
          <w:bCs w:val="0"/>
          <w:noProof w:val="0"/>
          <w:color w:val="auto"/>
          <w:sz w:val="24"/>
          <w:szCs w:val="24"/>
          <w:lang w:val="en-GB"/>
        </w:rPr>
        <w:t xml:space="preserve"> a gap between Netflix’s platform and prevailing Chinese digital habits. The service should incorporate real-time comments (</w:t>
      </w:r>
      <w:r w:rsidRPr="00C9A62E" w:rsidR="2869CCEC">
        <w:rPr>
          <w:rFonts w:ascii="Arial" w:hAnsi="Arial" w:eastAsia="Arial" w:cs="Arial"/>
          <w:b w:val="0"/>
          <w:bCs w:val="0"/>
          <w:noProof w:val="0"/>
          <w:color w:val="auto"/>
          <w:sz w:val="24"/>
          <w:szCs w:val="24"/>
          <w:lang w:val="en-GB"/>
        </w:rPr>
        <w:t>danmu</w:t>
      </w:r>
      <w:r w:rsidRPr="00C9A62E" w:rsidR="2869CCEC">
        <w:rPr>
          <w:rFonts w:ascii="Arial" w:hAnsi="Arial" w:eastAsia="Arial" w:cs="Arial"/>
          <w:b w:val="0"/>
          <w:bCs w:val="0"/>
          <w:noProof w:val="0"/>
          <w:color w:val="auto"/>
          <w:sz w:val="24"/>
          <w:szCs w:val="24"/>
          <w:lang w:val="en-GB"/>
        </w:rPr>
        <w:t>), mobile-centric design, and integration with platforms such as WeChat and Douyin to ensure user adoption.</w:t>
      </w:r>
    </w:p>
    <w:p w:rsidR="2869CCEC" w:rsidP="00C9A62E" w:rsidRDefault="2869CCEC" w14:paraId="574C599C" w14:textId="35F654B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4. Diversification (Limited Relevance but Supporting Strategy)</w:t>
      </w:r>
    </w:p>
    <w:p w:rsidR="2869CCEC" w:rsidP="00C9A62E" w:rsidRDefault="2869CCEC" w14:paraId="788861E0" w14:textId="01EAF9A6">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 xml:space="preserve">Diversification into gaming or live entertainment, although not a primary strategy, is important for enhancing long-term competitiveness within China’s cross-platform ecosystem. These initiatives should be implemented after market development has been </w:t>
      </w:r>
      <w:r w:rsidRPr="00C9A62E" w:rsidR="2869CCEC">
        <w:rPr>
          <w:rFonts w:ascii="Arial" w:hAnsi="Arial" w:eastAsia="Arial" w:cs="Arial"/>
          <w:b w:val="0"/>
          <w:bCs w:val="0"/>
          <w:noProof w:val="0"/>
          <w:color w:val="auto"/>
          <w:sz w:val="24"/>
          <w:szCs w:val="24"/>
          <w:lang w:val="en-GB"/>
        </w:rPr>
        <w:t>established</w:t>
      </w:r>
      <w:r w:rsidRPr="00C9A62E" w:rsidR="2869CCEC">
        <w:rPr>
          <w:rFonts w:ascii="Arial" w:hAnsi="Arial" w:eastAsia="Arial" w:cs="Arial"/>
          <w:b w:val="0"/>
          <w:bCs w:val="0"/>
          <w:noProof w:val="0"/>
          <w:color w:val="auto"/>
          <w:sz w:val="24"/>
          <w:szCs w:val="24"/>
          <w:lang w:val="en-GB"/>
        </w:rPr>
        <w:t>.</w:t>
      </w:r>
    </w:p>
    <w:p w:rsidR="2869CCEC" w:rsidP="00C9A62E" w:rsidRDefault="2869CCEC" w14:paraId="53AEBF62" w14:textId="500639D6">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Recommended Strategy: Market Development with Localised Product Adaptation</w:t>
      </w:r>
    </w:p>
    <w:p w:rsidR="2869CCEC" w:rsidP="00C9A62E" w:rsidRDefault="2869CCEC" w14:paraId="345D6C11" w14:textId="598AFE63">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 xml:space="preserve">The internal audit and Ansoff framework </w:t>
      </w:r>
      <w:r w:rsidRPr="00C9A62E" w:rsidR="2869CCEC">
        <w:rPr>
          <w:rFonts w:ascii="Arial" w:hAnsi="Arial" w:eastAsia="Arial" w:cs="Arial"/>
          <w:b w:val="0"/>
          <w:bCs w:val="0"/>
          <w:noProof w:val="0"/>
          <w:color w:val="auto"/>
          <w:sz w:val="24"/>
          <w:szCs w:val="24"/>
          <w:lang w:val="en-GB"/>
        </w:rPr>
        <w:t>indicate</w:t>
      </w:r>
      <w:r w:rsidRPr="00C9A62E" w:rsidR="2869CCEC">
        <w:rPr>
          <w:rFonts w:ascii="Arial" w:hAnsi="Arial" w:eastAsia="Arial" w:cs="Arial"/>
          <w:b w:val="0"/>
          <w:bCs w:val="0"/>
          <w:noProof w:val="0"/>
          <w:color w:val="auto"/>
          <w:sz w:val="24"/>
          <w:szCs w:val="24"/>
          <w:lang w:val="en-GB"/>
        </w:rPr>
        <w:t xml:space="preserve"> that Market Development, supported by targeted local product adaptation, is the recommended strategy. This approach directly addresses key challenges, including regulatory barriers, the need for content and algorithm localisation, forming alliances with domestic platforms, accommodating social-driven consumption patterns, and adapting Netflix’s platform for Chinese users.</w:t>
      </w:r>
    </w:p>
    <w:p w:rsidR="2869CCEC" w:rsidP="00C9A62E" w:rsidRDefault="2869CCEC" w14:paraId="36B346B3" w14:textId="7B909C2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The recommended approach is therefore:</w:t>
      </w:r>
    </w:p>
    <w:p w:rsidR="2869CCEC" w:rsidP="00C9A62E" w:rsidRDefault="2869CCEC" w14:paraId="1F617840" w14:textId="09C059BB">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69CCEC">
        <w:rPr>
          <w:rFonts w:ascii="Arial" w:hAnsi="Arial" w:eastAsia="Arial" w:cs="Arial"/>
          <w:b w:val="0"/>
          <w:bCs w:val="0"/>
          <w:noProof w:val="0"/>
          <w:color w:val="auto"/>
          <w:sz w:val="24"/>
          <w:szCs w:val="24"/>
          <w:lang w:val="en-GB"/>
        </w:rPr>
        <w:t>First, Netflix should enter China through a joint venture as part of a Market Development strategy</w:t>
      </w:r>
      <w:r w:rsidRPr="00C9A62E" w:rsidR="661E0A73">
        <w:rPr>
          <w:rFonts w:ascii="Arial" w:hAnsi="Arial" w:eastAsia="Arial" w:cs="Arial"/>
          <w:b w:val="0"/>
          <w:bCs w:val="0"/>
          <w:noProof w:val="0"/>
          <w:color w:val="auto"/>
          <w:sz w:val="24"/>
          <w:szCs w:val="24"/>
          <w:lang w:val="en-GB"/>
        </w:rPr>
        <w:t xml:space="preserve"> (Kokas, 2020)</w:t>
      </w:r>
      <w:r w:rsidRPr="00C9A62E" w:rsidR="2869CCEC">
        <w:rPr>
          <w:rFonts w:ascii="Arial" w:hAnsi="Arial" w:eastAsia="Arial" w:cs="Arial"/>
          <w:b w:val="0"/>
          <w:bCs w:val="0"/>
          <w:noProof w:val="0"/>
          <w:color w:val="auto"/>
          <w:sz w:val="24"/>
          <w:szCs w:val="24"/>
          <w:lang w:val="en-GB"/>
        </w:rPr>
        <w:t xml:space="preserve">. Second, this entry should be supported by localised product adaptation, ensuring that both platform and content offerings meet China’s cultural, regulatory, and technological requirements. These two steps directly address Netflix’s strategic challenges in the Chinese market. This approach </w:t>
      </w:r>
      <w:r w:rsidRPr="00C9A62E" w:rsidR="2869CCEC">
        <w:rPr>
          <w:rFonts w:ascii="Arial" w:hAnsi="Arial" w:eastAsia="Arial" w:cs="Arial"/>
          <w:b w:val="0"/>
          <w:bCs w:val="0"/>
          <w:noProof w:val="0"/>
          <w:color w:val="auto"/>
          <w:sz w:val="24"/>
          <w:szCs w:val="24"/>
          <w:lang w:val="en-GB"/>
        </w:rPr>
        <w:t>leverages</w:t>
      </w:r>
      <w:r w:rsidRPr="00C9A62E" w:rsidR="2869CCEC">
        <w:rPr>
          <w:rFonts w:ascii="Arial" w:hAnsi="Arial" w:eastAsia="Arial" w:cs="Arial"/>
          <w:b w:val="0"/>
          <w:bCs w:val="0"/>
          <w:noProof w:val="0"/>
          <w:color w:val="auto"/>
          <w:sz w:val="24"/>
          <w:szCs w:val="24"/>
          <w:lang w:val="en-GB"/>
        </w:rPr>
        <w:t xml:space="preserve"> Netflix’s internal strengths while recognising the realities of China’s external environment, positioning the company for sustainable long-term growth.</w:t>
      </w:r>
    </w:p>
    <w:p w:rsidR="65BDDD82" w:rsidP="00C9A62E" w:rsidRDefault="65BDDD82" w14:paraId="21697423" w14:textId="6541CDF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65BDDD82">
        <w:rPr>
          <w:rFonts w:ascii="Arial" w:hAnsi="Arial" w:eastAsia="Arial" w:cs="Arial"/>
          <w:b w:val="0"/>
          <w:bCs w:val="0"/>
          <w:noProof w:val="0"/>
          <w:color w:val="auto"/>
          <w:sz w:val="24"/>
          <w:szCs w:val="24"/>
          <w:lang w:val="en-GB"/>
        </w:rPr>
        <w:t>Strategy implementation</w:t>
      </w:r>
    </w:p>
    <w:p w:rsidR="5F0D2841" w:rsidP="00C9A62E" w:rsidRDefault="5F0D2841" w14:paraId="71275F04" w14:textId="6ACB75D0">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0D2841">
        <w:rPr>
          <w:rFonts w:ascii="Arial" w:hAnsi="Arial" w:eastAsia="Arial" w:cs="Arial"/>
          <w:b w:val="0"/>
          <w:bCs w:val="0"/>
          <w:noProof w:val="0"/>
          <w:color w:val="auto"/>
          <w:sz w:val="24"/>
          <w:szCs w:val="24"/>
          <w:lang w:val="en-GB"/>
        </w:rPr>
        <w:t xml:space="preserve">To </w:t>
      </w:r>
      <w:r w:rsidRPr="00C9A62E" w:rsidR="5F0D2841">
        <w:rPr>
          <w:rFonts w:ascii="Arial" w:hAnsi="Arial" w:eastAsia="Arial" w:cs="Arial"/>
          <w:b w:val="0"/>
          <w:bCs w:val="0"/>
          <w:noProof w:val="0"/>
          <w:color w:val="auto"/>
          <w:sz w:val="24"/>
          <w:szCs w:val="24"/>
          <w:lang w:val="en-GB"/>
        </w:rPr>
        <w:t>establish</w:t>
      </w:r>
      <w:r w:rsidRPr="00C9A62E" w:rsidR="5F0D2841">
        <w:rPr>
          <w:rFonts w:ascii="Arial" w:hAnsi="Arial" w:eastAsia="Arial" w:cs="Arial"/>
          <w:b w:val="0"/>
          <w:bCs w:val="0"/>
          <w:noProof w:val="0"/>
          <w:color w:val="auto"/>
          <w:sz w:val="24"/>
          <w:szCs w:val="24"/>
          <w:lang w:val="en-GB"/>
        </w:rPr>
        <w:t xml:space="preserve"> strategic partnerships and joint ventures, Netflix must assess potential partners for regulatory access, content assets, and platform strength</w:t>
      </w:r>
      <w:r w:rsidRPr="00C9A62E" w:rsidR="3FB519F1">
        <w:rPr>
          <w:rFonts w:ascii="Arial" w:hAnsi="Arial" w:eastAsia="Arial" w:cs="Arial"/>
          <w:b w:val="0"/>
          <w:bCs w:val="0"/>
          <w:noProof w:val="0"/>
          <w:color w:val="auto"/>
          <w:sz w:val="24"/>
          <w:szCs w:val="24"/>
          <w:lang w:val="en-GB"/>
        </w:rPr>
        <w:t>.</w:t>
      </w:r>
      <w:r w:rsidRPr="00C9A62E" w:rsidR="5F0D2841">
        <w:rPr>
          <w:rFonts w:ascii="Arial" w:hAnsi="Arial" w:eastAsia="Arial" w:cs="Arial"/>
          <w:b w:val="0"/>
          <w:bCs w:val="0"/>
          <w:noProof w:val="0"/>
          <w:color w:val="auto"/>
          <w:sz w:val="24"/>
          <w:szCs w:val="24"/>
          <w:lang w:val="en-GB"/>
        </w:rPr>
        <w:t xml:space="preserve"> </w:t>
      </w:r>
      <w:r w:rsidRPr="00C9A62E" w:rsidR="5F0D2841">
        <w:rPr>
          <w:rFonts w:ascii="Arial" w:hAnsi="Arial" w:eastAsia="Arial" w:cs="Arial"/>
          <w:b w:val="0"/>
          <w:bCs w:val="0"/>
          <w:noProof w:val="0"/>
          <w:color w:val="auto"/>
          <w:sz w:val="24"/>
          <w:szCs w:val="24"/>
          <w:lang w:val="en-GB"/>
        </w:rPr>
        <w:t xml:space="preserve">After </w:t>
      </w:r>
      <w:r w:rsidRPr="00C9A62E" w:rsidR="5F0D2841">
        <w:rPr>
          <w:rFonts w:ascii="Arial" w:hAnsi="Arial" w:eastAsia="Arial" w:cs="Arial"/>
          <w:b w:val="0"/>
          <w:bCs w:val="0"/>
          <w:noProof w:val="0"/>
          <w:color w:val="auto"/>
          <w:sz w:val="24"/>
          <w:szCs w:val="24"/>
          <w:lang w:val="en-GB"/>
        </w:rPr>
        <w:t>identifying</w:t>
      </w:r>
      <w:r w:rsidRPr="00C9A62E" w:rsidR="5F0D2841">
        <w:rPr>
          <w:rFonts w:ascii="Arial" w:hAnsi="Arial" w:eastAsia="Arial" w:cs="Arial"/>
          <w:b w:val="0"/>
          <w:bCs w:val="0"/>
          <w:noProof w:val="0"/>
          <w:color w:val="auto"/>
          <w:sz w:val="24"/>
          <w:szCs w:val="24"/>
          <w:lang w:val="en-GB"/>
        </w:rPr>
        <w:t xml:space="preserve"> suitable partners, negotiations</w:t>
      </w:r>
      <w:r w:rsidRPr="00C9A62E" w:rsidR="5F0D2841">
        <w:rPr>
          <w:rFonts w:ascii="Arial" w:hAnsi="Arial" w:eastAsia="Arial" w:cs="Arial"/>
          <w:b w:val="0"/>
          <w:bCs w:val="0"/>
          <w:noProof w:val="0"/>
          <w:color w:val="auto"/>
          <w:sz w:val="24"/>
          <w:szCs w:val="24"/>
          <w:lang w:val="en-GB"/>
        </w:rPr>
        <w:t xml:space="preserve"> should address ownership, data control, content rights, and profit-sharing</w:t>
      </w:r>
      <w:r w:rsidRPr="00C9A62E" w:rsidR="51C5DDCD">
        <w:rPr>
          <w:rFonts w:ascii="Arial" w:hAnsi="Arial" w:eastAsia="Arial" w:cs="Arial"/>
          <w:b w:val="0"/>
          <w:bCs w:val="0"/>
          <w:noProof w:val="0"/>
          <w:color w:val="auto"/>
          <w:sz w:val="24"/>
          <w:szCs w:val="24"/>
          <w:lang w:val="en-GB"/>
        </w:rPr>
        <w:t xml:space="preserve"> (Kokas, 2020)</w:t>
      </w:r>
      <w:r w:rsidRPr="00C9A62E" w:rsidR="5F0D2841">
        <w:rPr>
          <w:rFonts w:ascii="Arial" w:hAnsi="Arial" w:eastAsia="Arial" w:cs="Arial"/>
          <w:b w:val="0"/>
          <w:bCs w:val="0"/>
          <w:noProof w:val="0"/>
          <w:color w:val="auto"/>
          <w:sz w:val="24"/>
          <w:szCs w:val="24"/>
          <w:lang w:val="en-GB"/>
        </w:rPr>
        <w:t xml:space="preserve">. A joint governance structure combining Netflix leadership with a local board will ensure informed, collaborative decisions that respect local insights. </w:t>
      </w:r>
    </w:p>
    <w:p w:rsidR="5F0D2841" w:rsidP="00C9A62E" w:rsidRDefault="5F0D2841" w14:paraId="70F55B7F" w14:textId="21236773">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0D2841">
        <w:rPr>
          <w:rFonts w:ascii="Arial" w:hAnsi="Arial" w:eastAsia="Arial" w:cs="Arial"/>
          <w:b w:val="0"/>
          <w:bCs w:val="0"/>
          <w:noProof w:val="0"/>
          <w:color w:val="auto"/>
          <w:sz w:val="24"/>
          <w:szCs w:val="24"/>
          <w:lang w:val="en-GB"/>
        </w:rPr>
        <w:t xml:space="preserve">Moving forward, Netflix needs to prioritise regulatory alignment and compliance. It is essential to </w:t>
      </w:r>
      <w:r w:rsidRPr="00C9A62E" w:rsidR="5F0D2841">
        <w:rPr>
          <w:rFonts w:ascii="Arial" w:hAnsi="Arial" w:eastAsia="Arial" w:cs="Arial"/>
          <w:b w:val="0"/>
          <w:bCs w:val="0"/>
          <w:noProof w:val="0"/>
          <w:color w:val="auto"/>
          <w:sz w:val="24"/>
          <w:szCs w:val="24"/>
          <w:lang w:val="en-GB"/>
        </w:rPr>
        <w:t>establish</w:t>
      </w:r>
      <w:r w:rsidRPr="00C9A62E" w:rsidR="5F0D2841">
        <w:rPr>
          <w:rFonts w:ascii="Arial" w:hAnsi="Arial" w:eastAsia="Arial" w:cs="Arial"/>
          <w:b w:val="0"/>
          <w:bCs w:val="0"/>
          <w:noProof w:val="0"/>
          <w:color w:val="auto"/>
          <w:sz w:val="24"/>
          <w:szCs w:val="24"/>
          <w:lang w:val="en-GB"/>
        </w:rPr>
        <w:t xml:space="preserve"> a Regulatory Compliance Office within the China joint venture to ensure compliance with stringent regulations issued by authorities such as the National Radio and Television Administration (NRTA) and the Cyberspace Administration of China (CAC)</w:t>
      </w:r>
      <w:r w:rsidRPr="00C9A62E" w:rsidR="776564D2">
        <w:rPr>
          <w:rFonts w:ascii="Arial" w:hAnsi="Arial" w:eastAsia="Arial" w:cs="Arial"/>
          <w:b w:val="0"/>
          <w:bCs w:val="0"/>
          <w:noProof w:val="0"/>
          <w:color w:val="auto"/>
          <w:sz w:val="24"/>
          <w:szCs w:val="24"/>
          <w:lang w:val="en-GB"/>
        </w:rPr>
        <w:t xml:space="preserve"> (Kokas, 2020)</w:t>
      </w:r>
      <w:r w:rsidRPr="00C9A62E" w:rsidR="5F0D2841">
        <w:rPr>
          <w:rFonts w:ascii="Arial" w:hAnsi="Arial" w:eastAsia="Arial" w:cs="Arial"/>
          <w:b w:val="0"/>
          <w:bCs w:val="0"/>
          <w:noProof w:val="0"/>
          <w:color w:val="auto"/>
          <w:sz w:val="24"/>
          <w:szCs w:val="24"/>
          <w:lang w:val="en-GB"/>
        </w:rPr>
        <w:t xml:space="preserve">. A dedicated content review team will be formed to screen productions in line with NRTA requirements. Additionally, it is vital to ensure that user data is stored on local servers and processed </w:t>
      </w:r>
      <w:r w:rsidRPr="00C9A62E" w:rsidR="5F0D2841">
        <w:rPr>
          <w:rFonts w:ascii="Arial" w:hAnsi="Arial" w:eastAsia="Arial" w:cs="Arial"/>
          <w:b w:val="0"/>
          <w:bCs w:val="0"/>
          <w:noProof w:val="0"/>
          <w:color w:val="auto"/>
          <w:sz w:val="24"/>
          <w:szCs w:val="24"/>
          <w:lang w:val="en-GB"/>
        </w:rPr>
        <w:t>in accordance with</w:t>
      </w:r>
      <w:r w:rsidRPr="00C9A62E" w:rsidR="5F0D2841">
        <w:rPr>
          <w:rFonts w:ascii="Arial" w:hAnsi="Arial" w:eastAsia="Arial" w:cs="Arial"/>
          <w:b w:val="0"/>
          <w:bCs w:val="0"/>
          <w:noProof w:val="0"/>
          <w:color w:val="auto"/>
          <w:sz w:val="24"/>
          <w:szCs w:val="24"/>
          <w:lang w:val="en-GB"/>
        </w:rPr>
        <w:t xml:space="preserve"> China's data sovereignty laws, while algorithms must be adapted to align with cultural and political norms, avoiding themes that could be </w:t>
      </w:r>
      <w:r w:rsidRPr="00C9A62E" w:rsidR="5F0D2841">
        <w:rPr>
          <w:rFonts w:ascii="Arial" w:hAnsi="Arial" w:eastAsia="Arial" w:cs="Arial"/>
          <w:b w:val="0"/>
          <w:bCs w:val="0"/>
          <w:noProof w:val="0"/>
          <w:color w:val="auto"/>
          <w:sz w:val="24"/>
          <w:szCs w:val="24"/>
          <w:lang w:val="en-GB"/>
        </w:rPr>
        <w:t>deemed</w:t>
      </w:r>
      <w:r w:rsidRPr="00C9A62E" w:rsidR="5F0D2841">
        <w:rPr>
          <w:rFonts w:ascii="Arial" w:hAnsi="Arial" w:eastAsia="Arial" w:cs="Arial"/>
          <w:b w:val="0"/>
          <w:bCs w:val="0"/>
          <w:noProof w:val="0"/>
          <w:color w:val="auto"/>
          <w:sz w:val="24"/>
          <w:szCs w:val="24"/>
          <w:lang w:val="en-GB"/>
        </w:rPr>
        <w:t xml:space="preserve"> unacceptable</w:t>
      </w:r>
      <w:r w:rsidRPr="00C9A62E" w:rsidR="1800B297">
        <w:rPr>
          <w:rFonts w:ascii="Arial" w:hAnsi="Arial" w:eastAsia="Arial" w:cs="Arial"/>
          <w:b w:val="0"/>
          <w:bCs w:val="0"/>
          <w:noProof w:val="0"/>
          <w:color w:val="auto"/>
          <w:sz w:val="24"/>
          <w:szCs w:val="24"/>
          <w:lang w:val="en-GB"/>
        </w:rPr>
        <w:t xml:space="preserve"> (</w:t>
      </w:r>
      <w:r w:rsidRPr="00C9A62E" w:rsidR="1800B297">
        <w:rPr>
          <w:rFonts w:ascii="Arial" w:hAnsi="Arial" w:eastAsia="Arial" w:cs="Arial"/>
          <w:b w:val="0"/>
          <w:bCs w:val="0"/>
          <w:noProof w:val="0"/>
          <w:color w:val="auto"/>
          <w:sz w:val="24"/>
          <w:szCs w:val="24"/>
          <w:lang w:val="en-GB"/>
        </w:rPr>
        <w:t xml:space="preserve">Lin, </w:t>
      </w:r>
      <w:r w:rsidRPr="00C9A62E" w:rsidR="1800B297">
        <w:rPr>
          <w:rFonts w:ascii="Arial" w:hAnsi="Arial" w:eastAsia="Arial" w:cs="Arial"/>
          <w:b w:val="0"/>
          <w:bCs w:val="0"/>
          <w:i w:val="1"/>
          <w:iCs w:val="1"/>
          <w:noProof w:val="0"/>
          <w:color w:val="auto"/>
          <w:sz w:val="24"/>
          <w:szCs w:val="24"/>
          <w:lang w:val="en-GB"/>
        </w:rPr>
        <w:t>et al.</w:t>
      </w:r>
      <w:r w:rsidRPr="00C9A62E" w:rsidR="1800B297">
        <w:rPr>
          <w:rFonts w:ascii="Arial" w:hAnsi="Arial" w:eastAsia="Arial" w:cs="Arial"/>
          <w:b w:val="0"/>
          <w:bCs w:val="0"/>
          <w:noProof w:val="0"/>
          <w:color w:val="auto"/>
          <w:sz w:val="24"/>
          <w:szCs w:val="24"/>
          <w:lang w:val="en-GB"/>
        </w:rPr>
        <w:t xml:space="preserve"> 2020)</w:t>
      </w:r>
      <w:r w:rsidRPr="00C9A62E" w:rsidR="5F0D2841">
        <w:rPr>
          <w:rFonts w:ascii="Arial" w:hAnsi="Arial" w:eastAsia="Arial" w:cs="Arial"/>
          <w:b w:val="0"/>
          <w:bCs w:val="0"/>
          <w:noProof w:val="0"/>
          <w:color w:val="auto"/>
          <w:sz w:val="24"/>
          <w:szCs w:val="24"/>
          <w:lang w:val="en-GB"/>
        </w:rPr>
        <w:t>.</w:t>
      </w:r>
    </w:p>
    <w:p w:rsidR="5F0D2841" w:rsidP="00C9A62E" w:rsidRDefault="5F0D2841" w14:paraId="6BB3EBD6" w14:textId="0A261B11">
      <w:pPr>
        <w:pStyle w:val="Normal"/>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0D2841">
        <w:rPr>
          <w:rFonts w:ascii="Arial" w:hAnsi="Arial" w:eastAsia="Arial" w:cs="Arial"/>
          <w:b w:val="0"/>
          <w:bCs w:val="0"/>
          <w:noProof w:val="0"/>
          <w:color w:val="auto"/>
          <w:sz w:val="24"/>
          <w:szCs w:val="24"/>
          <w:lang w:val="en-GB"/>
        </w:rPr>
        <w:t>To effectively meet the demands of the Chinese market, Netflix must foster a local content production and co-creation ecosystem</w:t>
      </w:r>
      <w:r w:rsidRPr="00C9A62E" w:rsidR="4694FBD3">
        <w:rPr>
          <w:rFonts w:ascii="Arial" w:hAnsi="Arial" w:eastAsia="Arial" w:cs="Arial"/>
          <w:b w:val="0"/>
          <w:bCs w:val="0"/>
          <w:noProof w:val="0"/>
          <w:color w:val="auto"/>
          <w:sz w:val="24"/>
          <w:szCs w:val="24"/>
          <w:lang w:val="en-GB"/>
        </w:rPr>
        <w:t xml:space="preserve"> (</w:t>
      </w:r>
      <w:r w:rsidRPr="00C9A62E" w:rsidR="4694FBD3">
        <w:rPr>
          <w:rFonts w:ascii="Arial" w:hAnsi="Arial" w:eastAsia="Arial" w:cs="Arial"/>
          <w:b w:val="0"/>
          <w:bCs w:val="0"/>
          <w:i w:val="0"/>
          <w:iCs w:val="0"/>
          <w:caps w:val="0"/>
          <w:smallCaps w:val="0"/>
          <w:noProof w:val="0"/>
          <w:color w:val="auto"/>
          <w:sz w:val="24"/>
          <w:szCs w:val="24"/>
          <w:lang w:val="en-GB"/>
        </w:rPr>
        <w:t>Frater, and Ramachandran, 2018)</w:t>
      </w:r>
      <w:r w:rsidRPr="00C9A62E" w:rsidR="5F0D2841">
        <w:rPr>
          <w:rFonts w:ascii="Arial" w:hAnsi="Arial" w:eastAsia="Arial" w:cs="Arial"/>
          <w:b w:val="0"/>
          <w:bCs w:val="0"/>
          <w:noProof w:val="0"/>
          <w:color w:val="auto"/>
          <w:sz w:val="24"/>
          <w:szCs w:val="24"/>
          <w:lang w:val="en-GB"/>
        </w:rPr>
        <w:t xml:space="preserve">. This involves partnering with Chinese studios, screenwriters, and production houses to develop original Mandarin series and films, thereby creating a “Netflix Originals China” label under joint venture oversight. Investing in talent development initiatives, script incubators, and regional production hubs will further enhance content creation. Utilising localised, regulated data analytics will help </w:t>
      </w:r>
      <w:r w:rsidRPr="00C9A62E" w:rsidR="5F0D2841">
        <w:rPr>
          <w:rFonts w:ascii="Arial" w:hAnsi="Arial" w:eastAsia="Arial" w:cs="Arial"/>
          <w:b w:val="0"/>
          <w:bCs w:val="0"/>
          <w:noProof w:val="0"/>
          <w:color w:val="auto"/>
          <w:sz w:val="24"/>
          <w:szCs w:val="24"/>
          <w:lang w:val="en-GB"/>
        </w:rPr>
        <w:t>identify</w:t>
      </w:r>
      <w:r w:rsidRPr="00C9A62E" w:rsidR="5F0D2841">
        <w:rPr>
          <w:rFonts w:ascii="Arial" w:hAnsi="Arial" w:eastAsia="Arial" w:cs="Arial"/>
          <w:b w:val="0"/>
          <w:bCs w:val="0"/>
          <w:noProof w:val="0"/>
          <w:color w:val="auto"/>
          <w:sz w:val="24"/>
          <w:szCs w:val="24"/>
          <w:lang w:val="en-GB"/>
        </w:rPr>
        <w:t xml:space="preserve"> genre preferences, such as historical dramas, youth romance, and variety shows, ensuring the content is culturally resonant.</w:t>
      </w:r>
    </w:p>
    <w:p w:rsidR="5F0D2841" w:rsidP="00C9A62E" w:rsidRDefault="5F0D2841" w14:paraId="3B295708" w14:textId="3EDD0849">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0D2841">
        <w:rPr>
          <w:rFonts w:ascii="Arial" w:hAnsi="Arial" w:eastAsia="Arial" w:cs="Arial"/>
          <w:b w:val="0"/>
          <w:bCs w:val="0"/>
          <w:noProof w:val="0"/>
          <w:color w:val="auto"/>
          <w:sz w:val="24"/>
          <w:szCs w:val="24"/>
          <w:lang w:val="en-GB"/>
        </w:rPr>
        <w:t xml:space="preserve">Netflix’s internal audit shows its global platform lacks features essential for China’s digital ecosystem. The interface should be re-engineered to include </w:t>
      </w:r>
      <w:r w:rsidRPr="00C9A62E" w:rsidR="5F0D2841">
        <w:rPr>
          <w:rFonts w:ascii="Arial" w:hAnsi="Arial" w:eastAsia="Arial" w:cs="Arial"/>
          <w:b w:val="0"/>
          <w:bCs w:val="0"/>
          <w:noProof w:val="0"/>
          <w:color w:val="auto"/>
          <w:sz w:val="24"/>
          <w:szCs w:val="24"/>
          <w:lang w:val="en-GB"/>
        </w:rPr>
        <w:t>danmu</w:t>
      </w:r>
      <w:r w:rsidRPr="00C9A62E" w:rsidR="5F0D2841">
        <w:rPr>
          <w:rFonts w:ascii="Arial" w:hAnsi="Arial" w:eastAsia="Arial" w:cs="Arial"/>
          <w:b w:val="0"/>
          <w:bCs w:val="0"/>
          <w:noProof w:val="0"/>
          <w:color w:val="auto"/>
          <w:sz w:val="24"/>
          <w:szCs w:val="24"/>
          <w:lang w:val="en-GB"/>
        </w:rPr>
        <w:t xml:space="preserve"> commentary, discussion spaces, and personalised homepages for Chinese users. Integrating WeChat Pay, Alipay, and a mobile-first interface is necessary. A localisation engineering team in Shanghai or Shenzhen will support ongoing adaptation.</w:t>
      </w:r>
    </w:p>
    <w:p w:rsidR="5F0D2841" w:rsidP="00C9A62E" w:rsidRDefault="5F0D2841" w14:paraId="01D42569" w14:textId="5A631F37">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0D2841">
        <w:rPr>
          <w:rFonts w:ascii="Arial" w:hAnsi="Arial" w:eastAsia="Arial" w:cs="Arial"/>
          <w:b w:val="0"/>
          <w:bCs w:val="0"/>
          <w:noProof w:val="0"/>
          <w:color w:val="auto"/>
          <w:sz w:val="24"/>
          <w:szCs w:val="24"/>
          <w:lang w:val="en-GB"/>
        </w:rPr>
        <w:t xml:space="preserve">For effective implementation, Netflix should reorganise by creating a China Strategy and Operations Unit within the Asia-Pacific segment, appointing bilingual managers with experience in the Chinese digital industry, adapting HR practices to </w:t>
      </w:r>
      <w:r w:rsidRPr="00C9A62E" w:rsidR="5F0D2841">
        <w:rPr>
          <w:rFonts w:ascii="Arial" w:hAnsi="Arial" w:eastAsia="Arial" w:cs="Arial"/>
          <w:b w:val="0"/>
          <w:bCs w:val="0"/>
          <w:noProof w:val="0"/>
          <w:color w:val="auto"/>
          <w:sz w:val="24"/>
          <w:szCs w:val="24"/>
          <w:lang w:val="en-GB"/>
        </w:rPr>
        <w:t>comply with</w:t>
      </w:r>
      <w:r w:rsidRPr="00C9A62E" w:rsidR="5F0D2841">
        <w:rPr>
          <w:rFonts w:ascii="Arial" w:hAnsi="Arial" w:eastAsia="Arial" w:cs="Arial"/>
          <w:b w:val="0"/>
          <w:bCs w:val="0"/>
          <w:noProof w:val="0"/>
          <w:color w:val="auto"/>
          <w:sz w:val="24"/>
          <w:szCs w:val="24"/>
          <w:lang w:val="en-GB"/>
        </w:rPr>
        <w:t xml:space="preserve"> Chinese regulations, and developing cross-cultural training for global teams collaborating with Chinese partners. </w:t>
      </w:r>
    </w:p>
    <w:p w:rsidR="5F0D2841" w:rsidP="00C9A62E" w:rsidRDefault="5F0D2841" w14:paraId="65FC5F81" w14:textId="3E837668">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5F0D2841">
        <w:rPr>
          <w:rFonts w:ascii="Arial" w:hAnsi="Arial" w:eastAsia="Arial" w:cs="Arial"/>
          <w:b w:val="0"/>
          <w:bCs w:val="0"/>
          <w:noProof w:val="0"/>
          <w:color w:val="auto"/>
          <w:sz w:val="24"/>
          <w:szCs w:val="24"/>
          <w:lang w:val="en-GB"/>
        </w:rPr>
        <w:t xml:space="preserve">Netflix's marketing approach in China must be culturally nuanced and platform-specific, including campaigns on Weibo, Douyin, and </w:t>
      </w:r>
      <w:r w:rsidRPr="00C9A62E" w:rsidR="5F0D2841">
        <w:rPr>
          <w:rFonts w:ascii="Arial" w:hAnsi="Arial" w:eastAsia="Arial" w:cs="Arial"/>
          <w:b w:val="0"/>
          <w:bCs w:val="0"/>
          <w:noProof w:val="0"/>
          <w:color w:val="auto"/>
          <w:sz w:val="24"/>
          <w:szCs w:val="24"/>
          <w:lang w:val="en-GB"/>
        </w:rPr>
        <w:t>Bilibili</w:t>
      </w:r>
      <w:r w:rsidRPr="00C9A62E" w:rsidR="5F0D2841">
        <w:rPr>
          <w:rFonts w:ascii="Arial" w:hAnsi="Arial" w:eastAsia="Arial" w:cs="Arial"/>
          <w:b w:val="0"/>
          <w:bCs w:val="0"/>
          <w:noProof w:val="0"/>
          <w:color w:val="auto"/>
          <w:sz w:val="24"/>
          <w:szCs w:val="24"/>
          <w:lang w:val="en-GB"/>
        </w:rPr>
        <w:t xml:space="preserve">, as well as influencer collaborations. These efforts </w:t>
      </w:r>
      <w:r w:rsidRPr="00C9A62E" w:rsidR="5F0D2841">
        <w:rPr>
          <w:rFonts w:ascii="Arial" w:hAnsi="Arial" w:eastAsia="Arial" w:cs="Arial"/>
          <w:b w:val="0"/>
          <w:bCs w:val="0"/>
          <w:noProof w:val="0"/>
          <w:color w:val="auto"/>
          <w:sz w:val="24"/>
          <w:szCs w:val="24"/>
          <w:lang w:val="en-GB"/>
        </w:rPr>
        <w:t>demonstrate</w:t>
      </w:r>
      <w:r w:rsidRPr="00C9A62E" w:rsidR="5F0D2841">
        <w:rPr>
          <w:rFonts w:ascii="Arial" w:hAnsi="Arial" w:eastAsia="Arial" w:cs="Arial"/>
          <w:b w:val="0"/>
          <w:bCs w:val="0"/>
          <w:noProof w:val="0"/>
          <w:color w:val="auto"/>
          <w:sz w:val="24"/>
          <w:szCs w:val="24"/>
          <w:lang w:val="en-GB"/>
        </w:rPr>
        <w:t xml:space="preserve"> Netflix’s commitment to local engagement and support its success in China.</w:t>
      </w:r>
    </w:p>
    <w:p w:rsidR="3107EA52" w:rsidP="00C9A62E" w:rsidRDefault="3107EA52" w14:paraId="68E87420" w14:textId="6AD77A9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107EA52">
        <w:rPr>
          <w:rFonts w:ascii="Arial" w:hAnsi="Arial" w:eastAsia="Arial" w:cs="Arial"/>
          <w:b w:val="0"/>
          <w:bCs w:val="0"/>
          <w:noProof w:val="0"/>
          <w:color w:val="auto"/>
          <w:sz w:val="24"/>
          <w:szCs w:val="24"/>
          <w:lang w:val="en-GB"/>
        </w:rPr>
        <w:t xml:space="preserve">Financial Plan </w:t>
      </w:r>
    </w:p>
    <w:p w:rsidR="3107EA52" w:rsidP="00C9A62E" w:rsidRDefault="3107EA52" w14:paraId="067B9319" w14:textId="12CB02A0">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107EA52">
        <w:rPr>
          <w:rFonts w:ascii="Arial" w:hAnsi="Arial" w:eastAsia="Arial" w:cs="Arial"/>
          <w:b w:val="0"/>
          <w:bCs w:val="0"/>
          <w:noProof w:val="0"/>
          <w:color w:val="auto"/>
          <w:sz w:val="24"/>
          <w:szCs w:val="24"/>
          <w:lang w:val="en-GB"/>
        </w:rPr>
        <w:t xml:space="preserve">A robust financial plan is essential to ensure that Netflix’s entry into the Chinese market is both strategically </w:t>
      </w:r>
      <w:r w:rsidRPr="00C9A62E" w:rsidR="3107EA52">
        <w:rPr>
          <w:rFonts w:ascii="Arial" w:hAnsi="Arial" w:eastAsia="Arial" w:cs="Arial"/>
          <w:b w:val="0"/>
          <w:bCs w:val="0"/>
          <w:noProof w:val="0"/>
          <w:color w:val="auto"/>
          <w:sz w:val="24"/>
          <w:szCs w:val="24"/>
          <w:lang w:val="en-GB"/>
        </w:rPr>
        <w:t>feasible</w:t>
      </w:r>
      <w:r w:rsidRPr="00C9A62E" w:rsidR="3107EA52">
        <w:rPr>
          <w:rFonts w:ascii="Arial" w:hAnsi="Arial" w:eastAsia="Arial" w:cs="Arial"/>
          <w:b w:val="0"/>
          <w:bCs w:val="0"/>
          <w:noProof w:val="0"/>
          <w:color w:val="auto"/>
          <w:sz w:val="24"/>
          <w:szCs w:val="24"/>
          <w:lang w:val="en-GB"/>
        </w:rPr>
        <w:t xml:space="preserve"> and economically sustainable. The plan should outline projected costs, expected revenue streams, investment priorities, and the financial implications of forming a joint venture (JV) with a licensed Chinese streaming partner.</w:t>
      </w:r>
    </w:p>
    <w:p w:rsidR="0A2DF36F" w:rsidP="00C9A62E" w:rsidRDefault="0A2DF36F" w14:paraId="455A160D" w14:textId="25AF13B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A2DF36F">
        <w:rPr>
          <w:rFonts w:ascii="Arial" w:hAnsi="Arial" w:eastAsia="Arial" w:cs="Arial"/>
          <w:b w:val="0"/>
          <w:bCs w:val="0"/>
          <w:noProof w:val="0"/>
          <w:color w:val="auto"/>
          <w:sz w:val="24"/>
          <w:szCs w:val="24"/>
          <w:lang w:val="en-GB"/>
        </w:rPr>
        <w:t xml:space="preserve">The initial investment should focus on three main areas: regulatory compliance costs, such as data localisation infrastructure, cybersecurity upgrades, and content approval processes; local content development, including securing Chinese production partnerships, talent contracts, studio rentals, and post-production capacity; and technology optimisation, which involves adapting Netflix’s platform to local consumer expectations, such as mobile-first streaming and </w:t>
      </w:r>
      <w:r w:rsidRPr="00C9A62E" w:rsidR="0A2DF36F">
        <w:rPr>
          <w:rFonts w:ascii="Arial" w:hAnsi="Arial" w:eastAsia="Arial" w:cs="Arial"/>
          <w:b w:val="0"/>
          <w:bCs w:val="0"/>
          <w:noProof w:val="0"/>
          <w:color w:val="auto"/>
          <w:sz w:val="24"/>
          <w:szCs w:val="24"/>
          <w:lang w:val="en-GB"/>
        </w:rPr>
        <w:t>danmu</w:t>
      </w:r>
      <w:r w:rsidRPr="00C9A62E" w:rsidR="0A2DF36F">
        <w:rPr>
          <w:rFonts w:ascii="Arial" w:hAnsi="Arial" w:eastAsia="Arial" w:cs="Arial"/>
          <w:b w:val="0"/>
          <w:bCs w:val="0"/>
          <w:noProof w:val="0"/>
          <w:color w:val="auto"/>
          <w:sz w:val="24"/>
          <w:szCs w:val="24"/>
          <w:lang w:val="en-GB"/>
        </w:rPr>
        <w:t xml:space="preserve">-style interactive features (Zhuge, 2018). The estimated </w:t>
      </w:r>
      <w:r w:rsidRPr="00C9A62E" w:rsidR="0A2DF36F">
        <w:rPr>
          <w:rFonts w:ascii="Arial" w:hAnsi="Arial" w:eastAsia="Arial" w:cs="Arial"/>
          <w:b w:val="0"/>
          <w:bCs w:val="0"/>
          <w:noProof w:val="0"/>
          <w:color w:val="auto"/>
          <w:sz w:val="24"/>
          <w:szCs w:val="24"/>
          <w:lang w:val="en-GB"/>
        </w:rPr>
        <w:t>initial</w:t>
      </w:r>
      <w:r w:rsidRPr="00C9A62E" w:rsidR="0A2DF36F">
        <w:rPr>
          <w:rFonts w:ascii="Arial" w:hAnsi="Arial" w:eastAsia="Arial" w:cs="Arial"/>
          <w:b w:val="0"/>
          <w:bCs w:val="0"/>
          <w:noProof w:val="0"/>
          <w:color w:val="auto"/>
          <w:sz w:val="24"/>
          <w:szCs w:val="24"/>
          <w:lang w:val="en-GB"/>
        </w:rPr>
        <w:t xml:space="preserve"> investment for market entry is likely to range from $300 to $500 million over three years, consistent with the scale of other global market launches.</w:t>
      </w:r>
    </w:p>
    <w:p w:rsidR="0A2DF36F" w:rsidP="00C9A62E" w:rsidRDefault="0A2DF36F" w14:paraId="4C85CDF8" w14:textId="16962AFF">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A2DF36F">
        <w:rPr>
          <w:rFonts w:ascii="Arial" w:hAnsi="Arial" w:eastAsia="Arial" w:cs="Arial"/>
          <w:b w:val="0"/>
          <w:bCs w:val="0"/>
          <w:noProof w:val="0"/>
          <w:color w:val="auto"/>
          <w:sz w:val="24"/>
          <w:szCs w:val="24"/>
          <w:lang w:val="en-GB"/>
        </w:rPr>
        <w:t xml:space="preserve">Given the regulatory environment, Netflix cannot </w:t>
      </w:r>
      <w:r w:rsidRPr="00C9A62E" w:rsidR="0A2DF36F">
        <w:rPr>
          <w:rFonts w:ascii="Arial" w:hAnsi="Arial" w:eastAsia="Arial" w:cs="Arial"/>
          <w:b w:val="0"/>
          <w:bCs w:val="0"/>
          <w:noProof w:val="0"/>
          <w:color w:val="auto"/>
          <w:sz w:val="24"/>
          <w:szCs w:val="24"/>
          <w:lang w:val="en-GB"/>
        </w:rPr>
        <w:t>operate</w:t>
      </w:r>
      <w:r w:rsidRPr="00C9A62E" w:rsidR="0A2DF36F">
        <w:rPr>
          <w:rFonts w:ascii="Arial" w:hAnsi="Arial" w:eastAsia="Arial" w:cs="Arial"/>
          <w:b w:val="0"/>
          <w:bCs w:val="0"/>
          <w:noProof w:val="0"/>
          <w:color w:val="auto"/>
          <w:sz w:val="24"/>
          <w:szCs w:val="24"/>
          <w:lang w:val="en-GB"/>
        </w:rPr>
        <w:t xml:space="preserve"> independently and must share revenues with its joint venture (JV) partner (Kokas, 2020; Frater and Ramachandran, 2018). Expected revenue sources include subscription revenue from a tiered pricing model targeting mass-market mobile consumers, licensing revenue by selling selected Netflix Originals to Chinese platforms, local production revenue from co-produced films and series distributed in both China and international markets, and advertising revenue if the JV adopts an ad-supported tier, which is significant in China’s AVOD-dominant streaming market.</w:t>
      </w:r>
    </w:p>
    <w:p w:rsidR="0A2DF36F" w:rsidP="00C9A62E" w:rsidRDefault="0A2DF36F" w14:paraId="2E45E9B0" w14:textId="1052A626">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A2DF36F">
        <w:rPr>
          <w:rFonts w:ascii="Arial" w:hAnsi="Arial" w:eastAsia="Arial" w:cs="Arial"/>
          <w:b w:val="0"/>
          <w:bCs w:val="0"/>
          <w:noProof w:val="0"/>
          <w:color w:val="auto"/>
          <w:sz w:val="24"/>
          <w:szCs w:val="24"/>
          <w:lang w:val="en-GB"/>
        </w:rPr>
        <w:t>Based on market benchmarks, Netflix could aim to reach 15–20 million subscribers within five years, generating annual revenues of $800 million to $1.2 billion, depending on pricing and JV revenue splits.</w:t>
      </w:r>
    </w:p>
    <w:p w:rsidR="0A2DF36F" w:rsidP="00C9A62E" w:rsidRDefault="0A2DF36F" w14:paraId="327680AF" w14:textId="04E794DE">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A2DF36F">
        <w:rPr>
          <w:rFonts w:ascii="Arial" w:hAnsi="Arial" w:eastAsia="Arial" w:cs="Arial"/>
          <w:b w:val="0"/>
          <w:bCs w:val="0"/>
          <w:noProof w:val="0"/>
          <w:color w:val="auto"/>
          <w:sz w:val="24"/>
          <w:szCs w:val="24"/>
          <w:lang w:val="en-GB"/>
        </w:rPr>
        <w:t>To address power-distance dynamics, the governance structure should be clarified to specify the allocation of decision rights that respect hierarchical expectations while protecting creative freedom (The Culture Factor Group, 2025). A balanced board composition with equal representation from both Netflix and the JV partner can assure strategic control and cultural fit.</w:t>
      </w:r>
    </w:p>
    <w:p w:rsidR="0A2DF36F" w:rsidP="00C9A62E" w:rsidRDefault="0A2DF36F" w14:paraId="0987F391" w14:textId="6705EE5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A2DF36F">
        <w:rPr>
          <w:rFonts w:ascii="Arial" w:hAnsi="Arial" w:eastAsia="Arial" w:cs="Arial"/>
          <w:b w:val="0"/>
          <w:bCs w:val="0"/>
          <w:noProof w:val="0"/>
          <w:color w:val="auto"/>
          <w:sz w:val="24"/>
          <w:szCs w:val="24"/>
          <w:lang w:val="en-GB"/>
        </w:rPr>
        <w:t>Regarding</w:t>
      </w:r>
      <w:r w:rsidRPr="00C9A62E" w:rsidR="0A2DF36F">
        <w:rPr>
          <w:rFonts w:ascii="Arial" w:hAnsi="Arial" w:eastAsia="Arial" w:cs="Arial"/>
          <w:b w:val="0"/>
          <w:bCs w:val="0"/>
          <w:noProof w:val="0"/>
          <w:color w:val="auto"/>
          <w:sz w:val="24"/>
          <w:szCs w:val="24"/>
          <w:lang w:val="en-GB"/>
        </w:rPr>
        <w:t xml:space="preserve"> costs and financial structure, key cost drivers include content expenditure, royalty payments, platform maintenance, and talent acquisition. A staged cost structure is recommended: in Years 1–2, high investment and negative cash flow are expected; in Years 3–4, revenue acceleration is </w:t>
      </w:r>
      <w:r w:rsidRPr="00C9A62E" w:rsidR="0A2DF36F">
        <w:rPr>
          <w:rFonts w:ascii="Arial" w:hAnsi="Arial" w:eastAsia="Arial" w:cs="Arial"/>
          <w:b w:val="0"/>
          <w:bCs w:val="0"/>
          <w:noProof w:val="0"/>
          <w:color w:val="auto"/>
          <w:sz w:val="24"/>
          <w:szCs w:val="24"/>
          <w:lang w:val="en-GB"/>
        </w:rPr>
        <w:t>anticipated</w:t>
      </w:r>
      <w:r w:rsidRPr="00C9A62E" w:rsidR="0A2DF36F">
        <w:rPr>
          <w:rFonts w:ascii="Arial" w:hAnsi="Arial" w:eastAsia="Arial" w:cs="Arial"/>
          <w:b w:val="0"/>
          <w:bCs w:val="0"/>
          <w:noProof w:val="0"/>
          <w:color w:val="auto"/>
          <w:sz w:val="24"/>
          <w:szCs w:val="24"/>
          <w:lang w:val="en-GB"/>
        </w:rPr>
        <w:t xml:space="preserve"> through local hits and IP monetisation; and in Year 5, the JV should target break-even and begin generating a positive net contribution.</w:t>
      </w:r>
    </w:p>
    <w:p w:rsidR="0A2DF36F" w:rsidP="00C9A62E" w:rsidRDefault="0A2DF36F" w14:paraId="55939862" w14:textId="71EF8449">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0A2DF36F">
        <w:rPr>
          <w:rFonts w:ascii="Arial" w:hAnsi="Arial" w:eastAsia="Arial" w:cs="Arial"/>
          <w:b w:val="0"/>
          <w:bCs w:val="0"/>
          <w:noProof w:val="0"/>
          <w:color w:val="auto"/>
          <w:sz w:val="24"/>
          <w:szCs w:val="24"/>
          <w:lang w:val="en-GB"/>
        </w:rPr>
        <w:t xml:space="preserve">To ensure financial stability and the viability of strategic </w:t>
      </w:r>
      <w:r w:rsidRPr="00C9A62E" w:rsidR="0A2DF36F">
        <w:rPr>
          <w:rFonts w:ascii="Arial" w:hAnsi="Arial" w:eastAsia="Arial" w:cs="Arial"/>
          <w:b w:val="0"/>
          <w:bCs w:val="0"/>
          <w:noProof w:val="0"/>
          <w:color w:val="auto"/>
          <w:sz w:val="24"/>
          <w:szCs w:val="24"/>
          <w:lang w:val="en-GB"/>
        </w:rPr>
        <w:t>objectives</w:t>
      </w:r>
      <w:r w:rsidRPr="00C9A62E" w:rsidR="0A2DF36F">
        <w:rPr>
          <w:rFonts w:ascii="Arial" w:hAnsi="Arial" w:eastAsia="Arial" w:cs="Arial"/>
          <w:b w:val="0"/>
          <w:bCs w:val="0"/>
          <w:noProof w:val="0"/>
          <w:color w:val="auto"/>
          <w:sz w:val="24"/>
          <w:szCs w:val="24"/>
          <w:lang w:val="en-GB"/>
        </w:rPr>
        <w:t>, Netflix should implement quarterly financial audits, sensitivity analysis for regulatory or demand fluctuations, cash flow monitoring dashboards, and scenario planning for best-case, expected-case, and regulatory-tightening scenarios.</w:t>
      </w:r>
    </w:p>
    <w:p w:rsidR="3107EA52" w:rsidP="00C9A62E" w:rsidRDefault="3107EA52" w14:paraId="6EE076C8" w14:textId="64424D43">
      <w:pPr>
        <w:pStyle w:val="Heading1"/>
        <w:spacing w:line="360" w:lineRule="auto"/>
        <w:jc w:val="both"/>
        <w:rPr>
          <w:rFonts w:ascii="Arial" w:hAnsi="Arial" w:eastAsia="Arial" w:cs="Arial"/>
          <w:b w:val="0"/>
          <w:bCs w:val="0"/>
          <w:noProof w:val="0"/>
          <w:color w:val="auto"/>
          <w:sz w:val="24"/>
          <w:szCs w:val="24"/>
          <w:lang w:val="en-GB"/>
        </w:rPr>
      </w:pPr>
      <w:bookmarkStart w:name="_Toc1586628962" w:id="1374022767"/>
      <w:r w:rsidRPr="00C9A62E" w:rsidR="3107EA52">
        <w:rPr>
          <w:rFonts w:ascii="Arial" w:hAnsi="Arial" w:eastAsia="Arial" w:cs="Arial"/>
          <w:b w:val="0"/>
          <w:bCs w:val="0"/>
          <w:noProof w:val="0"/>
          <w:color w:val="auto"/>
          <w:sz w:val="24"/>
          <w:szCs w:val="24"/>
          <w:lang w:val="en-GB"/>
        </w:rPr>
        <w:t>Recommendations</w:t>
      </w:r>
      <w:bookmarkEnd w:id="1374022767"/>
      <w:r w:rsidRPr="00C9A62E" w:rsidR="3107EA52">
        <w:rPr>
          <w:rFonts w:ascii="Arial" w:hAnsi="Arial" w:eastAsia="Arial" w:cs="Arial"/>
          <w:b w:val="0"/>
          <w:bCs w:val="0"/>
          <w:noProof w:val="0"/>
          <w:color w:val="auto"/>
          <w:sz w:val="24"/>
          <w:szCs w:val="24"/>
          <w:lang w:val="en-GB"/>
        </w:rPr>
        <w:t xml:space="preserve"> </w:t>
      </w:r>
    </w:p>
    <w:p w:rsidR="3107EA52" w:rsidP="00C9A62E" w:rsidRDefault="3107EA52" w14:paraId="45F1615B" w14:textId="734874D1">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107EA52">
        <w:rPr>
          <w:rFonts w:ascii="Arial" w:hAnsi="Arial" w:eastAsia="Arial" w:cs="Arial"/>
          <w:b w:val="0"/>
          <w:bCs w:val="0"/>
          <w:noProof w:val="0"/>
          <w:color w:val="auto"/>
          <w:sz w:val="24"/>
          <w:szCs w:val="24"/>
          <w:lang w:val="en-GB"/>
        </w:rPr>
        <w:t xml:space="preserve">Based on the strategic analysis, several clear recommendations </w:t>
      </w:r>
      <w:r w:rsidRPr="00C9A62E" w:rsidR="3107EA52">
        <w:rPr>
          <w:rFonts w:ascii="Arial" w:hAnsi="Arial" w:eastAsia="Arial" w:cs="Arial"/>
          <w:b w:val="0"/>
          <w:bCs w:val="0"/>
          <w:noProof w:val="0"/>
          <w:color w:val="auto"/>
          <w:sz w:val="24"/>
          <w:szCs w:val="24"/>
          <w:lang w:val="en-GB"/>
        </w:rPr>
        <w:t>emerge</w:t>
      </w:r>
      <w:r w:rsidRPr="00C9A62E" w:rsidR="3107EA52">
        <w:rPr>
          <w:rFonts w:ascii="Arial" w:hAnsi="Arial" w:eastAsia="Arial" w:cs="Arial"/>
          <w:b w:val="0"/>
          <w:bCs w:val="0"/>
          <w:noProof w:val="0"/>
          <w:color w:val="auto"/>
          <w:sz w:val="24"/>
          <w:szCs w:val="24"/>
          <w:lang w:val="en-GB"/>
        </w:rPr>
        <w:t xml:space="preserve"> for Netflix's China entry: (1) Enter exclusively via a </w:t>
      </w:r>
      <w:r w:rsidRPr="00C9A62E" w:rsidR="3107EA52">
        <w:rPr>
          <w:rFonts w:ascii="Arial" w:hAnsi="Arial" w:eastAsia="Arial" w:cs="Arial"/>
          <w:b w:val="0"/>
          <w:bCs w:val="0"/>
          <w:noProof w:val="0"/>
          <w:color w:val="auto"/>
          <w:sz w:val="24"/>
          <w:szCs w:val="24"/>
          <w:lang w:val="en-GB"/>
        </w:rPr>
        <w:t>joint venture</w:t>
      </w:r>
      <w:r w:rsidRPr="00C9A62E" w:rsidR="3107EA52">
        <w:rPr>
          <w:rFonts w:ascii="Arial" w:hAnsi="Arial" w:eastAsia="Arial" w:cs="Arial"/>
          <w:b w:val="0"/>
          <w:bCs w:val="0"/>
          <w:noProof w:val="0"/>
          <w:color w:val="auto"/>
          <w:sz w:val="24"/>
          <w:szCs w:val="24"/>
          <w:lang w:val="en-GB"/>
        </w:rPr>
        <w:t xml:space="preserve"> with a licensed domestic streaming platform to </w:t>
      </w:r>
      <w:r w:rsidRPr="00C9A62E" w:rsidR="3107EA52">
        <w:rPr>
          <w:rFonts w:ascii="Arial" w:hAnsi="Arial" w:eastAsia="Arial" w:cs="Arial"/>
          <w:b w:val="0"/>
          <w:bCs w:val="0"/>
          <w:noProof w:val="0"/>
          <w:color w:val="auto"/>
          <w:sz w:val="24"/>
          <w:szCs w:val="24"/>
          <w:lang w:val="en-GB"/>
        </w:rPr>
        <w:t>comply with</w:t>
      </w:r>
      <w:r w:rsidRPr="00C9A62E" w:rsidR="3107EA52">
        <w:rPr>
          <w:rFonts w:ascii="Arial" w:hAnsi="Arial" w:eastAsia="Arial" w:cs="Arial"/>
          <w:b w:val="0"/>
          <w:bCs w:val="0"/>
          <w:noProof w:val="0"/>
          <w:color w:val="auto"/>
          <w:sz w:val="24"/>
          <w:szCs w:val="24"/>
          <w:lang w:val="en-GB"/>
        </w:rPr>
        <w:t xml:space="preserve"> regulations and access distribution infrastructure and local </w:t>
      </w:r>
      <w:r w:rsidRPr="00C9A62E" w:rsidR="3107EA52">
        <w:rPr>
          <w:rFonts w:ascii="Arial" w:hAnsi="Arial" w:eastAsia="Arial" w:cs="Arial"/>
          <w:b w:val="0"/>
          <w:bCs w:val="0"/>
          <w:noProof w:val="0"/>
          <w:color w:val="auto"/>
          <w:sz w:val="24"/>
          <w:szCs w:val="24"/>
          <w:lang w:val="en-GB"/>
        </w:rPr>
        <w:t>expertise</w:t>
      </w:r>
      <w:r w:rsidRPr="00C9A62E" w:rsidR="3107EA52">
        <w:rPr>
          <w:rFonts w:ascii="Arial" w:hAnsi="Arial" w:eastAsia="Arial" w:cs="Arial"/>
          <w:b w:val="0"/>
          <w:bCs w:val="0"/>
          <w:noProof w:val="0"/>
          <w:color w:val="auto"/>
          <w:sz w:val="24"/>
          <w:szCs w:val="24"/>
          <w:lang w:val="en-GB"/>
        </w:rPr>
        <w:t>. (2) Pursue focused differentiation, emphasising premium local content, technology excellence, and international co-productions for competitive advantage. (3) Ensure flexibility in strategy execution to respond to regulatory or market shifts.</w:t>
      </w:r>
      <w:r>
        <w:br/>
      </w:r>
    </w:p>
    <w:p w:rsidR="3107EA52" w:rsidP="00C9A62E" w:rsidRDefault="3107EA52" w14:paraId="0A65D2C3" w14:textId="1372494D">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107EA52">
        <w:rPr>
          <w:rFonts w:ascii="Arial" w:hAnsi="Arial" w:eastAsia="Arial" w:cs="Arial"/>
          <w:b w:val="0"/>
          <w:bCs w:val="0"/>
          <w:noProof w:val="0"/>
          <w:color w:val="auto"/>
          <w:sz w:val="24"/>
          <w:szCs w:val="24"/>
          <w:lang w:val="en-GB"/>
        </w:rPr>
        <w:t xml:space="preserve">Significant investment should be prioritised in three areas: (1) </w:t>
      </w:r>
      <w:r w:rsidRPr="00C9A62E" w:rsidR="3107EA52">
        <w:rPr>
          <w:rFonts w:ascii="Arial" w:hAnsi="Arial" w:eastAsia="Arial" w:cs="Arial"/>
          <w:b w:val="0"/>
          <w:bCs w:val="0"/>
          <w:noProof w:val="0"/>
          <w:color w:val="auto"/>
          <w:sz w:val="24"/>
          <w:szCs w:val="24"/>
          <w:lang w:val="en-GB"/>
        </w:rPr>
        <w:t>local content creation; (2)</w:t>
      </w:r>
      <w:r w:rsidRPr="00C9A62E" w:rsidR="3107EA52">
        <w:rPr>
          <w:rFonts w:ascii="Arial" w:hAnsi="Arial" w:eastAsia="Arial" w:cs="Arial"/>
          <w:b w:val="0"/>
          <w:bCs w:val="0"/>
          <w:noProof w:val="0"/>
          <w:color w:val="auto"/>
          <w:sz w:val="24"/>
          <w:szCs w:val="24"/>
          <w:lang w:val="en-GB"/>
        </w:rPr>
        <w:t xml:space="preserve"> user-experience localisation; and (3) mobile-first features, to align with China's interactive viewing culture as highlighted by Zhuge (2018). Platform optimisation and compliance systems must be implemented from the beginning to lower regulatory risk.</w:t>
      </w:r>
    </w:p>
    <w:p w:rsidR="3107EA52" w:rsidP="00C9A62E" w:rsidRDefault="3107EA52" w14:paraId="1BFD609F" w14:textId="5399ED59">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107EA52">
        <w:rPr>
          <w:rFonts w:ascii="Arial" w:hAnsi="Arial" w:eastAsia="Arial" w:cs="Arial"/>
          <w:b w:val="0"/>
          <w:bCs w:val="0"/>
          <w:noProof w:val="0"/>
          <w:color w:val="auto"/>
          <w:sz w:val="24"/>
          <w:szCs w:val="24"/>
          <w:lang w:val="en-GB"/>
        </w:rPr>
        <w:t xml:space="preserve">The financial approach should be phased and conservative, with break-even expected by Year 5. Netflix should </w:t>
      </w:r>
      <w:r w:rsidRPr="00C9A62E" w:rsidR="3107EA52">
        <w:rPr>
          <w:rFonts w:ascii="Arial" w:hAnsi="Arial" w:eastAsia="Arial" w:cs="Arial"/>
          <w:b w:val="0"/>
          <w:bCs w:val="0"/>
          <w:noProof w:val="0"/>
          <w:color w:val="auto"/>
          <w:sz w:val="24"/>
          <w:szCs w:val="24"/>
          <w:lang w:val="en-GB"/>
        </w:rPr>
        <w:t>monitor</w:t>
      </w:r>
      <w:r w:rsidRPr="00C9A62E" w:rsidR="3107EA52">
        <w:rPr>
          <w:rFonts w:ascii="Arial" w:hAnsi="Arial" w:eastAsia="Arial" w:cs="Arial"/>
          <w:b w:val="0"/>
          <w:bCs w:val="0"/>
          <w:noProof w:val="0"/>
          <w:color w:val="auto"/>
          <w:sz w:val="24"/>
          <w:szCs w:val="24"/>
          <w:lang w:val="en-GB"/>
        </w:rPr>
        <w:t xml:space="preserve"> performance using the Balanced Scorecard, with emphasis on customer engagement and regulatory compliance. To succeed, Netflix must prioritise deep localisation, strong partnerships, and disciplined financial and strategic management.</w:t>
      </w:r>
    </w:p>
    <w:p w:rsidR="3107EA52" w:rsidP="00C9A62E" w:rsidRDefault="3107EA52" w14:paraId="3934BC0C" w14:textId="72DEE2F6">
      <w:pPr>
        <w:pStyle w:val="Heading1"/>
        <w:spacing w:line="360" w:lineRule="auto"/>
        <w:jc w:val="both"/>
        <w:rPr>
          <w:rFonts w:ascii="Arial" w:hAnsi="Arial" w:eastAsia="Arial" w:cs="Arial"/>
          <w:b w:val="0"/>
          <w:bCs w:val="0"/>
          <w:noProof w:val="0"/>
          <w:color w:val="auto"/>
          <w:sz w:val="24"/>
          <w:szCs w:val="24"/>
          <w:lang w:val="en-GB"/>
        </w:rPr>
      </w:pPr>
      <w:bookmarkStart w:name="_Toc1318971012" w:id="873560407"/>
      <w:r w:rsidRPr="00C9A62E" w:rsidR="3107EA52">
        <w:rPr>
          <w:rFonts w:ascii="Arial" w:hAnsi="Arial" w:eastAsia="Arial" w:cs="Arial"/>
          <w:b w:val="0"/>
          <w:bCs w:val="0"/>
          <w:noProof w:val="0"/>
          <w:color w:val="auto"/>
          <w:sz w:val="24"/>
          <w:szCs w:val="24"/>
          <w:lang w:val="en-GB"/>
        </w:rPr>
        <w:t>Conclusion</w:t>
      </w:r>
      <w:bookmarkEnd w:id="873560407"/>
      <w:r w:rsidRPr="00C9A62E" w:rsidR="3107EA52">
        <w:rPr>
          <w:rFonts w:ascii="Arial" w:hAnsi="Arial" w:eastAsia="Arial" w:cs="Arial"/>
          <w:b w:val="0"/>
          <w:bCs w:val="0"/>
          <w:noProof w:val="0"/>
          <w:color w:val="auto"/>
          <w:sz w:val="24"/>
          <w:szCs w:val="24"/>
          <w:lang w:val="en-GB"/>
        </w:rPr>
        <w:t xml:space="preserve"> </w:t>
      </w:r>
    </w:p>
    <w:p w:rsidR="3107EA52" w:rsidP="00C9A62E" w:rsidRDefault="3107EA52" w14:paraId="747B7C7B" w14:textId="418BD563">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107EA52">
        <w:rPr>
          <w:rFonts w:ascii="Arial" w:hAnsi="Arial" w:eastAsia="Arial" w:cs="Arial"/>
          <w:b w:val="0"/>
          <w:bCs w:val="0"/>
          <w:noProof w:val="0"/>
          <w:color w:val="auto"/>
          <w:sz w:val="24"/>
          <w:szCs w:val="24"/>
          <w:lang w:val="en-GB"/>
        </w:rPr>
        <w:t xml:space="preserve">China is one of the world’s largest and most dynamic streaming markets, but it is also among the most challenging due to regulatory barriers, entrenched domestic competitors, and unique consumer behaviours. Through the external and internal audits, </w:t>
      </w:r>
      <w:r w:rsidRPr="00C9A62E" w:rsidR="0EAEFA51">
        <w:rPr>
          <w:rFonts w:ascii="Arial" w:hAnsi="Arial" w:eastAsia="Arial" w:cs="Arial"/>
          <w:b w:val="0"/>
          <w:bCs w:val="0"/>
          <w:noProof w:val="0"/>
          <w:color w:val="auto"/>
          <w:sz w:val="24"/>
          <w:szCs w:val="24"/>
          <w:lang w:val="en-GB"/>
        </w:rPr>
        <w:t>Netflix’s</w:t>
      </w:r>
      <w:r w:rsidRPr="00C9A62E" w:rsidR="3107EA52">
        <w:rPr>
          <w:rFonts w:ascii="Arial" w:hAnsi="Arial" w:eastAsia="Arial" w:cs="Arial"/>
          <w:b w:val="0"/>
          <w:bCs w:val="0"/>
          <w:noProof w:val="0"/>
          <w:color w:val="auto"/>
          <w:sz w:val="24"/>
          <w:szCs w:val="24"/>
          <w:lang w:val="en-GB"/>
        </w:rPr>
        <w:t xml:space="preserve"> strengths in global content production, technological innovation, and brand reputation provide a solid foundation, yet they must be carefully adapted to China’s political, cultural, and digital landscape.</w:t>
      </w:r>
    </w:p>
    <w:p w:rsidR="3107EA52" w:rsidP="00C9A62E" w:rsidRDefault="3107EA52" w14:paraId="254DF239" w14:textId="407A32C4">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107EA52">
        <w:rPr>
          <w:rFonts w:ascii="Arial" w:hAnsi="Arial" w:eastAsia="Arial" w:cs="Arial"/>
          <w:b w:val="0"/>
          <w:bCs w:val="0"/>
          <w:noProof w:val="0"/>
          <w:color w:val="auto"/>
          <w:sz w:val="24"/>
          <w:szCs w:val="24"/>
          <w:lang w:val="en-GB"/>
        </w:rPr>
        <w:t xml:space="preserve">The recommended joint venture entry model, supported by a focused differentiation strategy, allows Netflix to </w:t>
      </w:r>
      <w:r w:rsidRPr="00C9A62E" w:rsidR="3107EA52">
        <w:rPr>
          <w:rFonts w:ascii="Arial" w:hAnsi="Arial" w:eastAsia="Arial" w:cs="Arial"/>
          <w:b w:val="0"/>
          <w:bCs w:val="0"/>
          <w:noProof w:val="0"/>
          <w:color w:val="auto"/>
          <w:sz w:val="24"/>
          <w:szCs w:val="24"/>
          <w:lang w:val="en-GB"/>
        </w:rPr>
        <w:t>leverage</w:t>
      </w:r>
      <w:r w:rsidRPr="00C9A62E" w:rsidR="3107EA52">
        <w:rPr>
          <w:rFonts w:ascii="Arial" w:hAnsi="Arial" w:eastAsia="Arial" w:cs="Arial"/>
          <w:b w:val="0"/>
          <w:bCs w:val="0"/>
          <w:noProof w:val="0"/>
          <w:color w:val="auto"/>
          <w:sz w:val="24"/>
          <w:szCs w:val="24"/>
          <w:lang w:val="en-GB"/>
        </w:rPr>
        <w:t xml:space="preserve"> its competitive capabilities while mitigating risk. The financial plan </w:t>
      </w:r>
      <w:r w:rsidRPr="00C9A62E" w:rsidR="3107EA52">
        <w:rPr>
          <w:rFonts w:ascii="Arial" w:hAnsi="Arial" w:eastAsia="Arial" w:cs="Arial"/>
          <w:b w:val="0"/>
          <w:bCs w:val="0"/>
          <w:noProof w:val="0"/>
          <w:color w:val="auto"/>
          <w:sz w:val="24"/>
          <w:szCs w:val="24"/>
          <w:lang w:val="en-GB"/>
        </w:rPr>
        <w:t>demonstrates</w:t>
      </w:r>
      <w:r w:rsidRPr="00C9A62E" w:rsidR="3107EA52">
        <w:rPr>
          <w:rFonts w:ascii="Arial" w:hAnsi="Arial" w:eastAsia="Arial" w:cs="Arial"/>
          <w:b w:val="0"/>
          <w:bCs w:val="0"/>
          <w:noProof w:val="0"/>
          <w:color w:val="auto"/>
          <w:sz w:val="24"/>
          <w:szCs w:val="24"/>
          <w:lang w:val="en-GB"/>
        </w:rPr>
        <w:t xml:space="preserve"> that while short-term costs are high, long-term profitability is achievable with disciplined investment and strong localisation execution.</w:t>
      </w:r>
    </w:p>
    <w:p w:rsidR="3107EA52" w:rsidP="00C9A62E" w:rsidRDefault="3107EA52" w14:paraId="054A5160" w14:textId="1B8F0D28">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3107EA52">
        <w:rPr>
          <w:rFonts w:ascii="Arial" w:hAnsi="Arial" w:eastAsia="Arial" w:cs="Arial"/>
          <w:b w:val="0"/>
          <w:bCs w:val="0"/>
          <w:noProof w:val="0"/>
          <w:color w:val="auto"/>
          <w:sz w:val="24"/>
          <w:szCs w:val="24"/>
          <w:lang w:val="en-GB"/>
        </w:rPr>
        <w:t>With a robust evaluation and control system in place, Netflix can position itself for sustainable success in China by delivering premium, culturally resonant content and a superior digital experience tailored to local preferences.</w:t>
      </w:r>
    </w:p>
    <w:p w:rsidR="00C9A62E" w:rsidP="00C9A62E" w:rsidRDefault="00C9A62E" w14:paraId="13213930" w14:textId="1D8D30A3">
      <w:pPr>
        <w:pStyle w:val="Normal"/>
        <w:spacing w:line="360" w:lineRule="auto"/>
        <w:jc w:val="both"/>
        <w:rPr>
          <w:rFonts w:ascii="Arial" w:hAnsi="Arial" w:eastAsia="Arial" w:cs="Arial"/>
          <w:b w:val="0"/>
          <w:bCs w:val="0"/>
          <w:noProof w:val="0"/>
          <w:color w:val="auto"/>
          <w:sz w:val="24"/>
          <w:szCs w:val="24"/>
          <w:lang w:val="en-GB"/>
        </w:rPr>
      </w:pPr>
    </w:p>
    <w:p w:rsidR="00A129D7" w:rsidP="00C9A62E" w:rsidRDefault="00A129D7" w14:paraId="488D8781" w14:textId="0FBC3E11">
      <w:pPr>
        <w:pStyle w:val="Normal"/>
        <w:spacing w:line="360" w:lineRule="auto"/>
        <w:jc w:val="both"/>
        <w:rPr>
          <w:rFonts w:ascii="Arial" w:hAnsi="Arial" w:eastAsia="Arial" w:cs="Arial"/>
          <w:b w:val="0"/>
          <w:bCs w:val="0"/>
          <w:color w:val="auto"/>
          <w:sz w:val="24"/>
          <w:szCs w:val="24"/>
        </w:rPr>
      </w:pPr>
    </w:p>
    <w:p w:rsidR="00C9A62E" w:rsidP="00C9A62E" w:rsidRDefault="00C9A62E" w14:paraId="113ECA7D" w14:textId="119D0F26">
      <w:pPr>
        <w:pStyle w:val="Normal"/>
      </w:pPr>
    </w:p>
    <w:p w:rsidR="20DC2CAB" w:rsidP="00C9A62E" w:rsidRDefault="20DC2CAB" w14:paraId="40AF5415" w14:textId="02426BF0">
      <w:pPr>
        <w:pStyle w:val="Heading1"/>
        <w:spacing w:line="360" w:lineRule="auto"/>
        <w:jc w:val="both"/>
        <w:rPr>
          <w:rFonts w:ascii="Arial" w:hAnsi="Arial" w:eastAsia="Arial" w:cs="Arial"/>
          <w:b w:val="0"/>
          <w:bCs w:val="0"/>
          <w:color w:val="auto"/>
          <w:sz w:val="24"/>
          <w:szCs w:val="24"/>
        </w:rPr>
      </w:pPr>
      <w:bookmarkStart w:name="_Toc1889301012" w:id="773008853"/>
      <w:r w:rsidRPr="00C9A62E" w:rsidR="20DC2CAB">
        <w:rPr>
          <w:rFonts w:ascii="Arial" w:hAnsi="Arial" w:eastAsia="Arial" w:cs="Arial"/>
          <w:b w:val="0"/>
          <w:bCs w:val="0"/>
          <w:color w:val="auto"/>
          <w:sz w:val="24"/>
          <w:szCs w:val="24"/>
        </w:rPr>
        <w:t>References</w:t>
      </w:r>
      <w:bookmarkEnd w:id="773008853"/>
    </w:p>
    <w:p w:rsidR="68F8EE92" w:rsidP="00C9A62E" w:rsidRDefault="68F8EE92" w14:paraId="0FDBFAA5" w14:textId="78341DB0">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68F8EE92">
        <w:rPr>
          <w:rFonts w:ascii="Arial" w:hAnsi="Arial" w:eastAsia="Arial" w:cs="Arial"/>
          <w:b w:val="0"/>
          <w:bCs w:val="0"/>
          <w:noProof w:val="0"/>
          <w:color w:val="auto"/>
          <w:sz w:val="24"/>
          <w:szCs w:val="24"/>
          <w:lang w:val="en-GB"/>
        </w:rPr>
        <w:t xml:space="preserve">Asmar, A., </w:t>
      </w:r>
      <w:r w:rsidRPr="00C9A62E" w:rsidR="68F8EE92">
        <w:rPr>
          <w:rFonts w:ascii="Arial" w:hAnsi="Arial" w:eastAsia="Arial" w:cs="Arial"/>
          <w:b w:val="0"/>
          <w:bCs w:val="0"/>
          <w:noProof w:val="0"/>
          <w:color w:val="auto"/>
          <w:sz w:val="24"/>
          <w:szCs w:val="24"/>
          <w:lang w:val="en-GB"/>
        </w:rPr>
        <w:t>Raats</w:t>
      </w:r>
      <w:r w:rsidRPr="00C9A62E" w:rsidR="68F8EE92">
        <w:rPr>
          <w:rFonts w:ascii="Arial" w:hAnsi="Arial" w:eastAsia="Arial" w:cs="Arial"/>
          <w:b w:val="0"/>
          <w:bCs w:val="0"/>
          <w:noProof w:val="0"/>
          <w:color w:val="auto"/>
          <w:sz w:val="24"/>
          <w:szCs w:val="24"/>
          <w:lang w:val="en-GB"/>
        </w:rPr>
        <w:t xml:space="preserve">, T. and Van </w:t>
      </w:r>
      <w:r w:rsidRPr="00C9A62E" w:rsidR="68F8EE92">
        <w:rPr>
          <w:rFonts w:ascii="Arial" w:hAnsi="Arial" w:eastAsia="Arial" w:cs="Arial"/>
          <w:b w:val="0"/>
          <w:bCs w:val="0"/>
          <w:noProof w:val="0"/>
          <w:color w:val="auto"/>
          <w:sz w:val="24"/>
          <w:szCs w:val="24"/>
          <w:lang w:val="en-GB"/>
        </w:rPr>
        <w:t>Audenhove</w:t>
      </w:r>
      <w:r w:rsidRPr="00C9A62E" w:rsidR="68F8EE92">
        <w:rPr>
          <w:rFonts w:ascii="Arial" w:hAnsi="Arial" w:eastAsia="Arial" w:cs="Arial"/>
          <w:b w:val="0"/>
          <w:bCs w:val="0"/>
          <w:noProof w:val="0"/>
          <w:color w:val="auto"/>
          <w:sz w:val="24"/>
          <w:szCs w:val="24"/>
          <w:lang w:val="en-GB"/>
        </w:rPr>
        <w:t xml:space="preserve">, L. (2025) ‘Netflix and the </w:t>
      </w:r>
      <w:r w:rsidRPr="00C9A62E" w:rsidR="68F8EE92">
        <w:rPr>
          <w:rFonts w:ascii="Arial" w:hAnsi="Arial" w:eastAsia="Arial" w:cs="Arial"/>
          <w:b w:val="0"/>
          <w:bCs w:val="0"/>
          <w:noProof w:val="0"/>
          <w:color w:val="auto"/>
          <w:sz w:val="24"/>
          <w:szCs w:val="24"/>
          <w:lang w:val="en-GB"/>
        </w:rPr>
        <w:t>Transnationalisation</w:t>
      </w:r>
      <w:r w:rsidRPr="00C9A62E" w:rsidR="68F8EE92">
        <w:rPr>
          <w:rFonts w:ascii="Arial" w:hAnsi="Arial" w:eastAsia="Arial" w:cs="Arial"/>
          <w:b w:val="0"/>
          <w:bCs w:val="0"/>
          <w:noProof w:val="0"/>
          <w:color w:val="auto"/>
          <w:sz w:val="24"/>
          <w:szCs w:val="24"/>
          <w:lang w:val="en-GB"/>
        </w:rPr>
        <w:t xml:space="preserve"> of Teen Television’, </w:t>
      </w:r>
      <w:r w:rsidRPr="00C9A62E" w:rsidR="68F8EE92">
        <w:rPr>
          <w:rFonts w:ascii="Arial" w:hAnsi="Arial" w:eastAsia="Arial" w:cs="Arial"/>
          <w:b w:val="0"/>
          <w:bCs w:val="0"/>
          <w:i w:val="1"/>
          <w:iCs w:val="1"/>
          <w:noProof w:val="0"/>
          <w:color w:val="auto"/>
          <w:sz w:val="24"/>
          <w:szCs w:val="24"/>
          <w:lang w:val="en-GB"/>
        </w:rPr>
        <w:t>Television &amp; new media</w:t>
      </w:r>
      <w:r w:rsidRPr="00C9A62E" w:rsidR="68F8EE92">
        <w:rPr>
          <w:rFonts w:ascii="Arial" w:hAnsi="Arial" w:eastAsia="Arial" w:cs="Arial"/>
          <w:b w:val="0"/>
          <w:bCs w:val="0"/>
          <w:noProof w:val="0"/>
          <w:color w:val="auto"/>
          <w:sz w:val="24"/>
          <w:szCs w:val="24"/>
          <w:lang w:val="en-GB"/>
        </w:rPr>
        <w:t xml:space="preserve">, 26(5), pp. 552–569. Available at: </w:t>
      </w:r>
      <w:hyperlink r:id="R06d7e28105dc4080">
        <w:r w:rsidRPr="00C9A62E" w:rsidR="68F8EE92">
          <w:rPr>
            <w:rStyle w:val="Hyperlink"/>
            <w:rFonts w:ascii="Arial" w:hAnsi="Arial" w:eastAsia="Arial" w:cs="Arial"/>
            <w:b w:val="0"/>
            <w:bCs w:val="0"/>
            <w:noProof w:val="0"/>
            <w:color w:val="auto"/>
            <w:sz w:val="24"/>
            <w:szCs w:val="24"/>
            <w:lang w:val="en-GB"/>
          </w:rPr>
          <w:t>https://doi.org/10.1177/15274764241292334</w:t>
        </w:r>
      </w:hyperlink>
      <w:r w:rsidRPr="00C9A62E" w:rsidR="68F8EE92">
        <w:rPr>
          <w:rFonts w:ascii="Arial" w:hAnsi="Arial" w:eastAsia="Arial" w:cs="Arial"/>
          <w:b w:val="0"/>
          <w:bCs w:val="0"/>
          <w:noProof w:val="0"/>
          <w:color w:val="auto"/>
          <w:sz w:val="24"/>
          <w:szCs w:val="24"/>
          <w:lang w:val="en-GB"/>
        </w:rPr>
        <w:t>.</w:t>
      </w:r>
    </w:p>
    <w:p w:rsidR="00C9A62E" w:rsidP="00C9A62E" w:rsidRDefault="00C9A62E" w14:paraId="235EBADD" w14:textId="1D9D1EA1">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6B8F2139" w:rsidP="00C9A62E" w:rsidRDefault="6B8F2139" w14:paraId="46E3D73F" w14:textId="054BF709">
      <w:pPr>
        <w:spacing w:after="0" w:line="360" w:lineRule="auto"/>
        <w:jc w:val="both"/>
        <w:rPr>
          <w:rFonts w:ascii="Arial" w:hAnsi="Arial" w:eastAsia="Arial" w:cs="Arial"/>
          <w:noProof w:val="0"/>
          <w:color w:val="auto"/>
          <w:sz w:val="24"/>
          <w:szCs w:val="24"/>
          <w:lang w:val="en-GB"/>
        </w:rPr>
      </w:pPr>
      <w:r w:rsidRPr="00C9A62E" w:rsidR="6B8F2139">
        <w:rPr>
          <w:rFonts w:ascii="Arial" w:hAnsi="Arial" w:eastAsia="Arial" w:cs="Arial"/>
          <w:b w:val="0"/>
          <w:bCs w:val="0"/>
          <w:i w:val="0"/>
          <w:iCs w:val="0"/>
          <w:caps w:val="0"/>
          <w:smallCaps w:val="0"/>
          <w:noProof w:val="0"/>
          <w:color w:val="auto"/>
          <w:sz w:val="24"/>
          <w:szCs w:val="24"/>
          <w:lang w:val="en-GB"/>
        </w:rPr>
        <w:t xml:space="preserve">AZALIE, I.A.N. and KAMARULZAMAN, N.H. (2022) ‘DEVELOPMENT LINKAGES OF BRUNEI DARUSSALAM’S COFFEE AND TEA SECTOR: GLOBAL AND REGIONAL VALUE CHAIN PERSPECTIVES’, </w:t>
      </w:r>
      <w:r w:rsidRPr="00C9A62E" w:rsidR="6B8F2139">
        <w:rPr>
          <w:rFonts w:ascii="Arial" w:hAnsi="Arial" w:eastAsia="Arial" w:cs="Arial"/>
          <w:b w:val="0"/>
          <w:bCs w:val="0"/>
          <w:i w:val="1"/>
          <w:iCs w:val="1"/>
          <w:caps w:val="0"/>
          <w:smallCaps w:val="0"/>
          <w:noProof w:val="0"/>
          <w:color w:val="auto"/>
          <w:sz w:val="24"/>
          <w:szCs w:val="24"/>
          <w:lang w:val="en-GB"/>
        </w:rPr>
        <w:t>Journal of Business &amp; Economic Analysis</w:t>
      </w:r>
      <w:r w:rsidRPr="00C9A62E" w:rsidR="6B8F2139">
        <w:rPr>
          <w:rFonts w:ascii="Arial" w:hAnsi="Arial" w:eastAsia="Arial" w:cs="Arial"/>
          <w:b w:val="0"/>
          <w:bCs w:val="0"/>
          <w:i w:val="0"/>
          <w:iCs w:val="0"/>
          <w:caps w:val="0"/>
          <w:smallCaps w:val="0"/>
          <w:noProof w:val="0"/>
          <w:color w:val="auto"/>
          <w:sz w:val="24"/>
          <w:szCs w:val="24"/>
          <w:lang w:val="en-GB"/>
        </w:rPr>
        <w:t xml:space="preserve">, 5(3), pp. 255–279. Available at: </w:t>
      </w:r>
      <w:hyperlink r:id="R69fae00748b1491d">
        <w:r w:rsidRPr="00C9A62E" w:rsidR="6B8F2139">
          <w:rPr>
            <w:rStyle w:val="Hyperlink"/>
            <w:rFonts w:ascii="Arial" w:hAnsi="Arial" w:eastAsia="Arial" w:cs="Arial"/>
            <w:b w:val="0"/>
            <w:bCs w:val="0"/>
            <w:i w:val="0"/>
            <w:iCs w:val="0"/>
            <w:caps w:val="0"/>
            <w:smallCaps w:val="0"/>
            <w:strike w:val="0"/>
            <w:dstrike w:val="0"/>
            <w:noProof w:val="0"/>
            <w:color w:val="auto"/>
            <w:sz w:val="24"/>
            <w:szCs w:val="24"/>
            <w:lang w:val="en-GB"/>
          </w:rPr>
          <w:t>https://doi.org/10.1142/S2737566822500074</w:t>
        </w:r>
      </w:hyperlink>
      <w:r w:rsidRPr="00C9A62E" w:rsidR="6B8F2139">
        <w:rPr>
          <w:rFonts w:ascii="Arial" w:hAnsi="Arial" w:eastAsia="Arial" w:cs="Arial"/>
          <w:b w:val="0"/>
          <w:bCs w:val="0"/>
          <w:i w:val="0"/>
          <w:iCs w:val="0"/>
          <w:caps w:val="0"/>
          <w:smallCaps w:val="0"/>
          <w:noProof w:val="0"/>
          <w:color w:val="auto"/>
          <w:sz w:val="24"/>
          <w:szCs w:val="24"/>
          <w:lang w:val="en-GB"/>
        </w:rPr>
        <w:t xml:space="preserve">. </w:t>
      </w:r>
      <w:r w:rsidRPr="00C9A62E" w:rsidR="6B8F2139">
        <w:rPr>
          <w:rFonts w:ascii="Arial" w:hAnsi="Arial" w:eastAsia="Arial" w:cs="Arial"/>
          <w:noProof w:val="0"/>
          <w:color w:val="auto"/>
          <w:sz w:val="24"/>
          <w:szCs w:val="24"/>
          <w:lang w:val="en-GB"/>
        </w:rPr>
        <w:t xml:space="preserve"> </w:t>
      </w:r>
    </w:p>
    <w:p w:rsidR="00C9A62E" w:rsidP="00C9A62E" w:rsidRDefault="00C9A62E" w14:paraId="6EF49747" w14:textId="3CD7C516">
      <w:pPr>
        <w:spacing w:after="0" w:line="360" w:lineRule="auto"/>
        <w:jc w:val="both"/>
        <w:rPr>
          <w:rFonts w:ascii="Arial" w:hAnsi="Arial" w:eastAsia="Arial" w:cs="Arial"/>
          <w:noProof w:val="0"/>
          <w:color w:val="auto"/>
          <w:sz w:val="24"/>
          <w:szCs w:val="24"/>
          <w:lang w:val="en-GB"/>
        </w:rPr>
      </w:pPr>
    </w:p>
    <w:p w:rsidR="00A129D7" w:rsidP="00C9A62E" w:rsidRDefault="005B5479" w14:paraId="6EDCD498" w14:textId="30E4AFBB">
      <w:pPr>
        <w:spacing w:line="360" w:lineRule="auto"/>
        <w:jc w:val="both"/>
        <w:rPr>
          <w:rFonts w:ascii="Arial" w:hAnsi="Arial" w:eastAsia="Arial" w:cs="Arial"/>
          <w:b w:val="0"/>
          <w:bCs w:val="0"/>
          <w:color w:val="auto"/>
          <w:sz w:val="24"/>
          <w:szCs w:val="24"/>
        </w:rPr>
      </w:pPr>
      <w:r w:rsidRPr="00C9A62E" w:rsidR="351F7BF9">
        <w:rPr>
          <w:rFonts w:ascii="Arial" w:hAnsi="Arial" w:eastAsia="Arial" w:cs="Arial"/>
          <w:b w:val="0"/>
          <w:bCs w:val="0"/>
          <w:color w:val="auto"/>
          <w:sz w:val="24"/>
          <w:szCs w:val="24"/>
        </w:rPr>
        <w:t xml:space="preserve">Challa, S.D. and Jena, L.K. (2024) ‘Navigating Change and Adversity: A Case Study of Netflix’s Journey’, </w:t>
      </w:r>
      <w:r w:rsidRPr="00C9A62E" w:rsidR="351F7BF9">
        <w:rPr>
          <w:rFonts w:ascii="Arial" w:hAnsi="Arial" w:eastAsia="Arial" w:cs="Arial"/>
          <w:b w:val="0"/>
          <w:bCs w:val="0"/>
          <w:i w:val="1"/>
          <w:iCs w:val="1"/>
          <w:color w:val="auto"/>
          <w:sz w:val="24"/>
          <w:szCs w:val="24"/>
        </w:rPr>
        <w:t>Business perspectives and research</w:t>
      </w:r>
      <w:r w:rsidRPr="00C9A62E" w:rsidR="351F7BF9">
        <w:rPr>
          <w:rFonts w:ascii="Arial" w:hAnsi="Arial" w:eastAsia="Arial" w:cs="Arial"/>
          <w:b w:val="0"/>
          <w:bCs w:val="0"/>
          <w:color w:val="auto"/>
          <w:sz w:val="24"/>
          <w:szCs w:val="24"/>
        </w:rPr>
        <w:t xml:space="preserve"> [Preprint]. Available at: https://doi.org/10.1177/22785337241233035.</w:t>
      </w:r>
    </w:p>
    <w:p w:rsidRPr="00A129D7" w:rsidR="00A129D7" w:rsidP="00C9A62E" w:rsidRDefault="00A129D7" w14:paraId="03188ECC" w14:textId="14BE86A3">
      <w:pPr>
        <w:spacing w:line="360" w:lineRule="auto"/>
        <w:jc w:val="both"/>
        <w:rPr>
          <w:rFonts w:ascii="Arial" w:hAnsi="Arial" w:eastAsia="Arial" w:cs="Arial"/>
          <w:b w:val="0"/>
          <w:bCs w:val="0"/>
          <w:color w:val="auto"/>
          <w:sz w:val="24"/>
          <w:szCs w:val="24"/>
        </w:rPr>
      </w:pPr>
      <w:r w:rsidRPr="00C9A62E" w:rsidR="20DC2CAB">
        <w:rPr>
          <w:rFonts w:ascii="Arial" w:hAnsi="Arial" w:eastAsia="Arial" w:cs="Arial"/>
          <w:b w:val="0"/>
          <w:bCs w:val="0"/>
          <w:color w:val="auto"/>
          <w:sz w:val="24"/>
          <w:szCs w:val="24"/>
        </w:rPr>
        <w:t xml:space="preserve">Chatzoglou, P. </w:t>
      </w:r>
      <w:r w:rsidRPr="00C9A62E" w:rsidR="20DC2CAB">
        <w:rPr>
          <w:rFonts w:ascii="Arial" w:hAnsi="Arial" w:eastAsia="Arial" w:cs="Arial"/>
          <w:b w:val="0"/>
          <w:bCs w:val="0"/>
          <w:i w:val="1"/>
          <w:iCs w:val="1"/>
          <w:color w:val="auto"/>
          <w:sz w:val="24"/>
          <w:szCs w:val="24"/>
        </w:rPr>
        <w:t>et al.</w:t>
      </w:r>
      <w:r w:rsidRPr="00C9A62E" w:rsidR="20DC2CAB">
        <w:rPr>
          <w:rFonts w:ascii="Arial" w:hAnsi="Arial" w:eastAsia="Arial" w:cs="Arial"/>
          <w:b w:val="0"/>
          <w:bCs w:val="0"/>
          <w:color w:val="auto"/>
          <w:sz w:val="24"/>
          <w:szCs w:val="24"/>
        </w:rPr>
        <w:t xml:space="preserve"> (2018) ‘The role of firm-specific factors in the strategy-performance relationship: Revisiting the resource-based view of the firm and the VRIO framework’, </w:t>
      </w:r>
      <w:r w:rsidRPr="00C9A62E" w:rsidR="20DC2CAB">
        <w:rPr>
          <w:rFonts w:ascii="Arial" w:hAnsi="Arial" w:eastAsia="Arial" w:cs="Arial"/>
          <w:b w:val="0"/>
          <w:bCs w:val="0"/>
          <w:i w:val="1"/>
          <w:iCs w:val="1"/>
          <w:color w:val="auto"/>
          <w:sz w:val="24"/>
          <w:szCs w:val="24"/>
        </w:rPr>
        <w:t>Management research review</w:t>
      </w:r>
      <w:r w:rsidRPr="00C9A62E" w:rsidR="20DC2CAB">
        <w:rPr>
          <w:rFonts w:ascii="Arial" w:hAnsi="Arial" w:eastAsia="Arial" w:cs="Arial"/>
          <w:b w:val="0"/>
          <w:bCs w:val="0"/>
          <w:color w:val="auto"/>
          <w:sz w:val="24"/>
          <w:szCs w:val="24"/>
        </w:rPr>
        <w:t xml:space="preserve">, 41(1), pp. 46–73. Available at: </w:t>
      </w:r>
      <w:hyperlink r:id="Ra952c661db594932">
        <w:r w:rsidRPr="00C9A62E" w:rsidR="20DC2CAB">
          <w:rPr>
            <w:rStyle w:val="Hyperlink"/>
            <w:rFonts w:ascii="Arial" w:hAnsi="Arial" w:eastAsia="Arial" w:cs="Arial"/>
            <w:b w:val="0"/>
            <w:bCs w:val="0"/>
            <w:color w:val="auto"/>
            <w:sz w:val="24"/>
            <w:szCs w:val="24"/>
          </w:rPr>
          <w:t>https://doi.org/10.1108/MRR-10-2016-0243</w:t>
        </w:r>
      </w:hyperlink>
      <w:r w:rsidRPr="00C9A62E" w:rsidR="20DC2CAB">
        <w:rPr>
          <w:rFonts w:ascii="Arial" w:hAnsi="Arial" w:eastAsia="Arial" w:cs="Arial"/>
          <w:b w:val="0"/>
          <w:bCs w:val="0"/>
          <w:color w:val="auto"/>
          <w:sz w:val="24"/>
          <w:szCs w:val="24"/>
        </w:rPr>
        <w:t>.</w:t>
      </w:r>
    </w:p>
    <w:p w:rsidR="2C8884A0" w:rsidP="00C9A62E" w:rsidRDefault="2C8884A0" w14:paraId="7789207E" w14:textId="3AE4C09A">
      <w:pPr>
        <w:spacing w:before="0" w:beforeAutospacing="off" w:after="240" w:afterAutospacing="off" w:line="360" w:lineRule="auto"/>
        <w:jc w:val="both"/>
        <w:rPr>
          <w:rFonts w:ascii="Arial" w:hAnsi="Arial" w:eastAsia="Arial" w:cs="Arial"/>
          <w:b w:val="0"/>
          <w:bCs w:val="0"/>
          <w:noProof w:val="0"/>
          <w:color w:val="auto"/>
          <w:sz w:val="24"/>
          <w:szCs w:val="24"/>
          <w:lang w:val="en-GB"/>
        </w:rPr>
      </w:pPr>
      <w:r w:rsidRPr="00C9A62E" w:rsidR="2C8884A0">
        <w:rPr>
          <w:rFonts w:ascii="Arial" w:hAnsi="Arial" w:eastAsia="Arial" w:cs="Arial"/>
          <w:b w:val="0"/>
          <w:bCs w:val="0"/>
          <w:noProof w:val="0"/>
          <w:color w:val="auto"/>
          <w:sz w:val="24"/>
          <w:szCs w:val="24"/>
          <w:lang w:val="en-GB"/>
        </w:rPr>
        <w:t xml:space="preserve">Curry, D. (2025) </w:t>
      </w:r>
      <w:r w:rsidRPr="00C9A62E" w:rsidR="2C8884A0">
        <w:rPr>
          <w:rFonts w:ascii="Arial" w:hAnsi="Arial" w:eastAsia="Arial" w:cs="Arial"/>
          <w:b w:val="0"/>
          <w:bCs w:val="0"/>
          <w:i w:val="1"/>
          <w:iCs w:val="1"/>
          <w:noProof w:val="0"/>
          <w:color w:val="auto"/>
          <w:sz w:val="24"/>
          <w:szCs w:val="24"/>
          <w:lang w:val="en-GB"/>
        </w:rPr>
        <w:t>Netflix Revenue and Usage Statistics (2025)</w:t>
      </w:r>
      <w:r w:rsidRPr="00C9A62E" w:rsidR="2C8884A0">
        <w:rPr>
          <w:rFonts w:ascii="Arial" w:hAnsi="Arial" w:eastAsia="Arial" w:cs="Arial"/>
          <w:b w:val="0"/>
          <w:bCs w:val="0"/>
          <w:noProof w:val="0"/>
          <w:color w:val="auto"/>
          <w:sz w:val="24"/>
          <w:szCs w:val="24"/>
          <w:lang w:val="en-GB"/>
        </w:rPr>
        <w:t xml:space="preserve">. Available at: </w:t>
      </w:r>
      <w:hyperlink r:id="Ra66288a64a5b4a94">
        <w:r w:rsidRPr="00C9A62E" w:rsidR="2C8884A0">
          <w:rPr>
            <w:rStyle w:val="Hyperlink"/>
            <w:rFonts w:ascii="Arial" w:hAnsi="Arial" w:eastAsia="Arial" w:cs="Arial"/>
            <w:b w:val="0"/>
            <w:bCs w:val="0"/>
            <w:noProof w:val="0"/>
            <w:color w:val="auto"/>
            <w:sz w:val="24"/>
            <w:szCs w:val="24"/>
            <w:lang w:val="en-GB"/>
          </w:rPr>
          <w:t>https://www.businessofapps.com/data/netflix-statistics/</w:t>
        </w:r>
      </w:hyperlink>
      <w:r w:rsidRPr="00C9A62E" w:rsidR="2C8884A0">
        <w:rPr>
          <w:rFonts w:ascii="Arial" w:hAnsi="Arial" w:eastAsia="Arial" w:cs="Arial"/>
          <w:b w:val="0"/>
          <w:bCs w:val="0"/>
          <w:noProof w:val="0"/>
          <w:color w:val="auto"/>
          <w:sz w:val="24"/>
          <w:szCs w:val="24"/>
          <w:lang w:val="en-GB"/>
        </w:rPr>
        <w:t xml:space="preserve"> (Accessed: 25 November 2025).</w:t>
      </w:r>
    </w:p>
    <w:p w:rsidR="560C253B" w:rsidP="00C9A62E" w:rsidRDefault="560C253B" w14:paraId="26B66288" w14:textId="7D1B3C8D">
      <w:pPr>
        <w:spacing w:after="0" w:line="360" w:lineRule="auto"/>
        <w:jc w:val="both"/>
        <w:rPr>
          <w:rFonts w:ascii="Arial" w:hAnsi="Arial" w:eastAsia="Arial" w:cs="Arial"/>
          <w:b w:val="0"/>
          <w:bCs w:val="0"/>
          <w:i w:val="0"/>
          <w:iCs w:val="0"/>
          <w:caps w:val="0"/>
          <w:smallCaps w:val="0"/>
          <w:noProof w:val="0"/>
          <w:color w:val="auto"/>
          <w:sz w:val="24"/>
          <w:szCs w:val="24"/>
          <w:lang w:val="en-GB"/>
        </w:rPr>
      </w:pPr>
      <w:r w:rsidRPr="00C9A62E" w:rsidR="560C253B">
        <w:rPr>
          <w:rFonts w:ascii="Arial" w:hAnsi="Arial" w:eastAsia="Arial" w:cs="Arial"/>
          <w:b w:val="0"/>
          <w:bCs w:val="0"/>
          <w:i w:val="0"/>
          <w:iCs w:val="0"/>
          <w:caps w:val="0"/>
          <w:smallCaps w:val="0"/>
          <w:noProof w:val="0"/>
          <w:color w:val="auto"/>
          <w:sz w:val="24"/>
          <w:szCs w:val="24"/>
          <w:lang w:val="en-GB"/>
        </w:rPr>
        <w:t xml:space="preserve">de Sousa, G.C. and Castañeda-Ayarza, J.A. (2022) ‘PESTEL analysis and the macro-environmental factors that influence the development of the electric and hybrid vehicles industry in Brazil’, </w:t>
      </w:r>
      <w:r w:rsidRPr="00C9A62E" w:rsidR="560C253B">
        <w:rPr>
          <w:rFonts w:ascii="Arial" w:hAnsi="Arial" w:eastAsia="Arial" w:cs="Arial"/>
          <w:b w:val="0"/>
          <w:bCs w:val="0"/>
          <w:i w:val="1"/>
          <w:iCs w:val="1"/>
          <w:caps w:val="0"/>
          <w:smallCaps w:val="0"/>
          <w:noProof w:val="0"/>
          <w:color w:val="auto"/>
          <w:sz w:val="24"/>
          <w:szCs w:val="24"/>
          <w:lang w:val="en-GB"/>
        </w:rPr>
        <w:t>Case studies on transport policy</w:t>
      </w:r>
      <w:r w:rsidRPr="00C9A62E" w:rsidR="560C253B">
        <w:rPr>
          <w:rFonts w:ascii="Arial" w:hAnsi="Arial" w:eastAsia="Arial" w:cs="Arial"/>
          <w:b w:val="0"/>
          <w:bCs w:val="0"/>
          <w:i w:val="0"/>
          <w:iCs w:val="0"/>
          <w:caps w:val="0"/>
          <w:smallCaps w:val="0"/>
          <w:noProof w:val="0"/>
          <w:color w:val="auto"/>
          <w:sz w:val="24"/>
          <w:szCs w:val="24"/>
          <w:lang w:val="en-GB"/>
        </w:rPr>
        <w:t xml:space="preserve">, 10(1), pp. 686–699. Available at: </w:t>
      </w:r>
      <w:hyperlink r:id="Re17c3e280e6a4bba">
        <w:r w:rsidRPr="00C9A62E" w:rsidR="560C253B">
          <w:rPr>
            <w:rStyle w:val="Hyperlink"/>
            <w:rFonts w:ascii="Arial" w:hAnsi="Arial" w:eastAsia="Arial" w:cs="Arial"/>
            <w:b w:val="0"/>
            <w:bCs w:val="0"/>
            <w:i w:val="0"/>
            <w:iCs w:val="0"/>
            <w:caps w:val="0"/>
            <w:smallCaps w:val="0"/>
            <w:strike w:val="0"/>
            <w:dstrike w:val="0"/>
            <w:noProof w:val="0"/>
            <w:color w:val="auto"/>
            <w:sz w:val="24"/>
            <w:szCs w:val="24"/>
            <w:lang w:val="en-GB"/>
          </w:rPr>
          <w:t>https://doi.org/10.1016/j.cstp.2022.01.030</w:t>
        </w:r>
      </w:hyperlink>
      <w:r w:rsidRPr="00C9A62E" w:rsidR="560C253B">
        <w:rPr>
          <w:rFonts w:ascii="Arial" w:hAnsi="Arial" w:eastAsia="Arial" w:cs="Arial"/>
          <w:b w:val="0"/>
          <w:bCs w:val="0"/>
          <w:i w:val="0"/>
          <w:iCs w:val="0"/>
          <w:caps w:val="0"/>
          <w:smallCaps w:val="0"/>
          <w:noProof w:val="0"/>
          <w:color w:val="auto"/>
          <w:sz w:val="24"/>
          <w:szCs w:val="24"/>
          <w:lang w:val="en-GB"/>
        </w:rPr>
        <w:t>.</w:t>
      </w:r>
    </w:p>
    <w:p w:rsidR="00C9A62E" w:rsidP="00C9A62E" w:rsidRDefault="00C9A62E" w14:paraId="469AC260" w14:textId="59417B91">
      <w:pPr>
        <w:spacing w:after="0" w:line="360" w:lineRule="auto"/>
        <w:jc w:val="both"/>
        <w:rPr>
          <w:rFonts w:ascii="Arial" w:hAnsi="Arial" w:eastAsia="Arial" w:cs="Arial"/>
          <w:b w:val="0"/>
          <w:bCs w:val="0"/>
          <w:i w:val="0"/>
          <w:iCs w:val="0"/>
          <w:caps w:val="0"/>
          <w:smallCaps w:val="0"/>
          <w:noProof w:val="0"/>
          <w:color w:val="auto"/>
          <w:sz w:val="24"/>
          <w:szCs w:val="24"/>
          <w:lang w:val="en-GB"/>
        </w:rPr>
      </w:pPr>
    </w:p>
    <w:p w:rsidR="54FECB6D" w:rsidP="00C9A62E" w:rsidRDefault="54FECB6D" w14:paraId="4FB145A0" w14:textId="13129B6B">
      <w:pPr>
        <w:spacing w:before="0" w:beforeAutospacing="off" w:after="0" w:afterAutospacing="off" w:line="360" w:lineRule="auto"/>
        <w:jc w:val="both"/>
        <w:rPr>
          <w:rFonts w:ascii="Arial" w:hAnsi="Arial" w:eastAsia="Arial" w:cs="Arial"/>
          <w:noProof w:val="0"/>
          <w:color w:val="auto"/>
          <w:sz w:val="24"/>
          <w:szCs w:val="24"/>
          <w:lang w:val="en-GB"/>
        </w:rPr>
      </w:pPr>
      <w:r w:rsidRPr="00C9A62E" w:rsidR="54FECB6D">
        <w:rPr>
          <w:rFonts w:ascii="Arial" w:hAnsi="Arial" w:eastAsia="Arial" w:cs="Arial"/>
          <w:noProof w:val="0"/>
          <w:color w:val="auto"/>
          <w:sz w:val="24"/>
          <w:szCs w:val="24"/>
          <w:lang w:val="en-GB"/>
        </w:rPr>
        <w:t xml:space="preserve">Dixit, A.S. (2024) ‘Exploring HR practitioner’s perspective on linking of employer branding and porter’s generic strategies: an alignment of business and HR strategy’, </w:t>
      </w:r>
      <w:r w:rsidRPr="00C9A62E" w:rsidR="54FECB6D">
        <w:rPr>
          <w:rFonts w:ascii="Arial" w:hAnsi="Arial" w:eastAsia="Arial" w:cs="Arial"/>
          <w:i w:val="1"/>
          <w:iCs w:val="1"/>
          <w:noProof w:val="0"/>
          <w:color w:val="auto"/>
          <w:sz w:val="24"/>
          <w:szCs w:val="24"/>
          <w:lang w:val="en-GB"/>
        </w:rPr>
        <w:t>International journal of organizational analysis (2005)</w:t>
      </w:r>
      <w:r w:rsidRPr="00C9A62E" w:rsidR="54FECB6D">
        <w:rPr>
          <w:rFonts w:ascii="Arial" w:hAnsi="Arial" w:eastAsia="Arial" w:cs="Arial"/>
          <w:noProof w:val="0"/>
          <w:color w:val="auto"/>
          <w:sz w:val="24"/>
          <w:szCs w:val="24"/>
          <w:lang w:val="en-GB"/>
        </w:rPr>
        <w:t xml:space="preserve">, 32(6), pp. 1060–1072. Available at: </w:t>
      </w:r>
      <w:hyperlink r:id="R5c9086155d8a42ea">
        <w:r w:rsidRPr="00C9A62E" w:rsidR="54FECB6D">
          <w:rPr>
            <w:rStyle w:val="Hyperlink"/>
            <w:rFonts w:ascii="Arial" w:hAnsi="Arial" w:eastAsia="Arial" w:cs="Arial"/>
            <w:noProof w:val="0"/>
            <w:color w:val="auto"/>
            <w:sz w:val="24"/>
            <w:szCs w:val="24"/>
            <w:lang w:val="en-GB"/>
          </w:rPr>
          <w:t>https://doi.org/10.1108/IJOA-02-2023-3635</w:t>
        </w:r>
      </w:hyperlink>
      <w:r w:rsidRPr="00C9A62E" w:rsidR="54FECB6D">
        <w:rPr>
          <w:rFonts w:ascii="Arial" w:hAnsi="Arial" w:eastAsia="Arial" w:cs="Arial"/>
          <w:noProof w:val="0"/>
          <w:color w:val="auto"/>
          <w:sz w:val="24"/>
          <w:szCs w:val="24"/>
          <w:lang w:val="en-GB"/>
        </w:rPr>
        <w:t>.</w:t>
      </w:r>
    </w:p>
    <w:p w:rsidR="00C9A62E" w:rsidP="00C9A62E" w:rsidRDefault="00C9A62E" w14:paraId="31E7229F" w14:textId="5D46B9B4">
      <w:pPr>
        <w:spacing w:after="0" w:line="360" w:lineRule="auto"/>
        <w:jc w:val="both"/>
        <w:rPr>
          <w:rFonts w:ascii="Arial" w:hAnsi="Arial" w:eastAsia="Arial" w:cs="Arial"/>
          <w:b w:val="0"/>
          <w:bCs w:val="0"/>
          <w:i w:val="0"/>
          <w:iCs w:val="0"/>
          <w:caps w:val="0"/>
          <w:smallCaps w:val="0"/>
          <w:noProof w:val="0"/>
          <w:color w:val="auto"/>
          <w:sz w:val="24"/>
          <w:szCs w:val="24"/>
          <w:lang w:val="en-GB"/>
        </w:rPr>
      </w:pPr>
    </w:p>
    <w:p w:rsidR="00C9A62E" w:rsidP="00C9A62E" w:rsidRDefault="00C9A62E" w14:paraId="4F7CBCB2" w14:textId="1147E7AD">
      <w:pPr>
        <w:spacing w:after="0" w:line="360" w:lineRule="auto"/>
        <w:jc w:val="both"/>
        <w:rPr>
          <w:rFonts w:ascii="Arial" w:hAnsi="Arial" w:eastAsia="Arial" w:cs="Arial"/>
          <w:b w:val="0"/>
          <w:bCs w:val="0"/>
          <w:i w:val="0"/>
          <w:iCs w:val="0"/>
          <w:caps w:val="0"/>
          <w:smallCaps w:val="0"/>
          <w:noProof w:val="0"/>
          <w:color w:val="auto"/>
          <w:sz w:val="24"/>
          <w:szCs w:val="24"/>
          <w:lang w:val="en-GB"/>
        </w:rPr>
      </w:pPr>
    </w:p>
    <w:p w:rsidR="2B8ACDEB" w:rsidP="00C9A62E" w:rsidRDefault="2B8ACDEB" w14:paraId="38BB305F" w14:textId="332DAB39">
      <w:pPr>
        <w:spacing w:before="0" w:beforeAutospacing="off" w:after="0" w:afterAutospacing="off" w:line="360" w:lineRule="auto"/>
        <w:jc w:val="both"/>
        <w:rPr>
          <w:rFonts w:ascii="Arial" w:hAnsi="Arial" w:eastAsia="Arial" w:cs="Arial"/>
          <w:noProof w:val="0"/>
          <w:color w:val="auto"/>
          <w:sz w:val="24"/>
          <w:szCs w:val="24"/>
          <w:lang w:val="en-GB"/>
        </w:rPr>
      </w:pPr>
      <w:r w:rsidRPr="00C9A62E" w:rsidR="2B8ACDEB">
        <w:rPr>
          <w:rFonts w:ascii="Arial" w:hAnsi="Arial" w:eastAsia="Arial" w:cs="Arial"/>
          <w:noProof w:val="0"/>
          <w:color w:val="auto"/>
          <w:sz w:val="24"/>
          <w:szCs w:val="24"/>
          <w:lang w:val="en-GB"/>
        </w:rPr>
        <w:t xml:space="preserve">Fisher, G., Wisneski, J.E. and Bakker, R.M. (2020) ‘VRIO’, in </w:t>
      </w:r>
      <w:r w:rsidRPr="00C9A62E" w:rsidR="2B8ACDEB">
        <w:rPr>
          <w:rFonts w:ascii="Arial" w:hAnsi="Arial" w:eastAsia="Arial" w:cs="Arial"/>
          <w:i w:val="1"/>
          <w:iCs w:val="1"/>
          <w:noProof w:val="0"/>
          <w:color w:val="auto"/>
          <w:sz w:val="24"/>
          <w:szCs w:val="24"/>
          <w:lang w:val="en-GB"/>
        </w:rPr>
        <w:t>Strategy in 3D</w:t>
      </w:r>
      <w:r w:rsidRPr="00C9A62E" w:rsidR="2B8ACDEB">
        <w:rPr>
          <w:rFonts w:ascii="Arial" w:hAnsi="Arial" w:eastAsia="Arial" w:cs="Arial"/>
          <w:noProof w:val="0"/>
          <w:color w:val="auto"/>
          <w:sz w:val="24"/>
          <w:szCs w:val="24"/>
          <w:lang w:val="en-GB"/>
        </w:rPr>
        <w:t xml:space="preserve">. New York: Oxford University Press. Available at: </w:t>
      </w:r>
      <w:hyperlink r:id="R10bdab8897e8473b">
        <w:r w:rsidRPr="00C9A62E" w:rsidR="2B8ACDEB">
          <w:rPr>
            <w:rStyle w:val="Hyperlink"/>
            <w:rFonts w:ascii="Arial" w:hAnsi="Arial" w:eastAsia="Arial" w:cs="Arial"/>
            <w:noProof w:val="0"/>
            <w:color w:val="auto"/>
            <w:sz w:val="24"/>
            <w:szCs w:val="24"/>
            <w:lang w:val="en-GB"/>
          </w:rPr>
          <w:t>https://doi.org/10.1093/oso/9780190081478.003.0009</w:t>
        </w:r>
      </w:hyperlink>
      <w:r w:rsidRPr="00C9A62E" w:rsidR="2B8ACDEB">
        <w:rPr>
          <w:rFonts w:ascii="Arial" w:hAnsi="Arial" w:eastAsia="Arial" w:cs="Arial"/>
          <w:noProof w:val="0"/>
          <w:color w:val="auto"/>
          <w:sz w:val="24"/>
          <w:szCs w:val="24"/>
          <w:lang w:val="en-GB"/>
        </w:rPr>
        <w:t>.</w:t>
      </w:r>
    </w:p>
    <w:p w:rsidR="00C9A62E" w:rsidP="00C9A62E" w:rsidRDefault="00C9A62E" w14:paraId="3582DF02" w14:textId="3DBC8FB1">
      <w:pPr>
        <w:spacing w:after="0" w:line="360" w:lineRule="auto"/>
        <w:jc w:val="both"/>
        <w:rPr>
          <w:rFonts w:ascii="Arial" w:hAnsi="Arial" w:eastAsia="Arial" w:cs="Arial"/>
          <w:b w:val="0"/>
          <w:bCs w:val="0"/>
          <w:i w:val="0"/>
          <w:iCs w:val="0"/>
          <w:caps w:val="0"/>
          <w:smallCaps w:val="0"/>
          <w:noProof w:val="0"/>
          <w:color w:val="auto"/>
          <w:sz w:val="24"/>
          <w:szCs w:val="24"/>
          <w:lang w:val="en-GB"/>
        </w:rPr>
      </w:pPr>
    </w:p>
    <w:p w:rsidR="0B7A9FDA" w:rsidP="00C9A62E" w:rsidRDefault="0B7A9FDA" w14:paraId="68BD751A" w14:textId="7FF7340E">
      <w:pPr>
        <w:spacing w:before="0" w:beforeAutospacing="off" w:after="0" w:afterAutospacing="off" w:line="360" w:lineRule="auto"/>
        <w:jc w:val="both"/>
        <w:rPr>
          <w:rFonts w:ascii="Arial" w:hAnsi="Arial" w:eastAsia="Arial" w:cs="Arial"/>
          <w:noProof w:val="0"/>
          <w:color w:val="auto"/>
          <w:sz w:val="24"/>
          <w:szCs w:val="24"/>
          <w:lang w:val="en-GB"/>
        </w:rPr>
      </w:pPr>
      <w:r w:rsidRPr="00C9A62E" w:rsidR="0B7A9FDA">
        <w:rPr>
          <w:rFonts w:ascii="Arial" w:hAnsi="Arial" w:eastAsia="Arial" w:cs="Arial"/>
          <w:noProof w:val="0"/>
          <w:color w:val="auto"/>
          <w:sz w:val="24"/>
          <w:szCs w:val="24"/>
          <w:lang w:val="en-GB"/>
        </w:rPr>
        <w:t xml:space="preserve">Frater, </w:t>
      </w:r>
      <w:r w:rsidRPr="00C9A62E" w:rsidR="0B7A9FDA">
        <w:rPr>
          <w:rFonts w:ascii="Arial" w:hAnsi="Arial" w:eastAsia="Arial" w:cs="Arial"/>
          <w:noProof w:val="0"/>
          <w:color w:val="auto"/>
          <w:sz w:val="24"/>
          <w:szCs w:val="24"/>
          <w:lang w:val="en-GB"/>
        </w:rPr>
        <w:t>P.</w:t>
      </w:r>
      <w:r w:rsidRPr="00C9A62E" w:rsidR="0B7A9FDA">
        <w:rPr>
          <w:rFonts w:ascii="Arial" w:hAnsi="Arial" w:eastAsia="Arial" w:cs="Arial"/>
          <w:noProof w:val="0"/>
          <w:color w:val="auto"/>
          <w:sz w:val="24"/>
          <w:szCs w:val="24"/>
          <w:lang w:val="en-GB"/>
        </w:rPr>
        <w:t xml:space="preserve"> and Ramachandran, N. (2018) ‘Asian Originals Take Market Pole Position’, </w:t>
      </w:r>
      <w:r w:rsidRPr="00C9A62E" w:rsidR="0B7A9FDA">
        <w:rPr>
          <w:rFonts w:ascii="Arial" w:hAnsi="Arial" w:eastAsia="Arial" w:cs="Arial"/>
          <w:i w:val="1"/>
          <w:iCs w:val="1"/>
          <w:noProof w:val="0"/>
          <w:color w:val="auto"/>
          <w:sz w:val="24"/>
          <w:szCs w:val="24"/>
          <w:lang w:val="en-GB"/>
        </w:rPr>
        <w:t>Variety</w:t>
      </w:r>
      <w:r w:rsidRPr="00C9A62E" w:rsidR="0B7A9FDA">
        <w:rPr>
          <w:rFonts w:ascii="Arial" w:hAnsi="Arial" w:eastAsia="Arial" w:cs="Arial"/>
          <w:noProof w:val="0"/>
          <w:color w:val="auto"/>
          <w:sz w:val="24"/>
          <w:szCs w:val="24"/>
          <w:lang w:val="en-GB"/>
        </w:rPr>
        <w:t>, pp. 146–148.</w:t>
      </w:r>
    </w:p>
    <w:p w:rsidR="00C9A62E" w:rsidP="00C9A62E" w:rsidRDefault="00C9A62E" w14:paraId="55B2CC40" w14:textId="1B6FBD07">
      <w:pPr>
        <w:spacing w:after="0" w:line="360" w:lineRule="auto"/>
        <w:jc w:val="both"/>
        <w:rPr>
          <w:rFonts w:ascii="Arial" w:hAnsi="Arial" w:eastAsia="Arial" w:cs="Arial"/>
          <w:b w:val="0"/>
          <w:bCs w:val="0"/>
          <w:i w:val="0"/>
          <w:iCs w:val="0"/>
          <w:caps w:val="0"/>
          <w:smallCaps w:val="0"/>
          <w:noProof w:val="0"/>
          <w:color w:val="auto"/>
          <w:sz w:val="24"/>
          <w:szCs w:val="24"/>
          <w:lang w:val="en-GB"/>
        </w:rPr>
      </w:pPr>
    </w:p>
    <w:p w:rsidR="0F9A7CDF" w:rsidP="00C9A62E" w:rsidRDefault="0F9A7CDF" w14:paraId="31722D6A" w14:textId="0F5D0851">
      <w:pPr>
        <w:spacing w:after="0" w:line="360" w:lineRule="auto"/>
        <w:jc w:val="both"/>
        <w:rPr>
          <w:rFonts w:ascii="Arial" w:hAnsi="Arial" w:eastAsia="Arial" w:cs="Arial"/>
          <w:b w:val="0"/>
          <w:bCs w:val="0"/>
          <w:color w:val="auto" w:themeColor="text1"/>
          <w:sz w:val="24"/>
          <w:szCs w:val="24"/>
        </w:rPr>
      </w:pPr>
      <w:r w:rsidRPr="00C9A62E" w:rsidR="57F1A0FE">
        <w:rPr>
          <w:rFonts w:ascii="Arial" w:hAnsi="Arial" w:eastAsia="Arial" w:cs="Arial"/>
          <w:b w:val="0"/>
          <w:bCs w:val="0"/>
          <w:color w:val="auto"/>
          <w:sz w:val="24"/>
          <w:szCs w:val="24"/>
        </w:rPr>
        <w:t>Gavurova</w:t>
      </w:r>
      <w:r w:rsidRPr="00C9A62E" w:rsidR="57F1A0FE">
        <w:rPr>
          <w:rFonts w:ascii="Arial" w:hAnsi="Arial" w:eastAsia="Arial" w:cs="Arial"/>
          <w:b w:val="0"/>
          <w:bCs w:val="0"/>
          <w:color w:val="auto"/>
          <w:sz w:val="24"/>
          <w:szCs w:val="24"/>
        </w:rPr>
        <w:t xml:space="preserve">, B. </w:t>
      </w:r>
      <w:r w:rsidRPr="00C9A62E" w:rsidR="57F1A0FE">
        <w:rPr>
          <w:rFonts w:ascii="Arial" w:hAnsi="Arial" w:eastAsia="Arial" w:cs="Arial"/>
          <w:b w:val="0"/>
          <w:bCs w:val="0"/>
          <w:i w:val="1"/>
          <w:iCs w:val="1"/>
          <w:color w:val="auto"/>
          <w:sz w:val="24"/>
          <w:szCs w:val="24"/>
        </w:rPr>
        <w:t>et al.</w:t>
      </w:r>
      <w:r w:rsidRPr="00C9A62E" w:rsidR="57F1A0FE">
        <w:rPr>
          <w:rFonts w:ascii="Arial" w:hAnsi="Arial" w:eastAsia="Arial" w:cs="Arial"/>
          <w:b w:val="0"/>
          <w:bCs w:val="0"/>
          <w:color w:val="auto"/>
          <w:sz w:val="24"/>
          <w:szCs w:val="24"/>
        </w:rPr>
        <w:t xml:space="preserve"> (2020) ‘Strategic Management in SMEs and Its Significance for Enhancing the Competitiveness in the V4 Countries - A Comparative Analysis’, </w:t>
      </w:r>
      <w:r w:rsidRPr="00C9A62E" w:rsidR="57F1A0FE">
        <w:rPr>
          <w:rFonts w:ascii="Arial" w:hAnsi="Arial" w:eastAsia="Arial" w:cs="Arial"/>
          <w:b w:val="0"/>
          <w:bCs w:val="0"/>
          <w:i w:val="1"/>
          <w:iCs w:val="1"/>
          <w:color w:val="auto"/>
          <w:sz w:val="24"/>
          <w:szCs w:val="24"/>
        </w:rPr>
        <w:t>Management &amp; marketing (Bucharest, Romania)</w:t>
      </w:r>
      <w:r w:rsidRPr="00C9A62E" w:rsidR="57F1A0FE">
        <w:rPr>
          <w:rFonts w:ascii="Arial" w:hAnsi="Arial" w:eastAsia="Arial" w:cs="Arial"/>
          <w:b w:val="0"/>
          <w:bCs w:val="0"/>
          <w:color w:val="auto"/>
          <w:sz w:val="24"/>
          <w:szCs w:val="24"/>
        </w:rPr>
        <w:t xml:space="preserve">, 15(4), pp. 557–569. Available at: </w:t>
      </w:r>
      <w:hyperlink r:id="R670dd7c0acc64a50">
        <w:r w:rsidRPr="00C9A62E" w:rsidR="57F1A0FE">
          <w:rPr>
            <w:rStyle w:val="Hyperlink"/>
            <w:rFonts w:ascii="Arial" w:hAnsi="Arial" w:eastAsia="Arial" w:cs="Arial"/>
            <w:b w:val="0"/>
            <w:bCs w:val="0"/>
            <w:color w:val="auto"/>
            <w:sz w:val="24"/>
            <w:szCs w:val="24"/>
          </w:rPr>
          <w:t>https://doi.org/10.2478/mmcks-2020-0032</w:t>
        </w:r>
      </w:hyperlink>
      <w:r w:rsidRPr="00C9A62E" w:rsidR="57F1A0FE">
        <w:rPr>
          <w:rFonts w:ascii="Arial" w:hAnsi="Arial" w:eastAsia="Arial" w:cs="Arial"/>
          <w:b w:val="0"/>
          <w:bCs w:val="0"/>
          <w:color w:val="auto"/>
          <w:sz w:val="24"/>
          <w:szCs w:val="24"/>
        </w:rPr>
        <w:t>.</w:t>
      </w:r>
    </w:p>
    <w:p w:rsidR="42748C50" w:rsidP="00C9A62E" w:rsidRDefault="42748C50" w14:paraId="65AE7E90" w14:textId="06B18989">
      <w:pPr>
        <w:spacing w:after="0" w:line="360" w:lineRule="auto"/>
        <w:jc w:val="both"/>
        <w:rPr>
          <w:rFonts w:ascii="Arial" w:hAnsi="Arial" w:eastAsia="Arial" w:cs="Arial"/>
          <w:b w:val="0"/>
          <w:bCs w:val="0"/>
          <w:color w:val="auto" w:themeColor="text1"/>
          <w:sz w:val="24"/>
          <w:szCs w:val="24"/>
        </w:rPr>
      </w:pPr>
    </w:p>
    <w:p w:rsidR="2AB82229" w:rsidP="00C9A62E" w:rsidRDefault="2AB82229" w14:paraId="67117FDD" w14:textId="67F03EDC">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2AB82229">
        <w:rPr>
          <w:rFonts w:ascii="Arial" w:hAnsi="Arial" w:eastAsia="Arial" w:cs="Arial"/>
          <w:b w:val="0"/>
          <w:bCs w:val="0"/>
          <w:noProof w:val="0"/>
          <w:color w:val="auto"/>
          <w:sz w:val="24"/>
          <w:szCs w:val="24"/>
          <w:lang w:val="en-GB"/>
        </w:rPr>
        <w:t xml:space="preserve">Jeffreys, </w:t>
      </w:r>
      <w:r w:rsidRPr="00C9A62E" w:rsidR="2AB82229">
        <w:rPr>
          <w:rFonts w:ascii="Arial" w:hAnsi="Arial" w:eastAsia="Arial" w:cs="Arial"/>
          <w:b w:val="0"/>
          <w:bCs w:val="0"/>
          <w:noProof w:val="0"/>
          <w:color w:val="auto"/>
          <w:sz w:val="24"/>
          <w:szCs w:val="24"/>
          <w:lang w:val="en-GB"/>
        </w:rPr>
        <w:t>E.</w:t>
      </w:r>
      <w:r w:rsidRPr="00C9A62E" w:rsidR="2AB82229">
        <w:rPr>
          <w:rFonts w:ascii="Arial" w:hAnsi="Arial" w:eastAsia="Arial" w:cs="Arial"/>
          <w:b w:val="0"/>
          <w:bCs w:val="0"/>
          <w:noProof w:val="0"/>
          <w:color w:val="auto"/>
          <w:sz w:val="24"/>
          <w:szCs w:val="24"/>
          <w:lang w:val="en-GB"/>
        </w:rPr>
        <w:t xml:space="preserve"> and Xu, J. (2023) ‘Indenturing Celebrity: Governing China’s Entertainment Industries’, </w:t>
      </w:r>
      <w:r w:rsidRPr="00C9A62E" w:rsidR="2AB82229">
        <w:rPr>
          <w:rFonts w:ascii="Arial" w:hAnsi="Arial" w:eastAsia="Arial" w:cs="Arial"/>
          <w:b w:val="0"/>
          <w:bCs w:val="0"/>
          <w:i w:val="1"/>
          <w:iCs w:val="1"/>
          <w:noProof w:val="0"/>
          <w:color w:val="auto"/>
          <w:sz w:val="24"/>
          <w:szCs w:val="24"/>
          <w:lang w:val="en-GB"/>
        </w:rPr>
        <w:t>Modern China</w:t>
      </w:r>
      <w:r w:rsidRPr="00C9A62E" w:rsidR="2AB82229">
        <w:rPr>
          <w:rFonts w:ascii="Arial" w:hAnsi="Arial" w:eastAsia="Arial" w:cs="Arial"/>
          <w:b w:val="0"/>
          <w:bCs w:val="0"/>
          <w:noProof w:val="0"/>
          <w:color w:val="auto"/>
          <w:sz w:val="24"/>
          <w:szCs w:val="24"/>
          <w:lang w:val="en-GB"/>
        </w:rPr>
        <w:t xml:space="preserve">, 49(5), pp. 564–588. Available at: </w:t>
      </w:r>
      <w:hyperlink r:id="R727e3ee988e946c0">
        <w:r w:rsidRPr="00C9A62E" w:rsidR="2AB82229">
          <w:rPr>
            <w:rStyle w:val="Hyperlink"/>
            <w:rFonts w:ascii="Arial" w:hAnsi="Arial" w:eastAsia="Arial" w:cs="Arial"/>
            <w:b w:val="0"/>
            <w:bCs w:val="0"/>
            <w:noProof w:val="0"/>
            <w:color w:val="auto"/>
            <w:sz w:val="24"/>
            <w:szCs w:val="24"/>
            <w:lang w:val="en-GB"/>
          </w:rPr>
          <w:t>https://doi.org/10.1177/00977004221133533</w:t>
        </w:r>
      </w:hyperlink>
      <w:r w:rsidRPr="00C9A62E" w:rsidR="2AB82229">
        <w:rPr>
          <w:rFonts w:ascii="Arial" w:hAnsi="Arial" w:eastAsia="Arial" w:cs="Arial"/>
          <w:b w:val="0"/>
          <w:bCs w:val="0"/>
          <w:noProof w:val="0"/>
          <w:color w:val="auto"/>
          <w:sz w:val="24"/>
          <w:szCs w:val="24"/>
          <w:lang w:val="en-GB"/>
        </w:rPr>
        <w:t>.</w:t>
      </w:r>
    </w:p>
    <w:p w:rsidR="00C9A62E" w:rsidP="00C9A62E" w:rsidRDefault="00C9A62E" w14:paraId="28919E63" w14:textId="51B851C6">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328ED4E4" w:rsidP="00C9A62E" w:rsidRDefault="328ED4E4" w14:paraId="6D36DDD8" w14:textId="342DCB81">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00C9A62E" w:rsidR="328ED4E4">
        <w:rPr>
          <w:rFonts w:ascii="Arial" w:hAnsi="Arial" w:eastAsia="Arial" w:cs="Arial"/>
          <w:b w:val="0"/>
          <w:bCs w:val="0"/>
          <w:i w:val="0"/>
          <w:iCs w:val="0"/>
          <w:caps w:val="0"/>
          <w:smallCaps w:val="0"/>
          <w:noProof w:val="0"/>
          <w:color w:val="auto"/>
          <w:sz w:val="24"/>
          <w:szCs w:val="24"/>
          <w:lang w:val="en-GB"/>
        </w:rPr>
        <w:t xml:space="preserve">Jia, L. and </w:t>
      </w:r>
      <w:r w:rsidRPr="00C9A62E" w:rsidR="328ED4E4">
        <w:rPr>
          <w:rFonts w:ascii="Arial" w:hAnsi="Arial" w:eastAsia="Arial" w:cs="Arial"/>
          <w:b w:val="0"/>
          <w:bCs w:val="0"/>
          <w:i w:val="0"/>
          <w:iCs w:val="0"/>
          <w:caps w:val="0"/>
          <w:smallCaps w:val="0"/>
          <w:noProof w:val="0"/>
          <w:color w:val="auto"/>
          <w:sz w:val="24"/>
          <w:szCs w:val="24"/>
          <w:lang w:val="en-GB"/>
        </w:rPr>
        <w:t>Winseck</w:t>
      </w:r>
      <w:r w:rsidRPr="00C9A62E" w:rsidR="328ED4E4">
        <w:rPr>
          <w:rFonts w:ascii="Arial" w:hAnsi="Arial" w:eastAsia="Arial" w:cs="Arial"/>
          <w:b w:val="0"/>
          <w:bCs w:val="0"/>
          <w:i w:val="0"/>
          <w:iCs w:val="0"/>
          <w:caps w:val="0"/>
          <w:smallCaps w:val="0"/>
          <w:noProof w:val="0"/>
          <w:color w:val="auto"/>
          <w:sz w:val="24"/>
          <w:szCs w:val="24"/>
          <w:lang w:val="en-GB"/>
        </w:rPr>
        <w:t xml:space="preserve">, D., 2018. The political economy of Chinese internet companies: Financialization, concentration, and capitalization. </w:t>
      </w:r>
      <w:r w:rsidRPr="00C9A62E" w:rsidR="328ED4E4">
        <w:rPr>
          <w:rFonts w:ascii="Arial" w:hAnsi="Arial" w:eastAsia="Arial" w:cs="Arial"/>
          <w:b w:val="0"/>
          <w:bCs w:val="0"/>
          <w:i w:val="1"/>
          <w:iCs w:val="1"/>
          <w:caps w:val="0"/>
          <w:smallCaps w:val="0"/>
          <w:noProof w:val="0"/>
          <w:color w:val="auto"/>
          <w:sz w:val="24"/>
          <w:szCs w:val="24"/>
          <w:lang w:val="en-GB"/>
        </w:rPr>
        <w:t>International Communication Gazette</w:t>
      </w:r>
      <w:r w:rsidRPr="00C9A62E" w:rsidR="328ED4E4">
        <w:rPr>
          <w:rFonts w:ascii="Arial" w:hAnsi="Arial" w:eastAsia="Arial" w:cs="Arial"/>
          <w:b w:val="0"/>
          <w:bCs w:val="0"/>
          <w:i w:val="0"/>
          <w:iCs w:val="0"/>
          <w:caps w:val="0"/>
          <w:smallCaps w:val="0"/>
          <w:noProof w:val="0"/>
          <w:color w:val="auto"/>
          <w:sz w:val="24"/>
          <w:szCs w:val="24"/>
          <w:lang w:val="en-GB"/>
        </w:rPr>
        <w:t xml:space="preserve">, </w:t>
      </w:r>
      <w:r w:rsidRPr="00C9A62E" w:rsidR="328ED4E4">
        <w:rPr>
          <w:rFonts w:ascii="Arial" w:hAnsi="Arial" w:eastAsia="Arial" w:cs="Arial"/>
          <w:b w:val="0"/>
          <w:bCs w:val="0"/>
          <w:i w:val="1"/>
          <w:iCs w:val="1"/>
          <w:caps w:val="0"/>
          <w:smallCaps w:val="0"/>
          <w:noProof w:val="0"/>
          <w:color w:val="auto"/>
          <w:sz w:val="24"/>
          <w:szCs w:val="24"/>
          <w:lang w:val="en-GB"/>
        </w:rPr>
        <w:t>80</w:t>
      </w:r>
      <w:r w:rsidRPr="00C9A62E" w:rsidR="328ED4E4">
        <w:rPr>
          <w:rFonts w:ascii="Arial" w:hAnsi="Arial" w:eastAsia="Arial" w:cs="Arial"/>
          <w:b w:val="0"/>
          <w:bCs w:val="0"/>
          <w:i w:val="0"/>
          <w:iCs w:val="0"/>
          <w:caps w:val="0"/>
          <w:smallCaps w:val="0"/>
          <w:noProof w:val="0"/>
          <w:color w:val="auto"/>
          <w:sz w:val="24"/>
          <w:szCs w:val="24"/>
          <w:lang w:val="en-GB"/>
        </w:rPr>
        <w:t>(1), pp.30-59.</w:t>
      </w:r>
    </w:p>
    <w:p w:rsidR="00C9A62E" w:rsidP="00C9A62E" w:rsidRDefault="00C9A62E" w14:paraId="14B3AC95" w14:textId="4FAF9B3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6BAC8A2C" w:rsidP="00C9A62E" w:rsidRDefault="6BAC8A2C" w14:paraId="3720FB0A" w14:textId="2EBE622D">
      <w:pPr>
        <w:spacing w:before="0" w:beforeAutospacing="off" w:after="240" w:afterAutospacing="off" w:line="360" w:lineRule="auto"/>
        <w:jc w:val="both"/>
        <w:rPr>
          <w:rFonts w:ascii="Arial" w:hAnsi="Arial" w:eastAsia="Arial" w:cs="Arial"/>
          <w:noProof w:val="0"/>
          <w:color w:val="auto"/>
          <w:sz w:val="24"/>
          <w:szCs w:val="24"/>
          <w:lang w:val="en-GB"/>
        </w:rPr>
      </w:pPr>
      <w:r w:rsidRPr="00C9A62E" w:rsidR="6BAC8A2C">
        <w:rPr>
          <w:rFonts w:ascii="Arial" w:hAnsi="Arial" w:eastAsia="Arial" w:cs="Arial"/>
          <w:noProof w:val="0"/>
          <w:color w:val="auto"/>
          <w:sz w:val="24"/>
          <w:szCs w:val="24"/>
          <w:lang w:val="en-GB"/>
        </w:rPr>
        <w:t>Komisarof</w:t>
      </w:r>
      <w:r w:rsidRPr="00C9A62E" w:rsidR="6BAC8A2C">
        <w:rPr>
          <w:rFonts w:ascii="Arial" w:hAnsi="Arial" w:eastAsia="Arial" w:cs="Arial"/>
          <w:noProof w:val="0"/>
          <w:color w:val="auto"/>
          <w:sz w:val="24"/>
          <w:szCs w:val="24"/>
          <w:lang w:val="en-GB"/>
        </w:rPr>
        <w:t xml:space="preserve">, A. and </w:t>
      </w:r>
      <w:r w:rsidRPr="00C9A62E" w:rsidR="6BAC8A2C">
        <w:rPr>
          <w:rFonts w:ascii="Arial" w:hAnsi="Arial" w:eastAsia="Arial" w:cs="Arial"/>
          <w:noProof w:val="0"/>
          <w:color w:val="auto"/>
          <w:sz w:val="24"/>
          <w:szCs w:val="24"/>
          <w:lang w:val="en-GB"/>
        </w:rPr>
        <w:t>Akaliyski</w:t>
      </w:r>
      <w:r w:rsidRPr="00C9A62E" w:rsidR="6BAC8A2C">
        <w:rPr>
          <w:rFonts w:ascii="Arial" w:hAnsi="Arial" w:eastAsia="Arial" w:cs="Arial"/>
          <w:noProof w:val="0"/>
          <w:color w:val="auto"/>
          <w:sz w:val="24"/>
          <w:szCs w:val="24"/>
          <w:lang w:val="en-GB"/>
        </w:rPr>
        <w:t xml:space="preserve"> , P. (2018) </w:t>
      </w:r>
      <w:r w:rsidRPr="00C9A62E" w:rsidR="6BAC8A2C">
        <w:rPr>
          <w:rFonts w:ascii="Arial" w:hAnsi="Arial" w:eastAsia="Arial" w:cs="Arial"/>
          <w:i w:val="1"/>
          <w:iCs w:val="1"/>
          <w:noProof w:val="0"/>
          <w:color w:val="auto"/>
          <w:sz w:val="24"/>
          <w:szCs w:val="24"/>
          <w:lang w:val="en-GB"/>
        </w:rPr>
        <w:t xml:space="preserve">New developments in Hofstede’s Individualism-Collectivism: A guide for scholars, educators, trainers, and </w:t>
      </w:r>
      <w:bookmarkStart w:name="_Int_n0AIzV0y" w:id="1489922178"/>
      <w:r w:rsidRPr="00C9A62E" w:rsidR="6BAC8A2C">
        <w:rPr>
          <w:rFonts w:ascii="Arial" w:hAnsi="Arial" w:eastAsia="Arial" w:cs="Arial"/>
          <w:i w:val="1"/>
          <w:iCs w:val="1"/>
          <w:noProof w:val="0"/>
          <w:color w:val="auto"/>
          <w:sz w:val="24"/>
          <w:szCs w:val="24"/>
          <w:lang w:val="en-GB"/>
        </w:rPr>
        <w:t>other</w:t>
      </w:r>
      <w:bookmarkEnd w:id="1489922178"/>
      <w:r w:rsidRPr="00C9A62E" w:rsidR="6BAC8A2C">
        <w:rPr>
          <w:rFonts w:ascii="Arial" w:hAnsi="Arial" w:eastAsia="Arial" w:cs="Arial"/>
          <w:i w:val="1"/>
          <w:iCs w:val="1"/>
          <w:noProof w:val="0"/>
          <w:color w:val="auto"/>
          <w:sz w:val="24"/>
          <w:szCs w:val="24"/>
          <w:lang w:val="en-GB"/>
        </w:rPr>
        <w:t xml:space="preserve"> practitioner</w:t>
      </w:r>
      <w:r w:rsidRPr="00C9A62E" w:rsidR="6BAC8A2C">
        <w:rPr>
          <w:rFonts w:ascii="Arial" w:hAnsi="Arial" w:eastAsia="Arial" w:cs="Arial"/>
          <w:noProof w:val="0"/>
          <w:color w:val="auto"/>
          <w:sz w:val="24"/>
          <w:szCs w:val="24"/>
          <w:lang w:val="en-GB"/>
        </w:rPr>
        <w:t xml:space="preserve">, </w:t>
      </w:r>
      <w:r w:rsidRPr="00C9A62E" w:rsidR="6BAC8A2C">
        <w:rPr>
          <w:rFonts w:ascii="Arial" w:hAnsi="Arial" w:eastAsia="Arial" w:cs="Arial"/>
          <w:i w:val="1"/>
          <w:iCs w:val="1"/>
          <w:noProof w:val="0"/>
          <w:color w:val="auto"/>
          <w:sz w:val="24"/>
          <w:szCs w:val="24"/>
          <w:lang w:val="en-GB"/>
        </w:rPr>
        <w:t>Theculturefactor.com</w:t>
      </w:r>
      <w:r w:rsidRPr="00C9A62E" w:rsidR="6BAC8A2C">
        <w:rPr>
          <w:rFonts w:ascii="Arial" w:hAnsi="Arial" w:eastAsia="Arial" w:cs="Arial"/>
          <w:noProof w:val="0"/>
          <w:color w:val="auto"/>
          <w:sz w:val="24"/>
          <w:szCs w:val="24"/>
          <w:lang w:val="en-GB"/>
        </w:rPr>
        <w:t xml:space="preserve">. Available at: </w:t>
      </w:r>
      <w:hyperlink r:id="R316a42b781214633">
        <w:r w:rsidRPr="00C9A62E" w:rsidR="6BAC8A2C">
          <w:rPr>
            <w:rStyle w:val="Hyperlink"/>
            <w:rFonts w:ascii="Arial" w:hAnsi="Arial" w:eastAsia="Arial" w:cs="Arial"/>
            <w:noProof w:val="0"/>
            <w:color w:val="auto"/>
            <w:sz w:val="24"/>
            <w:szCs w:val="24"/>
            <w:lang w:val="en-GB"/>
          </w:rPr>
          <w:t>https://www.theculturefactor.com/resources/peer-reviewed-research/new-developments-in-hofstedes-individualism-collectivism-a-guide-for-scholars-educators-trainers-and-other-practitioner</w:t>
        </w:r>
      </w:hyperlink>
      <w:r w:rsidRPr="00C9A62E" w:rsidR="6BAC8A2C">
        <w:rPr>
          <w:rFonts w:ascii="Arial" w:hAnsi="Arial" w:eastAsia="Arial" w:cs="Arial"/>
          <w:noProof w:val="0"/>
          <w:color w:val="auto"/>
          <w:sz w:val="24"/>
          <w:szCs w:val="24"/>
          <w:lang w:val="en-GB"/>
        </w:rPr>
        <w:t>.</w:t>
      </w:r>
    </w:p>
    <w:p w:rsidR="00C9A62E" w:rsidP="00C9A62E" w:rsidRDefault="00C9A62E" w14:paraId="269CE47A" w14:textId="3F94B90D">
      <w:pPr>
        <w:spacing w:after="0" w:line="360" w:lineRule="auto"/>
        <w:jc w:val="both"/>
        <w:rPr>
          <w:rFonts w:ascii="Arial" w:hAnsi="Arial" w:eastAsia="Arial" w:cs="Arial"/>
          <w:b w:val="0"/>
          <w:bCs w:val="0"/>
          <w:color w:val="auto"/>
          <w:sz w:val="24"/>
          <w:szCs w:val="24"/>
        </w:rPr>
      </w:pPr>
    </w:p>
    <w:p w:rsidR="24C5A962" w:rsidP="00C9A62E" w:rsidRDefault="24C5A962" w14:paraId="22E428B9" w14:textId="440C8D2B">
      <w:pPr>
        <w:spacing w:before="0" w:beforeAutospacing="off" w:after="0" w:afterAutospacing="off" w:line="360" w:lineRule="auto"/>
        <w:jc w:val="both"/>
        <w:rPr>
          <w:rFonts w:ascii="Arial" w:hAnsi="Arial" w:eastAsia="Arial" w:cs="Arial"/>
          <w:noProof w:val="0"/>
          <w:color w:val="auto"/>
          <w:sz w:val="24"/>
          <w:szCs w:val="24"/>
          <w:lang w:val="en-GB"/>
        </w:rPr>
      </w:pPr>
      <w:r w:rsidRPr="00C9A62E" w:rsidR="24C5A962">
        <w:rPr>
          <w:rFonts w:ascii="Arial" w:hAnsi="Arial" w:eastAsia="Arial" w:cs="Arial"/>
          <w:noProof w:val="0"/>
          <w:color w:val="auto"/>
          <w:sz w:val="24"/>
          <w:szCs w:val="24"/>
          <w:lang w:val="en-GB"/>
        </w:rPr>
        <w:t>Kodono</w:t>
      </w:r>
      <w:r w:rsidRPr="00C9A62E" w:rsidR="24C5A962">
        <w:rPr>
          <w:rFonts w:ascii="Arial" w:hAnsi="Arial" w:eastAsia="Arial" w:cs="Arial"/>
          <w:noProof w:val="0"/>
          <w:color w:val="auto"/>
          <w:sz w:val="24"/>
          <w:szCs w:val="24"/>
          <w:lang w:val="en-GB"/>
        </w:rPr>
        <w:t xml:space="preserve">, Y., Zhang, Q. and Yan, W. (2020) ‘Olympus Management Strategy Analysis in Chinese Medical Device Market by Fuzzy VRIO Analysis’, </w:t>
      </w:r>
      <w:r w:rsidRPr="00C9A62E" w:rsidR="24C5A962">
        <w:rPr>
          <w:rFonts w:ascii="Arial" w:hAnsi="Arial" w:eastAsia="Arial" w:cs="Arial"/>
          <w:i w:val="1"/>
          <w:iCs w:val="1"/>
          <w:noProof w:val="0"/>
          <w:color w:val="auto"/>
          <w:sz w:val="24"/>
          <w:szCs w:val="24"/>
          <w:lang w:val="en-GB"/>
        </w:rPr>
        <w:t>Journal of combinatorics, information &amp; system sciences</w:t>
      </w:r>
      <w:r w:rsidRPr="00C9A62E" w:rsidR="24C5A962">
        <w:rPr>
          <w:rFonts w:ascii="Arial" w:hAnsi="Arial" w:eastAsia="Arial" w:cs="Arial"/>
          <w:noProof w:val="0"/>
          <w:color w:val="auto"/>
          <w:sz w:val="24"/>
          <w:szCs w:val="24"/>
          <w:lang w:val="en-GB"/>
        </w:rPr>
        <w:t xml:space="preserve">, 45(1–4), pp. 387–403. Available at: </w:t>
      </w:r>
      <w:hyperlink r:id="R50f85186f080425a">
        <w:r w:rsidRPr="00C9A62E" w:rsidR="24C5A962">
          <w:rPr>
            <w:rStyle w:val="Hyperlink"/>
            <w:rFonts w:ascii="Arial" w:hAnsi="Arial" w:eastAsia="Arial" w:cs="Arial"/>
            <w:noProof w:val="0"/>
            <w:color w:val="auto"/>
            <w:sz w:val="24"/>
            <w:szCs w:val="24"/>
            <w:lang w:val="en-GB"/>
          </w:rPr>
          <w:t>https://doi.org/10.32381/JCISS.2020.45.1-4.14</w:t>
        </w:r>
      </w:hyperlink>
      <w:r w:rsidRPr="00C9A62E" w:rsidR="24C5A962">
        <w:rPr>
          <w:rFonts w:ascii="Arial" w:hAnsi="Arial" w:eastAsia="Arial" w:cs="Arial"/>
          <w:noProof w:val="0"/>
          <w:color w:val="auto"/>
          <w:sz w:val="24"/>
          <w:szCs w:val="24"/>
          <w:lang w:val="en-GB"/>
        </w:rPr>
        <w:t>.</w:t>
      </w:r>
    </w:p>
    <w:p w:rsidR="00C9A62E" w:rsidP="00C9A62E" w:rsidRDefault="00C9A62E" w14:paraId="6EE89E35" w14:textId="1AF4C1E3">
      <w:pPr>
        <w:spacing w:after="0" w:line="360" w:lineRule="auto"/>
        <w:jc w:val="both"/>
        <w:rPr>
          <w:rFonts w:ascii="Arial" w:hAnsi="Arial" w:eastAsia="Arial" w:cs="Arial"/>
          <w:b w:val="0"/>
          <w:bCs w:val="0"/>
          <w:color w:val="auto"/>
          <w:sz w:val="24"/>
          <w:szCs w:val="24"/>
        </w:rPr>
      </w:pPr>
    </w:p>
    <w:p w:rsidR="5CE9F8C3" w:rsidP="00C9A62E" w:rsidRDefault="5CE9F8C3" w14:paraId="34292C37" w14:textId="12526724">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5CE9F8C3">
        <w:rPr>
          <w:rFonts w:ascii="Arial" w:hAnsi="Arial" w:eastAsia="Arial" w:cs="Arial"/>
          <w:b w:val="0"/>
          <w:bCs w:val="0"/>
          <w:noProof w:val="0"/>
          <w:color w:val="auto"/>
          <w:sz w:val="24"/>
          <w:szCs w:val="24"/>
          <w:lang w:val="en-GB"/>
        </w:rPr>
        <w:t xml:space="preserve">Kokas, A. (2020) ‘Chilling Netflix: financialization, and the influence of the Chinese market on the American entertainment industry’, </w:t>
      </w:r>
      <w:r w:rsidRPr="00C9A62E" w:rsidR="5CE9F8C3">
        <w:rPr>
          <w:rFonts w:ascii="Arial" w:hAnsi="Arial" w:eastAsia="Arial" w:cs="Arial"/>
          <w:b w:val="0"/>
          <w:bCs w:val="0"/>
          <w:i w:val="1"/>
          <w:iCs w:val="1"/>
          <w:noProof w:val="0"/>
          <w:color w:val="auto"/>
          <w:sz w:val="24"/>
          <w:szCs w:val="24"/>
          <w:lang w:val="en-GB"/>
        </w:rPr>
        <w:t>Information, communication &amp; society</w:t>
      </w:r>
      <w:r w:rsidRPr="00C9A62E" w:rsidR="5CE9F8C3">
        <w:rPr>
          <w:rFonts w:ascii="Arial" w:hAnsi="Arial" w:eastAsia="Arial" w:cs="Arial"/>
          <w:b w:val="0"/>
          <w:bCs w:val="0"/>
          <w:noProof w:val="0"/>
          <w:color w:val="auto"/>
          <w:sz w:val="24"/>
          <w:szCs w:val="24"/>
          <w:lang w:val="en-GB"/>
        </w:rPr>
        <w:t xml:space="preserve">, 23(3), pp. 407–419. Available at: </w:t>
      </w:r>
      <w:hyperlink r:id="Rda4faea966fd468b">
        <w:r w:rsidRPr="00C9A62E" w:rsidR="5CE9F8C3">
          <w:rPr>
            <w:rStyle w:val="Hyperlink"/>
            <w:rFonts w:ascii="Arial" w:hAnsi="Arial" w:eastAsia="Arial" w:cs="Arial"/>
            <w:b w:val="0"/>
            <w:bCs w:val="0"/>
            <w:noProof w:val="0"/>
            <w:color w:val="auto"/>
            <w:sz w:val="24"/>
            <w:szCs w:val="24"/>
            <w:lang w:val="en-GB"/>
          </w:rPr>
          <w:t>https://doi.org/10.1080/1369118X.2018.1510534</w:t>
        </w:r>
      </w:hyperlink>
      <w:r w:rsidRPr="00C9A62E" w:rsidR="5CE9F8C3">
        <w:rPr>
          <w:rFonts w:ascii="Arial" w:hAnsi="Arial" w:eastAsia="Arial" w:cs="Arial"/>
          <w:b w:val="0"/>
          <w:bCs w:val="0"/>
          <w:noProof w:val="0"/>
          <w:color w:val="auto"/>
          <w:sz w:val="24"/>
          <w:szCs w:val="24"/>
          <w:lang w:val="en-GB"/>
        </w:rPr>
        <w:t>.</w:t>
      </w:r>
    </w:p>
    <w:p w:rsidR="00C9A62E" w:rsidP="00C9A62E" w:rsidRDefault="00C9A62E" w14:paraId="457ED167" w14:textId="228DBAF3">
      <w:pPr>
        <w:spacing w:after="0" w:line="360" w:lineRule="auto"/>
        <w:jc w:val="both"/>
        <w:rPr>
          <w:rFonts w:ascii="Arial" w:hAnsi="Arial" w:eastAsia="Arial" w:cs="Arial"/>
          <w:b w:val="0"/>
          <w:bCs w:val="0"/>
          <w:color w:val="auto"/>
          <w:sz w:val="24"/>
          <w:szCs w:val="24"/>
        </w:rPr>
      </w:pPr>
    </w:p>
    <w:p w:rsidRPr="00A129D7" w:rsidR="00A129D7" w:rsidP="00C9A62E" w:rsidRDefault="00A129D7" w14:paraId="602ADE48" w14:textId="77777777">
      <w:pPr>
        <w:spacing w:line="360" w:lineRule="auto"/>
        <w:jc w:val="both"/>
        <w:rPr>
          <w:rFonts w:ascii="Arial" w:hAnsi="Arial" w:eastAsia="Arial" w:cs="Arial"/>
          <w:b w:val="0"/>
          <w:bCs w:val="0"/>
          <w:color w:val="auto"/>
          <w:sz w:val="24"/>
          <w:szCs w:val="24"/>
        </w:rPr>
      </w:pPr>
      <w:r w:rsidRPr="00C9A62E" w:rsidR="20DC2CAB">
        <w:rPr>
          <w:rFonts w:ascii="Arial" w:hAnsi="Arial" w:eastAsia="Arial" w:cs="Arial"/>
          <w:b w:val="0"/>
          <w:bCs w:val="0"/>
          <w:color w:val="auto"/>
          <w:sz w:val="24"/>
          <w:szCs w:val="24"/>
        </w:rPr>
        <w:t xml:space="preserve">Kools, M. and George, B. (2020) ‘Debate: The learning organization-a key construct linking strategic planning and strategic management’, </w:t>
      </w:r>
      <w:r w:rsidRPr="00C9A62E" w:rsidR="20DC2CAB">
        <w:rPr>
          <w:rFonts w:ascii="Arial" w:hAnsi="Arial" w:eastAsia="Arial" w:cs="Arial"/>
          <w:b w:val="0"/>
          <w:bCs w:val="0"/>
          <w:i w:val="1"/>
          <w:iCs w:val="1"/>
          <w:color w:val="auto"/>
          <w:sz w:val="24"/>
          <w:szCs w:val="24"/>
        </w:rPr>
        <w:t>Public money &amp; management</w:t>
      </w:r>
      <w:r w:rsidRPr="00C9A62E" w:rsidR="20DC2CAB">
        <w:rPr>
          <w:rFonts w:ascii="Arial" w:hAnsi="Arial" w:eastAsia="Arial" w:cs="Arial"/>
          <w:b w:val="0"/>
          <w:bCs w:val="0"/>
          <w:color w:val="auto"/>
          <w:sz w:val="24"/>
          <w:szCs w:val="24"/>
        </w:rPr>
        <w:t xml:space="preserve">, 40(4), pp. 262–264. Available at: </w:t>
      </w:r>
      <w:hyperlink r:id="R836150e52ceb40e2">
        <w:r w:rsidRPr="00C9A62E" w:rsidR="20DC2CAB">
          <w:rPr>
            <w:rStyle w:val="Hyperlink"/>
            <w:rFonts w:ascii="Arial" w:hAnsi="Arial" w:eastAsia="Arial" w:cs="Arial"/>
            <w:b w:val="0"/>
            <w:bCs w:val="0"/>
            <w:color w:val="auto"/>
            <w:sz w:val="24"/>
            <w:szCs w:val="24"/>
          </w:rPr>
          <w:t>https://doi.org/10.1080/09540962.2020.1727112</w:t>
        </w:r>
      </w:hyperlink>
      <w:r w:rsidRPr="00C9A62E" w:rsidR="20DC2CAB">
        <w:rPr>
          <w:rFonts w:ascii="Arial" w:hAnsi="Arial" w:eastAsia="Arial" w:cs="Arial"/>
          <w:b w:val="0"/>
          <w:bCs w:val="0"/>
          <w:color w:val="auto"/>
          <w:sz w:val="24"/>
          <w:szCs w:val="24"/>
        </w:rPr>
        <w:t>.</w:t>
      </w:r>
    </w:p>
    <w:p w:rsidR="52DFA0F3" w:rsidP="00C9A62E" w:rsidRDefault="52DFA0F3" w14:paraId="531D1DCF" w14:textId="66977956">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52DFA0F3">
        <w:rPr>
          <w:rFonts w:ascii="Arial" w:hAnsi="Arial" w:eastAsia="Arial" w:cs="Arial"/>
          <w:b w:val="0"/>
          <w:bCs w:val="0"/>
          <w:noProof w:val="0"/>
          <w:color w:val="auto"/>
          <w:sz w:val="24"/>
          <w:szCs w:val="24"/>
          <w:lang w:val="en-GB"/>
        </w:rPr>
        <w:t xml:space="preserve">Li, H. </w:t>
      </w:r>
      <w:r w:rsidRPr="00C9A62E" w:rsidR="52DFA0F3">
        <w:rPr>
          <w:rFonts w:ascii="Arial" w:hAnsi="Arial" w:eastAsia="Arial" w:cs="Arial"/>
          <w:b w:val="0"/>
          <w:bCs w:val="0"/>
          <w:i w:val="1"/>
          <w:iCs w:val="1"/>
          <w:noProof w:val="0"/>
          <w:color w:val="auto"/>
          <w:sz w:val="24"/>
          <w:szCs w:val="24"/>
          <w:lang w:val="en-GB"/>
        </w:rPr>
        <w:t>et al.</w:t>
      </w:r>
      <w:r w:rsidRPr="00C9A62E" w:rsidR="52DFA0F3">
        <w:rPr>
          <w:rFonts w:ascii="Arial" w:hAnsi="Arial" w:eastAsia="Arial" w:cs="Arial"/>
          <w:b w:val="0"/>
          <w:bCs w:val="0"/>
          <w:noProof w:val="0"/>
          <w:color w:val="auto"/>
          <w:sz w:val="24"/>
          <w:szCs w:val="24"/>
          <w:lang w:val="en-GB"/>
        </w:rPr>
        <w:t xml:space="preserve"> (2022) ‘Blockchain technology empowers telecom network operation’, </w:t>
      </w:r>
      <w:r w:rsidRPr="00C9A62E" w:rsidR="52DFA0F3">
        <w:rPr>
          <w:rFonts w:ascii="Arial" w:hAnsi="Arial" w:eastAsia="Arial" w:cs="Arial"/>
          <w:b w:val="0"/>
          <w:bCs w:val="0"/>
          <w:i w:val="1"/>
          <w:iCs w:val="1"/>
          <w:noProof w:val="0"/>
          <w:color w:val="auto"/>
          <w:sz w:val="24"/>
          <w:szCs w:val="24"/>
          <w:lang w:val="en-GB"/>
        </w:rPr>
        <w:t>China communications</w:t>
      </w:r>
      <w:r w:rsidRPr="00C9A62E" w:rsidR="52DFA0F3">
        <w:rPr>
          <w:rFonts w:ascii="Arial" w:hAnsi="Arial" w:eastAsia="Arial" w:cs="Arial"/>
          <w:b w:val="0"/>
          <w:bCs w:val="0"/>
          <w:noProof w:val="0"/>
          <w:color w:val="auto"/>
          <w:sz w:val="24"/>
          <w:szCs w:val="24"/>
          <w:lang w:val="en-GB"/>
        </w:rPr>
        <w:t xml:space="preserve">, 19(1), pp. 274–283. Available at: </w:t>
      </w:r>
      <w:hyperlink r:id="Re5ac131a25f446c1">
        <w:r w:rsidRPr="00C9A62E" w:rsidR="52DFA0F3">
          <w:rPr>
            <w:rStyle w:val="Hyperlink"/>
            <w:rFonts w:ascii="Arial" w:hAnsi="Arial" w:eastAsia="Arial" w:cs="Arial"/>
            <w:b w:val="0"/>
            <w:bCs w:val="0"/>
            <w:noProof w:val="0"/>
            <w:color w:val="auto"/>
            <w:sz w:val="24"/>
            <w:szCs w:val="24"/>
            <w:lang w:val="en-GB"/>
          </w:rPr>
          <w:t>https://doi.org/10.23919/JCC.2022.01.020</w:t>
        </w:r>
      </w:hyperlink>
      <w:r w:rsidRPr="00C9A62E" w:rsidR="52DFA0F3">
        <w:rPr>
          <w:rFonts w:ascii="Arial" w:hAnsi="Arial" w:eastAsia="Arial" w:cs="Arial"/>
          <w:b w:val="0"/>
          <w:bCs w:val="0"/>
          <w:noProof w:val="0"/>
          <w:color w:val="auto"/>
          <w:sz w:val="24"/>
          <w:szCs w:val="24"/>
          <w:lang w:val="en-GB"/>
        </w:rPr>
        <w:t>.</w:t>
      </w:r>
    </w:p>
    <w:p w:rsidR="00C9A62E" w:rsidP="00C9A62E" w:rsidRDefault="00C9A62E" w14:paraId="2D4B2826" w14:textId="36D777DA">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22253AF8" w:rsidP="00C9A62E" w:rsidRDefault="22253AF8" w14:paraId="58D7C4D9" w14:textId="0B13BA9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00C9A62E" w:rsidR="22253AF8">
        <w:rPr>
          <w:rFonts w:ascii="Arial" w:hAnsi="Arial" w:eastAsia="Arial" w:cs="Arial"/>
          <w:b w:val="0"/>
          <w:bCs w:val="0"/>
          <w:i w:val="0"/>
          <w:iCs w:val="0"/>
          <w:caps w:val="0"/>
          <w:smallCaps w:val="0"/>
          <w:noProof w:val="0"/>
          <w:color w:val="auto"/>
          <w:sz w:val="24"/>
          <w:szCs w:val="24"/>
          <w:lang w:val="en-GB"/>
        </w:rPr>
        <w:t>Li, H., (</w:t>
      </w:r>
      <w:r w:rsidRPr="00C9A62E" w:rsidR="22253AF8">
        <w:rPr>
          <w:rFonts w:ascii="Arial" w:hAnsi="Arial" w:eastAsia="Arial" w:cs="Arial"/>
          <w:b w:val="0"/>
          <w:bCs w:val="0"/>
          <w:i w:val="0"/>
          <w:iCs w:val="0"/>
          <w:caps w:val="0"/>
          <w:smallCaps w:val="0"/>
          <w:noProof w:val="0"/>
          <w:color w:val="auto"/>
          <w:sz w:val="24"/>
          <w:szCs w:val="24"/>
          <w:lang w:val="en-GB"/>
        </w:rPr>
        <w:t xml:space="preserve">2025) </w:t>
      </w:r>
      <w:r w:rsidRPr="00C9A62E" w:rsidR="22253AF8">
        <w:rPr>
          <w:rFonts w:ascii="Arial" w:hAnsi="Arial" w:eastAsia="Arial" w:cs="Arial"/>
          <w:b w:val="0"/>
          <w:bCs w:val="0"/>
          <w:i w:val="1"/>
          <w:iCs w:val="1"/>
          <w:caps w:val="0"/>
          <w:smallCaps w:val="0"/>
          <w:noProof w:val="0"/>
          <w:color w:val="auto"/>
          <w:sz w:val="24"/>
          <w:szCs w:val="24"/>
          <w:lang w:val="en-GB"/>
        </w:rPr>
        <w:t>A Detailed Analysis of the Great Fire Wall in China</w:t>
      </w:r>
      <w:r w:rsidRPr="00C9A62E" w:rsidR="22253AF8">
        <w:rPr>
          <w:rFonts w:ascii="Arial" w:hAnsi="Arial" w:eastAsia="Arial" w:cs="Arial"/>
          <w:b w:val="0"/>
          <w:bCs w:val="0"/>
          <w:i w:val="0"/>
          <w:iCs w:val="0"/>
          <w:caps w:val="0"/>
          <w:smallCaps w:val="0"/>
          <w:noProof w:val="0"/>
          <w:color w:val="auto"/>
          <w:sz w:val="24"/>
          <w:szCs w:val="24"/>
          <w:lang w:val="en-GB"/>
        </w:rPr>
        <w:t xml:space="preserve"> (</w:t>
      </w:r>
      <w:r w:rsidRPr="00C9A62E" w:rsidR="22253AF8">
        <w:rPr>
          <w:rFonts w:ascii="Arial" w:hAnsi="Arial" w:eastAsia="Arial" w:cs="Arial"/>
          <w:b w:val="0"/>
          <w:bCs w:val="0"/>
          <w:i w:val="0"/>
          <w:iCs w:val="0"/>
          <w:caps w:val="0"/>
          <w:smallCaps w:val="0"/>
          <w:noProof w:val="0"/>
          <w:color w:val="auto"/>
          <w:sz w:val="24"/>
          <w:szCs w:val="24"/>
          <w:lang w:val="en-GB"/>
        </w:rPr>
        <w:t>Master's</w:t>
      </w:r>
      <w:r w:rsidRPr="00C9A62E" w:rsidR="22253AF8">
        <w:rPr>
          <w:rFonts w:ascii="Arial" w:hAnsi="Arial" w:eastAsia="Arial" w:cs="Arial"/>
          <w:b w:val="0"/>
          <w:bCs w:val="0"/>
          <w:i w:val="0"/>
          <w:iCs w:val="0"/>
          <w:caps w:val="0"/>
          <w:smallCaps w:val="0"/>
          <w:noProof w:val="0"/>
          <w:color w:val="auto"/>
          <w:sz w:val="24"/>
          <w:szCs w:val="24"/>
          <w:lang w:val="en-GB"/>
        </w:rPr>
        <w:t xml:space="preserve"> thesis, University of California, Davis).</w:t>
      </w:r>
    </w:p>
    <w:p w:rsidR="00C9A62E" w:rsidP="00C9A62E" w:rsidRDefault="00C9A62E" w14:paraId="6E9707C8" w14:textId="38E2CE0F">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3E45120B" w:rsidP="00C9A62E" w:rsidRDefault="3E45120B" w14:paraId="4FBC935A" w14:textId="168BC7BE">
      <w:pPr>
        <w:spacing w:before="0" w:beforeAutospacing="off" w:after="0" w:afterAutospacing="off" w:line="360" w:lineRule="auto"/>
        <w:jc w:val="both"/>
        <w:rPr>
          <w:rFonts w:ascii="Arial" w:hAnsi="Arial" w:eastAsia="Arial" w:cs="Arial"/>
          <w:noProof w:val="0"/>
          <w:color w:val="auto"/>
          <w:sz w:val="24"/>
          <w:szCs w:val="24"/>
          <w:lang w:val="en-GB"/>
        </w:rPr>
      </w:pPr>
      <w:r w:rsidRPr="00C9A62E" w:rsidR="3E45120B">
        <w:rPr>
          <w:rFonts w:ascii="Arial" w:hAnsi="Arial" w:eastAsia="Arial" w:cs="Arial"/>
          <w:noProof w:val="0"/>
          <w:color w:val="auto"/>
          <w:sz w:val="24"/>
          <w:szCs w:val="24"/>
          <w:lang w:val="en-GB"/>
        </w:rPr>
        <w:t xml:space="preserve">Lin, K.J. </w:t>
      </w:r>
      <w:r w:rsidRPr="00C9A62E" w:rsidR="3E45120B">
        <w:rPr>
          <w:rFonts w:ascii="Arial" w:hAnsi="Arial" w:eastAsia="Arial" w:cs="Arial"/>
          <w:i w:val="1"/>
          <w:iCs w:val="1"/>
          <w:noProof w:val="0"/>
          <w:color w:val="auto"/>
          <w:sz w:val="24"/>
          <w:szCs w:val="24"/>
          <w:lang w:val="en-GB"/>
        </w:rPr>
        <w:t>et al.</w:t>
      </w:r>
      <w:r w:rsidRPr="00C9A62E" w:rsidR="3E45120B">
        <w:rPr>
          <w:rFonts w:ascii="Arial" w:hAnsi="Arial" w:eastAsia="Arial" w:cs="Arial"/>
          <w:noProof w:val="0"/>
          <w:color w:val="auto"/>
          <w:sz w:val="24"/>
          <w:szCs w:val="24"/>
          <w:lang w:val="en-GB"/>
        </w:rPr>
        <w:t xml:space="preserve"> (2020) ‘State-owned enterprises in China: A review of 40 years of research and practice’, </w:t>
      </w:r>
      <w:r w:rsidRPr="00C9A62E" w:rsidR="3E45120B">
        <w:rPr>
          <w:rFonts w:ascii="Arial" w:hAnsi="Arial" w:eastAsia="Arial" w:cs="Arial"/>
          <w:i w:val="1"/>
          <w:iCs w:val="1"/>
          <w:noProof w:val="0"/>
          <w:color w:val="auto"/>
          <w:sz w:val="24"/>
          <w:szCs w:val="24"/>
          <w:lang w:val="en-GB"/>
        </w:rPr>
        <w:t>China journal of accounting research</w:t>
      </w:r>
      <w:r w:rsidRPr="00C9A62E" w:rsidR="3E45120B">
        <w:rPr>
          <w:rFonts w:ascii="Arial" w:hAnsi="Arial" w:eastAsia="Arial" w:cs="Arial"/>
          <w:noProof w:val="0"/>
          <w:color w:val="auto"/>
          <w:sz w:val="24"/>
          <w:szCs w:val="24"/>
          <w:lang w:val="en-GB"/>
        </w:rPr>
        <w:t xml:space="preserve">, 13(1), pp. 31–55. Available at: </w:t>
      </w:r>
      <w:hyperlink r:id="R59141b307e48418a">
        <w:r w:rsidRPr="00C9A62E" w:rsidR="3E45120B">
          <w:rPr>
            <w:rStyle w:val="Hyperlink"/>
            <w:rFonts w:ascii="Arial" w:hAnsi="Arial" w:eastAsia="Arial" w:cs="Arial"/>
            <w:noProof w:val="0"/>
            <w:color w:val="auto"/>
            <w:sz w:val="24"/>
            <w:szCs w:val="24"/>
            <w:lang w:val="en-GB"/>
          </w:rPr>
          <w:t>https://doi.org/10.1016/j.cjar.2019.12.001</w:t>
        </w:r>
      </w:hyperlink>
      <w:r w:rsidRPr="00C9A62E" w:rsidR="3E45120B">
        <w:rPr>
          <w:rFonts w:ascii="Arial" w:hAnsi="Arial" w:eastAsia="Arial" w:cs="Arial"/>
          <w:noProof w:val="0"/>
          <w:color w:val="auto"/>
          <w:sz w:val="24"/>
          <w:szCs w:val="24"/>
          <w:lang w:val="en-GB"/>
        </w:rPr>
        <w:t>.</w:t>
      </w:r>
    </w:p>
    <w:p w:rsidR="00C9A62E" w:rsidP="00C9A62E" w:rsidRDefault="00C9A62E" w14:paraId="7F6B7A5A" w14:textId="03F85E1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Pr="00A129D7" w:rsidR="00A129D7" w:rsidP="00C9A62E" w:rsidRDefault="00A129D7" w14:paraId="679E5682" w14:textId="77777777">
      <w:pPr>
        <w:spacing w:line="360" w:lineRule="auto"/>
        <w:jc w:val="both"/>
        <w:rPr>
          <w:rFonts w:ascii="Arial" w:hAnsi="Arial" w:eastAsia="Arial" w:cs="Arial"/>
          <w:b w:val="0"/>
          <w:bCs w:val="0"/>
          <w:color w:val="auto"/>
          <w:sz w:val="24"/>
          <w:szCs w:val="24"/>
        </w:rPr>
      </w:pPr>
      <w:r w:rsidRPr="00C9A62E" w:rsidR="20DC2CAB">
        <w:rPr>
          <w:rFonts w:ascii="Arial" w:hAnsi="Arial" w:eastAsia="Arial" w:cs="Arial"/>
          <w:b w:val="0"/>
          <w:bCs w:val="0"/>
          <w:color w:val="auto"/>
          <w:sz w:val="24"/>
          <w:szCs w:val="24"/>
        </w:rPr>
        <w:t xml:space="preserve">Lotz, A.D., Eklund, O. and Soroka, S. (2022) ‘Netflix, library analysis, and globalization: rethinking mass media flows’, </w:t>
      </w:r>
      <w:r w:rsidRPr="00C9A62E" w:rsidR="20DC2CAB">
        <w:rPr>
          <w:rFonts w:ascii="Arial" w:hAnsi="Arial" w:eastAsia="Arial" w:cs="Arial"/>
          <w:b w:val="0"/>
          <w:bCs w:val="0"/>
          <w:i w:val="1"/>
          <w:iCs w:val="1"/>
          <w:color w:val="auto"/>
          <w:sz w:val="24"/>
          <w:szCs w:val="24"/>
        </w:rPr>
        <w:t>Journal of communication</w:t>
      </w:r>
      <w:r w:rsidRPr="00C9A62E" w:rsidR="20DC2CAB">
        <w:rPr>
          <w:rFonts w:ascii="Arial" w:hAnsi="Arial" w:eastAsia="Arial" w:cs="Arial"/>
          <w:b w:val="0"/>
          <w:bCs w:val="0"/>
          <w:color w:val="auto"/>
          <w:sz w:val="24"/>
          <w:szCs w:val="24"/>
        </w:rPr>
        <w:t xml:space="preserve">, 72(4), pp. 511–521. Available at: </w:t>
      </w:r>
      <w:hyperlink r:id="R1d3aa36b52b9440c">
        <w:r w:rsidRPr="00C9A62E" w:rsidR="20DC2CAB">
          <w:rPr>
            <w:rStyle w:val="Hyperlink"/>
            <w:rFonts w:ascii="Arial" w:hAnsi="Arial" w:eastAsia="Arial" w:cs="Arial"/>
            <w:b w:val="0"/>
            <w:bCs w:val="0"/>
            <w:color w:val="auto"/>
            <w:sz w:val="24"/>
            <w:szCs w:val="24"/>
          </w:rPr>
          <w:t>https://doi.org/10.1093/joc/jqac020</w:t>
        </w:r>
      </w:hyperlink>
      <w:r w:rsidRPr="00C9A62E" w:rsidR="20DC2CAB">
        <w:rPr>
          <w:rFonts w:ascii="Arial" w:hAnsi="Arial" w:eastAsia="Arial" w:cs="Arial"/>
          <w:b w:val="0"/>
          <w:bCs w:val="0"/>
          <w:color w:val="auto"/>
          <w:sz w:val="24"/>
          <w:szCs w:val="24"/>
        </w:rPr>
        <w:t>.</w:t>
      </w:r>
    </w:p>
    <w:p w:rsidR="2EF31783" w:rsidP="00C9A62E" w:rsidRDefault="2EF31783" w14:paraId="7E5965BC" w14:textId="1346FCDF">
      <w:pPr>
        <w:spacing w:after="0" w:line="360" w:lineRule="auto"/>
        <w:jc w:val="both"/>
        <w:rPr>
          <w:rFonts w:ascii="Arial" w:hAnsi="Arial" w:eastAsia="Arial" w:cs="Arial"/>
          <w:b w:val="0"/>
          <w:bCs w:val="0"/>
          <w:i w:val="0"/>
          <w:iCs w:val="0"/>
          <w:caps w:val="0"/>
          <w:smallCaps w:val="0"/>
          <w:noProof w:val="0"/>
          <w:color w:val="auto"/>
          <w:sz w:val="24"/>
          <w:szCs w:val="24"/>
          <w:lang w:val="en-GB"/>
        </w:rPr>
      </w:pPr>
      <w:r w:rsidRPr="00C9A62E" w:rsidR="2EF31783">
        <w:rPr>
          <w:rFonts w:ascii="Arial" w:hAnsi="Arial" w:eastAsia="Arial" w:cs="Arial"/>
          <w:b w:val="0"/>
          <w:bCs w:val="0"/>
          <w:i w:val="0"/>
          <w:iCs w:val="0"/>
          <w:caps w:val="0"/>
          <w:smallCaps w:val="0"/>
          <w:noProof w:val="0"/>
          <w:color w:val="auto"/>
          <w:sz w:val="24"/>
          <w:szCs w:val="24"/>
          <w:lang w:val="en-GB"/>
        </w:rPr>
        <w:t xml:space="preserve">Mahat, M. (2019) ‘The Competitive Forces That Shape Australian Medical Education: An Industry Analysis Using Porter’s Five Forces Framework’, </w:t>
      </w:r>
      <w:r w:rsidRPr="00C9A62E" w:rsidR="2EF31783">
        <w:rPr>
          <w:rFonts w:ascii="Arial" w:hAnsi="Arial" w:eastAsia="Arial" w:cs="Arial"/>
          <w:b w:val="0"/>
          <w:bCs w:val="0"/>
          <w:i w:val="1"/>
          <w:iCs w:val="1"/>
          <w:caps w:val="0"/>
          <w:smallCaps w:val="0"/>
          <w:noProof w:val="0"/>
          <w:color w:val="auto"/>
          <w:sz w:val="24"/>
          <w:szCs w:val="24"/>
          <w:lang w:val="en-GB"/>
        </w:rPr>
        <w:t>International journal of educational management</w:t>
      </w:r>
      <w:r w:rsidRPr="00C9A62E" w:rsidR="2EF31783">
        <w:rPr>
          <w:rFonts w:ascii="Arial" w:hAnsi="Arial" w:eastAsia="Arial" w:cs="Arial"/>
          <w:b w:val="0"/>
          <w:bCs w:val="0"/>
          <w:i w:val="0"/>
          <w:iCs w:val="0"/>
          <w:caps w:val="0"/>
          <w:smallCaps w:val="0"/>
          <w:noProof w:val="0"/>
          <w:color w:val="auto"/>
          <w:sz w:val="24"/>
          <w:szCs w:val="24"/>
          <w:lang w:val="en-GB"/>
        </w:rPr>
        <w:t xml:space="preserve">, 33(5), pp. 1082–1093. Available at: </w:t>
      </w:r>
      <w:hyperlink r:id="Rb6581dc71a12474a">
        <w:r w:rsidRPr="00C9A62E" w:rsidR="2EF31783">
          <w:rPr>
            <w:rStyle w:val="Hyperlink"/>
            <w:rFonts w:ascii="Arial" w:hAnsi="Arial" w:eastAsia="Arial" w:cs="Arial"/>
            <w:b w:val="0"/>
            <w:bCs w:val="0"/>
            <w:i w:val="0"/>
            <w:iCs w:val="0"/>
            <w:caps w:val="0"/>
            <w:smallCaps w:val="0"/>
            <w:strike w:val="0"/>
            <w:dstrike w:val="0"/>
            <w:noProof w:val="0"/>
            <w:color w:val="auto"/>
            <w:sz w:val="24"/>
            <w:szCs w:val="24"/>
            <w:lang w:val="en-GB"/>
          </w:rPr>
          <w:t>https://doi.org/10.1108/IJEM-01-2018-0015</w:t>
        </w:r>
      </w:hyperlink>
      <w:r w:rsidRPr="00C9A62E" w:rsidR="2EF31783">
        <w:rPr>
          <w:rFonts w:ascii="Arial" w:hAnsi="Arial" w:eastAsia="Arial" w:cs="Arial"/>
          <w:b w:val="0"/>
          <w:bCs w:val="0"/>
          <w:i w:val="0"/>
          <w:iCs w:val="0"/>
          <w:caps w:val="0"/>
          <w:smallCaps w:val="0"/>
          <w:noProof w:val="0"/>
          <w:color w:val="auto"/>
          <w:sz w:val="24"/>
          <w:szCs w:val="24"/>
          <w:lang w:val="en-GB"/>
        </w:rPr>
        <w:t>.</w:t>
      </w:r>
    </w:p>
    <w:p w:rsidR="00C9A62E" w:rsidP="00C9A62E" w:rsidRDefault="00C9A62E" w14:paraId="4570795C" w14:textId="4F8E986F">
      <w:pPr>
        <w:spacing w:after="0" w:line="360" w:lineRule="auto"/>
        <w:jc w:val="both"/>
        <w:rPr>
          <w:rFonts w:ascii="Arial" w:hAnsi="Arial" w:eastAsia="Arial" w:cs="Arial"/>
          <w:b w:val="0"/>
          <w:bCs w:val="0"/>
          <w:i w:val="0"/>
          <w:iCs w:val="0"/>
          <w:caps w:val="0"/>
          <w:smallCaps w:val="0"/>
          <w:noProof w:val="0"/>
          <w:color w:val="auto"/>
          <w:sz w:val="24"/>
          <w:szCs w:val="24"/>
          <w:lang w:val="en-GB"/>
        </w:rPr>
      </w:pPr>
    </w:p>
    <w:p w:rsidR="70724892" w:rsidP="00C9A62E" w:rsidRDefault="70724892" w14:paraId="31A19241" w14:textId="06508254">
      <w:pPr>
        <w:spacing w:before="0" w:beforeAutospacing="off" w:after="240" w:afterAutospacing="off" w:line="360" w:lineRule="auto"/>
        <w:jc w:val="both"/>
        <w:rPr>
          <w:rFonts w:ascii="Arial" w:hAnsi="Arial" w:eastAsia="Arial" w:cs="Arial"/>
          <w:noProof w:val="0"/>
          <w:color w:val="auto"/>
          <w:sz w:val="24"/>
          <w:szCs w:val="24"/>
          <w:lang w:val="en-GB"/>
        </w:rPr>
      </w:pPr>
      <w:r w:rsidRPr="00C9A62E" w:rsidR="70724892">
        <w:rPr>
          <w:rFonts w:ascii="Arial" w:hAnsi="Arial" w:eastAsia="Arial" w:cs="Arial"/>
          <w:i w:val="1"/>
          <w:iCs w:val="1"/>
          <w:noProof w:val="0"/>
          <w:color w:val="auto"/>
          <w:sz w:val="24"/>
          <w:szCs w:val="24"/>
          <w:lang w:val="en-GB"/>
        </w:rPr>
        <w:t>Netflix Inc</w:t>
      </w:r>
      <w:r w:rsidRPr="00C9A62E" w:rsidR="70724892">
        <w:rPr>
          <w:rFonts w:ascii="Arial" w:hAnsi="Arial" w:eastAsia="Arial" w:cs="Arial"/>
          <w:noProof w:val="0"/>
          <w:color w:val="auto"/>
          <w:sz w:val="24"/>
          <w:szCs w:val="24"/>
          <w:lang w:val="en-GB"/>
        </w:rPr>
        <w:t xml:space="preserve"> (2025) </w:t>
      </w:r>
      <w:r w:rsidRPr="00C9A62E" w:rsidR="70724892">
        <w:rPr>
          <w:rFonts w:ascii="Arial" w:hAnsi="Arial" w:eastAsia="Arial" w:cs="Arial"/>
          <w:i w:val="1"/>
          <w:iCs w:val="1"/>
          <w:noProof w:val="0"/>
          <w:color w:val="auto"/>
          <w:sz w:val="24"/>
          <w:szCs w:val="24"/>
          <w:lang w:val="en-GB"/>
        </w:rPr>
        <w:t>MarketLine Advantage</w:t>
      </w:r>
      <w:r w:rsidRPr="00C9A62E" w:rsidR="70724892">
        <w:rPr>
          <w:rFonts w:ascii="Arial" w:hAnsi="Arial" w:eastAsia="Arial" w:cs="Arial"/>
          <w:noProof w:val="0"/>
          <w:color w:val="auto"/>
          <w:sz w:val="24"/>
          <w:szCs w:val="24"/>
          <w:lang w:val="en-GB"/>
        </w:rPr>
        <w:t xml:space="preserve">. Available at: </w:t>
      </w:r>
      <w:hyperlink w:anchor="history" r:id="Rb0fd8203e7e54e80">
        <w:r w:rsidRPr="00C9A62E" w:rsidR="70724892">
          <w:rPr>
            <w:rStyle w:val="Hyperlink"/>
            <w:rFonts w:ascii="Arial" w:hAnsi="Arial" w:eastAsia="Arial" w:cs="Arial"/>
            <w:noProof w:val="0"/>
            <w:color w:val="auto"/>
            <w:sz w:val="24"/>
            <w:szCs w:val="24"/>
            <w:lang w:val="en-GB"/>
          </w:rPr>
          <w:t>https://advantage-marketline-com.ezproxy.uwtsd.ac.uk/Company/Profile/netflix-inc?companyprofile#history</w:t>
        </w:r>
      </w:hyperlink>
      <w:r w:rsidRPr="00C9A62E" w:rsidR="70724892">
        <w:rPr>
          <w:rFonts w:ascii="Arial" w:hAnsi="Arial" w:eastAsia="Arial" w:cs="Arial"/>
          <w:noProof w:val="0"/>
          <w:color w:val="auto"/>
          <w:sz w:val="24"/>
          <w:szCs w:val="24"/>
          <w:lang w:val="en-GB"/>
        </w:rPr>
        <w:t>.</w:t>
      </w:r>
    </w:p>
    <w:p w:rsidR="00C9A62E" w:rsidP="00C9A62E" w:rsidRDefault="00C9A62E" w14:paraId="11CE1AB5" w14:textId="162E5D1B">
      <w:pPr>
        <w:spacing w:after="0" w:line="360" w:lineRule="auto"/>
        <w:jc w:val="both"/>
        <w:rPr>
          <w:rFonts w:ascii="Arial" w:hAnsi="Arial" w:eastAsia="Arial" w:cs="Arial"/>
          <w:b w:val="0"/>
          <w:bCs w:val="0"/>
          <w:i w:val="0"/>
          <w:iCs w:val="0"/>
          <w:caps w:val="0"/>
          <w:smallCaps w:val="0"/>
          <w:noProof w:val="0"/>
          <w:color w:val="auto"/>
          <w:sz w:val="24"/>
          <w:szCs w:val="24"/>
          <w:lang w:val="en-GB"/>
        </w:rPr>
      </w:pPr>
    </w:p>
    <w:p w:rsidRPr="00A129D7" w:rsidR="00A129D7" w:rsidP="00C9A62E" w:rsidRDefault="00A129D7" w14:paraId="4069AEB7" w14:textId="3D76F92A">
      <w:pPr>
        <w:spacing w:line="360" w:lineRule="auto"/>
        <w:jc w:val="both"/>
        <w:rPr>
          <w:rFonts w:ascii="Arial" w:hAnsi="Arial" w:eastAsia="Arial" w:cs="Arial"/>
          <w:b w:val="0"/>
          <w:bCs w:val="0"/>
          <w:color w:val="auto"/>
          <w:sz w:val="24"/>
          <w:szCs w:val="24"/>
        </w:rPr>
      </w:pPr>
      <w:r w:rsidRPr="00C9A62E" w:rsidR="20DC2CAB">
        <w:rPr>
          <w:rFonts w:ascii="Arial" w:hAnsi="Arial" w:eastAsia="Arial" w:cs="Arial"/>
          <w:b w:val="0"/>
          <w:bCs w:val="0"/>
          <w:color w:val="auto"/>
          <w:sz w:val="24"/>
          <w:szCs w:val="24"/>
        </w:rPr>
        <w:t>O’Shannassy</w:t>
      </w:r>
      <w:r w:rsidRPr="00C9A62E" w:rsidR="20DC2CAB">
        <w:rPr>
          <w:rFonts w:ascii="Arial" w:hAnsi="Arial" w:eastAsia="Arial" w:cs="Arial"/>
          <w:b w:val="0"/>
          <w:bCs w:val="0"/>
          <w:color w:val="auto"/>
          <w:sz w:val="24"/>
          <w:szCs w:val="24"/>
        </w:rPr>
        <w:t xml:space="preserve">, T. (2015) ‘Strategic management research in the Journal of Management &amp; Organization: International in orientation with an Australasian edge’, </w:t>
      </w:r>
      <w:r w:rsidRPr="00C9A62E" w:rsidR="20DC2CAB">
        <w:rPr>
          <w:rFonts w:ascii="Arial" w:hAnsi="Arial" w:eastAsia="Arial" w:cs="Arial"/>
          <w:b w:val="0"/>
          <w:bCs w:val="0"/>
          <w:i w:val="1"/>
          <w:iCs w:val="1"/>
          <w:color w:val="auto"/>
          <w:sz w:val="24"/>
          <w:szCs w:val="24"/>
        </w:rPr>
        <w:t>Journal of management &amp; organization</w:t>
      </w:r>
      <w:r w:rsidRPr="00C9A62E" w:rsidR="20DC2CAB">
        <w:rPr>
          <w:rFonts w:ascii="Arial" w:hAnsi="Arial" w:eastAsia="Arial" w:cs="Arial"/>
          <w:b w:val="0"/>
          <w:bCs w:val="0"/>
          <w:color w:val="auto"/>
          <w:sz w:val="24"/>
          <w:szCs w:val="24"/>
        </w:rPr>
        <w:t xml:space="preserve">, 21(5), pp. 551–557. Available at: </w:t>
      </w:r>
      <w:hyperlink r:id="R98f183df4b45459d">
        <w:r w:rsidRPr="00C9A62E" w:rsidR="20DC2CAB">
          <w:rPr>
            <w:rStyle w:val="Hyperlink"/>
            <w:rFonts w:ascii="Arial" w:hAnsi="Arial" w:eastAsia="Arial" w:cs="Arial"/>
            <w:b w:val="0"/>
            <w:bCs w:val="0"/>
            <w:color w:val="auto"/>
            <w:sz w:val="24"/>
            <w:szCs w:val="24"/>
          </w:rPr>
          <w:t>https://doi.org/10.1017/jmo.2015.44</w:t>
        </w:r>
      </w:hyperlink>
      <w:r w:rsidRPr="00C9A62E" w:rsidR="20DC2CAB">
        <w:rPr>
          <w:rFonts w:ascii="Arial" w:hAnsi="Arial" w:eastAsia="Arial" w:cs="Arial"/>
          <w:b w:val="0"/>
          <w:bCs w:val="0"/>
          <w:color w:val="auto"/>
          <w:sz w:val="24"/>
          <w:szCs w:val="24"/>
        </w:rPr>
        <w:t>.</w:t>
      </w:r>
    </w:p>
    <w:p w:rsidR="5B07D25D" w:rsidP="00C9A62E" w:rsidRDefault="5B07D25D" w14:paraId="4679ADA9" w14:textId="24291875">
      <w:pPr>
        <w:spacing w:after="0" w:line="360" w:lineRule="auto"/>
        <w:jc w:val="both"/>
        <w:rPr>
          <w:rFonts w:ascii="Arial" w:hAnsi="Arial" w:eastAsia="Arial" w:cs="Arial"/>
          <w:noProof w:val="0"/>
          <w:color w:val="auto"/>
          <w:sz w:val="24"/>
          <w:szCs w:val="24"/>
          <w:lang w:val="en-GB"/>
        </w:rPr>
      </w:pPr>
      <w:r w:rsidRPr="00C9A62E" w:rsidR="5B07D25D">
        <w:rPr>
          <w:rFonts w:ascii="Arial" w:hAnsi="Arial" w:eastAsia="Arial" w:cs="Arial"/>
          <w:b w:val="0"/>
          <w:bCs w:val="0"/>
          <w:i w:val="0"/>
          <w:iCs w:val="0"/>
          <w:caps w:val="0"/>
          <w:smallCaps w:val="0"/>
          <w:noProof w:val="0"/>
          <w:color w:val="auto"/>
          <w:sz w:val="24"/>
          <w:szCs w:val="24"/>
          <w:lang w:val="en-GB"/>
        </w:rPr>
        <w:t xml:space="preserve">Pratiwi, A.A. </w:t>
      </w:r>
      <w:r w:rsidRPr="00C9A62E" w:rsidR="5B07D25D">
        <w:rPr>
          <w:rFonts w:ascii="Arial" w:hAnsi="Arial" w:eastAsia="Arial" w:cs="Arial"/>
          <w:b w:val="0"/>
          <w:bCs w:val="0"/>
          <w:i w:val="1"/>
          <w:iCs w:val="1"/>
          <w:caps w:val="0"/>
          <w:smallCaps w:val="0"/>
          <w:noProof w:val="0"/>
          <w:color w:val="auto"/>
          <w:sz w:val="24"/>
          <w:szCs w:val="24"/>
          <w:lang w:val="en-GB"/>
        </w:rPr>
        <w:t>et al.</w:t>
      </w:r>
      <w:r w:rsidRPr="00C9A62E" w:rsidR="5B07D25D">
        <w:rPr>
          <w:rFonts w:ascii="Arial" w:hAnsi="Arial" w:eastAsia="Arial" w:cs="Arial"/>
          <w:b w:val="0"/>
          <w:bCs w:val="0"/>
          <w:i w:val="0"/>
          <w:iCs w:val="0"/>
          <w:caps w:val="0"/>
          <w:smallCaps w:val="0"/>
          <w:noProof w:val="0"/>
          <w:color w:val="auto"/>
          <w:sz w:val="24"/>
          <w:szCs w:val="24"/>
          <w:lang w:val="en-GB"/>
        </w:rPr>
        <w:t xml:space="preserve"> (2024) ‘Industrial Cluster Design using Value Chain Analysis and Diamond Porter’s Model (Case Study in Batik Trusmi Cirebon Centre)’, </w:t>
      </w:r>
      <w:r w:rsidRPr="00C9A62E" w:rsidR="5B07D25D">
        <w:rPr>
          <w:rFonts w:ascii="Arial" w:hAnsi="Arial" w:eastAsia="Arial" w:cs="Arial"/>
          <w:b w:val="0"/>
          <w:bCs w:val="0"/>
          <w:i w:val="1"/>
          <w:iCs w:val="1"/>
          <w:caps w:val="0"/>
          <w:smallCaps w:val="0"/>
          <w:noProof w:val="0"/>
          <w:color w:val="auto"/>
          <w:sz w:val="24"/>
          <w:szCs w:val="24"/>
          <w:lang w:val="en-GB"/>
        </w:rPr>
        <w:t>E3S web of conferences</w:t>
      </w:r>
      <w:r w:rsidRPr="00C9A62E" w:rsidR="5B07D25D">
        <w:rPr>
          <w:rFonts w:ascii="Arial" w:hAnsi="Arial" w:eastAsia="Arial" w:cs="Arial"/>
          <w:b w:val="0"/>
          <w:bCs w:val="0"/>
          <w:i w:val="0"/>
          <w:iCs w:val="0"/>
          <w:caps w:val="0"/>
          <w:smallCaps w:val="0"/>
          <w:noProof w:val="0"/>
          <w:color w:val="auto"/>
          <w:sz w:val="24"/>
          <w:szCs w:val="24"/>
          <w:lang w:val="en-GB"/>
        </w:rPr>
        <w:t xml:space="preserve">, 517, p. 5005. Available at: </w:t>
      </w:r>
      <w:hyperlink r:id="Re4a00b2be1944d49">
        <w:r w:rsidRPr="00C9A62E" w:rsidR="5B07D25D">
          <w:rPr>
            <w:rStyle w:val="Hyperlink"/>
            <w:rFonts w:ascii="Arial" w:hAnsi="Arial" w:eastAsia="Arial" w:cs="Arial"/>
            <w:b w:val="0"/>
            <w:bCs w:val="0"/>
            <w:i w:val="0"/>
            <w:iCs w:val="0"/>
            <w:caps w:val="0"/>
            <w:smallCaps w:val="0"/>
            <w:strike w:val="0"/>
            <w:dstrike w:val="0"/>
            <w:noProof w:val="0"/>
            <w:color w:val="auto"/>
            <w:sz w:val="24"/>
            <w:szCs w:val="24"/>
            <w:lang w:val="en-GB"/>
          </w:rPr>
          <w:t>https://doi.org/10.1051/e3sconf/202451705005</w:t>
        </w:r>
      </w:hyperlink>
      <w:r w:rsidRPr="00C9A62E" w:rsidR="5B07D25D">
        <w:rPr>
          <w:rFonts w:ascii="Arial" w:hAnsi="Arial" w:eastAsia="Arial" w:cs="Arial"/>
          <w:b w:val="0"/>
          <w:bCs w:val="0"/>
          <w:i w:val="0"/>
          <w:iCs w:val="0"/>
          <w:caps w:val="0"/>
          <w:smallCaps w:val="0"/>
          <w:noProof w:val="0"/>
          <w:color w:val="auto"/>
          <w:sz w:val="24"/>
          <w:szCs w:val="24"/>
          <w:lang w:val="en-GB"/>
        </w:rPr>
        <w:t>.</w:t>
      </w:r>
      <w:r w:rsidRPr="00C9A62E" w:rsidR="5B07D25D">
        <w:rPr>
          <w:rFonts w:ascii="Arial" w:hAnsi="Arial" w:eastAsia="Arial" w:cs="Arial"/>
          <w:noProof w:val="0"/>
          <w:color w:val="auto"/>
          <w:sz w:val="24"/>
          <w:szCs w:val="24"/>
          <w:lang w:val="en-GB"/>
        </w:rPr>
        <w:t xml:space="preserve"> </w:t>
      </w:r>
    </w:p>
    <w:p w:rsidR="00C9A62E" w:rsidP="00C9A62E" w:rsidRDefault="00C9A62E" w14:paraId="5C45C01D" w14:textId="097EBD11">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5B07D25D" w:rsidP="00C9A62E" w:rsidRDefault="5B07D25D" w14:paraId="3737E451" w14:textId="3F0DBD11">
      <w:pPr>
        <w:spacing w:after="0" w:line="360" w:lineRule="auto"/>
        <w:jc w:val="both"/>
        <w:rPr>
          <w:rFonts w:ascii="Arial" w:hAnsi="Arial" w:eastAsia="Arial" w:cs="Arial"/>
          <w:noProof w:val="0"/>
          <w:color w:val="auto"/>
          <w:sz w:val="24"/>
          <w:szCs w:val="24"/>
          <w:lang w:val="en-GB"/>
        </w:rPr>
      </w:pPr>
      <w:r w:rsidRPr="00C9A62E" w:rsidR="5B07D25D">
        <w:rPr>
          <w:rFonts w:ascii="Arial" w:hAnsi="Arial" w:eastAsia="Arial" w:cs="Arial"/>
          <w:b w:val="0"/>
          <w:bCs w:val="0"/>
          <w:i w:val="0"/>
          <w:iCs w:val="0"/>
          <w:caps w:val="0"/>
          <w:smallCaps w:val="0"/>
          <w:noProof w:val="0"/>
          <w:color w:val="auto"/>
          <w:sz w:val="24"/>
          <w:szCs w:val="24"/>
          <w:lang w:val="en-GB"/>
        </w:rPr>
        <w:t xml:space="preserve">Ruan, S. (2020) ‘Research on Strategic Cost Management of Enterprises Based on Porter’s Value Chain Model’, </w:t>
      </w:r>
      <w:r w:rsidRPr="00C9A62E" w:rsidR="5B07D25D">
        <w:rPr>
          <w:rFonts w:ascii="Arial" w:hAnsi="Arial" w:eastAsia="Arial" w:cs="Arial"/>
          <w:b w:val="0"/>
          <w:bCs w:val="0"/>
          <w:i w:val="1"/>
          <w:iCs w:val="1"/>
          <w:caps w:val="0"/>
          <w:smallCaps w:val="0"/>
          <w:noProof w:val="0"/>
          <w:color w:val="auto"/>
          <w:sz w:val="24"/>
          <w:szCs w:val="24"/>
          <w:lang w:val="en-GB"/>
        </w:rPr>
        <w:t>Journal of Physics. Conference series</w:t>
      </w:r>
      <w:r w:rsidRPr="00C9A62E" w:rsidR="5B07D25D">
        <w:rPr>
          <w:rFonts w:ascii="Arial" w:hAnsi="Arial" w:eastAsia="Arial" w:cs="Arial"/>
          <w:b w:val="0"/>
          <w:bCs w:val="0"/>
          <w:i w:val="0"/>
          <w:iCs w:val="0"/>
          <w:caps w:val="0"/>
          <w:smallCaps w:val="0"/>
          <w:noProof w:val="0"/>
          <w:color w:val="auto"/>
          <w:sz w:val="24"/>
          <w:szCs w:val="24"/>
          <w:lang w:val="en-GB"/>
        </w:rPr>
        <w:t xml:space="preserve">, 1533(2), p. 22056. Available at: </w:t>
      </w:r>
      <w:hyperlink r:id="Rdb268e1a62914713">
        <w:r w:rsidRPr="00C9A62E" w:rsidR="5B07D25D">
          <w:rPr>
            <w:rStyle w:val="Hyperlink"/>
            <w:rFonts w:ascii="Arial" w:hAnsi="Arial" w:eastAsia="Arial" w:cs="Arial"/>
            <w:b w:val="0"/>
            <w:bCs w:val="0"/>
            <w:i w:val="0"/>
            <w:iCs w:val="0"/>
            <w:caps w:val="0"/>
            <w:smallCaps w:val="0"/>
            <w:strike w:val="0"/>
            <w:dstrike w:val="0"/>
            <w:noProof w:val="0"/>
            <w:color w:val="auto"/>
            <w:sz w:val="24"/>
            <w:szCs w:val="24"/>
            <w:lang w:val="en-GB"/>
          </w:rPr>
          <w:t>https://doi.org/10.1088/1742-6596/1533/2/022056</w:t>
        </w:r>
      </w:hyperlink>
      <w:r w:rsidRPr="00C9A62E" w:rsidR="5B07D25D">
        <w:rPr>
          <w:rFonts w:ascii="Arial" w:hAnsi="Arial" w:eastAsia="Arial" w:cs="Arial"/>
          <w:b w:val="0"/>
          <w:bCs w:val="0"/>
          <w:i w:val="0"/>
          <w:iCs w:val="0"/>
          <w:caps w:val="0"/>
          <w:smallCaps w:val="0"/>
          <w:noProof w:val="0"/>
          <w:color w:val="auto"/>
          <w:sz w:val="24"/>
          <w:szCs w:val="24"/>
          <w:lang w:val="en-GB"/>
        </w:rPr>
        <w:t>.</w:t>
      </w:r>
    </w:p>
    <w:p w:rsidR="00C9A62E" w:rsidP="00C9A62E" w:rsidRDefault="00C9A62E" w14:paraId="0331019A" w14:textId="728255CF">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71708176" w:rsidP="00C9A62E" w:rsidRDefault="71708176" w14:paraId="786852C0" w14:textId="5CF6660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00C9A62E" w:rsidR="71708176">
        <w:rPr>
          <w:rFonts w:ascii="Arial" w:hAnsi="Arial" w:eastAsia="Arial" w:cs="Arial"/>
          <w:b w:val="0"/>
          <w:bCs w:val="0"/>
          <w:i w:val="0"/>
          <w:iCs w:val="0"/>
          <w:caps w:val="0"/>
          <w:smallCaps w:val="0"/>
          <w:noProof w:val="0"/>
          <w:color w:val="auto"/>
          <w:sz w:val="24"/>
          <w:szCs w:val="24"/>
          <w:lang w:val="en-GB"/>
        </w:rPr>
        <w:t>Shen, H., (2020) China’s Tech Giants: Baidu, Alibaba, Tencent</w:t>
      </w:r>
      <w:r w:rsidRPr="00C9A62E" w:rsidR="71708176">
        <w:rPr>
          <w:rFonts w:ascii="Arial" w:hAnsi="Arial" w:eastAsia="Arial" w:cs="Arial"/>
          <w:b w:val="0"/>
          <w:bCs w:val="0"/>
          <w:i w:val="0"/>
          <w:iCs w:val="0"/>
          <w:caps w:val="0"/>
          <w:smallCaps w:val="0"/>
          <w:noProof w:val="0"/>
          <w:color w:val="auto"/>
          <w:sz w:val="24"/>
          <w:szCs w:val="24"/>
          <w:lang w:val="en-GB"/>
        </w:rPr>
        <w:t>’.</w:t>
      </w:r>
      <w:r w:rsidRPr="00C9A62E" w:rsidR="71708176">
        <w:rPr>
          <w:rFonts w:ascii="Arial" w:hAnsi="Arial" w:eastAsia="Arial" w:cs="Arial"/>
          <w:b w:val="0"/>
          <w:bCs w:val="0"/>
          <w:i w:val="0"/>
          <w:iCs w:val="0"/>
          <w:caps w:val="0"/>
          <w:smallCaps w:val="0"/>
          <w:noProof w:val="0"/>
          <w:color w:val="auto"/>
          <w:sz w:val="24"/>
          <w:szCs w:val="24"/>
          <w:lang w:val="en-GB"/>
        </w:rPr>
        <w:t xml:space="preserve"> </w:t>
      </w:r>
      <w:r w:rsidRPr="00C9A62E" w:rsidR="71708176">
        <w:rPr>
          <w:rFonts w:ascii="Arial" w:hAnsi="Arial" w:eastAsia="Arial" w:cs="Arial"/>
          <w:b w:val="0"/>
          <w:bCs w:val="0"/>
          <w:i w:val="1"/>
          <w:iCs w:val="1"/>
          <w:caps w:val="0"/>
          <w:smallCaps w:val="0"/>
          <w:noProof w:val="0"/>
          <w:color w:val="auto"/>
          <w:sz w:val="24"/>
          <w:szCs w:val="24"/>
          <w:lang w:val="en-GB"/>
        </w:rPr>
        <w:t xml:space="preserve">Konrad Adenauer Stiftung. Retrieved </w:t>
      </w:r>
      <w:r w:rsidRPr="00C9A62E" w:rsidR="71708176">
        <w:rPr>
          <w:rFonts w:ascii="Arial" w:hAnsi="Arial" w:eastAsia="Arial" w:cs="Arial"/>
          <w:b w:val="0"/>
          <w:bCs w:val="0"/>
          <w:i w:val="1"/>
          <w:iCs w:val="1"/>
          <w:caps w:val="0"/>
          <w:smallCaps w:val="0"/>
          <w:noProof w:val="0"/>
          <w:color w:val="auto"/>
          <w:sz w:val="24"/>
          <w:szCs w:val="24"/>
          <w:lang w:val="en-GB"/>
        </w:rPr>
        <w:t>July</w:t>
      </w:r>
      <w:r w:rsidRPr="00C9A62E" w:rsidR="71708176">
        <w:rPr>
          <w:rFonts w:ascii="Arial" w:hAnsi="Arial" w:eastAsia="Arial" w:cs="Arial"/>
          <w:b w:val="0"/>
          <w:bCs w:val="0"/>
          <w:i w:val="0"/>
          <w:iCs w:val="0"/>
          <w:caps w:val="0"/>
          <w:smallCaps w:val="0"/>
          <w:noProof w:val="0"/>
          <w:color w:val="auto"/>
          <w:sz w:val="24"/>
          <w:szCs w:val="24"/>
          <w:lang w:val="en-GB"/>
        </w:rPr>
        <w:t>,</w:t>
      </w:r>
      <w:r w:rsidRPr="00C9A62E" w:rsidR="71708176">
        <w:rPr>
          <w:rFonts w:ascii="Arial" w:hAnsi="Arial" w:eastAsia="Arial" w:cs="Arial"/>
          <w:b w:val="0"/>
          <w:bCs w:val="0"/>
          <w:i w:val="0"/>
          <w:iCs w:val="0"/>
          <w:caps w:val="0"/>
          <w:smallCaps w:val="0"/>
          <w:noProof w:val="0"/>
          <w:color w:val="auto"/>
          <w:sz w:val="24"/>
          <w:szCs w:val="24"/>
          <w:lang w:val="en-GB"/>
        </w:rPr>
        <w:t xml:space="preserve"> </w:t>
      </w:r>
      <w:r w:rsidRPr="00C9A62E" w:rsidR="71708176">
        <w:rPr>
          <w:rFonts w:ascii="Arial" w:hAnsi="Arial" w:eastAsia="Arial" w:cs="Arial"/>
          <w:b w:val="0"/>
          <w:bCs w:val="0"/>
          <w:i w:val="1"/>
          <w:iCs w:val="1"/>
          <w:caps w:val="0"/>
          <w:smallCaps w:val="0"/>
          <w:noProof w:val="0"/>
          <w:color w:val="auto"/>
          <w:sz w:val="24"/>
          <w:szCs w:val="24"/>
          <w:lang w:val="en-GB"/>
        </w:rPr>
        <w:t>6</w:t>
      </w:r>
      <w:r w:rsidRPr="00C9A62E" w:rsidR="71708176">
        <w:rPr>
          <w:rFonts w:ascii="Arial" w:hAnsi="Arial" w:eastAsia="Arial" w:cs="Arial"/>
          <w:b w:val="0"/>
          <w:bCs w:val="0"/>
          <w:i w:val="0"/>
          <w:iCs w:val="0"/>
          <w:caps w:val="0"/>
          <w:smallCaps w:val="0"/>
          <w:noProof w:val="0"/>
          <w:color w:val="auto"/>
          <w:sz w:val="24"/>
          <w:szCs w:val="24"/>
          <w:lang w:val="en-GB"/>
        </w:rPr>
        <w:t>, p.2022.</w:t>
      </w:r>
    </w:p>
    <w:p w:rsidR="00C9A62E" w:rsidP="00C9A62E" w:rsidRDefault="00C9A62E" w14:paraId="626137A6" w14:textId="114CA3A7">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2954F2B6" w:rsidP="00C9A62E" w:rsidRDefault="2954F2B6" w14:paraId="2F91AABC" w14:textId="4A05DCEE">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2954F2B6">
        <w:rPr>
          <w:rFonts w:ascii="Arial" w:hAnsi="Arial" w:eastAsia="Arial" w:cs="Arial"/>
          <w:b w:val="0"/>
          <w:bCs w:val="0"/>
          <w:noProof w:val="0"/>
          <w:color w:val="auto"/>
          <w:sz w:val="24"/>
          <w:szCs w:val="24"/>
          <w:lang w:val="en-GB"/>
        </w:rPr>
        <w:t xml:space="preserve">Song, Z. (2024) ‘Personal data security and stock crash risk: Evidence from China’s Cybersecurity Law’, </w:t>
      </w:r>
      <w:r w:rsidRPr="00C9A62E" w:rsidR="2954F2B6">
        <w:rPr>
          <w:rFonts w:ascii="Arial" w:hAnsi="Arial" w:eastAsia="Arial" w:cs="Arial"/>
          <w:b w:val="0"/>
          <w:bCs w:val="0"/>
          <w:i w:val="1"/>
          <w:iCs w:val="1"/>
          <w:noProof w:val="0"/>
          <w:color w:val="auto"/>
          <w:sz w:val="24"/>
          <w:szCs w:val="24"/>
          <w:lang w:val="en-GB"/>
        </w:rPr>
        <w:t>China journal of accounting research</w:t>
      </w:r>
      <w:r w:rsidRPr="00C9A62E" w:rsidR="2954F2B6">
        <w:rPr>
          <w:rFonts w:ascii="Arial" w:hAnsi="Arial" w:eastAsia="Arial" w:cs="Arial"/>
          <w:b w:val="0"/>
          <w:bCs w:val="0"/>
          <w:noProof w:val="0"/>
          <w:color w:val="auto"/>
          <w:sz w:val="24"/>
          <w:szCs w:val="24"/>
          <w:lang w:val="en-GB"/>
        </w:rPr>
        <w:t xml:space="preserve">, 17(4). Available at: </w:t>
      </w:r>
      <w:hyperlink r:id="R46b2a2b3b4df4a5c">
        <w:r w:rsidRPr="00C9A62E" w:rsidR="2954F2B6">
          <w:rPr>
            <w:rStyle w:val="Hyperlink"/>
            <w:rFonts w:ascii="Arial" w:hAnsi="Arial" w:eastAsia="Arial" w:cs="Arial"/>
            <w:b w:val="0"/>
            <w:bCs w:val="0"/>
            <w:noProof w:val="0"/>
            <w:color w:val="auto"/>
            <w:sz w:val="24"/>
            <w:szCs w:val="24"/>
            <w:lang w:val="en-GB"/>
          </w:rPr>
          <w:t>https://doi.org/10.1016/j.cjar.2024.100393</w:t>
        </w:r>
      </w:hyperlink>
      <w:r w:rsidRPr="00C9A62E" w:rsidR="2954F2B6">
        <w:rPr>
          <w:rFonts w:ascii="Arial" w:hAnsi="Arial" w:eastAsia="Arial" w:cs="Arial"/>
          <w:b w:val="0"/>
          <w:bCs w:val="0"/>
          <w:noProof w:val="0"/>
          <w:color w:val="auto"/>
          <w:sz w:val="24"/>
          <w:szCs w:val="24"/>
          <w:lang w:val="en-GB"/>
        </w:rPr>
        <w:t>.</w:t>
      </w:r>
    </w:p>
    <w:p w:rsidR="00C9A62E" w:rsidP="00C9A62E" w:rsidRDefault="00C9A62E" w14:paraId="12EC4E6F" w14:textId="6CE8281C">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722F79DE" w:rsidP="00C9A62E" w:rsidRDefault="722F79DE" w14:paraId="41F4EB73" w14:textId="5E72A1DD">
      <w:pPr>
        <w:spacing w:before="0" w:beforeAutospacing="off" w:after="240" w:afterAutospacing="off" w:line="360" w:lineRule="auto"/>
        <w:jc w:val="both"/>
        <w:rPr>
          <w:rFonts w:ascii="Arial" w:hAnsi="Arial" w:eastAsia="Arial" w:cs="Arial"/>
          <w:noProof w:val="0"/>
          <w:color w:val="auto"/>
          <w:sz w:val="24"/>
          <w:szCs w:val="24"/>
          <w:lang w:val="en-GB"/>
        </w:rPr>
      </w:pPr>
      <w:r w:rsidRPr="00C9A62E" w:rsidR="722F79DE">
        <w:rPr>
          <w:rFonts w:ascii="Arial" w:hAnsi="Arial" w:eastAsia="Arial" w:cs="Arial"/>
          <w:noProof w:val="0"/>
          <w:color w:val="auto"/>
          <w:sz w:val="24"/>
          <w:szCs w:val="24"/>
          <w:lang w:val="en-GB"/>
        </w:rPr>
        <w:t xml:space="preserve">The Culture Factor Group (2025) </w:t>
      </w:r>
      <w:r w:rsidRPr="00C9A62E" w:rsidR="722F79DE">
        <w:rPr>
          <w:rFonts w:ascii="Arial" w:hAnsi="Arial" w:eastAsia="Arial" w:cs="Arial"/>
          <w:i w:val="1"/>
          <w:iCs w:val="1"/>
          <w:noProof w:val="0"/>
          <w:color w:val="auto"/>
          <w:sz w:val="24"/>
          <w:szCs w:val="24"/>
          <w:lang w:val="en-GB"/>
        </w:rPr>
        <w:t>Country Comparison Tool</w:t>
      </w:r>
      <w:r w:rsidRPr="00C9A62E" w:rsidR="722F79DE">
        <w:rPr>
          <w:rFonts w:ascii="Arial" w:hAnsi="Arial" w:eastAsia="Arial" w:cs="Arial"/>
          <w:noProof w:val="0"/>
          <w:color w:val="auto"/>
          <w:sz w:val="24"/>
          <w:szCs w:val="24"/>
          <w:lang w:val="en-GB"/>
        </w:rPr>
        <w:t xml:space="preserve">, </w:t>
      </w:r>
      <w:r w:rsidRPr="00C9A62E" w:rsidR="722F79DE">
        <w:rPr>
          <w:rFonts w:ascii="Arial" w:hAnsi="Arial" w:eastAsia="Arial" w:cs="Arial"/>
          <w:i w:val="1"/>
          <w:iCs w:val="1"/>
          <w:noProof w:val="0"/>
          <w:color w:val="auto"/>
          <w:sz w:val="24"/>
          <w:szCs w:val="24"/>
          <w:lang w:val="en-GB"/>
        </w:rPr>
        <w:t>Hofstede Culture Factor Group</w:t>
      </w:r>
      <w:r w:rsidRPr="00C9A62E" w:rsidR="722F79DE">
        <w:rPr>
          <w:rFonts w:ascii="Arial" w:hAnsi="Arial" w:eastAsia="Arial" w:cs="Arial"/>
          <w:noProof w:val="0"/>
          <w:color w:val="auto"/>
          <w:sz w:val="24"/>
          <w:szCs w:val="24"/>
          <w:lang w:val="en-GB"/>
        </w:rPr>
        <w:t xml:space="preserve">. Available at: </w:t>
      </w:r>
      <w:hyperlink r:id="R867488dc49f04b02">
        <w:r w:rsidRPr="00C9A62E" w:rsidR="722F79DE">
          <w:rPr>
            <w:rStyle w:val="Hyperlink"/>
            <w:rFonts w:ascii="Arial" w:hAnsi="Arial" w:eastAsia="Arial" w:cs="Arial"/>
            <w:noProof w:val="0"/>
            <w:color w:val="auto"/>
            <w:sz w:val="24"/>
            <w:szCs w:val="24"/>
            <w:lang w:val="en-GB"/>
          </w:rPr>
          <w:t>https://www.theculturefactor.com/country-comparison-tool?countries=china</w:t>
        </w:r>
      </w:hyperlink>
      <w:r w:rsidRPr="00C9A62E" w:rsidR="722F79DE">
        <w:rPr>
          <w:rFonts w:ascii="Arial" w:hAnsi="Arial" w:eastAsia="Arial" w:cs="Arial"/>
          <w:noProof w:val="0"/>
          <w:color w:val="auto"/>
          <w:sz w:val="24"/>
          <w:szCs w:val="24"/>
          <w:lang w:val="en-GB"/>
        </w:rPr>
        <w:t>.</w:t>
      </w:r>
    </w:p>
    <w:p w:rsidR="2F23ED22" w:rsidP="00C9A62E" w:rsidRDefault="2F23ED22" w14:paraId="00D50814" w14:textId="3F47AB06">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2F23ED22">
        <w:rPr>
          <w:rFonts w:ascii="Arial" w:hAnsi="Arial" w:eastAsia="Arial" w:cs="Arial"/>
          <w:b w:val="0"/>
          <w:bCs w:val="0"/>
          <w:noProof w:val="0"/>
          <w:color w:val="auto"/>
          <w:sz w:val="24"/>
          <w:szCs w:val="24"/>
          <w:lang w:val="en-GB"/>
        </w:rPr>
        <w:t xml:space="preserve">Tufte, G.C., Jin, </w:t>
      </w:r>
      <w:r w:rsidRPr="00C9A62E" w:rsidR="2F23ED22">
        <w:rPr>
          <w:rFonts w:ascii="Arial" w:hAnsi="Arial" w:eastAsia="Arial" w:cs="Arial"/>
          <w:b w:val="0"/>
          <w:bCs w:val="0"/>
          <w:noProof w:val="0"/>
          <w:color w:val="auto"/>
          <w:sz w:val="24"/>
          <w:szCs w:val="24"/>
          <w:lang w:val="en-GB"/>
        </w:rPr>
        <w:t>H.</w:t>
      </w:r>
      <w:r w:rsidRPr="00C9A62E" w:rsidR="2F23ED22">
        <w:rPr>
          <w:rFonts w:ascii="Arial" w:hAnsi="Arial" w:eastAsia="Arial" w:cs="Arial"/>
          <w:b w:val="0"/>
          <w:bCs w:val="0"/>
          <w:noProof w:val="0"/>
          <w:color w:val="auto"/>
          <w:sz w:val="24"/>
          <w:szCs w:val="24"/>
          <w:lang w:val="en-GB"/>
        </w:rPr>
        <w:t xml:space="preserve"> and Wu, H. (2016) ‘Risk of a “revolution of rising expectations” in China?’, </w:t>
      </w:r>
      <w:r w:rsidRPr="00C9A62E" w:rsidR="2F23ED22">
        <w:rPr>
          <w:rFonts w:ascii="Arial" w:hAnsi="Arial" w:eastAsia="Arial" w:cs="Arial"/>
          <w:b w:val="0"/>
          <w:bCs w:val="0"/>
          <w:i w:val="1"/>
          <w:iCs w:val="1"/>
          <w:noProof w:val="0"/>
          <w:color w:val="auto"/>
          <w:sz w:val="24"/>
          <w:szCs w:val="24"/>
          <w:lang w:val="en-GB"/>
        </w:rPr>
        <w:t>China journal of social work</w:t>
      </w:r>
      <w:r w:rsidRPr="00C9A62E" w:rsidR="2F23ED22">
        <w:rPr>
          <w:rFonts w:ascii="Arial" w:hAnsi="Arial" w:eastAsia="Arial" w:cs="Arial"/>
          <w:b w:val="0"/>
          <w:bCs w:val="0"/>
          <w:noProof w:val="0"/>
          <w:color w:val="auto"/>
          <w:sz w:val="24"/>
          <w:szCs w:val="24"/>
          <w:lang w:val="en-GB"/>
        </w:rPr>
        <w:t xml:space="preserve">, 9(2), pp. 141–154. Available at: </w:t>
      </w:r>
      <w:hyperlink r:id="R1d1639884dab4627">
        <w:r w:rsidRPr="00C9A62E" w:rsidR="2F23ED22">
          <w:rPr>
            <w:rStyle w:val="Hyperlink"/>
            <w:rFonts w:ascii="Arial" w:hAnsi="Arial" w:eastAsia="Arial" w:cs="Arial"/>
            <w:b w:val="0"/>
            <w:bCs w:val="0"/>
            <w:noProof w:val="0"/>
            <w:color w:val="auto"/>
            <w:sz w:val="24"/>
            <w:szCs w:val="24"/>
            <w:lang w:val="en-GB"/>
          </w:rPr>
          <w:t>https://doi.org/10.1080/17525098.2016.1231253</w:t>
        </w:r>
      </w:hyperlink>
      <w:r w:rsidRPr="00C9A62E" w:rsidR="2F23ED22">
        <w:rPr>
          <w:rFonts w:ascii="Arial" w:hAnsi="Arial" w:eastAsia="Arial" w:cs="Arial"/>
          <w:b w:val="0"/>
          <w:bCs w:val="0"/>
          <w:noProof w:val="0"/>
          <w:color w:val="auto"/>
          <w:sz w:val="24"/>
          <w:szCs w:val="24"/>
          <w:lang w:val="en-GB"/>
        </w:rPr>
        <w:t>.</w:t>
      </w:r>
    </w:p>
    <w:p w:rsidR="00C9A62E" w:rsidP="00C9A62E" w:rsidRDefault="00C9A62E" w14:paraId="39AFE91F" w14:textId="3E0B43B5">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06990181" w:rsidP="00C9A62E" w:rsidRDefault="06990181" w14:paraId="0AB5DBAD" w14:textId="7636F738">
      <w:pPr>
        <w:spacing w:after="0" w:line="360" w:lineRule="auto"/>
        <w:jc w:val="both"/>
        <w:rPr>
          <w:rFonts w:ascii="Arial" w:hAnsi="Arial" w:eastAsia="Arial" w:cs="Arial"/>
          <w:noProof w:val="0"/>
          <w:color w:val="auto"/>
          <w:sz w:val="24"/>
          <w:szCs w:val="24"/>
          <w:lang w:val="en-GB"/>
        </w:rPr>
      </w:pPr>
      <w:r w:rsidRPr="00C9A62E" w:rsidR="06990181">
        <w:rPr>
          <w:rFonts w:ascii="Arial" w:hAnsi="Arial" w:eastAsia="Arial" w:cs="Arial"/>
          <w:b w:val="0"/>
          <w:bCs w:val="0"/>
          <w:i w:val="0"/>
          <w:iCs w:val="0"/>
          <w:caps w:val="0"/>
          <w:smallCaps w:val="0"/>
          <w:noProof w:val="0"/>
          <w:color w:val="auto"/>
          <w:sz w:val="24"/>
          <w:szCs w:val="24"/>
          <w:lang w:val="en-GB"/>
        </w:rPr>
        <w:t xml:space="preserve">Watts, G., Cope, </w:t>
      </w:r>
      <w:r w:rsidRPr="00C9A62E" w:rsidR="06990181">
        <w:rPr>
          <w:rFonts w:ascii="Arial" w:hAnsi="Arial" w:eastAsia="Arial" w:cs="Arial"/>
          <w:b w:val="0"/>
          <w:bCs w:val="0"/>
          <w:i w:val="0"/>
          <w:iCs w:val="0"/>
          <w:caps w:val="0"/>
          <w:smallCaps w:val="0"/>
          <w:noProof w:val="0"/>
          <w:color w:val="auto"/>
          <w:sz w:val="24"/>
          <w:szCs w:val="24"/>
          <w:lang w:val="en-GB"/>
        </w:rPr>
        <w:t>J.</w:t>
      </w:r>
      <w:r w:rsidRPr="00C9A62E" w:rsidR="06990181">
        <w:rPr>
          <w:rFonts w:ascii="Arial" w:hAnsi="Arial" w:eastAsia="Arial" w:cs="Arial"/>
          <w:b w:val="0"/>
          <w:bCs w:val="0"/>
          <w:i w:val="0"/>
          <w:iCs w:val="0"/>
          <w:caps w:val="0"/>
          <w:smallCaps w:val="0"/>
          <w:noProof w:val="0"/>
          <w:color w:val="auto"/>
          <w:sz w:val="24"/>
          <w:szCs w:val="24"/>
          <w:lang w:val="en-GB"/>
        </w:rPr>
        <w:t xml:space="preserve"> and Hulme, M. (1998) ‘Ansoff’s Matrix, </w:t>
      </w:r>
      <w:r w:rsidRPr="00C9A62E" w:rsidR="06990181">
        <w:rPr>
          <w:rFonts w:ascii="Arial" w:hAnsi="Arial" w:eastAsia="Arial" w:cs="Arial"/>
          <w:b w:val="0"/>
          <w:bCs w:val="0"/>
          <w:i w:val="0"/>
          <w:iCs w:val="0"/>
          <w:caps w:val="0"/>
          <w:smallCaps w:val="0"/>
          <w:noProof w:val="0"/>
          <w:color w:val="auto"/>
          <w:sz w:val="24"/>
          <w:szCs w:val="24"/>
          <w:lang w:val="en-GB"/>
        </w:rPr>
        <w:t>pain</w:t>
      </w:r>
      <w:r w:rsidRPr="00C9A62E" w:rsidR="06990181">
        <w:rPr>
          <w:rFonts w:ascii="Arial" w:hAnsi="Arial" w:eastAsia="Arial" w:cs="Arial"/>
          <w:b w:val="0"/>
          <w:bCs w:val="0"/>
          <w:i w:val="0"/>
          <w:iCs w:val="0"/>
          <w:caps w:val="0"/>
          <w:smallCaps w:val="0"/>
          <w:noProof w:val="0"/>
          <w:color w:val="auto"/>
          <w:sz w:val="24"/>
          <w:szCs w:val="24"/>
          <w:lang w:val="en-GB"/>
        </w:rPr>
        <w:t xml:space="preserve"> and gain: Growth strategies and adaptive learning among small food producers’, </w:t>
      </w:r>
      <w:r w:rsidRPr="00C9A62E" w:rsidR="06990181">
        <w:rPr>
          <w:rFonts w:ascii="Arial" w:hAnsi="Arial" w:eastAsia="Arial" w:cs="Arial"/>
          <w:b w:val="0"/>
          <w:bCs w:val="0"/>
          <w:i w:val="1"/>
          <w:iCs w:val="1"/>
          <w:caps w:val="0"/>
          <w:smallCaps w:val="0"/>
          <w:noProof w:val="0"/>
          <w:color w:val="auto"/>
          <w:sz w:val="24"/>
          <w:szCs w:val="24"/>
          <w:lang w:val="en-GB"/>
        </w:rPr>
        <w:t>International</w:t>
      </w:r>
      <w:r w:rsidRPr="00C9A62E" w:rsidR="06990181">
        <w:rPr>
          <w:rFonts w:ascii="Arial" w:hAnsi="Arial" w:eastAsia="Arial" w:cs="Arial"/>
          <w:b w:val="0"/>
          <w:bCs w:val="0"/>
          <w:i w:val="1"/>
          <w:iCs w:val="1"/>
          <w:caps w:val="0"/>
          <w:smallCaps w:val="0"/>
          <w:noProof w:val="0"/>
          <w:color w:val="auto"/>
          <w:sz w:val="24"/>
          <w:szCs w:val="24"/>
          <w:lang w:val="en-GB"/>
        </w:rPr>
        <w:t xml:space="preserve"> journal of entrepreneurial behaviour &amp; research</w:t>
      </w:r>
      <w:r w:rsidRPr="00C9A62E" w:rsidR="06990181">
        <w:rPr>
          <w:rFonts w:ascii="Arial" w:hAnsi="Arial" w:eastAsia="Arial" w:cs="Arial"/>
          <w:b w:val="0"/>
          <w:bCs w:val="0"/>
          <w:i w:val="0"/>
          <w:iCs w:val="0"/>
          <w:caps w:val="0"/>
          <w:smallCaps w:val="0"/>
          <w:noProof w:val="0"/>
          <w:color w:val="auto"/>
          <w:sz w:val="24"/>
          <w:szCs w:val="24"/>
          <w:lang w:val="en-GB"/>
        </w:rPr>
        <w:t xml:space="preserve">, 4(2), pp. 101–111. Available at: </w:t>
      </w:r>
      <w:hyperlink r:id="R8392add954e04b55">
        <w:r w:rsidRPr="00C9A62E" w:rsidR="06990181">
          <w:rPr>
            <w:rStyle w:val="Hyperlink"/>
            <w:rFonts w:ascii="Arial" w:hAnsi="Arial" w:eastAsia="Arial" w:cs="Arial"/>
            <w:b w:val="0"/>
            <w:bCs w:val="0"/>
            <w:i w:val="0"/>
            <w:iCs w:val="0"/>
            <w:caps w:val="0"/>
            <w:smallCaps w:val="0"/>
            <w:strike w:val="0"/>
            <w:dstrike w:val="0"/>
            <w:noProof w:val="0"/>
            <w:color w:val="auto"/>
            <w:sz w:val="24"/>
            <w:szCs w:val="24"/>
            <w:lang w:val="en-GB"/>
          </w:rPr>
          <w:t>https://doi.org/10.1108/13552559810224567</w:t>
        </w:r>
      </w:hyperlink>
      <w:r w:rsidRPr="00C9A62E" w:rsidR="06990181">
        <w:rPr>
          <w:rFonts w:ascii="Arial" w:hAnsi="Arial" w:eastAsia="Arial" w:cs="Arial"/>
          <w:b w:val="0"/>
          <w:bCs w:val="0"/>
          <w:i w:val="0"/>
          <w:iCs w:val="0"/>
          <w:caps w:val="0"/>
          <w:smallCaps w:val="0"/>
          <w:noProof w:val="0"/>
          <w:color w:val="auto"/>
          <w:sz w:val="24"/>
          <w:szCs w:val="24"/>
          <w:lang w:val="en-GB"/>
        </w:rPr>
        <w:t>.</w:t>
      </w:r>
    </w:p>
    <w:p w:rsidR="00C9A62E" w:rsidP="00C9A62E" w:rsidRDefault="00C9A62E" w14:paraId="6FB311F2" w14:textId="36342595">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72C724B9" w:rsidP="00C9A62E" w:rsidRDefault="72C724B9" w14:paraId="4257FAF1" w14:textId="08228A02">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72C724B9">
        <w:rPr>
          <w:rFonts w:ascii="Arial" w:hAnsi="Arial" w:eastAsia="Arial" w:cs="Arial"/>
          <w:b w:val="0"/>
          <w:bCs w:val="0"/>
          <w:noProof w:val="0"/>
          <w:color w:val="auto"/>
          <w:sz w:val="24"/>
          <w:szCs w:val="24"/>
          <w:lang w:val="en-GB"/>
        </w:rPr>
        <w:t>Xheni</w:t>
      </w:r>
      <w:r w:rsidRPr="00C9A62E" w:rsidR="72C724B9">
        <w:rPr>
          <w:rFonts w:ascii="Arial" w:hAnsi="Arial" w:eastAsia="Arial" w:cs="Arial"/>
          <w:b w:val="0"/>
          <w:bCs w:val="0"/>
          <w:noProof w:val="0"/>
          <w:color w:val="auto"/>
          <w:sz w:val="24"/>
          <w:szCs w:val="24"/>
          <w:lang w:val="en-GB"/>
        </w:rPr>
        <w:t xml:space="preserve"> Simaku (2022) ‘Netflix and Chill: An analysis of Turkish Generation Z viewers on The New Hedonistic Product’, </w:t>
      </w:r>
      <w:r w:rsidRPr="00C9A62E" w:rsidR="72C724B9">
        <w:rPr>
          <w:rFonts w:ascii="Arial" w:hAnsi="Arial" w:eastAsia="Arial" w:cs="Arial"/>
          <w:b w:val="0"/>
          <w:bCs w:val="0"/>
          <w:i w:val="1"/>
          <w:iCs w:val="1"/>
          <w:noProof w:val="0"/>
          <w:color w:val="auto"/>
          <w:sz w:val="24"/>
          <w:szCs w:val="24"/>
          <w:lang w:val="en-GB"/>
        </w:rPr>
        <w:t>İletişim</w:t>
      </w:r>
      <w:r w:rsidRPr="00C9A62E" w:rsidR="72C724B9">
        <w:rPr>
          <w:rFonts w:ascii="Arial" w:hAnsi="Arial" w:eastAsia="Arial" w:cs="Arial"/>
          <w:b w:val="0"/>
          <w:bCs w:val="0"/>
          <w:i w:val="1"/>
          <w:iCs w:val="1"/>
          <w:noProof w:val="0"/>
          <w:color w:val="auto"/>
          <w:sz w:val="24"/>
          <w:szCs w:val="24"/>
          <w:lang w:val="en-GB"/>
        </w:rPr>
        <w:t xml:space="preserve"> </w:t>
      </w:r>
      <w:r w:rsidRPr="00C9A62E" w:rsidR="72C724B9">
        <w:rPr>
          <w:rFonts w:ascii="Arial" w:hAnsi="Arial" w:eastAsia="Arial" w:cs="Arial"/>
          <w:b w:val="0"/>
          <w:bCs w:val="0"/>
          <w:i w:val="1"/>
          <w:iCs w:val="1"/>
          <w:noProof w:val="0"/>
          <w:color w:val="auto"/>
          <w:sz w:val="24"/>
          <w:szCs w:val="24"/>
          <w:lang w:val="en-GB"/>
        </w:rPr>
        <w:t>kuram</w:t>
      </w:r>
      <w:r w:rsidRPr="00C9A62E" w:rsidR="72C724B9">
        <w:rPr>
          <w:rFonts w:ascii="Arial" w:hAnsi="Arial" w:eastAsia="Arial" w:cs="Arial"/>
          <w:b w:val="0"/>
          <w:bCs w:val="0"/>
          <w:i w:val="1"/>
          <w:iCs w:val="1"/>
          <w:noProof w:val="0"/>
          <w:color w:val="auto"/>
          <w:sz w:val="24"/>
          <w:szCs w:val="24"/>
          <w:lang w:val="en-GB"/>
        </w:rPr>
        <w:t xml:space="preserve"> </w:t>
      </w:r>
      <w:r w:rsidRPr="00C9A62E" w:rsidR="72C724B9">
        <w:rPr>
          <w:rFonts w:ascii="Arial" w:hAnsi="Arial" w:eastAsia="Arial" w:cs="Arial"/>
          <w:b w:val="0"/>
          <w:bCs w:val="0"/>
          <w:i w:val="1"/>
          <w:iCs w:val="1"/>
          <w:noProof w:val="0"/>
          <w:color w:val="auto"/>
          <w:sz w:val="24"/>
          <w:szCs w:val="24"/>
          <w:lang w:val="en-GB"/>
        </w:rPr>
        <w:t>ve</w:t>
      </w:r>
      <w:r w:rsidRPr="00C9A62E" w:rsidR="72C724B9">
        <w:rPr>
          <w:rFonts w:ascii="Arial" w:hAnsi="Arial" w:eastAsia="Arial" w:cs="Arial"/>
          <w:b w:val="0"/>
          <w:bCs w:val="0"/>
          <w:i w:val="1"/>
          <w:iCs w:val="1"/>
          <w:noProof w:val="0"/>
          <w:color w:val="auto"/>
          <w:sz w:val="24"/>
          <w:szCs w:val="24"/>
          <w:lang w:val="en-GB"/>
        </w:rPr>
        <w:t xml:space="preserve"> </w:t>
      </w:r>
      <w:r w:rsidRPr="00C9A62E" w:rsidR="72C724B9">
        <w:rPr>
          <w:rFonts w:ascii="Arial" w:hAnsi="Arial" w:eastAsia="Arial" w:cs="Arial"/>
          <w:b w:val="0"/>
          <w:bCs w:val="0"/>
          <w:i w:val="1"/>
          <w:iCs w:val="1"/>
          <w:noProof w:val="0"/>
          <w:color w:val="auto"/>
          <w:sz w:val="24"/>
          <w:szCs w:val="24"/>
          <w:lang w:val="en-GB"/>
        </w:rPr>
        <w:t>araştırma</w:t>
      </w:r>
      <w:r w:rsidRPr="00C9A62E" w:rsidR="72C724B9">
        <w:rPr>
          <w:rFonts w:ascii="Arial" w:hAnsi="Arial" w:eastAsia="Arial" w:cs="Arial"/>
          <w:b w:val="0"/>
          <w:bCs w:val="0"/>
          <w:i w:val="1"/>
          <w:iCs w:val="1"/>
          <w:noProof w:val="0"/>
          <w:color w:val="auto"/>
          <w:sz w:val="24"/>
          <w:szCs w:val="24"/>
          <w:lang w:val="en-GB"/>
        </w:rPr>
        <w:t xml:space="preserve"> </w:t>
      </w:r>
      <w:r w:rsidRPr="00C9A62E" w:rsidR="72C724B9">
        <w:rPr>
          <w:rFonts w:ascii="Arial" w:hAnsi="Arial" w:eastAsia="Arial" w:cs="Arial"/>
          <w:b w:val="0"/>
          <w:bCs w:val="0"/>
          <w:i w:val="1"/>
          <w:iCs w:val="1"/>
          <w:noProof w:val="0"/>
          <w:color w:val="auto"/>
          <w:sz w:val="24"/>
          <w:szCs w:val="24"/>
          <w:lang w:val="en-GB"/>
        </w:rPr>
        <w:t>dergisi</w:t>
      </w:r>
      <w:r w:rsidRPr="00C9A62E" w:rsidR="72C724B9">
        <w:rPr>
          <w:rFonts w:ascii="Arial" w:hAnsi="Arial" w:eastAsia="Arial" w:cs="Arial"/>
          <w:b w:val="0"/>
          <w:bCs w:val="0"/>
          <w:noProof w:val="0"/>
          <w:color w:val="auto"/>
          <w:sz w:val="24"/>
          <w:szCs w:val="24"/>
          <w:lang w:val="en-GB"/>
        </w:rPr>
        <w:t xml:space="preserve">, 2022(58), pp. 170–184. Available at: </w:t>
      </w:r>
      <w:hyperlink r:id="Ra9f8ecb6045b4dcb">
        <w:r w:rsidRPr="00C9A62E" w:rsidR="72C724B9">
          <w:rPr>
            <w:rStyle w:val="Hyperlink"/>
            <w:rFonts w:ascii="Arial" w:hAnsi="Arial" w:eastAsia="Arial" w:cs="Arial"/>
            <w:b w:val="0"/>
            <w:bCs w:val="0"/>
            <w:noProof w:val="0"/>
            <w:color w:val="auto"/>
            <w:sz w:val="24"/>
            <w:szCs w:val="24"/>
            <w:lang w:val="en-GB"/>
          </w:rPr>
          <w:t>https://doi.org/10.47998/ikad.1004162</w:t>
        </w:r>
      </w:hyperlink>
      <w:r w:rsidRPr="00C9A62E" w:rsidR="72C724B9">
        <w:rPr>
          <w:rFonts w:ascii="Arial" w:hAnsi="Arial" w:eastAsia="Arial" w:cs="Arial"/>
          <w:b w:val="0"/>
          <w:bCs w:val="0"/>
          <w:noProof w:val="0"/>
          <w:color w:val="auto"/>
          <w:sz w:val="24"/>
          <w:szCs w:val="24"/>
          <w:lang w:val="en-GB"/>
        </w:rPr>
        <w:t>.</w:t>
      </w:r>
    </w:p>
    <w:p w:rsidR="00C9A62E" w:rsidP="00C9A62E" w:rsidRDefault="00C9A62E" w14:paraId="0DDFC4F0" w14:textId="4C6C4F90">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5AC1309C" w:rsidP="00C9A62E" w:rsidRDefault="5AC1309C" w14:paraId="16386E0C" w14:textId="3EB2B79A">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5AC1309C">
        <w:rPr>
          <w:rFonts w:ascii="Arial" w:hAnsi="Arial" w:eastAsia="Arial" w:cs="Arial"/>
          <w:b w:val="0"/>
          <w:bCs w:val="0"/>
          <w:noProof w:val="0"/>
          <w:color w:val="auto"/>
          <w:sz w:val="24"/>
          <w:szCs w:val="24"/>
          <w:lang w:val="en-GB"/>
        </w:rPr>
        <w:t xml:space="preserve">Zhang, L.-T. and </w:t>
      </w:r>
      <w:r w:rsidRPr="00C9A62E" w:rsidR="5AC1309C">
        <w:rPr>
          <w:rFonts w:ascii="Arial" w:hAnsi="Arial" w:eastAsia="Arial" w:cs="Arial"/>
          <w:b w:val="0"/>
          <w:bCs w:val="0"/>
          <w:noProof w:val="0"/>
          <w:color w:val="auto"/>
          <w:sz w:val="24"/>
          <w:szCs w:val="24"/>
          <w:lang w:val="en-GB"/>
        </w:rPr>
        <w:t>Cassany</w:t>
      </w:r>
      <w:r w:rsidRPr="00C9A62E" w:rsidR="5AC1309C">
        <w:rPr>
          <w:rFonts w:ascii="Arial" w:hAnsi="Arial" w:eastAsia="Arial" w:cs="Arial"/>
          <w:b w:val="0"/>
          <w:bCs w:val="0"/>
          <w:noProof w:val="0"/>
          <w:color w:val="auto"/>
          <w:sz w:val="24"/>
          <w:szCs w:val="24"/>
          <w:lang w:val="en-GB"/>
        </w:rPr>
        <w:t xml:space="preserve">, D. (2020) ‘Making sense of </w:t>
      </w:r>
      <w:r w:rsidRPr="00C9A62E" w:rsidR="5AC1309C">
        <w:rPr>
          <w:rFonts w:ascii="Arial" w:hAnsi="Arial" w:eastAsia="Arial" w:cs="Arial"/>
          <w:b w:val="0"/>
          <w:bCs w:val="0"/>
          <w:noProof w:val="0"/>
          <w:color w:val="auto"/>
          <w:sz w:val="24"/>
          <w:szCs w:val="24"/>
          <w:lang w:val="en-GB"/>
        </w:rPr>
        <w:t>danmu</w:t>
      </w:r>
      <w:r w:rsidRPr="00C9A62E" w:rsidR="5AC1309C">
        <w:rPr>
          <w:rFonts w:ascii="Arial" w:hAnsi="Arial" w:eastAsia="Arial" w:cs="Arial"/>
          <w:b w:val="0"/>
          <w:bCs w:val="0"/>
          <w:noProof w:val="0"/>
          <w:color w:val="auto"/>
          <w:sz w:val="24"/>
          <w:szCs w:val="24"/>
          <w:lang w:val="en-GB"/>
        </w:rPr>
        <w:t xml:space="preserve">: Coherence in massive anonymous chats on Bilibili.com’, </w:t>
      </w:r>
      <w:r w:rsidRPr="00C9A62E" w:rsidR="5AC1309C">
        <w:rPr>
          <w:rFonts w:ascii="Arial" w:hAnsi="Arial" w:eastAsia="Arial" w:cs="Arial"/>
          <w:b w:val="0"/>
          <w:bCs w:val="0"/>
          <w:i w:val="1"/>
          <w:iCs w:val="1"/>
          <w:noProof w:val="0"/>
          <w:color w:val="auto"/>
          <w:sz w:val="24"/>
          <w:szCs w:val="24"/>
          <w:lang w:val="en-GB"/>
        </w:rPr>
        <w:t>Discourse studies</w:t>
      </w:r>
      <w:r w:rsidRPr="00C9A62E" w:rsidR="5AC1309C">
        <w:rPr>
          <w:rFonts w:ascii="Arial" w:hAnsi="Arial" w:eastAsia="Arial" w:cs="Arial"/>
          <w:b w:val="0"/>
          <w:bCs w:val="0"/>
          <w:noProof w:val="0"/>
          <w:color w:val="auto"/>
          <w:sz w:val="24"/>
          <w:szCs w:val="24"/>
          <w:lang w:val="en-GB"/>
        </w:rPr>
        <w:t xml:space="preserve">, 22(4), pp. 483–502. Available at: </w:t>
      </w:r>
      <w:hyperlink r:id="Ref1494a8f37d41e5">
        <w:r w:rsidRPr="00C9A62E" w:rsidR="5AC1309C">
          <w:rPr>
            <w:rStyle w:val="Hyperlink"/>
            <w:rFonts w:ascii="Arial" w:hAnsi="Arial" w:eastAsia="Arial" w:cs="Arial"/>
            <w:b w:val="0"/>
            <w:bCs w:val="0"/>
            <w:noProof w:val="0"/>
            <w:color w:val="auto"/>
            <w:sz w:val="24"/>
            <w:szCs w:val="24"/>
            <w:lang w:val="en-GB"/>
          </w:rPr>
          <w:t>https://doi.org/10.1177/1461445620940051</w:t>
        </w:r>
      </w:hyperlink>
      <w:r w:rsidRPr="00C9A62E" w:rsidR="5AC1309C">
        <w:rPr>
          <w:rFonts w:ascii="Arial" w:hAnsi="Arial" w:eastAsia="Arial" w:cs="Arial"/>
          <w:b w:val="0"/>
          <w:bCs w:val="0"/>
          <w:noProof w:val="0"/>
          <w:color w:val="auto"/>
          <w:sz w:val="24"/>
          <w:szCs w:val="24"/>
          <w:lang w:val="en-GB"/>
        </w:rPr>
        <w:t>.</w:t>
      </w:r>
    </w:p>
    <w:p w:rsidR="00C9A62E" w:rsidP="00C9A62E" w:rsidRDefault="00C9A62E" w14:paraId="462AE251" w14:textId="41866941">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446375BD" w:rsidP="00C9A62E" w:rsidRDefault="446375BD" w14:paraId="3304D398" w14:textId="1913CFC5">
      <w:pPr>
        <w:pStyle w:val="Normal"/>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446375BD">
        <w:rPr>
          <w:rFonts w:ascii="Arial" w:hAnsi="Arial" w:eastAsia="Arial" w:cs="Arial"/>
          <w:b w:val="0"/>
          <w:bCs w:val="0"/>
          <w:i w:val="0"/>
          <w:iCs w:val="0"/>
          <w:caps w:val="0"/>
          <w:smallCaps w:val="0"/>
          <w:noProof w:val="0"/>
          <w:color w:val="auto"/>
          <w:sz w:val="24"/>
          <w:szCs w:val="24"/>
          <w:lang w:val="en-GB"/>
        </w:rPr>
        <w:t xml:space="preserve">Zhao, E.J., (2018) Negotiating state and copyright territorialities in overseas expansion: The case of China’s online video streaming platforms. </w:t>
      </w:r>
      <w:r w:rsidRPr="00C9A62E" w:rsidR="446375BD">
        <w:rPr>
          <w:rFonts w:ascii="Arial" w:hAnsi="Arial" w:eastAsia="Arial" w:cs="Arial"/>
          <w:b w:val="0"/>
          <w:bCs w:val="0"/>
          <w:i w:val="1"/>
          <w:iCs w:val="1"/>
          <w:caps w:val="0"/>
          <w:smallCaps w:val="0"/>
          <w:noProof w:val="0"/>
          <w:color w:val="auto"/>
          <w:sz w:val="24"/>
          <w:szCs w:val="24"/>
          <w:lang w:val="en-GB"/>
        </w:rPr>
        <w:t>Media Industries Journal</w:t>
      </w:r>
      <w:r w:rsidRPr="00C9A62E" w:rsidR="446375BD">
        <w:rPr>
          <w:rFonts w:ascii="Arial" w:hAnsi="Arial" w:eastAsia="Arial" w:cs="Arial"/>
          <w:b w:val="0"/>
          <w:bCs w:val="0"/>
          <w:i w:val="0"/>
          <w:iCs w:val="0"/>
          <w:caps w:val="0"/>
          <w:smallCaps w:val="0"/>
          <w:noProof w:val="0"/>
          <w:color w:val="auto"/>
          <w:sz w:val="24"/>
          <w:szCs w:val="24"/>
          <w:lang w:val="en-GB"/>
        </w:rPr>
        <w:t xml:space="preserve">, </w:t>
      </w:r>
      <w:r w:rsidRPr="00C9A62E" w:rsidR="446375BD">
        <w:rPr>
          <w:rFonts w:ascii="Arial" w:hAnsi="Arial" w:eastAsia="Arial" w:cs="Arial"/>
          <w:b w:val="0"/>
          <w:bCs w:val="0"/>
          <w:i w:val="1"/>
          <w:iCs w:val="1"/>
          <w:caps w:val="0"/>
          <w:smallCaps w:val="0"/>
          <w:noProof w:val="0"/>
          <w:color w:val="auto"/>
          <w:sz w:val="24"/>
          <w:szCs w:val="24"/>
          <w:lang w:val="en-GB"/>
        </w:rPr>
        <w:t>5</w:t>
      </w:r>
      <w:r w:rsidRPr="00C9A62E" w:rsidR="446375BD">
        <w:rPr>
          <w:rFonts w:ascii="Arial" w:hAnsi="Arial" w:eastAsia="Arial" w:cs="Arial"/>
          <w:b w:val="0"/>
          <w:bCs w:val="0"/>
          <w:i w:val="0"/>
          <w:iCs w:val="0"/>
          <w:caps w:val="0"/>
          <w:smallCaps w:val="0"/>
          <w:noProof w:val="0"/>
          <w:color w:val="auto"/>
          <w:sz w:val="24"/>
          <w:szCs w:val="24"/>
          <w:lang w:val="en-GB"/>
        </w:rPr>
        <w:t>(1).</w:t>
      </w:r>
    </w:p>
    <w:p w:rsidR="00C9A62E" w:rsidP="00C9A62E" w:rsidRDefault="00C9A62E" w14:paraId="2AB140FB" w14:textId="4E42C9C2">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2A27D219" w:rsidP="00C9A62E" w:rsidRDefault="2A27D219" w14:paraId="39AE4E56" w14:textId="02DEE04D">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00C9A62E" w:rsidR="2A27D219">
        <w:rPr>
          <w:rFonts w:ascii="Arial" w:hAnsi="Arial" w:eastAsia="Arial" w:cs="Arial"/>
          <w:b w:val="0"/>
          <w:bCs w:val="0"/>
          <w:noProof w:val="0"/>
          <w:color w:val="auto"/>
          <w:sz w:val="24"/>
          <w:szCs w:val="24"/>
          <w:lang w:val="en-GB"/>
        </w:rPr>
        <w:t xml:space="preserve">Zhao, S. </w:t>
      </w:r>
      <w:r w:rsidRPr="00C9A62E" w:rsidR="2A27D219">
        <w:rPr>
          <w:rFonts w:ascii="Arial" w:hAnsi="Arial" w:eastAsia="Arial" w:cs="Arial"/>
          <w:b w:val="0"/>
          <w:bCs w:val="0"/>
          <w:i w:val="1"/>
          <w:iCs w:val="1"/>
          <w:noProof w:val="0"/>
          <w:color w:val="auto"/>
          <w:sz w:val="24"/>
          <w:szCs w:val="24"/>
          <w:lang w:val="en-GB"/>
        </w:rPr>
        <w:t>et al.</w:t>
      </w:r>
      <w:r w:rsidRPr="00C9A62E" w:rsidR="2A27D219">
        <w:rPr>
          <w:rFonts w:ascii="Arial" w:hAnsi="Arial" w:eastAsia="Arial" w:cs="Arial"/>
          <w:b w:val="0"/>
          <w:bCs w:val="0"/>
          <w:noProof w:val="0"/>
          <w:color w:val="auto"/>
          <w:sz w:val="24"/>
          <w:szCs w:val="24"/>
          <w:lang w:val="en-GB"/>
        </w:rPr>
        <w:t xml:space="preserve"> (2023) ‘Has China’s low-carbon strategy pushed forward the digital transformation of manufacturing enterprises? Evidence from the low-carbon city pilot policy</w:t>
      </w:r>
      <w:r w:rsidRPr="00C9A62E" w:rsidR="2A27D219">
        <w:rPr>
          <w:rFonts w:ascii="Arial" w:hAnsi="Arial" w:eastAsia="Arial" w:cs="Arial"/>
          <w:b w:val="0"/>
          <w:bCs w:val="0"/>
          <w:noProof w:val="0"/>
          <w:color w:val="auto"/>
          <w:sz w:val="24"/>
          <w:szCs w:val="24"/>
          <w:lang w:val="en-GB"/>
        </w:rPr>
        <w:t>’,</w:t>
      </w:r>
      <w:r w:rsidRPr="00C9A62E" w:rsidR="2A27D219">
        <w:rPr>
          <w:rFonts w:ascii="Arial" w:hAnsi="Arial" w:eastAsia="Arial" w:cs="Arial"/>
          <w:b w:val="0"/>
          <w:bCs w:val="0"/>
          <w:noProof w:val="0"/>
          <w:color w:val="auto"/>
          <w:sz w:val="24"/>
          <w:szCs w:val="24"/>
          <w:lang w:val="en-GB"/>
        </w:rPr>
        <w:t xml:space="preserve"> </w:t>
      </w:r>
      <w:r w:rsidRPr="00C9A62E" w:rsidR="2A27D219">
        <w:rPr>
          <w:rFonts w:ascii="Arial" w:hAnsi="Arial" w:eastAsia="Arial" w:cs="Arial"/>
          <w:b w:val="0"/>
          <w:bCs w:val="0"/>
          <w:i w:val="1"/>
          <w:iCs w:val="1"/>
          <w:noProof w:val="0"/>
          <w:color w:val="auto"/>
          <w:sz w:val="24"/>
          <w:szCs w:val="24"/>
          <w:lang w:val="en-GB"/>
        </w:rPr>
        <w:t>Environmental impact assessment review</w:t>
      </w:r>
      <w:r w:rsidRPr="00C9A62E" w:rsidR="2A27D219">
        <w:rPr>
          <w:rFonts w:ascii="Arial" w:hAnsi="Arial" w:eastAsia="Arial" w:cs="Arial"/>
          <w:b w:val="0"/>
          <w:bCs w:val="0"/>
          <w:noProof w:val="0"/>
          <w:color w:val="auto"/>
          <w:sz w:val="24"/>
          <w:szCs w:val="24"/>
          <w:lang w:val="en-GB"/>
        </w:rPr>
        <w:t xml:space="preserve">, 102. Available at: </w:t>
      </w:r>
      <w:hyperlink r:id="Rc2cd921c12d74306">
        <w:r w:rsidRPr="00C9A62E" w:rsidR="2A27D219">
          <w:rPr>
            <w:rStyle w:val="Hyperlink"/>
            <w:rFonts w:ascii="Arial" w:hAnsi="Arial" w:eastAsia="Arial" w:cs="Arial"/>
            <w:b w:val="0"/>
            <w:bCs w:val="0"/>
            <w:noProof w:val="0"/>
            <w:color w:val="auto"/>
            <w:sz w:val="24"/>
            <w:szCs w:val="24"/>
            <w:lang w:val="en-GB"/>
          </w:rPr>
          <w:t>https://doi.org/10.1016/j.eiar.2023.107184</w:t>
        </w:r>
      </w:hyperlink>
      <w:r w:rsidRPr="00C9A62E" w:rsidR="2A27D219">
        <w:rPr>
          <w:rFonts w:ascii="Arial" w:hAnsi="Arial" w:eastAsia="Arial" w:cs="Arial"/>
          <w:b w:val="0"/>
          <w:bCs w:val="0"/>
          <w:noProof w:val="0"/>
          <w:color w:val="auto"/>
          <w:sz w:val="24"/>
          <w:szCs w:val="24"/>
          <w:lang w:val="en-GB"/>
        </w:rPr>
        <w:t>.</w:t>
      </w:r>
    </w:p>
    <w:p w:rsidR="00C9A62E" w:rsidP="00C9A62E" w:rsidRDefault="00C9A62E" w14:paraId="68141B02" w14:textId="5888C902">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28E51230" w:rsidP="00C9A62E" w:rsidRDefault="28E51230" w14:paraId="39E27E46" w14:textId="71D3FECC">
      <w:pPr>
        <w:spacing w:before="120" w:beforeAutospacing="off" w:after="120" w:afterAutospacing="off" w:line="360" w:lineRule="auto"/>
        <w:jc w:val="both"/>
        <w:rPr>
          <w:rFonts w:ascii="Arial" w:hAnsi="Arial" w:eastAsia="Arial" w:cs="Arial"/>
          <w:b w:val="0"/>
          <w:bCs w:val="0"/>
          <w:noProof w:val="0"/>
          <w:color w:val="auto"/>
          <w:sz w:val="24"/>
          <w:szCs w:val="24"/>
          <w:lang w:val="en-GB"/>
        </w:rPr>
      </w:pPr>
      <w:r w:rsidRPr="00C9A62E" w:rsidR="28E51230">
        <w:rPr>
          <w:rFonts w:ascii="Arial" w:hAnsi="Arial" w:eastAsia="Arial" w:cs="Arial"/>
          <w:b w:val="0"/>
          <w:bCs w:val="0"/>
          <w:noProof w:val="0"/>
          <w:color w:val="auto"/>
          <w:sz w:val="24"/>
          <w:szCs w:val="24"/>
          <w:lang w:val="en-GB"/>
        </w:rPr>
        <w:t xml:space="preserve">Zhuge, Y., (2018) Video consumption, social networking, and influence. </w:t>
      </w:r>
      <w:r w:rsidRPr="00C9A62E" w:rsidR="28E51230">
        <w:rPr>
          <w:rFonts w:ascii="Arial" w:hAnsi="Arial" w:eastAsia="Arial" w:cs="Arial"/>
          <w:b w:val="0"/>
          <w:bCs w:val="0"/>
          <w:i w:val="1"/>
          <w:iCs w:val="1"/>
          <w:noProof w:val="0"/>
          <w:color w:val="auto"/>
          <w:sz w:val="24"/>
          <w:szCs w:val="24"/>
          <w:lang w:val="en-GB"/>
        </w:rPr>
        <w:t>Communications of the ACM</w:t>
      </w:r>
      <w:r w:rsidRPr="00C9A62E" w:rsidR="28E51230">
        <w:rPr>
          <w:rFonts w:ascii="Arial" w:hAnsi="Arial" w:eastAsia="Arial" w:cs="Arial"/>
          <w:b w:val="0"/>
          <w:bCs w:val="0"/>
          <w:noProof w:val="0"/>
          <w:color w:val="auto"/>
          <w:sz w:val="24"/>
          <w:szCs w:val="24"/>
          <w:lang w:val="en-GB"/>
        </w:rPr>
        <w:t xml:space="preserve">, </w:t>
      </w:r>
      <w:r w:rsidRPr="00C9A62E" w:rsidR="28E51230">
        <w:rPr>
          <w:rFonts w:ascii="Arial" w:hAnsi="Arial" w:eastAsia="Arial" w:cs="Arial"/>
          <w:b w:val="0"/>
          <w:bCs w:val="0"/>
          <w:i w:val="1"/>
          <w:iCs w:val="1"/>
          <w:noProof w:val="0"/>
          <w:color w:val="auto"/>
          <w:sz w:val="24"/>
          <w:szCs w:val="24"/>
          <w:lang w:val="en-GB"/>
        </w:rPr>
        <w:t>61</w:t>
      </w:r>
      <w:r w:rsidRPr="00C9A62E" w:rsidR="28E51230">
        <w:rPr>
          <w:rFonts w:ascii="Arial" w:hAnsi="Arial" w:eastAsia="Arial" w:cs="Arial"/>
          <w:b w:val="0"/>
          <w:bCs w:val="0"/>
          <w:noProof w:val="0"/>
          <w:color w:val="auto"/>
          <w:sz w:val="24"/>
          <w:szCs w:val="24"/>
          <w:lang w:val="en-GB"/>
        </w:rPr>
        <w:t>(11), pp.76-81.</w:t>
      </w:r>
    </w:p>
    <w:p w:rsidR="00C9A62E" w:rsidP="00C9A62E" w:rsidRDefault="00C9A62E" w14:paraId="6EDDC735" w14:textId="53DC4C52">
      <w:pPr>
        <w:spacing w:before="0" w:beforeAutospacing="off" w:after="0" w:afterAutospacing="off"/>
        <w:rPr>
          <w:rFonts w:ascii="Arial" w:hAnsi="Arial" w:eastAsia="Arial" w:cs="Arial"/>
          <w:noProof w:val="0"/>
          <w:sz w:val="22"/>
          <w:szCs w:val="22"/>
          <w:lang w:val="en-GB"/>
        </w:rPr>
      </w:pPr>
    </w:p>
    <w:p w:rsidR="00C9A62E" w:rsidP="00C9A62E" w:rsidRDefault="00C9A62E" w14:paraId="787DF50F" w14:textId="4AC09BA7">
      <w:pPr>
        <w:pStyle w:val="Normal"/>
        <w:rPr>
          <w:rFonts w:ascii="Arial" w:hAnsi="Arial" w:eastAsia="Arial" w:cs="Arial"/>
        </w:rPr>
      </w:pPr>
    </w:p>
    <w:p w:rsidR="001D7176" w:rsidRDefault="001D7176" w14:paraId="61E9B00D" w14:textId="77777777"/>
    <w:sectPr w:rsidR="001D7176">
      <w:headerReference w:type="default"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29D7" w:rsidP="00A129D7" w:rsidRDefault="00A129D7" w14:paraId="1B899FC1" w14:textId="77777777">
      <w:pPr>
        <w:spacing w:after="0" w:line="240" w:lineRule="auto"/>
      </w:pPr>
      <w:r>
        <w:separator/>
      </w:r>
    </w:p>
  </w:endnote>
  <w:endnote w:type="continuationSeparator" w:id="0">
    <w:p w:rsidR="00A129D7" w:rsidP="00A129D7" w:rsidRDefault="00A129D7" w14:paraId="023BA1C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586470"/>
      <w:docPartObj>
        <w:docPartGallery w:val="Page Numbers (Bottom of Page)"/>
        <w:docPartUnique/>
      </w:docPartObj>
    </w:sdtPr>
    <w:sdtContent>
      <w:p w:rsidR="00A129D7" w:rsidRDefault="00A129D7" w14:paraId="07AF682D" w14:textId="72BA19E2">
        <w:pPr>
          <w:pStyle w:val="Footer"/>
          <w:jc w:val="center"/>
        </w:pPr>
        <w:r>
          <w:fldChar w:fldCharType="begin"/>
        </w:r>
        <w:r>
          <w:instrText xml:space="preserve">PAGE   \* MERGEFORMAT</w:instrText>
        </w:r>
        <w:r>
          <w:fldChar w:fldCharType="separate"/>
        </w:r>
        <w:r w:rsidRPr="00C9A62E" w:rsidR="00C9A62E">
          <w:rPr>
            <w:rFonts w:ascii="Arial" w:hAnsi="Arial" w:eastAsia="Arial" w:cs="Arial"/>
            <w:b w:val="0"/>
            <w:bCs w:val="0"/>
            <w:color w:val="auto"/>
            <w:sz w:val="24"/>
            <w:szCs w:val="24"/>
          </w:rPr>
          <w:t>2</w:t>
        </w:r>
        <w:r>
          <w:fldChar w:fldCharType="end"/>
        </w:r>
      </w:p>
    </w:sdtContent>
  </w:sdt>
  <w:p w:rsidR="00A129D7" w:rsidRDefault="00A129D7" w14:paraId="58FD4F4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29D7" w:rsidP="00A129D7" w:rsidRDefault="00A129D7" w14:paraId="494894CB" w14:textId="77777777">
      <w:pPr>
        <w:spacing w:after="0" w:line="240" w:lineRule="auto"/>
      </w:pPr>
      <w:r>
        <w:separator/>
      </w:r>
    </w:p>
  </w:footnote>
  <w:footnote w:type="continuationSeparator" w:id="0">
    <w:p w:rsidR="00A129D7" w:rsidP="00A129D7" w:rsidRDefault="00A129D7" w14:paraId="700F000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129D7" w:rsidRDefault="00A129D7" w14:paraId="5C3D7B8A" w14:textId="77777777">
    <w:pPr>
      <w:pStyle w:val="Header"/>
    </w:pPr>
  </w:p>
  <w:p w:rsidR="00A129D7" w:rsidRDefault="00A129D7" w14:paraId="1BE0C2EF" w14:textId="77777777">
    <w:pPr>
      <w:pStyle w:val="Header"/>
    </w:pPr>
  </w:p>
</w:hdr>
</file>

<file path=word/intelligence2.xml><?xml version="1.0" encoding="utf-8"?>
<int2:intelligence xmlns:int2="http://schemas.microsoft.com/office/intelligence/2020/intelligence">
  <int2:observations>
    <int2:bookmark int2:bookmarkName="_Int_n0AIzV0y" int2:invalidationBookmarkName="" int2:hashCode="0JQeaNqPOBUf+G" int2:id="nK2RTITc">
      <int2:state int2:type="gram" int2:value="Rejected"/>
    </int2:bookmark>
    <int2:bookmark int2:bookmarkName="_Int_0jp7ElUq" int2:invalidationBookmarkName="" int2:hashCode="C6SzXJxOM6ab1b" int2:id="aMaSXI5J">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9fe26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9D7"/>
    <w:rsid w:val="00000399"/>
    <w:rsid w:val="0005CFCA"/>
    <w:rsid w:val="001D7176"/>
    <w:rsid w:val="00206429"/>
    <w:rsid w:val="00527246"/>
    <w:rsid w:val="005B5479"/>
    <w:rsid w:val="00671166"/>
    <w:rsid w:val="00731D09"/>
    <w:rsid w:val="008012EE"/>
    <w:rsid w:val="008F6906"/>
    <w:rsid w:val="009D7745"/>
    <w:rsid w:val="00A129D7"/>
    <w:rsid w:val="00A7EAD3"/>
    <w:rsid w:val="00AF64C1"/>
    <w:rsid w:val="00B51E2E"/>
    <w:rsid w:val="00B930E0"/>
    <w:rsid w:val="00C50DFF"/>
    <w:rsid w:val="00C9A62E"/>
    <w:rsid w:val="00CD5E49"/>
    <w:rsid w:val="00D862EF"/>
    <w:rsid w:val="00E42B42"/>
    <w:rsid w:val="00F47EAB"/>
    <w:rsid w:val="02DE12A8"/>
    <w:rsid w:val="0386BA3E"/>
    <w:rsid w:val="0432DD73"/>
    <w:rsid w:val="04CCFD0D"/>
    <w:rsid w:val="05E5925A"/>
    <w:rsid w:val="062A0CBF"/>
    <w:rsid w:val="06990181"/>
    <w:rsid w:val="06B3EF48"/>
    <w:rsid w:val="075C60DF"/>
    <w:rsid w:val="07F0D7C1"/>
    <w:rsid w:val="082F7614"/>
    <w:rsid w:val="085C2A77"/>
    <w:rsid w:val="08715171"/>
    <w:rsid w:val="0949F697"/>
    <w:rsid w:val="098ABD9A"/>
    <w:rsid w:val="09F965DD"/>
    <w:rsid w:val="0A2DF36F"/>
    <w:rsid w:val="0AB16FD4"/>
    <w:rsid w:val="0AB42CF5"/>
    <w:rsid w:val="0AD65F1A"/>
    <w:rsid w:val="0AE9B25D"/>
    <w:rsid w:val="0B7A9FDA"/>
    <w:rsid w:val="0B98AD83"/>
    <w:rsid w:val="0BB79C0D"/>
    <w:rsid w:val="0C195DB9"/>
    <w:rsid w:val="0C3243F4"/>
    <w:rsid w:val="0C38E4F2"/>
    <w:rsid w:val="0C40CF5D"/>
    <w:rsid w:val="0DD592CC"/>
    <w:rsid w:val="0EA0491C"/>
    <w:rsid w:val="0EAEFA51"/>
    <w:rsid w:val="0EB06D8E"/>
    <w:rsid w:val="0F9A7CDF"/>
    <w:rsid w:val="0FCB3771"/>
    <w:rsid w:val="1087B957"/>
    <w:rsid w:val="10A843E2"/>
    <w:rsid w:val="1159C233"/>
    <w:rsid w:val="115B2348"/>
    <w:rsid w:val="1274828F"/>
    <w:rsid w:val="12CE94EF"/>
    <w:rsid w:val="1324A132"/>
    <w:rsid w:val="133744A3"/>
    <w:rsid w:val="144E8088"/>
    <w:rsid w:val="160A5998"/>
    <w:rsid w:val="1620DDEF"/>
    <w:rsid w:val="16C1F48F"/>
    <w:rsid w:val="17805ED3"/>
    <w:rsid w:val="17ECB84A"/>
    <w:rsid w:val="17FF8957"/>
    <w:rsid w:val="1800B297"/>
    <w:rsid w:val="18AEAFFC"/>
    <w:rsid w:val="18BDD076"/>
    <w:rsid w:val="18DAF36F"/>
    <w:rsid w:val="19008009"/>
    <w:rsid w:val="198E51AC"/>
    <w:rsid w:val="1BF22CAC"/>
    <w:rsid w:val="1C163F1E"/>
    <w:rsid w:val="1C25210C"/>
    <w:rsid w:val="1C81382A"/>
    <w:rsid w:val="1C9D84E6"/>
    <w:rsid w:val="1DBC3B4A"/>
    <w:rsid w:val="1DC9C8F0"/>
    <w:rsid w:val="1DEBFCF9"/>
    <w:rsid w:val="1E00A4F8"/>
    <w:rsid w:val="1ED9045D"/>
    <w:rsid w:val="1EEF1E25"/>
    <w:rsid w:val="1F70EA75"/>
    <w:rsid w:val="20BA84A7"/>
    <w:rsid w:val="20D43FC0"/>
    <w:rsid w:val="20DC2CAB"/>
    <w:rsid w:val="2111CFA3"/>
    <w:rsid w:val="213211F8"/>
    <w:rsid w:val="21F2C440"/>
    <w:rsid w:val="21FC9CED"/>
    <w:rsid w:val="22253AF8"/>
    <w:rsid w:val="222E5240"/>
    <w:rsid w:val="229826E8"/>
    <w:rsid w:val="22EB84D0"/>
    <w:rsid w:val="23B1CD87"/>
    <w:rsid w:val="24241F6A"/>
    <w:rsid w:val="2466AD22"/>
    <w:rsid w:val="24B9E6AA"/>
    <w:rsid w:val="24C5A962"/>
    <w:rsid w:val="24E8F788"/>
    <w:rsid w:val="2508DB08"/>
    <w:rsid w:val="2512FD48"/>
    <w:rsid w:val="25699AC2"/>
    <w:rsid w:val="25D076FF"/>
    <w:rsid w:val="26A61411"/>
    <w:rsid w:val="2869CCEC"/>
    <w:rsid w:val="28E51230"/>
    <w:rsid w:val="29191978"/>
    <w:rsid w:val="2954F2B6"/>
    <w:rsid w:val="29E58CB4"/>
    <w:rsid w:val="2A27D219"/>
    <w:rsid w:val="2A7E4C5D"/>
    <w:rsid w:val="2AB82229"/>
    <w:rsid w:val="2B8ACDEB"/>
    <w:rsid w:val="2BC51667"/>
    <w:rsid w:val="2C8884A0"/>
    <w:rsid w:val="2CB0F99B"/>
    <w:rsid w:val="2D0B180C"/>
    <w:rsid w:val="2D83394F"/>
    <w:rsid w:val="2E5D3B7E"/>
    <w:rsid w:val="2E8BBFD0"/>
    <w:rsid w:val="2E9C8CB0"/>
    <w:rsid w:val="2EB8D3CC"/>
    <w:rsid w:val="2EF31783"/>
    <w:rsid w:val="2F23ED22"/>
    <w:rsid w:val="2F621503"/>
    <w:rsid w:val="2FB1CCC8"/>
    <w:rsid w:val="2FE0A3C0"/>
    <w:rsid w:val="305EED5D"/>
    <w:rsid w:val="308F227A"/>
    <w:rsid w:val="30E2E5A0"/>
    <w:rsid w:val="3107EA52"/>
    <w:rsid w:val="313F5A2D"/>
    <w:rsid w:val="32320D4A"/>
    <w:rsid w:val="32366057"/>
    <w:rsid w:val="328ED4E4"/>
    <w:rsid w:val="343946D7"/>
    <w:rsid w:val="34E0AB38"/>
    <w:rsid w:val="34F94741"/>
    <w:rsid w:val="351F7BF9"/>
    <w:rsid w:val="354D2D1E"/>
    <w:rsid w:val="3558914F"/>
    <w:rsid w:val="3589A8D5"/>
    <w:rsid w:val="363BC4AB"/>
    <w:rsid w:val="36B0CFC9"/>
    <w:rsid w:val="37E74674"/>
    <w:rsid w:val="384129F4"/>
    <w:rsid w:val="3873911D"/>
    <w:rsid w:val="3A48ECAF"/>
    <w:rsid w:val="3A4AAF03"/>
    <w:rsid w:val="3A4DF93A"/>
    <w:rsid w:val="3A95740A"/>
    <w:rsid w:val="3B110B34"/>
    <w:rsid w:val="3C01B3B5"/>
    <w:rsid w:val="3C098D32"/>
    <w:rsid w:val="3C72CD0A"/>
    <w:rsid w:val="3E45120B"/>
    <w:rsid w:val="3E4AD852"/>
    <w:rsid w:val="3E9D1CC5"/>
    <w:rsid w:val="3EDEC32C"/>
    <w:rsid w:val="3F359E0F"/>
    <w:rsid w:val="3FA209BC"/>
    <w:rsid w:val="3FB519F1"/>
    <w:rsid w:val="404F027E"/>
    <w:rsid w:val="422FE849"/>
    <w:rsid w:val="42748C50"/>
    <w:rsid w:val="427E77C3"/>
    <w:rsid w:val="42EDC3E0"/>
    <w:rsid w:val="433A3F6F"/>
    <w:rsid w:val="446375BD"/>
    <w:rsid w:val="44D6F4CF"/>
    <w:rsid w:val="44F3A9E8"/>
    <w:rsid w:val="453E3056"/>
    <w:rsid w:val="4694FBD3"/>
    <w:rsid w:val="46F876D4"/>
    <w:rsid w:val="489A91CA"/>
    <w:rsid w:val="48C67FFF"/>
    <w:rsid w:val="4934EAE8"/>
    <w:rsid w:val="49ABD4DA"/>
    <w:rsid w:val="49BE0052"/>
    <w:rsid w:val="4A263DAE"/>
    <w:rsid w:val="4A7425AA"/>
    <w:rsid w:val="4ADADD8C"/>
    <w:rsid w:val="4AEB2FAD"/>
    <w:rsid w:val="4B158E31"/>
    <w:rsid w:val="4BE0E3B7"/>
    <w:rsid w:val="4D049B10"/>
    <w:rsid w:val="4DE398E8"/>
    <w:rsid w:val="4E33AFC0"/>
    <w:rsid w:val="4E90C6FE"/>
    <w:rsid w:val="4EBA0A8A"/>
    <w:rsid w:val="4EE169D2"/>
    <w:rsid w:val="4F3C66AD"/>
    <w:rsid w:val="50491C59"/>
    <w:rsid w:val="50FD6276"/>
    <w:rsid w:val="51C5DDCD"/>
    <w:rsid w:val="5223C31C"/>
    <w:rsid w:val="52BFA3AB"/>
    <w:rsid w:val="52DFA0F3"/>
    <w:rsid w:val="530E9B13"/>
    <w:rsid w:val="5388E870"/>
    <w:rsid w:val="53F36FC0"/>
    <w:rsid w:val="541E588D"/>
    <w:rsid w:val="54FECB6D"/>
    <w:rsid w:val="550B8BBB"/>
    <w:rsid w:val="557BA14D"/>
    <w:rsid w:val="55D21ADF"/>
    <w:rsid w:val="560C253B"/>
    <w:rsid w:val="569EA7E0"/>
    <w:rsid w:val="56D64463"/>
    <w:rsid w:val="56E4CB57"/>
    <w:rsid w:val="5732D6DF"/>
    <w:rsid w:val="57725F98"/>
    <w:rsid w:val="57AF27CB"/>
    <w:rsid w:val="57C08E71"/>
    <w:rsid w:val="57D95D9F"/>
    <w:rsid w:val="57E184D0"/>
    <w:rsid w:val="57F1A0FE"/>
    <w:rsid w:val="58B4555B"/>
    <w:rsid w:val="59604C9A"/>
    <w:rsid w:val="596B7C6B"/>
    <w:rsid w:val="5A0BD0DB"/>
    <w:rsid w:val="5A280ED0"/>
    <w:rsid w:val="5A883687"/>
    <w:rsid w:val="5AC1309C"/>
    <w:rsid w:val="5ADBF94A"/>
    <w:rsid w:val="5AFDC5D7"/>
    <w:rsid w:val="5B07D25D"/>
    <w:rsid w:val="5B1E989D"/>
    <w:rsid w:val="5C1622DD"/>
    <w:rsid w:val="5C9F2251"/>
    <w:rsid w:val="5CC340B5"/>
    <w:rsid w:val="5CE48BB2"/>
    <w:rsid w:val="5CE9F8C3"/>
    <w:rsid w:val="5D5AA171"/>
    <w:rsid w:val="5DD25B4E"/>
    <w:rsid w:val="5E672C02"/>
    <w:rsid w:val="5EAB156E"/>
    <w:rsid w:val="5EF5B18A"/>
    <w:rsid w:val="5F0D2841"/>
    <w:rsid w:val="5F1A9E52"/>
    <w:rsid w:val="5F2DE34F"/>
    <w:rsid w:val="620B32F4"/>
    <w:rsid w:val="6217CEF3"/>
    <w:rsid w:val="626C159D"/>
    <w:rsid w:val="626CD303"/>
    <w:rsid w:val="62D498F8"/>
    <w:rsid w:val="63A494E3"/>
    <w:rsid w:val="63FB1955"/>
    <w:rsid w:val="6426180D"/>
    <w:rsid w:val="647DB3DB"/>
    <w:rsid w:val="65BDDD82"/>
    <w:rsid w:val="65F61F90"/>
    <w:rsid w:val="661E0A73"/>
    <w:rsid w:val="6657B1DF"/>
    <w:rsid w:val="67409704"/>
    <w:rsid w:val="67872620"/>
    <w:rsid w:val="67909C3E"/>
    <w:rsid w:val="67AB96E3"/>
    <w:rsid w:val="67DACA30"/>
    <w:rsid w:val="67E474C9"/>
    <w:rsid w:val="68F8EE92"/>
    <w:rsid w:val="69B13EA4"/>
    <w:rsid w:val="6A68A6CE"/>
    <w:rsid w:val="6B8F2139"/>
    <w:rsid w:val="6BA70C61"/>
    <w:rsid w:val="6BAC8A2C"/>
    <w:rsid w:val="6BFA042D"/>
    <w:rsid w:val="6C0BCA23"/>
    <w:rsid w:val="6C883C7C"/>
    <w:rsid w:val="6CE730A1"/>
    <w:rsid w:val="6D09C881"/>
    <w:rsid w:val="6D09DAFB"/>
    <w:rsid w:val="6E697076"/>
    <w:rsid w:val="6F163174"/>
    <w:rsid w:val="6F261633"/>
    <w:rsid w:val="6F5463AA"/>
    <w:rsid w:val="6F6A51BE"/>
    <w:rsid w:val="6F968453"/>
    <w:rsid w:val="6FC3FCF9"/>
    <w:rsid w:val="70724892"/>
    <w:rsid w:val="70B943A8"/>
    <w:rsid w:val="71708176"/>
    <w:rsid w:val="717E57D0"/>
    <w:rsid w:val="722F79DE"/>
    <w:rsid w:val="7275DE47"/>
    <w:rsid w:val="7288EDA6"/>
    <w:rsid w:val="728F1D6D"/>
    <w:rsid w:val="72C724B9"/>
    <w:rsid w:val="72FB2C99"/>
    <w:rsid w:val="734DCCE4"/>
    <w:rsid w:val="77067036"/>
    <w:rsid w:val="776564D2"/>
    <w:rsid w:val="78003F16"/>
    <w:rsid w:val="780A08C3"/>
    <w:rsid w:val="78868618"/>
    <w:rsid w:val="78BE8FC2"/>
    <w:rsid w:val="7A30C51B"/>
    <w:rsid w:val="7BC56991"/>
    <w:rsid w:val="7C63F233"/>
    <w:rsid w:val="7D77CA41"/>
    <w:rsid w:val="7E457A62"/>
    <w:rsid w:val="7F56C7D0"/>
    <w:rsid w:val="7F7987F1"/>
    <w:rsid w:val="7FDEE8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7FAC0D"/>
  <w15:chartTrackingRefBased/>
  <w15:docId w15:val="{0DB8109B-AFC5-4549-BB1F-CE21076C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129D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29D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9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9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9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9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9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9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9D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129D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A129D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129D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129D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129D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129D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129D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129D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129D7"/>
    <w:rPr>
      <w:rFonts w:eastAsiaTheme="majorEastAsia" w:cstheme="majorBidi"/>
      <w:color w:val="272727" w:themeColor="text1" w:themeTint="D8"/>
    </w:rPr>
  </w:style>
  <w:style w:type="paragraph" w:styleId="Title">
    <w:name w:val="Title"/>
    <w:basedOn w:val="Normal"/>
    <w:next w:val="Normal"/>
    <w:link w:val="TitleChar"/>
    <w:uiPriority w:val="10"/>
    <w:qFormat/>
    <w:rsid w:val="00A129D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129D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129D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129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9D7"/>
    <w:pPr>
      <w:spacing w:before="160"/>
      <w:jc w:val="center"/>
    </w:pPr>
    <w:rPr>
      <w:i/>
      <w:iCs/>
      <w:color w:val="404040" w:themeColor="text1" w:themeTint="BF"/>
    </w:rPr>
  </w:style>
  <w:style w:type="character" w:styleId="QuoteChar" w:customStyle="1">
    <w:name w:val="Quote Char"/>
    <w:basedOn w:val="DefaultParagraphFont"/>
    <w:link w:val="Quote"/>
    <w:uiPriority w:val="29"/>
    <w:rsid w:val="00A129D7"/>
    <w:rPr>
      <w:i/>
      <w:iCs/>
      <w:color w:val="404040" w:themeColor="text1" w:themeTint="BF"/>
    </w:rPr>
  </w:style>
  <w:style w:type="paragraph" w:styleId="ListParagraph">
    <w:name w:val="List Paragraph"/>
    <w:basedOn w:val="Normal"/>
    <w:uiPriority w:val="34"/>
    <w:qFormat/>
    <w:rsid w:val="00A129D7"/>
    <w:pPr>
      <w:ind w:left="720"/>
      <w:contextualSpacing/>
    </w:pPr>
  </w:style>
  <w:style w:type="character" w:styleId="IntenseEmphasis">
    <w:name w:val="Intense Emphasis"/>
    <w:basedOn w:val="DefaultParagraphFont"/>
    <w:uiPriority w:val="21"/>
    <w:qFormat/>
    <w:rsid w:val="00A129D7"/>
    <w:rPr>
      <w:i/>
      <w:iCs/>
      <w:color w:val="0F4761" w:themeColor="accent1" w:themeShade="BF"/>
    </w:rPr>
  </w:style>
  <w:style w:type="paragraph" w:styleId="IntenseQuote">
    <w:name w:val="Intense Quote"/>
    <w:basedOn w:val="Normal"/>
    <w:next w:val="Normal"/>
    <w:link w:val="IntenseQuoteChar"/>
    <w:uiPriority w:val="30"/>
    <w:qFormat/>
    <w:rsid w:val="00A129D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129D7"/>
    <w:rPr>
      <w:i/>
      <w:iCs/>
      <w:color w:val="0F4761" w:themeColor="accent1" w:themeShade="BF"/>
    </w:rPr>
  </w:style>
  <w:style w:type="character" w:styleId="IntenseReference">
    <w:name w:val="Intense Reference"/>
    <w:basedOn w:val="DefaultParagraphFont"/>
    <w:uiPriority w:val="32"/>
    <w:qFormat/>
    <w:rsid w:val="00A129D7"/>
    <w:rPr>
      <w:b/>
      <w:bCs/>
      <w:smallCaps/>
      <w:color w:val="0F4761" w:themeColor="accent1" w:themeShade="BF"/>
      <w:spacing w:val="5"/>
    </w:rPr>
  </w:style>
  <w:style w:type="paragraph" w:styleId="TOCHeading">
    <w:name w:val="TOC Heading"/>
    <w:basedOn w:val="Heading1"/>
    <w:next w:val="Normal"/>
    <w:uiPriority w:val="39"/>
    <w:unhideWhenUsed/>
    <w:qFormat/>
    <w:rsid w:val="00A129D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129D7"/>
    <w:pPr>
      <w:spacing w:after="100"/>
    </w:pPr>
  </w:style>
  <w:style w:type="character" w:styleId="Hyperlink">
    <w:name w:val="Hyperlink"/>
    <w:basedOn w:val="DefaultParagraphFont"/>
    <w:uiPriority w:val="99"/>
    <w:unhideWhenUsed/>
    <w:rsid w:val="00A129D7"/>
    <w:rPr>
      <w:color w:val="467886" w:themeColor="hyperlink"/>
      <w:u w:val="single"/>
    </w:rPr>
  </w:style>
  <w:style w:type="paragraph" w:styleId="Header">
    <w:name w:val="header"/>
    <w:basedOn w:val="Normal"/>
    <w:link w:val="HeaderChar"/>
    <w:uiPriority w:val="99"/>
    <w:unhideWhenUsed/>
    <w:rsid w:val="00A129D7"/>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29D7"/>
  </w:style>
  <w:style w:type="paragraph" w:styleId="Footer">
    <w:name w:val="footer"/>
    <w:basedOn w:val="Normal"/>
    <w:link w:val="FooterChar"/>
    <w:uiPriority w:val="99"/>
    <w:unhideWhenUsed/>
    <w:rsid w:val="00A129D7"/>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29D7"/>
  </w:style>
  <w:style w:type="paragraph" w:styleId="TOC2">
    <w:name w:val="toc 2"/>
    <w:basedOn w:val="Normal"/>
    <w:next w:val="Normal"/>
    <w:autoRedefine/>
    <w:uiPriority w:val="39"/>
    <w:unhideWhenUsed/>
    <w:rsid w:val="00CD5E49"/>
    <w:pPr>
      <w:spacing w:after="100"/>
      <w:ind w:left="220"/>
    </w:pPr>
  </w:style>
  <w:style w:type="paragraph" w:styleId="TOC3">
    <w:uiPriority w:val="39"/>
    <w:name w:val="toc 3"/>
    <w:basedOn w:val="Normal"/>
    <w:next w:val="Normal"/>
    <w:unhideWhenUsed/>
    <w:rsid w:val="00C9A62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1.xml" Id="rId11"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14" /><Relationship Type="http://schemas.openxmlformats.org/officeDocument/2006/relationships/image" Target="/media/image.png" Id="rId1077626821" /><Relationship Type="http://schemas.openxmlformats.org/officeDocument/2006/relationships/hyperlink" Target="https://doi.org/10.1177/15274764241292334" TargetMode="External" Id="R06d7e28105dc4080" /><Relationship Type="http://schemas.openxmlformats.org/officeDocument/2006/relationships/hyperlink" Target="https://doi.org/10.1142/S2737566822500074" TargetMode="External" Id="R69fae00748b1491d" /><Relationship Type="http://schemas.openxmlformats.org/officeDocument/2006/relationships/hyperlink" Target="https://doi.org/10.1108/MRR-10-2016-0243" TargetMode="External" Id="Ra952c661db594932" /><Relationship Type="http://schemas.openxmlformats.org/officeDocument/2006/relationships/hyperlink" Target="https://www.businessofapps.com/data/netflix-statistics/" TargetMode="External" Id="Ra66288a64a5b4a94" /><Relationship Type="http://schemas.openxmlformats.org/officeDocument/2006/relationships/hyperlink" Target="https://doi.org/10.1016/j.cstp.2022.01.030" TargetMode="External" Id="Re17c3e280e6a4bba" /><Relationship Type="http://schemas.openxmlformats.org/officeDocument/2006/relationships/hyperlink" Target="https://doi.org/10.1108/IJOA-02-2023-3635" TargetMode="External" Id="R5c9086155d8a42ea" /><Relationship Type="http://schemas.openxmlformats.org/officeDocument/2006/relationships/hyperlink" Target="https://doi.org/10.1093/oso/9780190081478.003.0009" TargetMode="External" Id="R10bdab8897e8473b" /><Relationship Type="http://schemas.openxmlformats.org/officeDocument/2006/relationships/hyperlink" Target="https://doi.org/10.2478/mmcks-2020-0032" TargetMode="External" Id="R670dd7c0acc64a50" /><Relationship Type="http://schemas.openxmlformats.org/officeDocument/2006/relationships/hyperlink" Target="https://doi.org/10.1177/00977004221133533" TargetMode="External" Id="R727e3ee988e946c0" /><Relationship Type="http://schemas.openxmlformats.org/officeDocument/2006/relationships/hyperlink" Target="https://www.theculturefactor.com/resources/peer-reviewed-research/new-developments-in-hofstedes-individualism-collectivism-a-guide-for-scholars-educators-trainers-and-other-practitioner" TargetMode="External" Id="R316a42b781214633" /><Relationship Type="http://schemas.openxmlformats.org/officeDocument/2006/relationships/hyperlink" Target="https://doi.org/10.32381/JCISS.2020.45.1-4.14" TargetMode="External" Id="R50f85186f080425a" /><Relationship Type="http://schemas.openxmlformats.org/officeDocument/2006/relationships/hyperlink" Target="https://doi.org/10.1080/1369118X.2018.1510534" TargetMode="External" Id="Rda4faea966fd468b" /><Relationship Type="http://schemas.openxmlformats.org/officeDocument/2006/relationships/hyperlink" Target="https://doi.org/10.1080/09540962.2020.1727112" TargetMode="External" Id="R836150e52ceb40e2" /><Relationship Type="http://schemas.openxmlformats.org/officeDocument/2006/relationships/hyperlink" Target="https://doi.org/10.23919/JCC.2022.01.020" TargetMode="External" Id="Re5ac131a25f446c1" /><Relationship Type="http://schemas.openxmlformats.org/officeDocument/2006/relationships/hyperlink" Target="https://doi.org/10.1016/j.cjar.2019.12.001" TargetMode="External" Id="R59141b307e48418a" /><Relationship Type="http://schemas.openxmlformats.org/officeDocument/2006/relationships/hyperlink" Target="https://doi.org/10.1093/joc/jqac020" TargetMode="External" Id="R1d3aa36b52b9440c" /><Relationship Type="http://schemas.openxmlformats.org/officeDocument/2006/relationships/hyperlink" Target="https://doi.org/10.1108/IJEM-01-2018-0015" TargetMode="External" Id="Rb6581dc71a12474a" /><Relationship Type="http://schemas.openxmlformats.org/officeDocument/2006/relationships/hyperlink" Target="https://advantage-marketline-com.ezproxy.uwtsd.ac.uk/Company/Profile/netflix-inc?companyprofile" TargetMode="External" Id="Rb0fd8203e7e54e80" /><Relationship Type="http://schemas.openxmlformats.org/officeDocument/2006/relationships/hyperlink" Target="https://doi.org/10.1017/jmo.2015.44" TargetMode="External" Id="R98f183df4b45459d" /><Relationship Type="http://schemas.openxmlformats.org/officeDocument/2006/relationships/hyperlink" Target="https://doi.org/10.1051/e3sconf/202451705005" TargetMode="External" Id="Re4a00b2be1944d49" /><Relationship Type="http://schemas.openxmlformats.org/officeDocument/2006/relationships/hyperlink" Target="https://doi.org/10.1088/1742-6596/1533/2/022056" TargetMode="External" Id="Rdb268e1a62914713" /><Relationship Type="http://schemas.openxmlformats.org/officeDocument/2006/relationships/hyperlink" Target="https://doi.org/10.1016/j.cjar.2024.100393" TargetMode="External" Id="R46b2a2b3b4df4a5c" /><Relationship Type="http://schemas.openxmlformats.org/officeDocument/2006/relationships/hyperlink" Target="https://www.theculturefactor.com/country-comparison-tool?countries=china" TargetMode="External" Id="R867488dc49f04b02" /><Relationship Type="http://schemas.openxmlformats.org/officeDocument/2006/relationships/hyperlink" Target="https://doi.org/10.1080/17525098.2016.1231253" TargetMode="External" Id="R1d1639884dab4627" /><Relationship Type="http://schemas.openxmlformats.org/officeDocument/2006/relationships/hyperlink" Target="https://doi.org/10.1108/13552559810224567" TargetMode="External" Id="R8392add954e04b55" /><Relationship Type="http://schemas.openxmlformats.org/officeDocument/2006/relationships/hyperlink" Target="https://doi.org/10.47998/ikad.1004162" TargetMode="External" Id="Ra9f8ecb6045b4dcb" /><Relationship Type="http://schemas.openxmlformats.org/officeDocument/2006/relationships/hyperlink" Target="https://doi.org/10.1177/1461445620940051" TargetMode="External" Id="Ref1494a8f37d41e5" /><Relationship Type="http://schemas.openxmlformats.org/officeDocument/2006/relationships/hyperlink" Target="https://doi.org/10.1016/j.eiar.2023.107184" TargetMode="External" Id="Rc2cd921c12d74306" /><Relationship Type="http://schemas.microsoft.com/office/2020/10/relationships/intelligence" Target="intelligence2.xml" Id="R5f155058d4ab4b0c" /><Relationship Type="http://schemas.openxmlformats.org/officeDocument/2006/relationships/numbering" Target="numbering.xml" Id="R1a15593c69834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5" ma:contentTypeDescription="Create a new document." ma:contentTypeScope="" ma:versionID="ec613991c73dc976ca69e9e048cdb621">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c5c4af311e6c14aa698258d8f0e091f8"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9FEF0E-1CED-4B21-A44A-618AD476B158}">
  <ds:schemaRefs>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purl.org/dc/dcmitype/"/>
    <ds:schemaRef ds:uri="5c225c8a-d58b-4f92-9659-fc93657787ef"/>
    <ds:schemaRef ds:uri="01059ada-d055-41df-ae87-635bd8b92658"/>
    <ds:schemaRef ds:uri="http://www.w3.org/XML/1998/namespace"/>
    <ds:schemaRef ds:uri="http://purl.org/dc/terms/"/>
  </ds:schemaRefs>
</ds:datastoreItem>
</file>

<file path=customXml/itemProps2.xml><?xml version="1.0" encoding="utf-8"?>
<ds:datastoreItem xmlns:ds="http://schemas.openxmlformats.org/officeDocument/2006/customXml" ds:itemID="{66FCB257-DDBB-4429-B46B-464A31452D82}">
  <ds:schemaRefs>
    <ds:schemaRef ds:uri="http://schemas.microsoft.com/sharepoint/v3/contenttype/forms"/>
  </ds:schemaRefs>
</ds:datastoreItem>
</file>

<file path=customXml/itemProps3.xml><?xml version="1.0" encoding="utf-8"?>
<ds:datastoreItem xmlns:ds="http://schemas.openxmlformats.org/officeDocument/2006/customXml" ds:itemID="{A4FC4487-F5B7-4EA8-BC54-E60E95D25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4</revision>
  <dcterms:created xsi:type="dcterms:W3CDTF">2025-10-14T13:01:00.0000000Z</dcterms:created>
  <dcterms:modified xsi:type="dcterms:W3CDTF">2025-12-05T10:46:26.6557722Z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1b336f97-552a-4ef7-8cd8-6a45ebac4095</vt:lpwstr>
  </property>
  <property fmtid="{D5CDD505-2E9C-101B-9397-08002B2CF9AE}" pid="3" name="ContentTypeId">
    <vt:lpwstr>0x010100448A7A53ED0F6C4BAC9BB320F40B3DEF</vt:lpwstr>
  </property>
</Properties>
</file>