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9BB3C" w14:textId="3CBE339E" w:rsidR="00466C66" w:rsidRDefault="00466C66" w:rsidP="00E611D9">
      <w:pPr>
        <w:pStyle w:val="AssignHead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CF1774" wp14:editId="7C4CFC8C">
                <wp:simplePos x="0" y="0"/>
                <wp:positionH relativeFrom="column">
                  <wp:posOffset>3901440</wp:posOffset>
                </wp:positionH>
                <wp:positionV relativeFrom="paragraph">
                  <wp:posOffset>-198120</wp:posOffset>
                </wp:positionV>
                <wp:extent cx="1516380" cy="251460"/>
                <wp:effectExtent l="0" t="0" r="26670" b="15240"/>
                <wp:wrapNone/>
                <wp:docPr id="19113745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638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C80F3E2" w14:textId="0E606975" w:rsidR="00466C66" w:rsidRPr="00466C66" w:rsidRDefault="00466C66" w:rsidP="00466C6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66C66">
                              <w:rPr>
                                <w:sz w:val="24"/>
                                <w:szCs w:val="24"/>
                              </w:rPr>
                              <w:t>2306066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CF177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07.2pt;margin-top:-15.6pt;width:119.4pt;height:19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+R+NAIAAHwEAAAOAAAAZHJzL2Uyb0RvYy54bWysVE1v2zAMvQ/YfxB0XxynSdYacYosRYYB&#10;QVsgHXpWZCk2IIuapMTOfv0o2flo19Owi0yJ1BP5+OjZfVsrchDWVaBzmg6GlAjNoaj0Lqc/X1Zf&#10;bilxnumCKdAip0fh6P3886dZYzIxghJUISxBEO2yxuS09N5kSeJ4KWrmBmCERqcEWzOPW7tLCssa&#10;RK9VMhoOp0kDtjAWuHAOTx86J51HfCkF909SOuGJyinm5uNq47oNazKfsWxnmSkr3qfB/iGLmlUa&#10;Hz1DPTDPyN5Wf0HVFbfgQPoBhzoBKSsuYg1YTTp8V82mZEbEWpAcZ840uf8Hyx8PG/NsiW+/QYsN&#10;DIQ0xmUOD0M9rbR1+GKmBP1I4fFMm2g94eHSJJ3e3KKLo280ScfTyGtyuW2s898F1CQYObXYlsgW&#10;O6ydxxcx9BQSHnOgqmJVKRU3QQpiqSw5MGyi8jFHvPEmSmnS5HR6MxlG4De+KKYLwnb3AQLiKY2J&#10;XGoPlm+3bU/IFooj8mShk5AzfFVhMWvm/DOzqBmsH+fAP+EiFWAy0FuUlGB/f3Qe4rGV6KWkQQ3m&#10;1P3aMysoUT80NvkuHY+DaONmPPk6wo299myvPXpfLwEZSnHiDI9miPfqZEoL9SuOyyK8ii6mOb6d&#10;U38yl76bDBw3LhaLGIQyNcyv9cbwAB06Elr10r4ya/p+elTCI5zUyrJ3be1iw00Ni70HWcWeB4I7&#10;VnveUeJRCv04hhm63seoy09j/gcAAP//AwBQSwMEFAAGAAgAAAAhAPStC3veAAAACQEAAA8AAABk&#10;cnMvZG93bnJldi54bWxMj8FKw0AQhu+C77CM4K3dpFlLSLMpQRFBBbF66W2bHZNgdjZkt2369o4n&#10;vf3DfPzzTbmd3SBOOIXek4Z0mYBAarztqdXw+fG4yEGEaMiawRNquGCAbXV9VZrC+jO942kXW8El&#10;FAqjoYtxLKQMTYfOhKUfkXj35SdnIo9TK+1kzlzuBrlKkrV0pie+0JkR7ztsvndHp+FZ7c1DFl/w&#10;Eml+q+unfFThVevbm7negIg4xz8YfvVZHSp2Ovgj2SAGDetUKUY1LLJ0BYKJ/C7jcOCgQFal/P9B&#10;9QMAAP//AwBQSwECLQAUAAYACAAAACEAtoM4kv4AAADhAQAAEwAAAAAAAAAAAAAAAAAAAAAAW0Nv&#10;bnRlbnRfVHlwZXNdLnhtbFBLAQItABQABgAIAAAAIQA4/SH/1gAAAJQBAAALAAAAAAAAAAAAAAAA&#10;AC8BAABfcmVscy8ucmVsc1BLAQItABQABgAIAAAAIQDDR+R+NAIAAHwEAAAOAAAAAAAAAAAAAAAA&#10;AC4CAABkcnMvZTJvRG9jLnhtbFBLAQItABQABgAIAAAAIQD0rQt73gAAAAkBAAAPAAAAAAAAAAAA&#10;AAAAAI4EAABkcnMvZG93bnJldi54bWxQSwUGAAAAAAQABADzAAAAmQUAAAAA&#10;" fillcolor="white [3201]" strokecolor="white [3212]" strokeweight=".5pt">
                <v:textbox>
                  <w:txbxContent>
                    <w:p w14:paraId="7C80F3E2" w14:textId="0E606975" w:rsidR="00466C66" w:rsidRPr="00466C66" w:rsidRDefault="00466C66" w:rsidP="00466C6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66C66">
                        <w:rPr>
                          <w:sz w:val="24"/>
                          <w:szCs w:val="24"/>
                        </w:rPr>
                        <w:t>2306066</w:t>
                      </w:r>
                    </w:p>
                  </w:txbxContent>
                </v:textbox>
              </v:shape>
            </w:pict>
          </mc:Fallback>
        </mc:AlternateContent>
      </w:r>
    </w:p>
    <w:p w14:paraId="118CB437" w14:textId="11572095" w:rsidR="006419C3" w:rsidRDefault="009A0ECE" w:rsidP="00E611D9">
      <w:pPr>
        <w:pStyle w:val="AssignHeader"/>
      </w:pPr>
      <w:r>
        <w:t>ECAD6009/7003 – Part A</w:t>
      </w:r>
      <w:r w:rsidR="00466C66">
        <w:t xml:space="preserve">- </w:t>
      </w:r>
      <w:r w:rsidR="00466C66" w:rsidRPr="00466C66">
        <w:t>Understanding how the learner, the school and the local community work together to deliver one of the four purposes of the new curriculum.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78D7879C" w:rsidR="009B47AE" w:rsidRDefault="009B47AE" w:rsidP="00E611D9">
      <w:pPr>
        <w:pStyle w:val="AssignBody"/>
      </w:pPr>
    </w:p>
    <w:p w14:paraId="0A820366" w14:textId="77777777" w:rsidR="00466C66" w:rsidRDefault="00466C66" w:rsidP="00466C66"/>
    <w:p w14:paraId="38C91F25" w14:textId="77777777" w:rsidR="00466C66" w:rsidRPr="00466C66" w:rsidRDefault="00466C66" w:rsidP="00466C66">
      <w:pPr>
        <w:rPr>
          <w:sz w:val="24"/>
          <w:szCs w:val="24"/>
        </w:rPr>
      </w:pPr>
      <w:r w:rsidRPr="00466C66">
        <w:rPr>
          <w:sz w:val="24"/>
          <w:szCs w:val="24"/>
        </w:rPr>
        <w:t xml:space="preserve">British Educational Research Association (2018) Ethical guidelines for educational research. 4th </w:t>
      </w:r>
      <w:proofErr w:type="spellStart"/>
      <w:r w:rsidRPr="00466C66">
        <w:rPr>
          <w:sz w:val="24"/>
          <w:szCs w:val="24"/>
        </w:rPr>
        <w:t>edn</w:t>
      </w:r>
      <w:proofErr w:type="spellEnd"/>
      <w:r w:rsidRPr="00466C66">
        <w:rPr>
          <w:sz w:val="24"/>
          <w:szCs w:val="24"/>
        </w:rPr>
        <w:t>. Available at: https://www.bera.ac.uk/researchers-resources/publications/ethical-guidelines-for-educational-research-2018. (18 February 2024).</w:t>
      </w:r>
    </w:p>
    <w:p w14:paraId="16BCA609" w14:textId="77777777" w:rsidR="00466C66" w:rsidRPr="00466C66" w:rsidRDefault="00466C66" w:rsidP="00466C66">
      <w:pPr>
        <w:rPr>
          <w:sz w:val="24"/>
          <w:szCs w:val="24"/>
        </w:rPr>
      </w:pPr>
    </w:p>
    <w:p w14:paraId="5E3A67B5" w14:textId="77777777" w:rsidR="00466C66" w:rsidRPr="00466C66" w:rsidRDefault="00466C66" w:rsidP="00466C66">
      <w:pPr>
        <w:rPr>
          <w:sz w:val="24"/>
          <w:szCs w:val="24"/>
        </w:rPr>
      </w:pPr>
      <w:r w:rsidRPr="00466C66">
        <w:rPr>
          <w:sz w:val="24"/>
          <w:szCs w:val="24"/>
        </w:rPr>
        <w:t xml:space="preserve">Bronfenbrenner, U., 1994. Ecological models of human development. International </w:t>
      </w:r>
      <w:proofErr w:type="spellStart"/>
      <w:r w:rsidRPr="00466C66">
        <w:rPr>
          <w:sz w:val="24"/>
          <w:szCs w:val="24"/>
        </w:rPr>
        <w:t>encyclopedia</w:t>
      </w:r>
      <w:proofErr w:type="spellEnd"/>
      <w:r w:rsidRPr="00466C66">
        <w:rPr>
          <w:sz w:val="24"/>
          <w:szCs w:val="24"/>
        </w:rPr>
        <w:t xml:space="preserve"> of education, 3(2), pp.37-43.  (22 February 2024).</w:t>
      </w:r>
    </w:p>
    <w:p w14:paraId="01A96CB0" w14:textId="77777777" w:rsidR="00466C66" w:rsidRPr="00466C66" w:rsidRDefault="00466C66" w:rsidP="00466C66">
      <w:pPr>
        <w:rPr>
          <w:sz w:val="24"/>
          <w:szCs w:val="24"/>
        </w:rPr>
      </w:pPr>
    </w:p>
    <w:p w14:paraId="5BBB5EEC" w14:textId="77777777" w:rsidR="00466C66" w:rsidRPr="00466C66" w:rsidRDefault="00466C66" w:rsidP="00466C66">
      <w:pPr>
        <w:rPr>
          <w:sz w:val="24"/>
          <w:szCs w:val="24"/>
        </w:rPr>
      </w:pPr>
      <w:proofErr w:type="spellStart"/>
      <w:r w:rsidRPr="00466C66">
        <w:rPr>
          <w:sz w:val="24"/>
          <w:szCs w:val="24"/>
        </w:rPr>
        <w:t>Gagnidze</w:t>
      </w:r>
      <w:proofErr w:type="spellEnd"/>
      <w:r w:rsidRPr="00466C66">
        <w:rPr>
          <w:sz w:val="24"/>
          <w:szCs w:val="24"/>
        </w:rPr>
        <w:t xml:space="preserve">, M. (2022) “Critical analysis of Maslow’s theory”, Business and Legislation, 15(1), pp. 58–61. Available at: </w:t>
      </w:r>
      <w:hyperlink r:id="rId9" w:history="1">
        <w:r w:rsidRPr="00466C66">
          <w:rPr>
            <w:rStyle w:val="Hyperlink"/>
            <w:sz w:val="24"/>
            <w:szCs w:val="24"/>
          </w:rPr>
          <w:t xml:space="preserve">https://ojs.b-k.ge/index.php/bk/article/view/745 </w:t>
        </w:r>
      </w:hyperlink>
      <w:r w:rsidRPr="00466C66">
        <w:rPr>
          <w:sz w:val="24"/>
          <w:szCs w:val="24"/>
        </w:rPr>
        <w:t xml:space="preserve">  (27 February 2024).</w:t>
      </w:r>
    </w:p>
    <w:p w14:paraId="3E356C69" w14:textId="77777777" w:rsidR="00466C66" w:rsidRPr="00466C66" w:rsidRDefault="00466C66" w:rsidP="00466C66">
      <w:pPr>
        <w:rPr>
          <w:sz w:val="24"/>
          <w:szCs w:val="24"/>
        </w:rPr>
      </w:pPr>
    </w:p>
    <w:p w14:paraId="228CD3EF" w14:textId="77777777" w:rsidR="00466C66" w:rsidRPr="00466C66" w:rsidRDefault="00466C66" w:rsidP="00466C66">
      <w:pPr>
        <w:rPr>
          <w:sz w:val="24"/>
          <w:szCs w:val="24"/>
        </w:rPr>
      </w:pPr>
      <w:proofErr w:type="spellStart"/>
      <w:r w:rsidRPr="00466C66">
        <w:rPr>
          <w:sz w:val="24"/>
          <w:szCs w:val="24"/>
        </w:rPr>
        <w:t>Pichère</w:t>
      </w:r>
      <w:proofErr w:type="spellEnd"/>
      <w:r w:rsidRPr="00466C66">
        <w:rPr>
          <w:sz w:val="24"/>
          <w:szCs w:val="24"/>
        </w:rPr>
        <w:t xml:space="preserve"> Pierre &amp; </w:t>
      </w:r>
      <w:proofErr w:type="spellStart"/>
      <w:r w:rsidRPr="00466C66">
        <w:rPr>
          <w:sz w:val="24"/>
          <w:szCs w:val="24"/>
        </w:rPr>
        <w:t>Cadiat</w:t>
      </w:r>
      <w:proofErr w:type="spellEnd"/>
      <w:r w:rsidRPr="00466C66">
        <w:rPr>
          <w:sz w:val="24"/>
          <w:szCs w:val="24"/>
        </w:rPr>
        <w:t xml:space="preserve">, A.-C., 2015. Maslow’s </w:t>
      </w:r>
      <w:proofErr w:type="spellStart"/>
      <w:r w:rsidRPr="00466C66">
        <w:rPr>
          <w:sz w:val="24"/>
          <w:szCs w:val="24"/>
        </w:rPr>
        <w:t>hiararchy</w:t>
      </w:r>
      <w:proofErr w:type="spellEnd"/>
      <w:r w:rsidRPr="00466C66">
        <w:rPr>
          <w:sz w:val="24"/>
          <w:szCs w:val="24"/>
        </w:rPr>
        <w:t xml:space="preserve"> of needs. (18 February 2024).</w:t>
      </w:r>
    </w:p>
    <w:p w14:paraId="0FAB3EDC" w14:textId="77777777" w:rsidR="00466C66" w:rsidRPr="00466C66" w:rsidRDefault="00466C66" w:rsidP="00466C66">
      <w:pPr>
        <w:rPr>
          <w:sz w:val="24"/>
          <w:szCs w:val="24"/>
        </w:rPr>
      </w:pPr>
    </w:p>
    <w:p w14:paraId="379738E4" w14:textId="77777777" w:rsidR="00466C66" w:rsidRPr="00466C66" w:rsidRDefault="00466C66" w:rsidP="00466C66">
      <w:pPr>
        <w:rPr>
          <w:sz w:val="24"/>
          <w:szCs w:val="24"/>
        </w:rPr>
      </w:pPr>
      <w:r w:rsidRPr="00466C66">
        <w:rPr>
          <w:sz w:val="24"/>
          <w:szCs w:val="24"/>
        </w:rPr>
        <w:t>Sroufe, L.A., 2000. Early relationships and the development of children. Infant mental health journal, 21(1</w:t>
      </w:r>
      <w:r w:rsidRPr="00466C66">
        <w:rPr>
          <w:rFonts w:ascii="Cambria Math" w:hAnsi="Cambria Math" w:cs="Cambria Math"/>
          <w:sz w:val="24"/>
          <w:szCs w:val="24"/>
        </w:rPr>
        <w:t>‐</w:t>
      </w:r>
      <w:r w:rsidRPr="00466C66">
        <w:rPr>
          <w:sz w:val="24"/>
          <w:szCs w:val="24"/>
        </w:rPr>
        <w:t>2), pp.67-74. (18 February 2024).</w:t>
      </w:r>
    </w:p>
    <w:p w14:paraId="3F6E5ACB" w14:textId="77777777" w:rsidR="00466C66" w:rsidRPr="00466C66" w:rsidRDefault="00466C66" w:rsidP="00466C66">
      <w:pPr>
        <w:rPr>
          <w:sz w:val="24"/>
          <w:szCs w:val="24"/>
        </w:rPr>
      </w:pPr>
    </w:p>
    <w:p w14:paraId="079E0108" w14:textId="77777777" w:rsidR="00466C66" w:rsidRPr="00466C66" w:rsidRDefault="00466C66" w:rsidP="00466C66">
      <w:pPr>
        <w:rPr>
          <w:sz w:val="24"/>
          <w:szCs w:val="24"/>
        </w:rPr>
      </w:pPr>
      <w:r w:rsidRPr="00466C66">
        <w:rPr>
          <w:sz w:val="24"/>
          <w:szCs w:val="24"/>
        </w:rPr>
        <w:t>Vygotsky, L. S. (1978) Mind in Society: The Development of Higher Psychological Processes. London: Harvard University Press. (22 February 2024).</w:t>
      </w:r>
    </w:p>
    <w:p w14:paraId="539A36DE" w14:textId="77777777" w:rsidR="00466C66" w:rsidRPr="00466C66" w:rsidRDefault="00466C66" w:rsidP="00466C66">
      <w:pPr>
        <w:rPr>
          <w:sz w:val="24"/>
          <w:szCs w:val="24"/>
        </w:rPr>
      </w:pPr>
    </w:p>
    <w:p w14:paraId="7F7A6A72" w14:textId="6CB54115" w:rsidR="009A0ECE" w:rsidRPr="00466C66" w:rsidRDefault="00466C66" w:rsidP="00466C66">
      <w:pPr>
        <w:rPr>
          <w:sz w:val="24"/>
          <w:szCs w:val="24"/>
        </w:rPr>
      </w:pPr>
      <w:r w:rsidRPr="00466C66">
        <w:rPr>
          <w:sz w:val="24"/>
          <w:szCs w:val="24"/>
        </w:rPr>
        <w:t xml:space="preserve">Welsh Government. (2020) Curriculum for Wales. Available at: </w:t>
      </w:r>
      <w:hyperlink r:id="rId10" w:history="1">
        <w:r w:rsidRPr="00466C66">
          <w:rPr>
            <w:rStyle w:val="Hyperlink"/>
            <w:sz w:val="24"/>
            <w:szCs w:val="24"/>
          </w:rPr>
          <w:t>https://hwb.gov.wales/curriculum-for-wales</w:t>
        </w:r>
      </w:hyperlink>
      <w:r w:rsidRPr="00466C66">
        <w:rPr>
          <w:sz w:val="24"/>
          <w:szCs w:val="24"/>
        </w:rPr>
        <w:t xml:space="preserve">  (18 February 2024).</w:t>
      </w:r>
    </w:p>
    <w:sectPr w:rsidR="009A0ECE" w:rsidRPr="00466C66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11705" w14:textId="77777777" w:rsidR="00CD6F8B" w:rsidRDefault="00CD6F8B" w:rsidP="00E611D9">
      <w:pPr>
        <w:spacing w:after="0" w:line="240" w:lineRule="auto"/>
      </w:pPr>
      <w:r>
        <w:separator/>
      </w:r>
    </w:p>
  </w:endnote>
  <w:endnote w:type="continuationSeparator" w:id="0">
    <w:p w14:paraId="6DE97628" w14:textId="77777777" w:rsidR="00CD6F8B" w:rsidRDefault="00CD6F8B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F2C7A" w14:textId="77777777" w:rsidR="00CD6F8B" w:rsidRDefault="00CD6F8B" w:rsidP="00E611D9">
      <w:pPr>
        <w:spacing w:after="0" w:line="240" w:lineRule="auto"/>
      </w:pPr>
      <w:r>
        <w:separator/>
      </w:r>
    </w:p>
  </w:footnote>
  <w:footnote w:type="continuationSeparator" w:id="0">
    <w:p w14:paraId="3558A7E1" w14:textId="77777777" w:rsidR="00CD6F8B" w:rsidRDefault="00CD6F8B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466C66"/>
    <w:rsid w:val="005956FB"/>
    <w:rsid w:val="006419C3"/>
    <w:rsid w:val="00691A46"/>
    <w:rsid w:val="006B5861"/>
    <w:rsid w:val="00817F7A"/>
    <w:rsid w:val="00877A8E"/>
    <w:rsid w:val="009A0ECE"/>
    <w:rsid w:val="009B47AE"/>
    <w:rsid w:val="00AD4EBD"/>
    <w:rsid w:val="00B67895"/>
    <w:rsid w:val="00BC651E"/>
    <w:rsid w:val="00CD1240"/>
    <w:rsid w:val="00CD6F8B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66C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hwb.gov.wales/curriculum-for-wales" TargetMode="External"/><Relationship Id="rId4" Type="http://schemas.openxmlformats.org/officeDocument/2006/relationships/styles" Target="styles.xml"/><Relationship Id="rId9" Type="http://schemas.openxmlformats.org/officeDocument/2006/relationships/hyperlink" Target="https://ojs.b-k.ge/index.php/bk/article/view/745%20(2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Joshua Kelland</cp:lastModifiedBy>
  <cp:revision>2</cp:revision>
  <dcterms:created xsi:type="dcterms:W3CDTF">2024-03-04T21:03:00Z</dcterms:created>
  <dcterms:modified xsi:type="dcterms:W3CDTF">2024-03-04T21:03:00Z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