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4AFA3" w14:textId="77777777" w:rsidR="005E1FC9" w:rsidRPr="00294F8F" w:rsidRDefault="005E1FC9" w:rsidP="005E1FC9">
      <w:pPr>
        <w:spacing w:line="360" w:lineRule="auto"/>
        <w:jc w:val="center"/>
        <w:rPr>
          <w:rFonts w:ascii="Arial" w:hAnsi="Arial" w:cs="Arial"/>
          <w:color w:val="000000" w:themeColor="text1"/>
        </w:rPr>
      </w:pPr>
      <w:r w:rsidRPr="00294F8F">
        <w:rPr>
          <w:rFonts w:ascii="Arial" w:hAnsi="Arial" w:cs="Arial"/>
          <w:noProof/>
          <w:color w:val="000000" w:themeColor="text1"/>
          <w:lang w:eastAsia="en-GB"/>
        </w:rPr>
        <w:drawing>
          <wp:anchor distT="0" distB="0" distL="114300" distR="114300" simplePos="0" relativeHeight="251659264" behindDoc="0" locked="0" layoutInCell="1" allowOverlap="1" wp14:anchorId="15F182AF" wp14:editId="6D2F325D">
            <wp:simplePos x="0" y="0"/>
            <wp:positionH relativeFrom="margin">
              <wp:align>center</wp:align>
            </wp:positionH>
            <wp:positionV relativeFrom="paragraph">
              <wp:posOffset>101600</wp:posOffset>
            </wp:positionV>
            <wp:extent cx="3448050" cy="11430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48050" cy="1143000"/>
                    </a:xfrm>
                    <a:prstGeom prst="rect">
                      <a:avLst/>
                    </a:prstGeom>
                    <a:noFill/>
                  </pic:spPr>
                </pic:pic>
              </a:graphicData>
            </a:graphic>
            <wp14:sizeRelH relativeFrom="margin">
              <wp14:pctWidth>0</wp14:pctWidth>
            </wp14:sizeRelH>
            <wp14:sizeRelV relativeFrom="margin">
              <wp14:pctHeight>0</wp14:pctHeight>
            </wp14:sizeRelV>
          </wp:anchor>
        </w:drawing>
      </w:r>
    </w:p>
    <w:p w14:paraId="7CB2E9DC" w14:textId="77777777" w:rsidR="005E1FC9" w:rsidRPr="00294F8F" w:rsidRDefault="005E1FC9" w:rsidP="005E1FC9">
      <w:pPr>
        <w:spacing w:line="360" w:lineRule="auto"/>
        <w:jc w:val="center"/>
        <w:rPr>
          <w:rFonts w:ascii="Arial" w:hAnsi="Arial" w:cs="Arial"/>
          <w:b/>
          <w:bCs/>
          <w:color w:val="000000" w:themeColor="text1"/>
          <w:sz w:val="52"/>
          <w:szCs w:val="52"/>
        </w:rPr>
      </w:pPr>
      <w:r w:rsidRPr="00294F8F">
        <w:rPr>
          <w:rFonts w:ascii="Arial" w:hAnsi="Arial" w:cs="Arial"/>
          <w:b/>
          <w:bCs/>
          <w:color w:val="000000" w:themeColor="text1"/>
          <w:sz w:val="52"/>
          <w:szCs w:val="52"/>
        </w:rPr>
        <w:t>Master of Business Administration</w:t>
      </w:r>
    </w:p>
    <w:p w14:paraId="76C2A178" w14:textId="77777777" w:rsidR="005E1FC9" w:rsidRPr="00035838" w:rsidRDefault="005E1FC9" w:rsidP="005E1FC9">
      <w:pPr>
        <w:spacing w:line="360" w:lineRule="auto"/>
        <w:jc w:val="center"/>
        <w:rPr>
          <w:rFonts w:ascii="Arial" w:hAnsi="Arial" w:cs="Arial"/>
          <w:b/>
          <w:bCs/>
          <w:color w:val="000000" w:themeColor="text1"/>
          <w:sz w:val="28"/>
          <w:szCs w:val="28"/>
        </w:rPr>
      </w:pPr>
      <w:r w:rsidRPr="00035838">
        <w:rPr>
          <w:rFonts w:ascii="Arial" w:hAnsi="Arial" w:cs="Arial"/>
          <w:b/>
          <w:bCs/>
          <w:color w:val="000000" w:themeColor="text1"/>
          <w:sz w:val="28"/>
          <w:szCs w:val="28"/>
        </w:rPr>
        <w:t xml:space="preserve">Student Name: </w:t>
      </w:r>
      <w:proofErr w:type="spellStart"/>
      <w:r w:rsidRPr="00035838">
        <w:rPr>
          <w:rFonts w:ascii="Arial" w:hAnsi="Arial" w:cs="Arial"/>
          <w:b/>
          <w:bCs/>
          <w:color w:val="000000" w:themeColor="text1"/>
          <w:sz w:val="28"/>
          <w:szCs w:val="28"/>
        </w:rPr>
        <w:t>Tasnime</w:t>
      </w:r>
      <w:proofErr w:type="spellEnd"/>
      <w:r w:rsidRPr="00035838">
        <w:rPr>
          <w:rFonts w:ascii="Arial" w:hAnsi="Arial" w:cs="Arial"/>
          <w:b/>
          <w:bCs/>
          <w:color w:val="000000" w:themeColor="text1"/>
          <w:sz w:val="28"/>
          <w:szCs w:val="28"/>
        </w:rPr>
        <w:t xml:space="preserve"> Noyon</w:t>
      </w:r>
    </w:p>
    <w:p w14:paraId="23B95EDF" w14:textId="77777777" w:rsidR="005E1FC9" w:rsidRPr="00035838" w:rsidRDefault="005E1FC9" w:rsidP="005E1FC9">
      <w:pPr>
        <w:spacing w:line="360" w:lineRule="auto"/>
        <w:jc w:val="center"/>
        <w:rPr>
          <w:rFonts w:ascii="Arial" w:hAnsi="Arial" w:cs="Arial"/>
          <w:b/>
          <w:bCs/>
          <w:color w:val="000000" w:themeColor="text1"/>
          <w:sz w:val="28"/>
          <w:szCs w:val="28"/>
        </w:rPr>
      </w:pPr>
      <w:r w:rsidRPr="00035838">
        <w:rPr>
          <w:rFonts w:ascii="Arial" w:hAnsi="Arial" w:cs="Arial"/>
          <w:b/>
          <w:bCs/>
          <w:color w:val="000000" w:themeColor="text1"/>
          <w:sz w:val="28"/>
          <w:szCs w:val="28"/>
        </w:rPr>
        <w:t>Student Number:</w:t>
      </w:r>
      <w:r w:rsidRPr="00035838">
        <w:rPr>
          <w:rFonts w:ascii="Arial" w:hAnsi="Arial" w:cs="Arial"/>
          <w:color w:val="000000" w:themeColor="text1"/>
          <w:sz w:val="24"/>
          <w:szCs w:val="24"/>
        </w:rPr>
        <w:t xml:space="preserve"> </w:t>
      </w:r>
      <w:r w:rsidRPr="00035838">
        <w:rPr>
          <w:rFonts w:ascii="Arial" w:hAnsi="Arial" w:cs="Arial"/>
          <w:b/>
          <w:bCs/>
          <w:color w:val="000000" w:themeColor="text1"/>
          <w:sz w:val="28"/>
          <w:szCs w:val="28"/>
        </w:rPr>
        <w:t>2438580</w:t>
      </w:r>
    </w:p>
    <w:p w14:paraId="1979689B" w14:textId="52AE1BFC" w:rsidR="005E1FC9" w:rsidRPr="00035838"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Course Name:</w:t>
      </w:r>
      <w:r w:rsidRPr="00035838">
        <w:rPr>
          <w:rFonts w:ascii="Arial" w:hAnsi="Arial" w:cs="Arial"/>
          <w:color w:val="000000" w:themeColor="text1"/>
          <w:sz w:val="28"/>
          <w:szCs w:val="28"/>
        </w:rPr>
        <w:t xml:space="preserve"> </w:t>
      </w:r>
      <w:r w:rsidR="006C6415" w:rsidRPr="00035838">
        <w:rPr>
          <w:rFonts w:ascii="Arial" w:hAnsi="Arial" w:cs="Arial"/>
          <w:color w:val="000000" w:themeColor="text1"/>
          <w:sz w:val="28"/>
          <w:szCs w:val="28"/>
        </w:rPr>
        <w:t>International Business Concepts</w:t>
      </w:r>
    </w:p>
    <w:p w14:paraId="61AEC2BF" w14:textId="661B6AB8" w:rsidR="005E1FC9"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Module code:</w:t>
      </w:r>
      <w:r w:rsidRPr="00035838">
        <w:rPr>
          <w:rFonts w:ascii="Arial" w:hAnsi="Arial" w:cs="Arial"/>
          <w:color w:val="000000" w:themeColor="text1"/>
          <w:sz w:val="28"/>
          <w:szCs w:val="28"/>
        </w:rPr>
        <w:t xml:space="preserve"> </w:t>
      </w:r>
      <w:r w:rsidR="006C6415" w:rsidRPr="00035838">
        <w:rPr>
          <w:rFonts w:ascii="Arial" w:hAnsi="Arial" w:cs="Arial"/>
          <w:color w:val="000000" w:themeColor="text1"/>
          <w:sz w:val="28"/>
          <w:szCs w:val="28"/>
        </w:rPr>
        <w:t>LCMB7034</w:t>
      </w:r>
    </w:p>
    <w:p w14:paraId="527028B6" w14:textId="105ACE66" w:rsidR="00D025E3" w:rsidRPr="00D025E3" w:rsidRDefault="00D025E3" w:rsidP="005E1FC9">
      <w:pPr>
        <w:spacing w:line="360" w:lineRule="auto"/>
        <w:jc w:val="center"/>
        <w:rPr>
          <w:rFonts w:ascii="Arial" w:hAnsi="Arial" w:cs="Arial"/>
          <w:b/>
          <w:bCs/>
          <w:color w:val="000000" w:themeColor="text1"/>
          <w:sz w:val="28"/>
          <w:szCs w:val="28"/>
        </w:rPr>
      </w:pPr>
      <w:r w:rsidRPr="00D025E3">
        <w:rPr>
          <w:rFonts w:ascii="Arial" w:hAnsi="Arial" w:cs="Arial"/>
          <w:b/>
          <w:bCs/>
          <w:color w:val="000000" w:themeColor="text1"/>
          <w:sz w:val="28"/>
          <w:szCs w:val="28"/>
        </w:rPr>
        <w:t xml:space="preserve">Title: </w:t>
      </w:r>
      <w:r>
        <w:rPr>
          <w:rFonts w:ascii="Arial" w:hAnsi="Arial" w:cs="Arial"/>
          <w:b/>
          <w:bCs/>
          <w:color w:val="000000" w:themeColor="text1"/>
          <w:sz w:val="28"/>
          <w:szCs w:val="28"/>
        </w:rPr>
        <w:t>“</w:t>
      </w:r>
      <w:r w:rsidRPr="00D025E3">
        <w:rPr>
          <w:rFonts w:ascii="Arial" w:hAnsi="Arial" w:cs="Arial"/>
          <w:b/>
          <w:bCs/>
          <w:color w:val="000000" w:themeColor="text1"/>
          <w:sz w:val="28"/>
          <w:szCs w:val="28"/>
        </w:rPr>
        <w:t>Analysis of Germany's Automotive Industry and the Operational Challenges of Foreign Multinational Corporations: A Case Study of Tesla, Inc.</w:t>
      </w:r>
      <w:r>
        <w:rPr>
          <w:rFonts w:ascii="Arial" w:hAnsi="Arial" w:cs="Arial"/>
          <w:b/>
          <w:bCs/>
          <w:color w:val="000000" w:themeColor="text1"/>
          <w:sz w:val="28"/>
          <w:szCs w:val="28"/>
        </w:rPr>
        <w:t>”</w:t>
      </w:r>
    </w:p>
    <w:p w14:paraId="0871FB52" w14:textId="0B888B3F" w:rsidR="005E1FC9" w:rsidRPr="00035838"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 xml:space="preserve">Lecturer Name: </w:t>
      </w:r>
      <w:r w:rsidR="003471FD">
        <w:rPr>
          <w:rFonts w:ascii="Arial" w:hAnsi="Arial" w:cs="Arial"/>
          <w:b/>
          <w:bCs/>
          <w:color w:val="000000" w:themeColor="text1"/>
          <w:sz w:val="28"/>
          <w:szCs w:val="28"/>
        </w:rPr>
        <w:t xml:space="preserve">Dr Robert Ejike </w:t>
      </w:r>
      <w:proofErr w:type="spellStart"/>
      <w:r w:rsidR="003471FD">
        <w:rPr>
          <w:rFonts w:ascii="Arial" w:hAnsi="Arial" w:cs="Arial"/>
          <w:b/>
          <w:bCs/>
          <w:color w:val="000000" w:themeColor="text1"/>
          <w:sz w:val="28"/>
          <w:szCs w:val="28"/>
        </w:rPr>
        <w:t>Udeogu</w:t>
      </w:r>
      <w:proofErr w:type="spellEnd"/>
    </w:p>
    <w:p w14:paraId="17C33BC7" w14:textId="1A58129A" w:rsidR="005E1FC9" w:rsidRPr="00035838" w:rsidRDefault="005E1FC9" w:rsidP="005E1FC9">
      <w:pPr>
        <w:spacing w:line="360" w:lineRule="auto"/>
        <w:jc w:val="center"/>
        <w:rPr>
          <w:rFonts w:ascii="Arial" w:hAnsi="Arial" w:cs="Arial"/>
          <w:b/>
          <w:bCs/>
          <w:i/>
          <w:iCs/>
          <w:color w:val="000000" w:themeColor="text1"/>
          <w:sz w:val="28"/>
          <w:szCs w:val="28"/>
        </w:rPr>
      </w:pPr>
      <w:r w:rsidRPr="00035838">
        <w:rPr>
          <w:rFonts w:ascii="Arial" w:hAnsi="Arial" w:cs="Arial"/>
          <w:b/>
          <w:bCs/>
          <w:color w:val="000000" w:themeColor="text1"/>
          <w:sz w:val="28"/>
          <w:szCs w:val="28"/>
        </w:rPr>
        <w:t xml:space="preserve">Word count: </w:t>
      </w:r>
      <w:r w:rsidR="004E4B12" w:rsidRPr="00035838">
        <w:rPr>
          <w:rFonts w:ascii="Arial" w:hAnsi="Arial" w:cs="Arial"/>
          <w:b/>
          <w:bCs/>
          <w:color w:val="000000" w:themeColor="text1"/>
          <w:sz w:val="28"/>
          <w:szCs w:val="28"/>
        </w:rPr>
        <w:t>5</w:t>
      </w:r>
      <w:r w:rsidR="00035838">
        <w:rPr>
          <w:rFonts w:ascii="Arial" w:hAnsi="Arial" w:cs="Arial"/>
          <w:b/>
          <w:bCs/>
          <w:color w:val="000000" w:themeColor="text1"/>
          <w:sz w:val="28"/>
          <w:szCs w:val="28"/>
        </w:rPr>
        <w:t>4</w:t>
      </w:r>
      <w:r w:rsidR="00C20D50">
        <w:rPr>
          <w:rFonts w:ascii="Arial" w:hAnsi="Arial" w:cs="Arial"/>
          <w:b/>
          <w:bCs/>
          <w:color w:val="000000" w:themeColor="text1"/>
          <w:sz w:val="28"/>
          <w:szCs w:val="28"/>
        </w:rPr>
        <w:t>51</w:t>
      </w:r>
    </w:p>
    <w:p w14:paraId="37D9039B" w14:textId="61084A06" w:rsidR="005E1FC9" w:rsidRPr="00294F8F" w:rsidRDefault="005E1FC9" w:rsidP="005E1FC9">
      <w:pPr>
        <w:spacing w:line="360" w:lineRule="auto"/>
        <w:jc w:val="center"/>
        <w:rPr>
          <w:rFonts w:ascii="Arial" w:hAnsi="Arial" w:cs="Arial"/>
          <w:color w:val="000000" w:themeColor="text1"/>
          <w:sz w:val="32"/>
          <w:szCs w:val="32"/>
        </w:rPr>
      </w:pPr>
      <w:r w:rsidRPr="00035838">
        <w:rPr>
          <w:rFonts w:ascii="Arial" w:hAnsi="Arial" w:cs="Arial"/>
          <w:b/>
          <w:bCs/>
          <w:color w:val="000000" w:themeColor="text1"/>
          <w:sz w:val="28"/>
          <w:szCs w:val="28"/>
        </w:rPr>
        <w:t xml:space="preserve">Submission deadline: </w:t>
      </w:r>
      <w:r w:rsidR="003B371C" w:rsidRPr="00035838">
        <w:rPr>
          <w:rFonts w:ascii="Arial" w:hAnsi="Arial" w:cs="Arial"/>
          <w:b/>
          <w:bCs/>
          <w:color w:val="000000" w:themeColor="text1"/>
          <w:sz w:val="28"/>
          <w:szCs w:val="28"/>
        </w:rPr>
        <w:t>20/03/2026</w:t>
      </w:r>
      <w:r w:rsidRPr="00035838">
        <w:rPr>
          <w:rFonts w:ascii="Arial" w:hAnsi="Arial" w:cs="Arial"/>
          <w:b/>
          <w:bCs/>
          <w:color w:val="000000" w:themeColor="text1"/>
          <w:sz w:val="28"/>
          <w:szCs w:val="28"/>
        </w:rPr>
        <w:t xml:space="preserve"> </w:t>
      </w:r>
      <w:r w:rsidRPr="00294F8F">
        <w:rPr>
          <w:rFonts w:ascii="Arial" w:hAnsi="Arial" w:cs="Arial"/>
          <w:color w:val="000000" w:themeColor="text1"/>
          <w:sz w:val="32"/>
          <w:szCs w:val="32"/>
        </w:rPr>
        <w:br w:type="page"/>
      </w:r>
    </w:p>
    <w:sdt>
      <w:sdtPr>
        <w:rPr>
          <w:rFonts w:ascii="Arial" w:eastAsiaTheme="minorHAnsi" w:hAnsi="Arial" w:cs="Arial"/>
          <w:b/>
          <w:bCs w:val="0"/>
          <w:color w:val="000000" w:themeColor="text1"/>
          <w:sz w:val="22"/>
          <w:szCs w:val="22"/>
          <w:lang w:eastAsia="en-US"/>
        </w:rPr>
        <w:id w:val="-798766249"/>
        <w:docPartObj>
          <w:docPartGallery w:val="Table of Contents"/>
          <w:docPartUnique/>
        </w:docPartObj>
      </w:sdtPr>
      <w:sdtEndPr>
        <w:rPr>
          <w:b w:val="0"/>
          <w:noProof/>
        </w:rPr>
      </w:sdtEndPr>
      <w:sdtContent>
        <w:p w14:paraId="1B6C21A2" w14:textId="77777777" w:rsidR="005E1FC9" w:rsidRPr="00632499" w:rsidRDefault="005E1FC9" w:rsidP="005E1FC9">
          <w:pPr>
            <w:pStyle w:val="TOCHeading"/>
            <w:spacing w:line="360" w:lineRule="auto"/>
            <w:jc w:val="center"/>
            <w:rPr>
              <w:rFonts w:ascii="Arial" w:hAnsi="Arial" w:cs="Arial"/>
              <w:color w:val="000000" w:themeColor="text1"/>
              <w:szCs w:val="24"/>
            </w:rPr>
          </w:pPr>
          <w:r w:rsidRPr="00632499">
            <w:rPr>
              <w:rFonts w:ascii="Arial" w:hAnsi="Arial" w:cs="Arial"/>
              <w:color w:val="000000" w:themeColor="text1"/>
              <w:szCs w:val="24"/>
            </w:rPr>
            <w:t>Table of Contents</w:t>
          </w:r>
        </w:p>
        <w:p w14:paraId="4BCCB28B" w14:textId="4A36E8D3" w:rsidR="00632499" w:rsidRPr="00632499" w:rsidRDefault="005E1FC9">
          <w:pPr>
            <w:pStyle w:val="TOC1"/>
            <w:tabs>
              <w:tab w:val="right" w:leader="dot" w:pos="9016"/>
            </w:tabs>
            <w:rPr>
              <w:rFonts w:ascii="Arial" w:eastAsiaTheme="minorEastAsia" w:hAnsi="Arial" w:cs="Arial"/>
              <w:noProof/>
              <w:kern w:val="2"/>
              <w:sz w:val="24"/>
              <w:szCs w:val="24"/>
              <w:lang w:val="en-US"/>
              <w14:ligatures w14:val="standardContextual"/>
            </w:rPr>
          </w:pPr>
          <w:r w:rsidRPr="00632499">
            <w:rPr>
              <w:rFonts w:ascii="Arial" w:hAnsi="Arial" w:cs="Arial"/>
              <w:b/>
              <w:bCs/>
              <w:noProof/>
              <w:color w:val="000000" w:themeColor="text1"/>
              <w:sz w:val="24"/>
              <w:szCs w:val="24"/>
            </w:rPr>
            <w:fldChar w:fldCharType="begin"/>
          </w:r>
          <w:r w:rsidRPr="00632499">
            <w:rPr>
              <w:rFonts w:ascii="Arial" w:hAnsi="Arial" w:cs="Arial"/>
              <w:b/>
              <w:bCs/>
              <w:noProof/>
              <w:color w:val="000000" w:themeColor="text1"/>
              <w:sz w:val="24"/>
              <w:szCs w:val="24"/>
            </w:rPr>
            <w:instrText xml:space="preserve"> TOC \o "1-3" \h \z \u </w:instrText>
          </w:r>
          <w:r w:rsidRPr="00632499">
            <w:rPr>
              <w:rFonts w:ascii="Arial" w:hAnsi="Arial" w:cs="Arial"/>
              <w:b/>
              <w:bCs/>
              <w:noProof/>
              <w:color w:val="000000" w:themeColor="text1"/>
              <w:sz w:val="24"/>
              <w:szCs w:val="24"/>
            </w:rPr>
            <w:fldChar w:fldCharType="separate"/>
          </w:r>
          <w:hyperlink w:anchor="_Toc224742627" w:history="1">
            <w:r w:rsidR="00632499" w:rsidRPr="00632499">
              <w:rPr>
                <w:rStyle w:val="Hyperlink"/>
                <w:rFonts w:ascii="Arial" w:hAnsi="Arial" w:cs="Arial"/>
                <w:noProof/>
                <w:lang w:val="en-US"/>
              </w:rPr>
              <w:t>Section 1</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_Toc224742627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w:t>
            </w:r>
            <w:r w:rsidR="00632499" w:rsidRPr="00632499">
              <w:rPr>
                <w:rFonts w:ascii="Arial" w:hAnsi="Arial" w:cs="Arial"/>
                <w:noProof/>
                <w:webHidden/>
              </w:rPr>
              <w:fldChar w:fldCharType="end"/>
            </w:r>
          </w:hyperlink>
        </w:p>
        <w:p w14:paraId="06EA50B2" w14:textId="7B6CE894"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28" w:history="1">
            <w:r w:rsidR="00632499" w:rsidRPr="00632499">
              <w:rPr>
                <w:rStyle w:val="Hyperlink"/>
                <w:rFonts w:ascii="Arial" w:hAnsi="Arial" w:cs="Arial"/>
                <w:noProof/>
                <w:lang w:val="en-US"/>
              </w:rPr>
              <w:t>1.0 Introduction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_Toc224742628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w:t>
            </w:r>
            <w:r w:rsidR="00632499" w:rsidRPr="00632499">
              <w:rPr>
                <w:rFonts w:ascii="Arial" w:hAnsi="Arial" w:cs="Arial"/>
                <w:noProof/>
                <w:webHidden/>
              </w:rPr>
              <w:fldChar w:fldCharType="end"/>
            </w:r>
          </w:hyperlink>
        </w:p>
        <w:p w14:paraId="66267A1A" w14:textId="173DBF2C"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29" w:history="1">
            <w:r w:rsidR="00632499" w:rsidRPr="00632499">
              <w:rPr>
                <w:rStyle w:val="Hyperlink"/>
                <w:rFonts w:ascii="Arial" w:hAnsi="Arial" w:cs="Arial"/>
                <w:noProof/>
                <w:lang w:val="en-US"/>
              </w:rPr>
              <w:t>2.0 Industry and Country Overview</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_Toc224742629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w:t>
            </w:r>
            <w:r w:rsidR="00632499" w:rsidRPr="00632499">
              <w:rPr>
                <w:rFonts w:ascii="Arial" w:hAnsi="Arial" w:cs="Arial"/>
                <w:noProof/>
                <w:webHidden/>
              </w:rPr>
              <w:fldChar w:fldCharType="end"/>
            </w:r>
          </w:hyperlink>
        </w:p>
        <w:p w14:paraId="6D27358C" w14:textId="25590FB0"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0" w:history="1">
            <w:r w:rsidR="00632499" w:rsidRPr="00632499">
              <w:rPr>
                <w:rStyle w:val="Hyperlink"/>
                <w:rFonts w:ascii="Arial" w:hAnsi="Arial" w:cs="Arial"/>
                <w:noProof/>
                <w:lang w:val="en-US"/>
              </w:rPr>
              <w:t>2.1 Introduction to the German Automotive Industry</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_Toc224742630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w:t>
            </w:r>
            <w:r w:rsidR="00632499" w:rsidRPr="00632499">
              <w:rPr>
                <w:rFonts w:ascii="Arial" w:hAnsi="Arial" w:cs="Arial"/>
                <w:noProof/>
                <w:webHidden/>
              </w:rPr>
              <w:fldChar w:fldCharType="end"/>
            </w:r>
          </w:hyperlink>
        </w:p>
        <w:p w14:paraId="143E309A" w14:textId="0AD26EA8"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1" w:history="1">
            <w:r w:rsidR="00632499" w:rsidRPr="00632499">
              <w:rPr>
                <w:rStyle w:val="Hyperlink"/>
                <w:rFonts w:ascii="Arial" w:hAnsi="Arial" w:cs="Arial"/>
                <w:noProof/>
                <w:lang w:val="en-US"/>
              </w:rPr>
              <w:t>2.2 Size, Scope and Economic Importance</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_Toc224742631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w:t>
            </w:r>
            <w:r w:rsidR="00632499" w:rsidRPr="00632499">
              <w:rPr>
                <w:rFonts w:ascii="Arial" w:hAnsi="Arial" w:cs="Arial"/>
                <w:noProof/>
                <w:webHidden/>
              </w:rPr>
              <w:fldChar w:fldCharType="end"/>
            </w:r>
          </w:hyperlink>
        </w:p>
        <w:p w14:paraId="30DB376C" w14:textId="023AFA4B"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2" w:history="1">
            <w:r w:rsidR="00632499" w:rsidRPr="00632499">
              <w:rPr>
                <w:rStyle w:val="Hyperlink"/>
                <w:rFonts w:ascii="Arial" w:hAnsi="Arial" w:cs="Arial"/>
                <w:noProof/>
                <w:lang w:val="en-US"/>
              </w:rPr>
              <w:t>2.3 Major Firms and Competitive Positioning</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_Toc224742632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3</w:t>
            </w:r>
            <w:r w:rsidR="00632499" w:rsidRPr="00632499">
              <w:rPr>
                <w:rFonts w:ascii="Arial" w:hAnsi="Arial" w:cs="Arial"/>
                <w:noProof/>
                <w:webHidden/>
              </w:rPr>
              <w:fldChar w:fldCharType="end"/>
            </w:r>
          </w:hyperlink>
        </w:p>
        <w:p w14:paraId="64E9FBE7" w14:textId="500AB403"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33" w:history="1">
            <w:r w:rsidR="00632499" w:rsidRPr="00632499">
              <w:rPr>
                <w:rStyle w:val="Hyperlink"/>
                <w:rFonts w:ascii="Arial" w:hAnsi="Arial" w:cs="Arial"/>
                <w:noProof/>
                <w:lang w:val="en-US"/>
              </w:rPr>
              <w:t>3.0 Michael Porter's Diamond Model of National Advantage—Germany's Automotive Industry</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_Toc224742633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5</w:t>
            </w:r>
            <w:r w:rsidR="00632499" w:rsidRPr="00632499">
              <w:rPr>
                <w:rFonts w:ascii="Arial" w:hAnsi="Arial" w:cs="Arial"/>
                <w:noProof/>
                <w:webHidden/>
              </w:rPr>
              <w:fldChar w:fldCharType="end"/>
            </w:r>
          </w:hyperlink>
        </w:p>
        <w:p w14:paraId="7F71CCAB" w14:textId="747E61C9"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4" w:history="1">
            <w:r w:rsidR="00632499" w:rsidRPr="00632499">
              <w:rPr>
                <w:rStyle w:val="Hyperlink"/>
                <w:rFonts w:ascii="Arial" w:hAnsi="Arial" w:cs="Arial"/>
                <w:noProof/>
                <w:lang w:val="en-US"/>
              </w:rPr>
              <w:t>3.1 Factor Conditions: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_Toc224742634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6</w:t>
            </w:r>
            <w:r w:rsidR="00632499" w:rsidRPr="00632499">
              <w:rPr>
                <w:rFonts w:ascii="Arial" w:hAnsi="Arial" w:cs="Arial"/>
                <w:noProof/>
                <w:webHidden/>
              </w:rPr>
              <w:fldChar w:fldCharType="end"/>
            </w:r>
          </w:hyperlink>
        </w:p>
        <w:p w14:paraId="4BC5B0B6" w14:textId="00B5B08D"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5" w:history="1">
            <w:r w:rsidR="00632499" w:rsidRPr="00632499">
              <w:rPr>
                <w:rStyle w:val="Hyperlink"/>
                <w:rFonts w:ascii="Arial" w:hAnsi="Arial" w:cs="Arial"/>
                <w:noProof/>
                <w:lang w:val="en-US"/>
              </w:rPr>
              <w:t>3.2 Demand Conditions: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_Toc224742635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6</w:t>
            </w:r>
            <w:r w:rsidR="00632499" w:rsidRPr="00632499">
              <w:rPr>
                <w:rFonts w:ascii="Arial" w:hAnsi="Arial" w:cs="Arial"/>
                <w:noProof/>
                <w:webHidden/>
              </w:rPr>
              <w:fldChar w:fldCharType="end"/>
            </w:r>
          </w:hyperlink>
        </w:p>
        <w:p w14:paraId="7A1901DE" w14:textId="7A75DBBF"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6" w:history="1">
            <w:r w:rsidR="00632499" w:rsidRPr="00632499">
              <w:rPr>
                <w:rStyle w:val="Hyperlink"/>
                <w:rFonts w:ascii="Arial" w:hAnsi="Arial" w:cs="Arial"/>
                <w:noProof/>
                <w:lang w:val="en-US"/>
              </w:rPr>
              <w:t>3.3 Related and Supporting Industries: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_Toc224742636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7</w:t>
            </w:r>
            <w:r w:rsidR="00632499" w:rsidRPr="00632499">
              <w:rPr>
                <w:rFonts w:ascii="Arial" w:hAnsi="Arial" w:cs="Arial"/>
                <w:noProof/>
                <w:webHidden/>
              </w:rPr>
              <w:fldChar w:fldCharType="end"/>
            </w:r>
          </w:hyperlink>
        </w:p>
        <w:p w14:paraId="2C6993FE" w14:textId="319ED070"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7" w:history="1">
            <w:r w:rsidR="00632499" w:rsidRPr="00632499">
              <w:rPr>
                <w:rStyle w:val="Hyperlink"/>
                <w:rFonts w:ascii="Arial" w:hAnsi="Arial" w:cs="Arial"/>
                <w:noProof/>
                <w:lang w:val="en-US"/>
              </w:rPr>
              <w:t>3.4 Firm Strategy, Structure and Rivalry:</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_Toc224742637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8</w:t>
            </w:r>
            <w:r w:rsidR="00632499" w:rsidRPr="00632499">
              <w:rPr>
                <w:rFonts w:ascii="Arial" w:hAnsi="Arial" w:cs="Arial"/>
                <w:noProof/>
                <w:webHidden/>
              </w:rPr>
              <w:fldChar w:fldCharType="end"/>
            </w:r>
          </w:hyperlink>
        </w:p>
        <w:p w14:paraId="695F31F1" w14:textId="3BEB07FD"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38" w:history="1">
            <w:r w:rsidR="00632499" w:rsidRPr="00632499">
              <w:rPr>
                <w:rStyle w:val="Hyperlink"/>
                <w:rFonts w:ascii="Arial" w:hAnsi="Arial" w:cs="Arial"/>
                <w:noProof/>
                <w:lang w:val="en-US"/>
              </w:rPr>
              <w:t>3.5 Role of Government and Chance:</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_Toc224742638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8</w:t>
            </w:r>
            <w:r w:rsidR="00632499" w:rsidRPr="00632499">
              <w:rPr>
                <w:rFonts w:ascii="Arial" w:hAnsi="Arial" w:cs="Arial"/>
                <w:noProof/>
                <w:webHidden/>
              </w:rPr>
              <w:fldChar w:fldCharType="end"/>
            </w:r>
          </w:hyperlink>
        </w:p>
        <w:p w14:paraId="040BCD03" w14:textId="4DC452FB"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39" w:history="1">
            <w:r w:rsidR="00632499" w:rsidRPr="00632499">
              <w:rPr>
                <w:rStyle w:val="Hyperlink"/>
                <w:rFonts w:ascii="Arial" w:hAnsi="Arial" w:cs="Arial"/>
                <w:noProof/>
                <w:lang w:val="en-US"/>
              </w:rPr>
              <w:t>4.0 Foreign MNC Operating in Germany's Automotive Industry: Tesla, Inc.</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_Toc224742639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9</w:t>
            </w:r>
            <w:r w:rsidR="00632499" w:rsidRPr="00632499">
              <w:rPr>
                <w:rFonts w:ascii="Arial" w:hAnsi="Arial" w:cs="Arial"/>
                <w:noProof/>
                <w:webHidden/>
              </w:rPr>
              <w:fldChar w:fldCharType="end"/>
            </w:r>
          </w:hyperlink>
        </w:p>
        <w:p w14:paraId="53C49320" w14:textId="2B394CA2"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40" w:history="1">
            <w:r w:rsidR="00632499" w:rsidRPr="00632499">
              <w:rPr>
                <w:rStyle w:val="Hyperlink"/>
                <w:rFonts w:ascii="Arial" w:hAnsi="Arial" w:cs="Arial"/>
                <w:noProof/>
                <w:lang w:val="en-US"/>
              </w:rPr>
              <w:t>4.1 Introduction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_Toc224742640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9</w:t>
            </w:r>
            <w:r w:rsidR="00632499" w:rsidRPr="00632499">
              <w:rPr>
                <w:rFonts w:ascii="Arial" w:hAnsi="Arial" w:cs="Arial"/>
                <w:noProof/>
                <w:webHidden/>
              </w:rPr>
              <w:fldChar w:fldCharType="end"/>
            </w:r>
          </w:hyperlink>
        </w:p>
        <w:p w14:paraId="374D24D1" w14:textId="69157FA5"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41" w:history="1">
            <w:r w:rsidR="00632499" w:rsidRPr="00632499">
              <w:rPr>
                <w:rStyle w:val="Hyperlink"/>
                <w:rFonts w:ascii="Arial" w:hAnsi="Arial" w:cs="Arial"/>
                <w:noProof/>
                <w:lang w:val="en-US"/>
              </w:rPr>
              <w:t>4.2 Company Overview and Strategic Position in Germany:</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_Toc224742641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10</w:t>
            </w:r>
            <w:r w:rsidR="00632499" w:rsidRPr="00632499">
              <w:rPr>
                <w:rFonts w:ascii="Arial" w:hAnsi="Arial" w:cs="Arial"/>
                <w:noProof/>
                <w:webHidden/>
              </w:rPr>
              <w:fldChar w:fldCharType="end"/>
            </w:r>
          </w:hyperlink>
        </w:p>
        <w:p w14:paraId="258A38E0" w14:textId="32E427AB"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42" w:history="1">
            <w:r w:rsidR="00632499" w:rsidRPr="00632499">
              <w:rPr>
                <w:rStyle w:val="Hyperlink"/>
                <w:rFonts w:ascii="Arial" w:hAnsi="Arial" w:cs="Arial"/>
                <w:noProof/>
                <w:lang w:val="en-US"/>
              </w:rPr>
              <w:t>4.3 Political Factors: Policy vs Institutional Constraints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_Toc224742642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10</w:t>
            </w:r>
            <w:r w:rsidR="00632499" w:rsidRPr="00632499">
              <w:rPr>
                <w:rFonts w:ascii="Arial" w:hAnsi="Arial" w:cs="Arial"/>
                <w:noProof/>
                <w:webHidden/>
              </w:rPr>
              <w:fldChar w:fldCharType="end"/>
            </w:r>
          </w:hyperlink>
        </w:p>
        <w:p w14:paraId="42B49FC6" w14:textId="28ED72A2"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43" w:history="1">
            <w:r w:rsidR="00632499" w:rsidRPr="00632499">
              <w:rPr>
                <w:rStyle w:val="Hyperlink"/>
                <w:rFonts w:ascii="Arial" w:hAnsi="Arial" w:cs="Arial"/>
                <w:noProof/>
                <w:lang w:val="en-US"/>
              </w:rPr>
              <w:t>4.3.1 Government Support and Policy Incentives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_Toc224742643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10</w:t>
            </w:r>
            <w:r w:rsidR="00632499" w:rsidRPr="00632499">
              <w:rPr>
                <w:rFonts w:ascii="Arial" w:hAnsi="Arial" w:cs="Arial"/>
                <w:noProof/>
                <w:webHidden/>
              </w:rPr>
              <w:fldChar w:fldCharType="end"/>
            </w:r>
          </w:hyperlink>
        </w:p>
        <w:p w14:paraId="266243D3" w14:textId="753F1986"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44" w:history="1">
            <w:r w:rsidR="00632499" w:rsidRPr="00632499">
              <w:rPr>
                <w:rStyle w:val="Hyperlink"/>
                <w:rFonts w:ascii="Arial" w:hAnsi="Arial" w:cs="Arial"/>
                <w:noProof/>
                <w:lang w:val="en-US"/>
              </w:rPr>
              <w:t>4.3.2 Labour Institutions and Political Resistance</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_Toc224742644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11</w:t>
            </w:r>
            <w:r w:rsidR="00632499" w:rsidRPr="00632499">
              <w:rPr>
                <w:rFonts w:ascii="Arial" w:hAnsi="Arial" w:cs="Arial"/>
                <w:noProof/>
                <w:webHidden/>
              </w:rPr>
              <w:fldChar w:fldCharType="end"/>
            </w:r>
          </w:hyperlink>
        </w:p>
        <w:p w14:paraId="22D0C7C7" w14:textId="2B4FC7A9"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45" w:history="1">
            <w:r w:rsidR="00632499" w:rsidRPr="00632499">
              <w:rPr>
                <w:rStyle w:val="Hyperlink"/>
                <w:rFonts w:ascii="Arial" w:hAnsi="Arial" w:cs="Arial"/>
                <w:noProof/>
                <w:lang w:val="en-US"/>
              </w:rPr>
              <w:t>4.4 Economic Factors: Cost Pressures by Market Opportunity</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_Toc224742645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12</w:t>
            </w:r>
            <w:r w:rsidR="00632499" w:rsidRPr="00632499">
              <w:rPr>
                <w:rFonts w:ascii="Arial" w:hAnsi="Arial" w:cs="Arial"/>
                <w:noProof/>
                <w:webHidden/>
              </w:rPr>
              <w:fldChar w:fldCharType="end"/>
            </w:r>
          </w:hyperlink>
        </w:p>
        <w:p w14:paraId="3E8CD3C4" w14:textId="7EA9FB95"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46" w:history="1">
            <w:r w:rsidR="00632499" w:rsidRPr="00632499">
              <w:rPr>
                <w:rStyle w:val="Hyperlink"/>
                <w:rFonts w:ascii="Arial" w:hAnsi="Arial" w:cs="Arial"/>
                <w:noProof/>
                <w:lang w:val="en-US"/>
              </w:rPr>
              <w:t>4.4.1 Production Costs and Energy Prices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_Toc224742646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12</w:t>
            </w:r>
            <w:r w:rsidR="00632499" w:rsidRPr="00632499">
              <w:rPr>
                <w:rFonts w:ascii="Arial" w:hAnsi="Arial" w:cs="Arial"/>
                <w:noProof/>
                <w:webHidden/>
              </w:rPr>
              <w:fldChar w:fldCharType="end"/>
            </w:r>
          </w:hyperlink>
        </w:p>
        <w:p w14:paraId="3BA4E211" w14:textId="6DC73334"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47" w:history="1">
            <w:r w:rsidR="00632499" w:rsidRPr="00632499">
              <w:rPr>
                <w:rStyle w:val="Hyperlink"/>
                <w:rFonts w:ascii="Arial" w:hAnsi="Arial" w:cs="Arial"/>
                <w:noProof/>
                <w:lang w:val="en-US"/>
              </w:rPr>
              <w:t>4.4.2 Competition and Price Elasticity of Demand</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_Toc224742647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12</w:t>
            </w:r>
            <w:r w:rsidR="00632499" w:rsidRPr="00632499">
              <w:rPr>
                <w:rFonts w:ascii="Arial" w:hAnsi="Arial" w:cs="Arial"/>
                <w:noProof/>
                <w:webHidden/>
              </w:rPr>
              <w:fldChar w:fldCharType="end"/>
            </w:r>
          </w:hyperlink>
        </w:p>
        <w:p w14:paraId="3F81742D" w14:textId="56BFD530"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48" w:history="1">
            <w:r w:rsidR="00632499" w:rsidRPr="00632499">
              <w:rPr>
                <w:rStyle w:val="Hyperlink"/>
                <w:rFonts w:ascii="Arial" w:hAnsi="Arial" w:cs="Arial"/>
                <w:noProof/>
                <w:lang w:val="en-US"/>
              </w:rPr>
              <w:t>4.5 Legal and Regulatory Factors: Competitive vs Operational Speed</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_Toc224742648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13</w:t>
            </w:r>
            <w:r w:rsidR="00632499" w:rsidRPr="00632499">
              <w:rPr>
                <w:rFonts w:ascii="Arial" w:hAnsi="Arial" w:cs="Arial"/>
                <w:noProof/>
                <w:webHidden/>
              </w:rPr>
              <w:fldChar w:fldCharType="end"/>
            </w:r>
          </w:hyperlink>
        </w:p>
        <w:p w14:paraId="6452BF8E" w14:textId="123CD8D7"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49" w:history="1">
            <w:r w:rsidR="00632499" w:rsidRPr="00632499">
              <w:rPr>
                <w:rStyle w:val="Hyperlink"/>
                <w:rFonts w:ascii="Arial" w:hAnsi="Arial" w:cs="Arial"/>
                <w:noProof/>
                <w:lang w:val="en-US"/>
              </w:rPr>
              <w:t>4.5.1 Environmental Control and Factory Lateness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_Toc224742649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13</w:t>
            </w:r>
            <w:r w:rsidR="00632499" w:rsidRPr="00632499">
              <w:rPr>
                <w:rFonts w:ascii="Arial" w:hAnsi="Arial" w:cs="Arial"/>
                <w:noProof/>
                <w:webHidden/>
              </w:rPr>
              <w:fldChar w:fldCharType="end"/>
            </w:r>
          </w:hyperlink>
        </w:p>
        <w:p w14:paraId="558BA94A" w14:textId="0B37F56F"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50" w:history="1">
            <w:r w:rsidR="00632499" w:rsidRPr="00632499">
              <w:rPr>
                <w:rStyle w:val="Hyperlink"/>
                <w:rFonts w:ascii="Arial" w:hAnsi="Arial" w:cs="Arial"/>
                <w:noProof/>
                <w:lang w:val="en-US"/>
              </w:rPr>
              <w:t>4.5.2 EU Regulatory Framework</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_Toc224742650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13</w:t>
            </w:r>
            <w:r w:rsidR="00632499" w:rsidRPr="00632499">
              <w:rPr>
                <w:rFonts w:ascii="Arial" w:hAnsi="Arial" w:cs="Arial"/>
                <w:noProof/>
                <w:webHidden/>
              </w:rPr>
              <w:fldChar w:fldCharType="end"/>
            </w:r>
          </w:hyperlink>
        </w:p>
        <w:p w14:paraId="69EA5BA4" w14:textId="387B7112"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51" w:history="1">
            <w:r w:rsidR="00632499" w:rsidRPr="00632499">
              <w:rPr>
                <w:rStyle w:val="Hyperlink"/>
                <w:rFonts w:ascii="Arial" w:hAnsi="Arial" w:cs="Arial"/>
                <w:noProof/>
                <w:lang w:val="en-US"/>
              </w:rPr>
              <w:t>4.6 Cultural Factors: Brand Differentiation vs. Market Expectations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_Toc224742651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14</w:t>
            </w:r>
            <w:r w:rsidR="00632499" w:rsidRPr="00632499">
              <w:rPr>
                <w:rFonts w:ascii="Arial" w:hAnsi="Arial" w:cs="Arial"/>
                <w:noProof/>
                <w:webHidden/>
              </w:rPr>
              <w:fldChar w:fldCharType="end"/>
            </w:r>
          </w:hyperlink>
        </w:p>
        <w:p w14:paraId="5ECA81A9" w14:textId="0572577D"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52" w:history="1">
            <w:r w:rsidR="00632499" w:rsidRPr="00632499">
              <w:rPr>
                <w:rStyle w:val="Hyperlink"/>
                <w:rFonts w:ascii="Arial" w:hAnsi="Arial" w:cs="Arial"/>
                <w:noProof/>
                <w:lang w:val="en-US"/>
              </w:rPr>
              <w:t>4.6.1 Engineering culture and brand perception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_Toc224742652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14</w:t>
            </w:r>
            <w:r w:rsidR="00632499" w:rsidRPr="00632499">
              <w:rPr>
                <w:rFonts w:ascii="Arial" w:hAnsi="Arial" w:cs="Arial"/>
                <w:noProof/>
                <w:webHidden/>
              </w:rPr>
              <w:fldChar w:fldCharType="end"/>
            </w:r>
          </w:hyperlink>
        </w:p>
        <w:p w14:paraId="19DD1D7E" w14:textId="39202473" w:rsidR="00632499" w:rsidRPr="00632499" w:rsidRDefault="00B354D6">
          <w:pPr>
            <w:pStyle w:val="TOC3"/>
            <w:tabs>
              <w:tab w:val="right" w:leader="dot" w:pos="9016"/>
            </w:tabs>
            <w:rPr>
              <w:rFonts w:ascii="Arial" w:eastAsiaTheme="minorEastAsia" w:hAnsi="Arial" w:cs="Arial"/>
              <w:noProof/>
              <w:kern w:val="2"/>
              <w:sz w:val="24"/>
              <w:szCs w:val="24"/>
              <w:lang w:val="en-US"/>
              <w14:ligatures w14:val="standardContextual"/>
            </w:rPr>
          </w:pPr>
          <w:hyperlink w:anchor="_Toc224742653" w:history="1">
            <w:r w:rsidR="00632499" w:rsidRPr="00632499">
              <w:rPr>
                <w:rStyle w:val="Hyperlink"/>
                <w:rFonts w:ascii="Arial" w:hAnsi="Arial" w:cs="Arial"/>
                <w:noProof/>
                <w:lang w:val="en-US"/>
              </w:rPr>
              <w:t>4.6.2 Environmental Awareness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_Toc224742653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14</w:t>
            </w:r>
            <w:r w:rsidR="00632499" w:rsidRPr="00632499">
              <w:rPr>
                <w:rFonts w:ascii="Arial" w:hAnsi="Arial" w:cs="Arial"/>
                <w:noProof/>
                <w:webHidden/>
              </w:rPr>
              <w:fldChar w:fldCharType="end"/>
            </w:r>
          </w:hyperlink>
        </w:p>
        <w:p w14:paraId="52C1303B" w14:textId="5B68366F"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54" w:history="1">
            <w:r w:rsidR="00632499" w:rsidRPr="00632499">
              <w:rPr>
                <w:rStyle w:val="Hyperlink"/>
                <w:rFonts w:ascii="Arial" w:hAnsi="Arial" w:cs="Arial"/>
                <w:noProof/>
                <w:lang w:val="en-US"/>
              </w:rPr>
              <w:t>4.7 Industry Attractiveness: Competitive Forces Are Firm-Specific</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_Toc224742654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14</w:t>
            </w:r>
            <w:r w:rsidR="00632499" w:rsidRPr="00632499">
              <w:rPr>
                <w:rFonts w:ascii="Arial" w:hAnsi="Arial" w:cs="Arial"/>
                <w:noProof/>
                <w:webHidden/>
              </w:rPr>
              <w:fldChar w:fldCharType="end"/>
            </w:r>
          </w:hyperlink>
        </w:p>
        <w:p w14:paraId="58642FE2" w14:textId="5545FEE4"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55" w:history="1">
            <w:r w:rsidR="00632499" w:rsidRPr="00632499">
              <w:rPr>
                <w:rStyle w:val="Hyperlink"/>
                <w:rFonts w:ascii="Arial" w:hAnsi="Arial" w:cs="Arial"/>
                <w:noProof/>
                <w:lang w:val="en-US"/>
              </w:rPr>
              <w:t>4.8 Strategic Fit: Competitive Advantages in Tesla</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_Toc224742655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16</w:t>
            </w:r>
            <w:r w:rsidR="00632499" w:rsidRPr="00632499">
              <w:rPr>
                <w:rFonts w:ascii="Arial" w:hAnsi="Arial" w:cs="Arial"/>
                <w:noProof/>
                <w:webHidden/>
              </w:rPr>
              <w:fldChar w:fldCharType="end"/>
            </w:r>
          </w:hyperlink>
        </w:p>
        <w:p w14:paraId="168DD2E3" w14:textId="1C246791"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56" w:history="1">
            <w:r w:rsidR="00632499" w:rsidRPr="00632499">
              <w:rPr>
                <w:rStyle w:val="Hyperlink"/>
                <w:rFonts w:ascii="Arial" w:hAnsi="Arial" w:cs="Arial"/>
                <w:noProof/>
                <w:lang w:val="en-US"/>
              </w:rPr>
              <w:t>4.9 Critical Evaluation of Market Attractiveness: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_Toc224742656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16</w:t>
            </w:r>
            <w:r w:rsidR="00632499" w:rsidRPr="00632499">
              <w:rPr>
                <w:rFonts w:ascii="Arial" w:hAnsi="Arial" w:cs="Arial"/>
                <w:noProof/>
                <w:webHidden/>
              </w:rPr>
              <w:fldChar w:fldCharType="end"/>
            </w:r>
          </w:hyperlink>
        </w:p>
        <w:p w14:paraId="59E00383" w14:textId="65F86E49"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57" w:history="1">
            <w:r w:rsidR="00632499" w:rsidRPr="00632499">
              <w:rPr>
                <w:rStyle w:val="Hyperlink"/>
                <w:rFonts w:ascii="Arial" w:hAnsi="Arial" w:cs="Arial"/>
                <w:noProof/>
                <w:lang w:val="en-US"/>
              </w:rPr>
              <w:t>4.10 Conclusion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_Toc224742657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17</w:t>
            </w:r>
            <w:r w:rsidR="00632499" w:rsidRPr="00632499">
              <w:rPr>
                <w:rFonts w:ascii="Arial" w:hAnsi="Arial" w:cs="Arial"/>
                <w:noProof/>
                <w:webHidden/>
              </w:rPr>
              <w:fldChar w:fldCharType="end"/>
            </w:r>
          </w:hyperlink>
        </w:p>
        <w:p w14:paraId="01F3A983" w14:textId="075E0B52"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58" w:history="1">
            <w:r w:rsidR="00632499" w:rsidRPr="00632499">
              <w:rPr>
                <w:rStyle w:val="Hyperlink"/>
                <w:rFonts w:ascii="Arial" w:hAnsi="Arial" w:cs="Arial"/>
                <w:noProof/>
                <w:lang w:val="en-US"/>
              </w:rPr>
              <w:t>5.0 Conclusion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_Toc224742658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18</w:t>
            </w:r>
            <w:r w:rsidR="00632499" w:rsidRPr="00632499">
              <w:rPr>
                <w:rFonts w:ascii="Arial" w:hAnsi="Arial" w:cs="Arial"/>
                <w:noProof/>
                <w:webHidden/>
              </w:rPr>
              <w:fldChar w:fldCharType="end"/>
            </w:r>
          </w:hyperlink>
        </w:p>
        <w:p w14:paraId="7BBAAFCC" w14:textId="14021623"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59" w:history="1">
            <w:r w:rsidR="00632499" w:rsidRPr="00632499">
              <w:rPr>
                <w:rStyle w:val="Hyperlink"/>
                <w:rFonts w:ascii="Arial" w:hAnsi="Arial" w:cs="Arial"/>
                <w:noProof/>
                <w:lang w:val="en-US"/>
              </w:rPr>
              <w:t>Section 2</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_Toc224742659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19</w:t>
            </w:r>
            <w:r w:rsidR="00632499" w:rsidRPr="00632499">
              <w:rPr>
                <w:rFonts w:ascii="Arial" w:hAnsi="Arial" w:cs="Arial"/>
                <w:noProof/>
                <w:webHidden/>
              </w:rPr>
              <w:fldChar w:fldCharType="end"/>
            </w:r>
          </w:hyperlink>
        </w:p>
        <w:p w14:paraId="43F72191" w14:textId="46E47CC3"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60" w:history="1">
            <w:r w:rsidR="00632499" w:rsidRPr="00632499">
              <w:rPr>
                <w:rStyle w:val="Hyperlink"/>
                <w:rFonts w:ascii="Arial" w:hAnsi="Arial" w:cs="Arial"/>
                <w:noProof/>
                <w:lang w:val="en-US"/>
              </w:rPr>
              <w:t>Reflective Account Gibbs Reflective Cycle:</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_Toc224742660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19</w:t>
            </w:r>
            <w:r w:rsidR="00632499" w:rsidRPr="00632499">
              <w:rPr>
                <w:rFonts w:ascii="Arial" w:hAnsi="Arial" w:cs="Arial"/>
                <w:noProof/>
                <w:webHidden/>
              </w:rPr>
              <w:fldChar w:fldCharType="end"/>
            </w:r>
          </w:hyperlink>
        </w:p>
        <w:p w14:paraId="7ACF9D33" w14:textId="15DBC193"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61" w:history="1">
            <w:r w:rsidR="00632499" w:rsidRPr="00632499">
              <w:rPr>
                <w:rStyle w:val="Hyperlink"/>
                <w:rFonts w:ascii="Arial" w:hAnsi="Arial" w:cs="Arial"/>
                <w:noProof/>
                <w:lang w:val="en-US"/>
              </w:rPr>
              <w:t>2.1 Description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_Toc224742661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19</w:t>
            </w:r>
            <w:r w:rsidR="00632499" w:rsidRPr="00632499">
              <w:rPr>
                <w:rFonts w:ascii="Arial" w:hAnsi="Arial" w:cs="Arial"/>
                <w:noProof/>
                <w:webHidden/>
              </w:rPr>
              <w:fldChar w:fldCharType="end"/>
            </w:r>
          </w:hyperlink>
        </w:p>
        <w:p w14:paraId="09CEB274" w14:textId="05E5539A"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62" w:history="1">
            <w:r w:rsidR="00632499" w:rsidRPr="00632499">
              <w:rPr>
                <w:rStyle w:val="Hyperlink"/>
                <w:rFonts w:ascii="Arial" w:hAnsi="Arial" w:cs="Arial"/>
                <w:noProof/>
                <w:lang w:val="en-US"/>
              </w:rPr>
              <w:t>2.2 Feelings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_Toc224742662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19</w:t>
            </w:r>
            <w:r w:rsidR="00632499" w:rsidRPr="00632499">
              <w:rPr>
                <w:rFonts w:ascii="Arial" w:hAnsi="Arial" w:cs="Arial"/>
                <w:noProof/>
                <w:webHidden/>
              </w:rPr>
              <w:fldChar w:fldCharType="end"/>
            </w:r>
          </w:hyperlink>
        </w:p>
        <w:p w14:paraId="59A0C89B" w14:textId="231DF55B"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63" w:history="1">
            <w:r w:rsidR="00632499" w:rsidRPr="00632499">
              <w:rPr>
                <w:rStyle w:val="Hyperlink"/>
                <w:rFonts w:ascii="Arial" w:hAnsi="Arial" w:cs="Arial"/>
                <w:noProof/>
                <w:lang w:val="en-US"/>
              </w:rPr>
              <w:t>2.3 Evaluation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_Toc224742663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20</w:t>
            </w:r>
            <w:r w:rsidR="00632499" w:rsidRPr="00632499">
              <w:rPr>
                <w:rFonts w:ascii="Arial" w:hAnsi="Arial" w:cs="Arial"/>
                <w:noProof/>
                <w:webHidden/>
              </w:rPr>
              <w:fldChar w:fldCharType="end"/>
            </w:r>
          </w:hyperlink>
        </w:p>
        <w:p w14:paraId="083CD28E" w14:textId="5BE20624"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64" w:history="1">
            <w:r w:rsidR="00632499" w:rsidRPr="00632499">
              <w:rPr>
                <w:rStyle w:val="Hyperlink"/>
                <w:rFonts w:ascii="Arial" w:hAnsi="Arial" w:cs="Arial"/>
                <w:noProof/>
                <w:lang w:val="en-US"/>
              </w:rPr>
              <w:t>2.4 Analysis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_Toc224742664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20</w:t>
            </w:r>
            <w:r w:rsidR="00632499" w:rsidRPr="00632499">
              <w:rPr>
                <w:rFonts w:ascii="Arial" w:hAnsi="Arial" w:cs="Arial"/>
                <w:noProof/>
                <w:webHidden/>
              </w:rPr>
              <w:fldChar w:fldCharType="end"/>
            </w:r>
          </w:hyperlink>
        </w:p>
        <w:p w14:paraId="206648CF" w14:textId="25F721DE"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65" w:history="1">
            <w:r w:rsidR="00632499" w:rsidRPr="00632499">
              <w:rPr>
                <w:rStyle w:val="Hyperlink"/>
                <w:rFonts w:ascii="Arial" w:hAnsi="Arial" w:cs="Arial"/>
                <w:noProof/>
                <w:lang w:val="en-US"/>
              </w:rPr>
              <w:t>2.5 Conclusion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_Toc224742665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21</w:t>
            </w:r>
            <w:r w:rsidR="00632499" w:rsidRPr="00632499">
              <w:rPr>
                <w:rFonts w:ascii="Arial" w:hAnsi="Arial" w:cs="Arial"/>
                <w:noProof/>
                <w:webHidden/>
              </w:rPr>
              <w:fldChar w:fldCharType="end"/>
            </w:r>
          </w:hyperlink>
        </w:p>
        <w:p w14:paraId="0F040205" w14:textId="33672B58" w:rsidR="00632499" w:rsidRPr="00632499" w:rsidRDefault="00B354D6">
          <w:pPr>
            <w:pStyle w:val="TOC2"/>
            <w:tabs>
              <w:tab w:val="right" w:leader="dot" w:pos="9016"/>
            </w:tabs>
            <w:rPr>
              <w:rFonts w:ascii="Arial" w:eastAsiaTheme="minorEastAsia" w:hAnsi="Arial" w:cs="Arial"/>
              <w:noProof/>
              <w:kern w:val="2"/>
              <w:sz w:val="24"/>
              <w:szCs w:val="24"/>
              <w:lang w:val="en-US"/>
              <w14:ligatures w14:val="standardContextual"/>
            </w:rPr>
          </w:pPr>
          <w:hyperlink w:anchor="_Toc224742666" w:history="1">
            <w:r w:rsidR="00632499" w:rsidRPr="00632499">
              <w:rPr>
                <w:rStyle w:val="Hyperlink"/>
                <w:rFonts w:ascii="Arial" w:hAnsi="Arial" w:cs="Arial"/>
                <w:noProof/>
                <w:lang w:val="en-US"/>
              </w:rPr>
              <w:t>2.6 Action Plan</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_Toc224742666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21</w:t>
            </w:r>
            <w:r w:rsidR="00632499" w:rsidRPr="00632499">
              <w:rPr>
                <w:rFonts w:ascii="Arial" w:hAnsi="Arial" w:cs="Arial"/>
                <w:noProof/>
                <w:webHidden/>
              </w:rPr>
              <w:fldChar w:fldCharType="end"/>
            </w:r>
          </w:hyperlink>
        </w:p>
        <w:p w14:paraId="27CE44F9" w14:textId="6AC8751D" w:rsidR="00632499" w:rsidRPr="00632499" w:rsidRDefault="00B354D6">
          <w:pPr>
            <w:pStyle w:val="TOC1"/>
            <w:tabs>
              <w:tab w:val="right" w:leader="dot" w:pos="9016"/>
            </w:tabs>
            <w:rPr>
              <w:rFonts w:ascii="Arial" w:eastAsiaTheme="minorEastAsia" w:hAnsi="Arial" w:cs="Arial"/>
              <w:noProof/>
              <w:kern w:val="2"/>
              <w:sz w:val="24"/>
              <w:szCs w:val="24"/>
              <w:lang w:val="en-US"/>
              <w14:ligatures w14:val="standardContextual"/>
            </w:rPr>
          </w:pPr>
          <w:hyperlink w:anchor="_Toc224742667" w:history="1">
            <w:r w:rsidR="00632499" w:rsidRPr="00632499">
              <w:rPr>
                <w:rStyle w:val="Hyperlink"/>
                <w:rFonts w:ascii="Arial" w:hAnsi="Arial" w:cs="Arial"/>
                <w:noProof/>
              </w:rPr>
              <w:t>Reference</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_Toc224742667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22</w:t>
            </w:r>
            <w:r w:rsidR="00632499" w:rsidRPr="00632499">
              <w:rPr>
                <w:rFonts w:ascii="Arial" w:hAnsi="Arial" w:cs="Arial"/>
                <w:noProof/>
                <w:webHidden/>
              </w:rPr>
              <w:fldChar w:fldCharType="end"/>
            </w:r>
          </w:hyperlink>
        </w:p>
        <w:p w14:paraId="1C4C1410" w14:textId="2F38BF0D" w:rsidR="005E1FC9" w:rsidRPr="00632499" w:rsidRDefault="005E1FC9" w:rsidP="005E1FC9">
          <w:pPr>
            <w:spacing w:line="360" w:lineRule="auto"/>
            <w:rPr>
              <w:rFonts w:ascii="Arial" w:hAnsi="Arial" w:cs="Arial"/>
              <w:color w:val="000000" w:themeColor="text1"/>
            </w:rPr>
          </w:pPr>
          <w:r w:rsidRPr="00632499">
            <w:rPr>
              <w:rFonts w:ascii="Arial" w:hAnsi="Arial" w:cs="Arial"/>
              <w:b/>
              <w:bCs/>
              <w:noProof/>
              <w:color w:val="000000" w:themeColor="text1"/>
              <w:sz w:val="24"/>
              <w:szCs w:val="24"/>
            </w:rPr>
            <w:fldChar w:fldCharType="end"/>
          </w:r>
        </w:p>
      </w:sdtContent>
    </w:sdt>
    <w:p w14:paraId="2DAA678E" w14:textId="77777777" w:rsidR="005E1FC9" w:rsidRPr="00632499" w:rsidRDefault="005E1FC9" w:rsidP="005E1FC9">
      <w:pPr>
        <w:pStyle w:val="TableofFigures"/>
        <w:tabs>
          <w:tab w:val="right" w:leader="dot" w:pos="9016"/>
        </w:tabs>
        <w:rPr>
          <w:rFonts w:ascii="Arial" w:hAnsi="Arial" w:cs="Arial"/>
          <w:color w:val="000000" w:themeColor="text1"/>
          <w:sz w:val="24"/>
          <w:szCs w:val="24"/>
        </w:rPr>
      </w:pPr>
    </w:p>
    <w:p w14:paraId="7D537FD5" w14:textId="77777777" w:rsidR="005E1FC9" w:rsidRPr="00632499" w:rsidRDefault="005E1FC9" w:rsidP="005E1FC9">
      <w:pPr>
        <w:rPr>
          <w:rFonts w:ascii="Arial" w:hAnsi="Arial" w:cs="Arial"/>
        </w:rPr>
      </w:pPr>
    </w:p>
    <w:p w14:paraId="075C1900" w14:textId="77777777" w:rsidR="005E1FC9" w:rsidRPr="00632499" w:rsidRDefault="005E1FC9" w:rsidP="005E1FC9">
      <w:pPr>
        <w:pStyle w:val="TableofFigures"/>
        <w:tabs>
          <w:tab w:val="right" w:leader="dot" w:pos="9016"/>
        </w:tabs>
        <w:rPr>
          <w:rFonts w:ascii="Arial" w:hAnsi="Arial" w:cs="Arial"/>
          <w:color w:val="000000" w:themeColor="text1"/>
          <w:sz w:val="24"/>
          <w:szCs w:val="24"/>
        </w:rPr>
      </w:pPr>
    </w:p>
    <w:p w14:paraId="7337C9F9" w14:textId="77777777" w:rsidR="005E1FC9" w:rsidRPr="00632499" w:rsidRDefault="005E1FC9" w:rsidP="005E1FC9">
      <w:pPr>
        <w:pStyle w:val="TableofFigures"/>
        <w:tabs>
          <w:tab w:val="right" w:leader="dot" w:pos="9016"/>
        </w:tabs>
        <w:jc w:val="center"/>
        <w:rPr>
          <w:rFonts w:ascii="Arial" w:hAnsi="Arial" w:cs="Arial"/>
          <w:b/>
          <w:bCs/>
          <w:color w:val="000000" w:themeColor="text1"/>
          <w:sz w:val="24"/>
          <w:szCs w:val="24"/>
        </w:rPr>
      </w:pPr>
      <w:r w:rsidRPr="00632499">
        <w:rPr>
          <w:rFonts w:ascii="Arial" w:hAnsi="Arial" w:cs="Arial"/>
          <w:b/>
          <w:bCs/>
          <w:color w:val="000000" w:themeColor="text1"/>
          <w:sz w:val="24"/>
          <w:szCs w:val="24"/>
        </w:rPr>
        <w:t xml:space="preserve">Contents of Table </w:t>
      </w:r>
    </w:p>
    <w:p w14:paraId="730DFB52" w14:textId="618348AC" w:rsidR="00632499" w:rsidRPr="00632499" w:rsidRDefault="005E1FC9">
      <w:pPr>
        <w:pStyle w:val="TableofFigures"/>
        <w:tabs>
          <w:tab w:val="right" w:leader="dot" w:pos="9016"/>
        </w:tabs>
        <w:rPr>
          <w:rFonts w:ascii="Arial" w:eastAsiaTheme="minorEastAsia" w:hAnsi="Arial" w:cs="Arial"/>
          <w:noProof/>
          <w:kern w:val="2"/>
          <w:sz w:val="24"/>
          <w:szCs w:val="24"/>
          <w:lang w:val="en-US"/>
          <w14:ligatures w14:val="standardContextual"/>
        </w:rPr>
      </w:pPr>
      <w:r w:rsidRPr="00632499">
        <w:rPr>
          <w:rFonts w:ascii="Arial" w:hAnsi="Arial" w:cs="Arial"/>
          <w:color w:val="000000" w:themeColor="text1"/>
          <w:sz w:val="24"/>
          <w:szCs w:val="24"/>
        </w:rPr>
        <w:fldChar w:fldCharType="begin"/>
      </w:r>
      <w:r w:rsidRPr="00632499">
        <w:rPr>
          <w:rFonts w:ascii="Arial" w:hAnsi="Arial" w:cs="Arial"/>
          <w:color w:val="000000" w:themeColor="text1"/>
          <w:sz w:val="24"/>
          <w:szCs w:val="24"/>
        </w:rPr>
        <w:instrText xml:space="preserve"> TOC \h \z \c "Table" </w:instrText>
      </w:r>
      <w:r w:rsidRPr="00632499">
        <w:rPr>
          <w:rFonts w:ascii="Arial" w:hAnsi="Arial" w:cs="Arial"/>
          <w:color w:val="000000" w:themeColor="text1"/>
          <w:sz w:val="24"/>
          <w:szCs w:val="24"/>
        </w:rPr>
        <w:fldChar w:fldCharType="separate"/>
      </w:r>
      <w:hyperlink w:anchor="_Toc224742668" w:history="1">
        <w:r w:rsidR="00632499" w:rsidRPr="00632499">
          <w:rPr>
            <w:rStyle w:val="Hyperlink"/>
            <w:rFonts w:ascii="Arial" w:hAnsi="Arial" w:cs="Arial"/>
            <w:noProof/>
          </w:rPr>
          <w:t>Table 1: Comparative strategic benchmark</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_Toc224742668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4</w:t>
        </w:r>
        <w:r w:rsidR="00632499" w:rsidRPr="00632499">
          <w:rPr>
            <w:rFonts w:ascii="Arial" w:hAnsi="Arial" w:cs="Arial"/>
            <w:noProof/>
            <w:webHidden/>
          </w:rPr>
          <w:fldChar w:fldCharType="end"/>
        </w:r>
      </w:hyperlink>
    </w:p>
    <w:p w14:paraId="7A6F7ADD" w14:textId="68C96210" w:rsidR="00632499" w:rsidRPr="00632499" w:rsidRDefault="00B354D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742669" w:history="1">
        <w:r w:rsidR="00632499" w:rsidRPr="00632499">
          <w:rPr>
            <w:rStyle w:val="Hyperlink"/>
            <w:rFonts w:ascii="Arial" w:hAnsi="Arial" w:cs="Arial"/>
            <w:noProof/>
          </w:rPr>
          <w:t>Table 2: Evaluation of Market Attractiveness</w:t>
        </w:r>
        <w:r w:rsidR="00632499" w:rsidRPr="00632499">
          <w:rPr>
            <w:rFonts w:ascii="Arial" w:hAnsi="Arial" w:cs="Arial"/>
            <w:noProof/>
            <w:webHidden/>
          </w:rPr>
          <w:tab/>
        </w:r>
        <w:r w:rsidR="00632499" w:rsidRPr="00632499">
          <w:rPr>
            <w:rFonts w:ascii="Arial" w:hAnsi="Arial" w:cs="Arial"/>
            <w:noProof/>
            <w:webHidden/>
          </w:rPr>
          <w:fldChar w:fldCharType="begin"/>
        </w:r>
        <w:r w:rsidR="00632499" w:rsidRPr="00632499">
          <w:rPr>
            <w:rFonts w:ascii="Arial" w:hAnsi="Arial" w:cs="Arial"/>
            <w:noProof/>
            <w:webHidden/>
          </w:rPr>
          <w:instrText xml:space="preserve"> PAGEREF _Toc224742669 \h </w:instrText>
        </w:r>
        <w:r w:rsidR="00632499" w:rsidRPr="00632499">
          <w:rPr>
            <w:rFonts w:ascii="Arial" w:hAnsi="Arial" w:cs="Arial"/>
            <w:noProof/>
            <w:webHidden/>
          </w:rPr>
        </w:r>
        <w:r w:rsidR="00632499" w:rsidRPr="00632499">
          <w:rPr>
            <w:rFonts w:ascii="Arial" w:hAnsi="Arial" w:cs="Arial"/>
            <w:noProof/>
            <w:webHidden/>
          </w:rPr>
          <w:fldChar w:fldCharType="separate"/>
        </w:r>
        <w:r w:rsidR="00632499" w:rsidRPr="00632499">
          <w:rPr>
            <w:rFonts w:ascii="Arial" w:hAnsi="Arial" w:cs="Arial"/>
            <w:noProof/>
            <w:webHidden/>
          </w:rPr>
          <w:t>17</w:t>
        </w:r>
        <w:r w:rsidR="00632499" w:rsidRPr="00632499">
          <w:rPr>
            <w:rFonts w:ascii="Arial" w:hAnsi="Arial" w:cs="Arial"/>
            <w:noProof/>
            <w:webHidden/>
          </w:rPr>
          <w:fldChar w:fldCharType="end"/>
        </w:r>
      </w:hyperlink>
    </w:p>
    <w:p w14:paraId="3FE5B776" w14:textId="21C956B7" w:rsidR="005E1FC9" w:rsidRPr="004E4B12" w:rsidRDefault="005E1FC9" w:rsidP="005E1FC9">
      <w:pPr>
        <w:spacing w:line="360" w:lineRule="auto"/>
        <w:jc w:val="both"/>
        <w:rPr>
          <w:rFonts w:ascii="Arial" w:hAnsi="Arial" w:cs="Arial"/>
          <w:color w:val="000000" w:themeColor="text1"/>
          <w:sz w:val="24"/>
          <w:szCs w:val="24"/>
        </w:rPr>
      </w:pPr>
      <w:r w:rsidRPr="00632499">
        <w:rPr>
          <w:rFonts w:ascii="Arial" w:hAnsi="Arial" w:cs="Arial"/>
          <w:color w:val="000000" w:themeColor="text1"/>
          <w:sz w:val="24"/>
          <w:szCs w:val="24"/>
        </w:rPr>
        <w:fldChar w:fldCharType="end"/>
      </w:r>
    </w:p>
    <w:p w14:paraId="39674DB0" w14:textId="2DE7413F" w:rsidR="005E1FC9" w:rsidRPr="00294F8F" w:rsidRDefault="005E1FC9" w:rsidP="005E1FC9">
      <w:pPr>
        <w:spacing w:line="360" w:lineRule="auto"/>
        <w:jc w:val="both"/>
        <w:rPr>
          <w:rFonts w:ascii="Arial" w:hAnsi="Arial" w:cs="Arial"/>
          <w:color w:val="000000" w:themeColor="text1"/>
          <w:sz w:val="24"/>
          <w:szCs w:val="24"/>
        </w:rPr>
        <w:sectPr w:rsidR="005E1FC9" w:rsidRPr="00294F8F" w:rsidSect="005E1FC9">
          <w:pgSz w:w="11906" w:h="16838"/>
          <w:pgMar w:top="1440" w:right="1440" w:bottom="1440" w:left="1440" w:header="720" w:footer="720" w:gutter="0"/>
          <w:pgNumType w:start="0"/>
          <w:cols w:space="720"/>
          <w:titlePg/>
          <w:docGrid w:linePitch="299"/>
        </w:sectPr>
      </w:pPr>
    </w:p>
    <w:p w14:paraId="4B1C3D6A" w14:textId="77777777" w:rsidR="005E1FC9" w:rsidRPr="00F75A88" w:rsidRDefault="005E1FC9" w:rsidP="005E1FC9">
      <w:pPr>
        <w:pStyle w:val="Heading1"/>
        <w:jc w:val="center"/>
        <w:rPr>
          <w:u w:val="single"/>
          <w:lang w:val="en-US"/>
        </w:rPr>
      </w:pPr>
      <w:bookmarkStart w:id="0" w:name="_Toc224742627"/>
      <w:r w:rsidRPr="00F75A88">
        <w:rPr>
          <w:u w:val="single"/>
          <w:lang w:val="en-US"/>
        </w:rPr>
        <w:lastRenderedPageBreak/>
        <w:t>Section 1</w:t>
      </w:r>
      <w:bookmarkEnd w:id="0"/>
    </w:p>
    <w:p w14:paraId="13FDEDF1" w14:textId="7E8A9F91" w:rsidR="00992F28" w:rsidRDefault="00992F28" w:rsidP="005E1FC9">
      <w:pPr>
        <w:pStyle w:val="Heading1"/>
        <w:rPr>
          <w:lang w:val="en-US"/>
        </w:rPr>
      </w:pPr>
      <w:bookmarkStart w:id="1" w:name="_Toc224742628"/>
      <w:r>
        <w:rPr>
          <w:lang w:val="en-US"/>
        </w:rPr>
        <w:t>1.0</w:t>
      </w:r>
      <w:r w:rsidR="009153A3">
        <w:rPr>
          <w:lang w:val="en-US"/>
        </w:rPr>
        <w:t xml:space="preserve"> </w:t>
      </w:r>
      <w:r>
        <w:rPr>
          <w:lang w:val="en-US"/>
        </w:rPr>
        <w:t>Introduction</w:t>
      </w:r>
      <w:bookmarkEnd w:id="1"/>
    </w:p>
    <w:p w14:paraId="26EA5F18" w14:textId="51ED9D1C" w:rsidR="00992F28" w:rsidRPr="00992F28" w:rsidRDefault="009153A3" w:rsidP="00992F28">
      <w:pPr>
        <w:spacing w:line="360" w:lineRule="auto"/>
        <w:jc w:val="both"/>
        <w:rPr>
          <w:rFonts w:ascii="Arial" w:hAnsi="Arial" w:cs="Arial"/>
          <w:sz w:val="24"/>
          <w:szCs w:val="24"/>
          <w:lang w:val="en-US"/>
        </w:rPr>
      </w:pPr>
      <w:r w:rsidRPr="009153A3">
        <w:rPr>
          <w:rFonts w:ascii="Arial" w:hAnsi="Arial" w:cs="Arial"/>
          <w:sz w:val="24"/>
          <w:szCs w:val="24"/>
          <w:lang w:val="en-US"/>
        </w:rPr>
        <w:t xml:space="preserve">The automobile industry has become the backbone of the German economy, as it is one of the most technologically developed, export-oriented, and globally competitive industries in the world. The automotive ecosystem in Germany is defined by a particularly close set of extremely qualified </w:t>
      </w:r>
      <w:proofErr w:type="spellStart"/>
      <w:r w:rsidRPr="009153A3">
        <w:rPr>
          <w:rFonts w:ascii="Arial" w:hAnsi="Arial" w:cs="Arial"/>
          <w:sz w:val="24"/>
          <w:szCs w:val="24"/>
          <w:lang w:val="en-US"/>
        </w:rPr>
        <w:t>labour</w:t>
      </w:r>
      <w:proofErr w:type="spellEnd"/>
      <w:r w:rsidRPr="009153A3">
        <w:rPr>
          <w:rFonts w:ascii="Arial" w:hAnsi="Arial" w:cs="Arial"/>
          <w:sz w:val="24"/>
          <w:szCs w:val="24"/>
          <w:lang w:val="en-US"/>
        </w:rPr>
        <w:t xml:space="preserve"> force, advanced research and development (R&amp;D), well-established supplier relations, and a highly developed domestic market that requires high-quality, innovative, and environmentally friendly cars. The classical German Original Equipment Manufacturers (OEMs), including Volkswagen AG, BMW Group, and Mercedes-Benz Group AG, have a long-established reputation as innovative leaders in engineering, luxury, and performance and, at the same time, have become the drivers of innovation in electrification, autonomous systems, and advanced mobility solutions. The competitiveness of the sector can be examined adequately using frameworks like the Diamond Model developed by Michael Porter, wherein the factor conditions, sophistication of the demand, supporting industries and firm rivalry in Germany are identified as the attributes of sustained advantage. The government policies and regulatory framework, as well as the infrastructure of the country, also strengthen the international position of the industry, but its threats, like the dependence of the supply chains on batteries and semiconductors, remain constant threats. The presence of foreign multinational corporations (MNCs), in particular, Tesla, Inc., in the automotive market of Germany is a prime illustration of an attractive and complex industry. The presence of Tesla in Germany and its Gigafactory Berlin-Brandenburg allows shedding light on the roles of political, economic, legal, and cultural aspects in the performance of foreign companies in a highly developed and competitive market. In this report, the automotive industry in Germany and the operational environment of Tesla Company are critically </w:t>
      </w:r>
      <w:proofErr w:type="spellStart"/>
      <w:r w:rsidRPr="009153A3">
        <w:rPr>
          <w:rFonts w:ascii="Arial" w:hAnsi="Arial" w:cs="Arial"/>
          <w:sz w:val="24"/>
          <w:szCs w:val="24"/>
          <w:lang w:val="en-US"/>
        </w:rPr>
        <w:t>analysed</w:t>
      </w:r>
      <w:proofErr w:type="spellEnd"/>
      <w:r w:rsidRPr="009153A3">
        <w:rPr>
          <w:rFonts w:ascii="Arial" w:hAnsi="Arial" w:cs="Arial"/>
          <w:sz w:val="24"/>
          <w:szCs w:val="24"/>
          <w:lang w:val="en-US"/>
        </w:rPr>
        <w:t xml:space="preserve"> based on the industry reports, academic literature, annual reports of Tesla Company, and news sources to </w:t>
      </w:r>
      <w:proofErr w:type="spellStart"/>
      <w:r w:rsidRPr="009153A3">
        <w:rPr>
          <w:rFonts w:ascii="Arial" w:hAnsi="Arial" w:cs="Arial"/>
          <w:sz w:val="24"/>
          <w:szCs w:val="24"/>
          <w:lang w:val="en-US"/>
        </w:rPr>
        <w:t>analyse</w:t>
      </w:r>
      <w:proofErr w:type="spellEnd"/>
      <w:r w:rsidRPr="009153A3">
        <w:rPr>
          <w:rFonts w:ascii="Arial" w:hAnsi="Arial" w:cs="Arial"/>
          <w:sz w:val="24"/>
          <w:szCs w:val="24"/>
          <w:lang w:val="en-US"/>
        </w:rPr>
        <w:t xml:space="preserve"> the determinants of global competitiveness and the forces that shape the success of multinational firms in the highly dynamic environment.</w:t>
      </w:r>
    </w:p>
    <w:p w14:paraId="156CFB9A" w14:textId="5B9F9402" w:rsidR="005E1FC9" w:rsidRPr="00F116CD" w:rsidRDefault="00806FDC" w:rsidP="005E1FC9">
      <w:pPr>
        <w:pStyle w:val="Heading1"/>
        <w:rPr>
          <w:lang w:val="en-US"/>
        </w:rPr>
      </w:pPr>
      <w:bookmarkStart w:id="2" w:name="_Toc224742629"/>
      <w:r w:rsidRPr="00806FDC">
        <w:rPr>
          <w:lang w:val="en-US"/>
        </w:rPr>
        <w:lastRenderedPageBreak/>
        <w:t>2.0 Industry and Country Overview</w:t>
      </w:r>
      <w:bookmarkEnd w:id="2"/>
    </w:p>
    <w:p w14:paraId="1B104C77" w14:textId="77777777" w:rsidR="00B22A2A" w:rsidRPr="00B22A2A" w:rsidRDefault="00B22A2A" w:rsidP="00B22A2A">
      <w:pPr>
        <w:pStyle w:val="Heading2"/>
        <w:rPr>
          <w:lang w:val="en-US"/>
        </w:rPr>
      </w:pPr>
      <w:bookmarkStart w:id="3" w:name="_Toc224742630"/>
      <w:r w:rsidRPr="00B22A2A">
        <w:rPr>
          <w:lang w:val="en-US"/>
        </w:rPr>
        <w:t>2.1 Introduction to the German Automotive Industry</w:t>
      </w:r>
      <w:bookmarkEnd w:id="3"/>
    </w:p>
    <w:p w14:paraId="5B524047"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The automotive manufacturing industry is among the most important strategic industries in Germany, as it constitutes the foundation of the industrial economy there. Germany is the largest vehicle manufacturer in Europe and one of the major exporters of cars in the world (European Automobile Manufacturers’ Association, 2023). It's an industry </w:t>
      </w:r>
      <w:proofErr w:type="spellStart"/>
      <w:r w:rsidRPr="00B22A2A">
        <w:rPr>
          <w:rFonts w:ascii="Arial" w:hAnsi="Arial" w:cs="Arial"/>
          <w:color w:val="000000" w:themeColor="text1"/>
          <w:sz w:val="24"/>
          <w:szCs w:val="24"/>
          <w:lang w:val="en-US"/>
        </w:rPr>
        <w:t>characterised</w:t>
      </w:r>
      <w:proofErr w:type="spellEnd"/>
      <w:r w:rsidRPr="00B22A2A">
        <w:rPr>
          <w:rFonts w:ascii="Arial" w:hAnsi="Arial" w:cs="Arial"/>
          <w:color w:val="000000" w:themeColor="text1"/>
          <w:sz w:val="24"/>
          <w:szCs w:val="24"/>
          <w:lang w:val="en-US"/>
        </w:rPr>
        <w:t xml:space="preserve"> by high-end engineering, high-end branding, a high export orientation, and growing investment in electric mobility and </w:t>
      </w:r>
      <w:proofErr w:type="spellStart"/>
      <w:r w:rsidRPr="00B22A2A">
        <w:rPr>
          <w:rFonts w:ascii="Arial" w:hAnsi="Arial" w:cs="Arial"/>
          <w:color w:val="000000" w:themeColor="text1"/>
          <w:sz w:val="24"/>
          <w:szCs w:val="24"/>
          <w:lang w:val="en-US"/>
        </w:rPr>
        <w:t>digitalisation</w:t>
      </w:r>
      <w:proofErr w:type="spellEnd"/>
      <w:r w:rsidRPr="00B22A2A">
        <w:rPr>
          <w:rFonts w:ascii="Arial" w:hAnsi="Arial" w:cs="Arial"/>
          <w:color w:val="000000" w:themeColor="text1"/>
          <w:sz w:val="24"/>
          <w:szCs w:val="24"/>
          <w:lang w:val="en-US"/>
        </w:rPr>
        <w:t>.</w:t>
      </w:r>
    </w:p>
    <w:p w14:paraId="7D78D5D5"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European Union is highly regulated, and the German automotive companies are governed in the areas of carbon emissions and sustainability standards. The sector started experiencing a high rate of structural change since 2020 as a result of electrification, digital technologies, and disruptions in supply chains caused by COVID-19 and semiconductor shortages (The Economist, 2023). The shift to electric vehicles (EVs) has become even faster due to EU policies of the Green Deal and German national climate targets.</w:t>
      </w:r>
    </w:p>
    <w:p w14:paraId="1FB037C1"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automobile industry includes a lot of value chains, such as high-technology manufacturing, research and development (R&amp;D), logistics, and supplier networks. The big manufacturers in the world, with their headquarters in Germany, like Volkswagen AG, BMW Group, and Mercedes-Benz Group AG, still have a robust international production network with high-value engineering operations remaining within their country. The industry is hence not just economic strength but also technological leadership in mobility innovation.</w:t>
      </w:r>
    </w:p>
    <w:p w14:paraId="4657A5D4" w14:textId="77777777" w:rsidR="00B22A2A" w:rsidRPr="00B22A2A" w:rsidRDefault="00B22A2A" w:rsidP="00B22A2A">
      <w:pPr>
        <w:pStyle w:val="Heading2"/>
        <w:rPr>
          <w:lang w:val="en-US"/>
        </w:rPr>
      </w:pPr>
      <w:bookmarkStart w:id="4" w:name="_Toc224742631"/>
      <w:r w:rsidRPr="00B22A2A">
        <w:rPr>
          <w:lang w:val="en-US"/>
        </w:rPr>
        <w:t>2.2 Size, Scope and Economic Importance</w:t>
      </w:r>
      <w:bookmarkEnd w:id="4"/>
    </w:p>
    <w:p w14:paraId="2B819121"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automotive industry in Germany is the largest industrial sector in the country. In 2023, the German Association of the Automotive Industry (VDA, 2023) estimated that the sector recorded nearly 506 billion in revenue, which is about 20% of the total German industrial revenues. In Germany, the industry directly employs more than 780,000, leading to its position as one of the largest manufacturing employers.</w:t>
      </w:r>
    </w:p>
    <w:p w14:paraId="24A97409"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Exports play a very important role: approximately 75% of cars made in Germany are also exported (ACEA, 2023). Germany has a macroeconomic significance in </w:t>
      </w:r>
      <w:r w:rsidRPr="00B22A2A">
        <w:rPr>
          <w:rFonts w:ascii="Arial" w:hAnsi="Arial" w:cs="Arial"/>
          <w:color w:val="000000" w:themeColor="text1"/>
          <w:sz w:val="24"/>
          <w:szCs w:val="24"/>
          <w:lang w:val="en-US"/>
        </w:rPr>
        <w:lastRenderedPageBreak/>
        <w:t>automotive products because they constitute about 15-17% of the total export in the country.</w:t>
      </w:r>
    </w:p>
    <w:p w14:paraId="13D536F8" w14:textId="788F20FA"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The automotive industry in Germany has almost a third of the overall amount of R&amp;D spending (VDA, 2023). Between 2020 and 2024, major firms have invested billions of </w:t>
      </w:r>
      <w:r w:rsidR="00DB2F22" w:rsidRPr="00B22A2A">
        <w:rPr>
          <w:rFonts w:ascii="Arial" w:hAnsi="Arial" w:cs="Arial"/>
          <w:color w:val="000000" w:themeColor="text1"/>
          <w:sz w:val="24"/>
          <w:szCs w:val="24"/>
          <w:lang w:val="en-US"/>
        </w:rPr>
        <w:t>monies</w:t>
      </w:r>
      <w:r w:rsidRPr="00B22A2A">
        <w:rPr>
          <w:rFonts w:ascii="Arial" w:hAnsi="Arial" w:cs="Arial"/>
          <w:color w:val="000000" w:themeColor="text1"/>
          <w:sz w:val="24"/>
          <w:szCs w:val="24"/>
          <w:lang w:val="en-US"/>
        </w:rPr>
        <w:t xml:space="preserve"> in electric vehicles and battery technology (Volkswagen Annual Report, 2023).</w:t>
      </w:r>
    </w:p>
    <w:p w14:paraId="75AA7652"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Accordingly, the industry is not merely of economic size but also of critical importance to the balance of trade in Germany, </w:t>
      </w:r>
      <w:proofErr w:type="spellStart"/>
      <w:r w:rsidRPr="00B22A2A">
        <w:rPr>
          <w:rFonts w:ascii="Arial" w:hAnsi="Arial" w:cs="Arial"/>
          <w:color w:val="000000" w:themeColor="text1"/>
          <w:sz w:val="24"/>
          <w:szCs w:val="24"/>
          <w:lang w:val="en-US"/>
        </w:rPr>
        <w:t>labour</w:t>
      </w:r>
      <w:proofErr w:type="spellEnd"/>
      <w:r w:rsidRPr="00B22A2A">
        <w:rPr>
          <w:rFonts w:ascii="Arial" w:hAnsi="Arial" w:cs="Arial"/>
          <w:color w:val="000000" w:themeColor="text1"/>
          <w:sz w:val="24"/>
          <w:szCs w:val="24"/>
          <w:lang w:val="en-US"/>
        </w:rPr>
        <w:t xml:space="preserve"> composition, technological capability, and industrial policy.</w:t>
      </w:r>
    </w:p>
    <w:p w14:paraId="278A2AC4" w14:textId="11AE3577" w:rsidR="00B22A2A" w:rsidRPr="00B22A2A" w:rsidRDefault="00B22A2A" w:rsidP="00B22A2A">
      <w:pPr>
        <w:pStyle w:val="Heading2"/>
        <w:rPr>
          <w:lang w:val="en-US"/>
        </w:rPr>
      </w:pPr>
      <w:bookmarkStart w:id="5" w:name="_Toc224742632"/>
      <w:r w:rsidRPr="00B22A2A">
        <w:rPr>
          <w:lang w:val="en-US"/>
        </w:rPr>
        <w:t xml:space="preserve">2.3 </w:t>
      </w:r>
      <w:r w:rsidR="00A9373A" w:rsidRPr="00A9373A">
        <w:rPr>
          <w:lang w:val="en-US"/>
        </w:rPr>
        <w:t>Major Firms and Competitive Positioning</w:t>
      </w:r>
      <w:bookmarkEnd w:id="5"/>
    </w:p>
    <w:p w14:paraId="0EE3CF39"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There are three large original equipment manufacturers (OEMs) that dominate the German automotive industry: Volkswagen AG, Mercedes-Benz Group AG and BMW Group. Although all the three are globally competitive, their relative placement is far off when evaluated in terms of strategic variables that are widely used, including EV transition progress, profitability, battery strategy, software capability, and export exposure.</w:t>
      </w:r>
    </w:p>
    <w:p w14:paraId="54917BE6" w14:textId="77777777" w:rsid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These differences can be noted on a comparative strategic benchmark:</w:t>
      </w:r>
    </w:p>
    <w:tbl>
      <w:tblPr>
        <w:tblStyle w:val="TableGrid"/>
        <w:tblW w:w="0" w:type="auto"/>
        <w:tblLook w:val="04A0" w:firstRow="1" w:lastRow="0" w:firstColumn="1" w:lastColumn="0" w:noHBand="0" w:noVBand="1"/>
      </w:tblPr>
      <w:tblGrid>
        <w:gridCol w:w="1518"/>
        <w:gridCol w:w="1454"/>
        <w:gridCol w:w="1584"/>
        <w:gridCol w:w="1634"/>
        <w:gridCol w:w="1501"/>
        <w:gridCol w:w="1325"/>
      </w:tblGrid>
      <w:tr w:rsidR="00A9373A" w:rsidRPr="00A9373A" w14:paraId="2E779E03" w14:textId="77777777" w:rsidTr="00A9373A">
        <w:tc>
          <w:tcPr>
            <w:tcW w:w="0" w:type="auto"/>
            <w:hideMark/>
          </w:tcPr>
          <w:p w14:paraId="146FCAAC" w14:textId="77777777"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Firm</w:t>
            </w:r>
          </w:p>
        </w:tc>
        <w:tc>
          <w:tcPr>
            <w:tcW w:w="0" w:type="auto"/>
            <w:hideMark/>
          </w:tcPr>
          <w:p w14:paraId="1FBEDBAA" w14:textId="77777777"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EV Transition</w:t>
            </w:r>
          </w:p>
        </w:tc>
        <w:tc>
          <w:tcPr>
            <w:tcW w:w="0" w:type="auto"/>
            <w:hideMark/>
          </w:tcPr>
          <w:p w14:paraId="77FDBE8E" w14:textId="77777777"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Profitability (EV vs ICE)</w:t>
            </w:r>
          </w:p>
        </w:tc>
        <w:tc>
          <w:tcPr>
            <w:tcW w:w="0" w:type="auto"/>
            <w:hideMark/>
          </w:tcPr>
          <w:p w14:paraId="5C843775" w14:textId="77777777"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Battery Strategy</w:t>
            </w:r>
          </w:p>
        </w:tc>
        <w:tc>
          <w:tcPr>
            <w:tcW w:w="0" w:type="auto"/>
            <w:hideMark/>
          </w:tcPr>
          <w:p w14:paraId="575076AB" w14:textId="77777777"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Software Capability</w:t>
            </w:r>
          </w:p>
        </w:tc>
        <w:tc>
          <w:tcPr>
            <w:tcW w:w="0" w:type="auto"/>
            <w:hideMark/>
          </w:tcPr>
          <w:p w14:paraId="44E55EEE" w14:textId="77777777"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Export Exposure</w:t>
            </w:r>
          </w:p>
        </w:tc>
      </w:tr>
      <w:tr w:rsidR="00A9373A" w:rsidRPr="00A9373A" w14:paraId="7CC42154" w14:textId="77777777" w:rsidTr="00A9373A">
        <w:tc>
          <w:tcPr>
            <w:tcW w:w="0" w:type="auto"/>
            <w:hideMark/>
          </w:tcPr>
          <w:p w14:paraId="3DF5B2DB"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Volkswagen AG</w:t>
            </w:r>
          </w:p>
        </w:tc>
        <w:tc>
          <w:tcPr>
            <w:tcW w:w="0" w:type="auto"/>
            <w:hideMark/>
          </w:tcPr>
          <w:p w14:paraId="15DB4644"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Aggressive (high EV volume growth)</w:t>
            </w:r>
          </w:p>
        </w:tc>
        <w:tc>
          <w:tcPr>
            <w:tcW w:w="0" w:type="auto"/>
            <w:hideMark/>
          </w:tcPr>
          <w:p w14:paraId="182355DA"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Lower EV margins</w:t>
            </w:r>
          </w:p>
        </w:tc>
        <w:tc>
          <w:tcPr>
            <w:tcW w:w="0" w:type="auto"/>
            <w:hideMark/>
          </w:tcPr>
          <w:p w14:paraId="1EA15A0C"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Heavy investment in in-house battery production</w:t>
            </w:r>
          </w:p>
        </w:tc>
        <w:tc>
          <w:tcPr>
            <w:tcW w:w="0" w:type="auto"/>
            <w:hideMark/>
          </w:tcPr>
          <w:p w14:paraId="2F084DA3"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Developing (Cariad unit challenges)</w:t>
            </w:r>
          </w:p>
        </w:tc>
        <w:tc>
          <w:tcPr>
            <w:tcW w:w="0" w:type="auto"/>
            <w:hideMark/>
          </w:tcPr>
          <w:p w14:paraId="6C97206F"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High</w:t>
            </w:r>
          </w:p>
        </w:tc>
      </w:tr>
      <w:tr w:rsidR="00A9373A" w:rsidRPr="00A9373A" w14:paraId="6D575173" w14:textId="77777777" w:rsidTr="00A9373A">
        <w:tc>
          <w:tcPr>
            <w:tcW w:w="0" w:type="auto"/>
            <w:hideMark/>
          </w:tcPr>
          <w:p w14:paraId="0B3FA002"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Mercedes-Benz</w:t>
            </w:r>
          </w:p>
        </w:tc>
        <w:tc>
          <w:tcPr>
            <w:tcW w:w="0" w:type="auto"/>
            <w:hideMark/>
          </w:tcPr>
          <w:p w14:paraId="22EA3662"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Selective, premium EV focus</w:t>
            </w:r>
          </w:p>
        </w:tc>
        <w:tc>
          <w:tcPr>
            <w:tcW w:w="0" w:type="auto"/>
            <w:hideMark/>
          </w:tcPr>
          <w:p w14:paraId="0E351649"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Higher margins due to pricing power</w:t>
            </w:r>
          </w:p>
        </w:tc>
        <w:tc>
          <w:tcPr>
            <w:tcW w:w="0" w:type="auto"/>
            <w:hideMark/>
          </w:tcPr>
          <w:p w14:paraId="25A4A957"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Partnerships + selective vertical integration</w:t>
            </w:r>
          </w:p>
        </w:tc>
        <w:tc>
          <w:tcPr>
            <w:tcW w:w="0" w:type="auto"/>
            <w:hideMark/>
          </w:tcPr>
          <w:p w14:paraId="390138A3"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Strong focus on digital luxury experience</w:t>
            </w:r>
          </w:p>
        </w:tc>
        <w:tc>
          <w:tcPr>
            <w:tcW w:w="0" w:type="auto"/>
            <w:hideMark/>
          </w:tcPr>
          <w:p w14:paraId="7EE68A5F"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High</w:t>
            </w:r>
          </w:p>
        </w:tc>
      </w:tr>
      <w:tr w:rsidR="00A9373A" w:rsidRPr="00A9373A" w14:paraId="39D50923" w14:textId="77777777" w:rsidTr="00A9373A">
        <w:tc>
          <w:tcPr>
            <w:tcW w:w="0" w:type="auto"/>
            <w:hideMark/>
          </w:tcPr>
          <w:p w14:paraId="49DC9B31"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lastRenderedPageBreak/>
              <w:t>BMW Group</w:t>
            </w:r>
          </w:p>
        </w:tc>
        <w:tc>
          <w:tcPr>
            <w:tcW w:w="0" w:type="auto"/>
            <w:hideMark/>
          </w:tcPr>
          <w:p w14:paraId="2F3A8EBA"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Gradual, flexible transition</w:t>
            </w:r>
          </w:p>
        </w:tc>
        <w:tc>
          <w:tcPr>
            <w:tcW w:w="0" w:type="auto"/>
            <w:hideMark/>
          </w:tcPr>
          <w:p w14:paraId="74824CEF"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Stable margins across mix</w:t>
            </w:r>
          </w:p>
        </w:tc>
        <w:tc>
          <w:tcPr>
            <w:tcW w:w="0" w:type="auto"/>
            <w:hideMark/>
          </w:tcPr>
          <w:p w14:paraId="45CE6516"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Flexible sourcing strategy</w:t>
            </w:r>
          </w:p>
        </w:tc>
        <w:tc>
          <w:tcPr>
            <w:tcW w:w="0" w:type="auto"/>
            <w:hideMark/>
          </w:tcPr>
          <w:p w14:paraId="1A08C500"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 xml:space="preserve">Advanced but less </w:t>
            </w:r>
            <w:proofErr w:type="spellStart"/>
            <w:r w:rsidRPr="00A9373A">
              <w:rPr>
                <w:rFonts w:ascii="Arial" w:hAnsi="Arial" w:cs="Arial"/>
                <w:color w:val="000000" w:themeColor="text1"/>
                <w:sz w:val="24"/>
                <w:szCs w:val="24"/>
                <w:lang w:val="en-US"/>
              </w:rPr>
              <w:t>centralised</w:t>
            </w:r>
            <w:proofErr w:type="spellEnd"/>
          </w:p>
        </w:tc>
        <w:tc>
          <w:tcPr>
            <w:tcW w:w="0" w:type="auto"/>
            <w:hideMark/>
          </w:tcPr>
          <w:p w14:paraId="5D7A59D4" w14:textId="77777777" w:rsidR="00A9373A" w:rsidRPr="00A9373A" w:rsidRDefault="00A9373A" w:rsidP="00A9373A">
            <w:pPr>
              <w:keepNext/>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High</w:t>
            </w:r>
          </w:p>
        </w:tc>
      </w:tr>
    </w:tbl>
    <w:p w14:paraId="5B597E88" w14:textId="6CBEDA56" w:rsidR="00A9373A" w:rsidRDefault="00A9373A">
      <w:pPr>
        <w:pStyle w:val="Caption"/>
      </w:pPr>
      <w:bookmarkStart w:id="6" w:name="_Toc224742668"/>
      <w:r>
        <w:t xml:space="preserve">Table </w:t>
      </w:r>
      <w:r>
        <w:fldChar w:fldCharType="begin"/>
      </w:r>
      <w:r>
        <w:instrText xml:space="preserve"> SEQ Table \* ARABIC </w:instrText>
      </w:r>
      <w:r>
        <w:fldChar w:fldCharType="separate"/>
      </w:r>
      <w:r w:rsidR="00A005C3">
        <w:rPr>
          <w:noProof/>
        </w:rPr>
        <w:t>1</w:t>
      </w:r>
      <w:r>
        <w:fldChar w:fldCharType="end"/>
      </w:r>
      <w:r>
        <w:t xml:space="preserve">: </w:t>
      </w:r>
      <w:r w:rsidRPr="00F2410F">
        <w:t>Comparative strategic benchmark</w:t>
      </w:r>
      <w:bookmarkEnd w:id="6"/>
    </w:p>
    <w:p w14:paraId="74115A2E" w14:textId="5D6B3701"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w:t>
      </w:r>
      <w:r w:rsidRPr="00A9373A">
        <w:rPr>
          <w:rFonts w:ascii="Arial" w:hAnsi="Arial" w:cs="Arial"/>
          <w:b/>
          <w:bCs/>
          <w:color w:val="000000" w:themeColor="text1"/>
          <w:sz w:val="24"/>
          <w:szCs w:val="24"/>
          <w:lang w:val="en-US"/>
        </w:rPr>
        <w:t>Source:</w:t>
      </w:r>
      <w:r w:rsidRPr="00A9373A">
        <w:rPr>
          <w:rFonts w:ascii="Arial" w:hAnsi="Arial" w:cs="Arial"/>
          <w:color w:val="000000" w:themeColor="text1"/>
          <w:sz w:val="24"/>
          <w:szCs w:val="24"/>
          <w:lang w:val="en-US"/>
        </w:rPr>
        <w:t xml:space="preserve"> Volkswagen Annual Report, 2023; BMW Annual Report, 2023; Mercedes-Benz Annual Report, 2023; Financial Times, 2023; Forbes, 2024)</w:t>
      </w:r>
    </w:p>
    <w:p w14:paraId="6C4AF740" w14:textId="1AD10B56"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Volkswagen AG: EV Cost Pressure Scale Leadership</w:t>
      </w:r>
    </w:p>
    <w:p w14:paraId="12FC4425"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 xml:space="preserve">Volkswagen AG uses the strategy of scale dominance, as it aims to take over the world EV markets by </w:t>
      </w:r>
      <w:proofErr w:type="spellStart"/>
      <w:r w:rsidRPr="00A9373A">
        <w:rPr>
          <w:rFonts w:ascii="Arial" w:hAnsi="Arial" w:cs="Arial"/>
          <w:color w:val="000000" w:themeColor="text1"/>
          <w:sz w:val="24"/>
          <w:szCs w:val="24"/>
          <w:lang w:val="en-US"/>
        </w:rPr>
        <w:t>standardising</w:t>
      </w:r>
      <w:proofErr w:type="spellEnd"/>
      <w:r w:rsidRPr="00A9373A">
        <w:rPr>
          <w:rFonts w:ascii="Arial" w:hAnsi="Arial" w:cs="Arial"/>
          <w:color w:val="000000" w:themeColor="text1"/>
          <w:sz w:val="24"/>
          <w:szCs w:val="24"/>
          <w:lang w:val="en-US"/>
        </w:rPr>
        <w:t xml:space="preserve"> the platform (e.g., MEB architecture) and mass production. It invested more than 180 billion in electrification and </w:t>
      </w:r>
      <w:proofErr w:type="spellStart"/>
      <w:r w:rsidRPr="00A9373A">
        <w:rPr>
          <w:rFonts w:ascii="Arial" w:hAnsi="Arial" w:cs="Arial"/>
          <w:color w:val="000000" w:themeColor="text1"/>
          <w:sz w:val="24"/>
          <w:szCs w:val="24"/>
          <w:lang w:val="en-US"/>
        </w:rPr>
        <w:t>digitalisation</w:t>
      </w:r>
      <w:proofErr w:type="spellEnd"/>
      <w:r w:rsidRPr="00A9373A">
        <w:rPr>
          <w:rFonts w:ascii="Arial" w:hAnsi="Arial" w:cs="Arial"/>
          <w:color w:val="000000" w:themeColor="text1"/>
          <w:sz w:val="24"/>
          <w:szCs w:val="24"/>
          <w:lang w:val="en-US"/>
        </w:rPr>
        <w:t xml:space="preserve"> between 2020 and 2024 (Volkswagen Annual Report, 2023). Nonetheless, such a forceful shift has put Volkswagen under margin pressure, with EVs producing a decreased level of profitability compared to internal combustion engine (ICE) cars nowadays (Financial Times, 2023). It also has an internal software unit (Cariad) which has been lagging behind, undermining its digital capability. </w:t>
      </w:r>
      <w:proofErr w:type="spellStart"/>
      <w:r w:rsidRPr="00A9373A">
        <w:rPr>
          <w:rFonts w:ascii="Arial" w:hAnsi="Arial" w:cs="Arial"/>
          <w:color w:val="000000" w:themeColor="text1"/>
          <w:sz w:val="24"/>
          <w:szCs w:val="24"/>
          <w:lang w:val="en-US"/>
        </w:rPr>
        <w:t>Organisation</w:t>
      </w:r>
      <w:proofErr w:type="spellEnd"/>
      <w:r w:rsidRPr="00A9373A">
        <w:rPr>
          <w:rFonts w:ascii="Arial" w:hAnsi="Arial" w:cs="Arial"/>
          <w:color w:val="000000" w:themeColor="text1"/>
          <w:sz w:val="24"/>
          <w:szCs w:val="24"/>
          <w:lang w:val="en-US"/>
        </w:rPr>
        <w:t>-wise, Volkswagen has the benefit of scale and market reach and the drawback of cost pressures and complexity of implementation in software integration.</w:t>
      </w:r>
    </w:p>
    <w:p w14:paraId="72CEF683" w14:textId="60AC9844"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Mercedes-Benz Group AG: Differentiation and Margin Strength Premium</w:t>
      </w:r>
    </w:p>
    <w:p w14:paraId="08D3ECD7"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 xml:space="preserve">By contrast, Mercedes-Benz Group AG pursues a premium differentiation strategy, </w:t>
      </w:r>
      <w:proofErr w:type="spellStart"/>
      <w:r w:rsidRPr="00A9373A">
        <w:rPr>
          <w:rFonts w:ascii="Arial" w:hAnsi="Arial" w:cs="Arial"/>
          <w:color w:val="000000" w:themeColor="text1"/>
          <w:sz w:val="24"/>
          <w:szCs w:val="24"/>
          <w:lang w:val="en-US"/>
        </w:rPr>
        <w:t>emphasising</w:t>
      </w:r>
      <w:proofErr w:type="spellEnd"/>
      <w:r w:rsidRPr="00A9373A">
        <w:rPr>
          <w:rFonts w:ascii="Arial" w:hAnsi="Arial" w:cs="Arial"/>
          <w:color w:val="000000" w:themeColor="text1"/>
          <w:sz w:val="24"/>
          <w:szCs w:val="24"/>
          <w:lang w:val="en-US"/>
        </w:rPr>
        <w:t xml:space="preserve"> high-margin luxury EVs as opposed to volume. The Luxury First strategy ensures profitability rather than market share, which enables the company to remain at a high rate despite the shift to EV (Mercedes-Benz Annual Report, 2023). The company uses its great brand and pricing power to offset the increase in costs of EV production. More so, Mercedes invests in battery alliances and sophisticated in-car software systems strategically to </w:t>
      </w:r>
      <w:proofErr w:type="spellStart"/>
      <w:r w:rsidRPr="00A9373A">
        <w:rPr>
          <w:rFonts w:ascii="Arial" w:hAnsi="Arial" w:cs="Arial"/>
          <w:color w:val="000000" w:themeColor="text1"/>
          <w:sz w:val="24"/>
          <w:szCs w:val="24"/>
          <w:lang w:val="en-US"/>
        </w:rPr>
        <w:t>maximise</w:t>
      </w:r>
      <w:proofErr w:type="spellEnd"/>
      <w:r w:rsidRPr="00A9373A">
        <w:rPr>
          <w:rFonts w:ascii="Arial" w:hAnsi="Arial" w:cs="Arial"/>
          <w:color w:val="000000" w:themeColor="text1"/>
          <w:sz w:val="24"/>
          <w:szCs w:val="24"/>
          <w:lang w:val="en-US"/>
        </w:rPr>
        <w:t xml:space="preserve"> the experience of the luxury customer (The Economist, 2023). This makes it structurally advantaged in profitability and brand positioning but might be constrained by the ability to scale EV volumes as contrasted to Volkswagen.</w:t>
      </w:r>
    </w:p>
    <w:p w14:paraId="054E8F18" w14:textId="77777777" w:rsidR="00A9373A" w:rsidRDefault="00A9373A" w:rsidP="00A9373A">
      <w:pPr>
        <w:spacing w:after="240" w:line="360" w:lineRule="auto"/>
        <w:jc w:val="both"/>
        <w:rPr>
          <w:rFonts w:ascii="Arial" w:hAnsi="Arial" w:cs="Arial"/>
          <w:color w:val="000000" w:themeColor="text1"/>
          <w:sz w:val="24"/>
          <w:szCs w:val="24"/>
          <w:lang w:val="en-US"/>
        </w:rPr>
      </w:pPr>
    </w:p>
    <w:p w14:paraId="4531A14A" w14:textId="198102A1"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lastRenderedPageBreak/>
        <w:t>BMW Group: Flexible Production and Strategy Balance</w:t>
      </w:r>
    </w:p>
    <w:p w14:paraId="1C055BAB"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 xml:space="preserve">The BMW Group is situated in an intermediate position, as it focuses on the idea of technology openness, which involves creating ICE, hybrid, and EVs on the same production lines. This adaptability </w:t>
      </w:r>
      <w:proofErr w:type="spellStart"/>
      <w:r w:rsidRPr="00A9373A">
        <w:rPr>
          <w:rFonts w:ascii="Arial" w:hAnsi="Arial" w:cs="Arial"/>
          <w:color w:val="000000" w:themeColor="text1"/>
          <w:sz w:val="24"/>
          <w:szCs w:val="24"/>
          <w:lang w:val="en-US"/>
        </w:rPr>
        <w:t>minimises</w:t>
      </w:r>
      <w:proofErr w:type="spellEnd"/>
      <w:r w:rsidRPr="00A9373A">
        <w:rPr>
          <w:rFonts w:ascii="Arial" w:hAnsi="Arial" w:cs="Arial"/>
          <w:color w:val="000000" w:themeColor="text1"/>
          <w:sz w:val="24"/>
          <w:szCs w:val="24"/>
          <w:lang w:val="en-US"/>
        </w:rPr>
        <w:t xml:space="preserve"> the transition risk and helps BMW keep its profit margins consistent in the time of change in the industry (BMW Annual Report, 2023). In contrast to the complete EV investment at Volkswagen, a slow pace of transition for BMW grants it the ability to react to the unpredictable market demand and infrastructure preparedness. Nevertheless, this plan may delay BMW's ability to achieve market leadership in the initial electric vehicle (EV) segment. The battery sourcing strategy of BMW is diversified, and its software potential is integrated, but it is not </w:t>
      </w:r>
      <w:proofErr w:type="spellStart"/>
      <w:r w:rsidRPr="00A9373A">
        <w:rPr>
          <w:rFonts w:ascii="Arial" w:hAnsi="Arial" w:cs="Arial"/>
          <w:color w:val="000000" w:themeColor="text1"/>
          <w:sz w:val="24"/>
          <w:szCs w:val="24"/>
          <w:lang w:val="en-US"/>
        </w:rPr>
        <w:t>centralised</w:t>
      </w:r>
      <w:proofErr w:type="spellEnd"/>
      <w:r w:rsidRPr="00A9373A">
        <w:rPr>
          <w:rFonts w:ascii="Arial" w:hAnsi="Arial" w:cs="Arial"/>
          <w:color w:val="000000" w:themeColor="text1"/>
          <w:sz w:val="24"/>
          <w:szCs w:val="24"/>
          <w:lang w:val="en-US"/>
        </w:rPr>
        <w:t xml:space="preserve"> as compared to its competitors (Forbes, 2024).</w:t>
      </w:r>
    </w:p>
    <w:p w14:paraId="149A630D" w14:textId="33BA932B" w:rsidR="00A9373A" w:rsidRPr="00A9373A" w:rsidRDefault="00A9373A" w:rsidP="00A9373A">
      <w:pPr>
        <w:spacing w:after="240" w:line="360" w:lineRule="auto"/>
        <w:jc w:val="both"/>
        <w:rPr>
          <w:rFonts w:ascii="Arial" w:hAnsi="Arial" w:cs="Arial"/>
          <w:b/>
          <w:bCs/>
          <w:color w:val="000000" w:themeColor="text1"/>
          <w:sz w:val="24"/>
          <w:szCs w:val="24"/>
          <w:lang w:val="en-US"/>
        </w:rPr>
      </w:pPr>
      <w:r w:rsidRPr="00A9373A">
        <w:rPr>
          <w:rFonts w:ascii="Arial" w:hAnsi="Arial" w:cs="Arial"/>
          <w:b/>
          <w:bCs/>
          <w:color w:val="000000" w:themeColor="text1"/>
          <w:sz w:val="24"/>
          <w:szCs w:val="24"/>
          <w:lang w:val="en-US"/>
        </w:rPr>
        <w:t>Competitive Advantage Implications in Germany:</w:t>
      </w:r>
    </w:p>
    <w:p w14:paraId="01D6987B" w14:textId="77777777" w:rsidR="00A9373A" w:rsidRPr="00A9373A" w:rsidRDefault="00A9373A" w:rsidP="00A9373A">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German OEMs also encounter mounting competition pressure in the world arena, with Tesla, Inc. to the forefront in EV innovation and software ecosystems and BYD Company Limited enjoying cost-effective manufacturing and solid battery integration (Financial Times, 2024).</w:t>
      </w:r>
    </w:p>
    <w:p w14:paraId="45E61767" w14:textId="14F9A1A7" w:rsidR="005E1FC9" w:rsidRPr="00F116CD" w:rsidRDefault="00A9373A" w:rsidP="005E1FC9">
      <w:pPr>
        <w:spacing w:after="240" w:line="360" w:lineRule="auto"/>
        <w:jc w:val="both"/>
        <w:rPr>
          <w:rFonts w:ascii="Arial" w:hAnsi="Arial" w:cs="Arial"/>
          <w:color w:val="000000" w:themeColor="text1"/>
          <w:sz w:val="24"/>
          <w:szCs w:val="24"/>
          <w:lang w:val="en-US"/>
        </w:rPr>
      </w:pPr>
      <w:r w:rsidRPr="00A9373A">
        <w:rPr>
          <w:rFonts w:ascii="Arial" w:hAnsi="Arial" w:cs="Arial"/>
          <w:color w:val="000000" w:themeColor="text1"/>
          <w:sz w:val="24"/>
          <w:szCs w:val="24"/>
          <w:lang w:val="en-US"/>
        </w:rPr>
        <w:t xml:space="preserve">Comprehensively, the comparative analysis indicates that Mercedes-Benz has a structural profitability and brand-based EV transition advantage; Volkswagen has size and </w:t>
      </w:r>
      <w:proofErr w:type="spellStart"/>
      <w:r w:rsidRPr="00A9373A">
        <w:rPr>
          <w:rFonts w:ascii="Arial" w:hAnsi="Arial" w:cs="Arial"/>
          <w:color w:val="000000" w:themeColor="text1"/>
          <w:sz w:val="24"/>
          <w:szCs w:val="24"/>
          <w:lang w:val="en-US"/>
        </w:rPr>
        <w:t>internationalisation</w:t>
      </w:r>
      <w:proofErr w:type="spellEnd"/>
      <w:r w:rsidRPr="00A9373A">
        <w:rPr>
          <w:rFonts w:ascii="Arial" w:hAnsi="Arial" w:cs="Arial"/>
          <w:color w:val="000000" w:themeColor="text1"/>
          <w:sz w:val="24"/>
          <w:szCs w:val="24"/>
          <w:lang w:val="en-US"/>
        </w:rPr>
        <w:t xml:space="preserve"> (but with margin risks); and BMW has operational flexibility and risk management. The solution to the EV profitability challenges, the reinforcement of software ecosystems, and the existence of strong resilient battery supply chains will determine the long-term competitiveness of all firms</w:t>
      </w:r>
      <w:r w:rsidR="00B22A2A" w:rsidRPr="00B22A2A">
        <w:rPr>
          <w:rFonts w:ascii="Arial" w:hAnsi="Arial" w:cs="Arial"/>
          <w:color w:val="000000" w:themeColor="text1"/>
          <w:sz w:val="24"/>
          <w:szCs w:val="24"/>
          <w:lang w:val="en-US"/>
        </w:rPr>
        <w:t>.</w:t>
      </w:r>
    </w:p>
    <w:p w14:paraId="271CA229" w14:textId="7F8C339E" w:rsidR="005E1FC9" w:rsidRPr="00B41431" w:rsidRDefault="007007BD" w:rsidP="005E1FC9">
      <w:pPr>
        <w:pStyle w:val="Heading1"/>
        <w:rPr>
          <w:lang w:val="en-US"/>
        </w:rPr>
      </w:pPr>
      <w:bookmarkStart w:id="7" w:name="_Toc224742633"/>
      <w:r w:rsidRPr="007007BD">
        <w:rPr>
          <w:lang w:val="en-US"/>
        </w:rPr>
        <w:t>3.0 Michael Porter's Diamond Model of National Advantage—Germany's Automotive Industry</w:t>
      </w:r>
      <w:bookmarkEnd w:id="7"/>
    </w:p>
    <w:p w14:paraId="69EDC04F"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The Diamond Model of national competitive advantage as developed by Michael Porter has four interdependent determinants, namely, factor conditions, demand conditions, related and supporting industries, and firm strategy, structure and rivalry. The application of this framework to the automotive industry in Germany demonstrates that the country's historical strength is rooted in its superior </w:t>
      </w:r>
      <w:proofErr w:type="spellStart"/>
      <w:r w:rsidRPr="00C562E1">
        <w:rPr>
          <w:rFonts w:ascii="Arial" w:hAnsi="Arial" w:cs="Arial"/>
          <w:color w:val="000000" w:themeColor="text1"/>
          <w:sz w:val="24"/>
          <w:szCs w:val="24"/>
          <w:lang w:val="en-US"/>
        </w:rPr>
        <w:t>industrialisation</w:t>
      </w:r>
      <w:proofErr w:type="spellEnd"/>
      <w:r w:rsidRPr="00C562E1">
        <w:rPr>
          <w:rFonts w:ascii="Arial" w:hAnsi="Arial" w:cs="Arial"/>
          <w:color w:val="000000" w:themeColor="text1"/>
          <w:sz w:val="24"/>
          <w:szCs w:val="24"/>
          <w:lang w:val="en-US"/>
        </w:rPr>
        <w:t>; however, the transition to electric vehicles (EVs) is altering the sustainability of this advantage.</w:t>
      </w:r>
    </w:p>
    <w:p w14:paraId="60F78D16" w14:textId="7E9BA33D" w:rsidR="00C562E1" w:rsidRPr="00C562E1" w:rsidRDefault="00C562E1" w:rsidP="00C562E1">
      <w:pPr>
        <w:pStyle w:val="Heading2"/>
        <w:rPr>
          <w:lang w:val="en-US"/>
        </w:rPr>
      </w:pPr>
      <w:bookmarkStart w:id="8" w:name="_Toc224742634"/>
      <w:r w:rsidRPr="00C562E1">
        <w:rPr>
          <w:lang w:val="en-US"/>
        </w:rPr>
        <w:lastRenderedPageBreak/>
        <w:t>3.1 Factor Conditions</w:t>
      </w:r>
      <w:r>
        <w:rPr>
          <w:lang w:val="en-US"/>
        </w:rPr>
        <w:t>:</w:t>
      </w:r>
      <w:bookmarkEnd w:id="8"/>
    </w:p>
    <w:p w14:paraId="13EC5E89"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The automotive competitiveness in Germany is intrinsically motivated by highly developed factor conditions, and especially, its workforce is highly skilled, the engineering background, and its capital investment in R&amp;D. Germany's twin education system produces </w:t>
      </w:r>
      <w:proofErr w:type="spellStart"/>
      <w:r w:rsidRPr="00C562E1">
        <w:rPr>
          <w:rFonts w:ascii="Arial" w:hAnsi="Arial" w:cs="Arial"/>
          <w:color w:val="000000" w:themeColor="text1"/>
          <w:sz w:val="24"/>
          <w:szCs w:val="24"/>
          <w:lang w:val="en-US"/>
        </w:rPr>
        <w:t>specialised</w:t>
      </w:r>
      <w:proofErr w:type="spellEnd"/>
      <w:r w:rsidRPr="00C562E1">
        <w:rPr>
          <w:rFonts w:ascii="Arial" w:hAnsi="Arial" w:cs="Arial"/>
          <w:color w:val="000000" w:themeColor="text1"/>
          <w:sz w:val="24"/>
          <w:szCs w:val="24"/>
          <w:lang w:val="en-US"/>
        </w:rPr>
        <w:t xml:space="preserve"> engineers and technicians who meet industry demands, enabling companies like Volkswagen AG, BMW Group, and Mercedes-Benz Group AG to maintain high-quality manufacturing and consistent innovation.</w:t>
      </w:r>
    </w:p>
    <w:p w14:paraId="6DF36391" w14:textId="69C56CE0"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Due to these developed human capital resources that Germany has, the firms can create sophisticated automotive technologies, especially in safety systems, performance engineering and more and more electrification. This translates into the world reputation of quality and technological leadership. In addition, Germany spends about 3</w:t>
      </w:r>
      <w:r w:rsidR="00395191">
        <w:rPr>
          <w:rFonts w:ascii="Arial" w:hAnsi="Arial" w:cs="Arial"/>
          <w:color w:val="000000" w:themeColor="text1"/>
          <w:sz w:val="24"/>
          <w:szCs w:val="24"/>
          <w:lang w:val="en-US"/>
        </w:rPr>
        <w:t>%</w:t>
      </w:r>
      <w:r w:rsidRPr="00C562E1">
        <w:rPr>
          <w:rFonts w:ascii="Arial" w:hAnsi="Arial" w:cs="Arial"/>
          <w:color w:val="000000" w:themeColor="text1"/>
          <w:sz w:val="24"/>
          <w:szCs w:val="24"/>
          <w:lang w:val="en-US"/>
        </w:rPr>
        <w:t xml:space="preserve"> of GDP on research and development, which empowers innovation capabilities and enables companies to come up with new-generation mobility products (Germany Trade &amp; Invest, 2025).</w:t>
      </w:r>
    </w:p>
    <w:p w14:paraId="2D3F9B8D"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This advantage is, however, reaching structural constraints. The author is involved in EV production, which is so dependent on battery technology and semiconductor components, in which Germany is relatively weak and relies on external suppliers, especially Asian ones. This addiction restricts the capacity of firms to exercise complete control over the cost of production and the process of innovation. Thus, although advanced factor conditions continue to create competitive advantage, they are more critical in their own right, given that important inputs to EV competitiveness are beyond traditional Germany.</w:t>
      </w:r>
    </w:p>
    <w:p w14:paraId="7C3F3D05" w14:textId="57646734" w:rsidR="00C562E1" w:rsidRPr="00C562E1" w:rsidRDefault="00C562E1" w:rsidP="00C562E1">
      <w:pPr>
        <w:pStyle w:val="Heading2"/>
        <w:rPr>
          <w:lang w:val="en-US"/>
        </w:rPr>
      </w:pPr>
      <w:bookmarkStart w:id="9" w:name="_Toc224742635"/>
      <w:r w:rsidRPr="00C562E1">
        <w:rPr>
          <w:lang w:val="en-US"/>
        </w:rPr>
        <w:t>3.2 Demand Conditions</w:t>
      </w:r>
      <w:r>
        <w:rPr>
          <w:lang w:val="en-US"/>
        </w:rPr>
        <w:t>:</w:t>
      </w:r>
      <w:bookmarkEnd w:id="9"/>
    </w:p>
    <w:p w14:paraId="2114EFFD"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The domestic market is typified by highly sophisticated and quality-conscious consumers in Germany, with high demands of performance, safety and environmental sustainability. Due to the fact that domestic customers desire technologically advanced and environmentally conforming cars, German companies have to innovate constantly, which supports the argument of Porter that home markets are demanding and force competitiveness around the world.</w:t>
      </w:r>
    </w:p>
    <w:p w14:paraId="3B478A76"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This trend has compelled companies to expedite the use of EVs and to incorporate technology into cars. The case of Germany, which is a major EV manufacturer (producing about 1.67 million electric cars and passenger automobiles in 2025), shows </w:t>
      </w:r>
      <w:r w:rsidRPr="00C562E1">
        <w:rPr>
          <w:rFonts w:ascii="Arial" w:hAnsi="Arial" w:cs="Arial"/>
          <w:color w:val="000000" w:themeColor="text1"/>
          <w:sz w:val="24"/>
          <w:szCs w:val="24"/>
          <w:lang w:val="en-US"/>
        </w:rPr>
        <w:lastRenderedPageBreak/>
        <w:t>how domestic and regulatory demand stimulus can be turned into industrial production.</w:t>
      </w:r>
    </w:p>
    <w:p w14:paraId="4297AAA2"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Nonetheless, demand is changing. Although German customers traditionally valued the quality of engineering and brand image, the new EV market is focused on costs, software connectivity, and energy efficiency (</w:t>
      </w:r>
      <w:proofErr w:type="spellStart"/>
      <w:r w:rsidRPr="00C562E1">
        <w:rPr>
          <w:rFonts w:ascii="Arial" w:hAnsi="Arial" w:cs="Arial"/>
          <w:color w:val="000000" w:themeColor="text1"/>
          <w:sz w:val="24"/>
          <w:szCs w:val="24"/>
          <w:lang w:val="en-US"/>
        </w:rPr>
        <w:t>Gilguden</w:t>
      </w:r>
      <w:proofErr w:type="spellEnd"/>
      <w:r w:rsidRPr="00C562E1">
        <w:rPr>
          <w:rFonts w:ascii="Arial" w:hAnsi="Arial" w:cs="Arial"/>
          <w:color w:val="000000" w:themeColor="text1"/>
          <w:sz w:val="24"/>
          <w:szCs w:val="24"/>
          <w:lang w:val="en-US"/>
        </w:rPr>
        <w:t>). Other competitors, including BYD Company Limited, are more competent to satisfy cost-sensitive demand segments, whereas Tesla, Inc. provides the best software ecosystems and digital integration.</w:t>
      </w:r>
    </w:p>
    <w:p w14:paraId="4F79D38E"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Therefore, in as much as the challenging domestic market in Germany keeps the country innovating, this may not be entirely in line with the emerging global EV demand paradigm where cost competitiveness and digital capability are increasingly taking the </w:t>
      </w:r>
      <w:proofErr w:type="spellStart"/>
      <w:r w:rsidRPr="00C562E1">
        <w:rPr>
          <w:rFonts w:ascii="Arial" w:hAnsi="Arial" w:cs="Arial"/>
          <w:color w:val="000000" w:themeColor="text1"/>
          <w:sz w:val="24"/>
          <w:szCs w:val="24"/>
          <w:lang w:val="en-US"/>
        </w:rPr>
        <w:t>centre</w:t>
      </w:r>
      <w:proofErr w:type="spellEnd"/>
      <w:r w:rsidRPr="00C562E1">
        <w:rPr>
          <w:rFonts w:ascii="Arial" w:hAnsi="Arial" w:cs="Arial"/>
          <w:color w:val="000000" w:themeColor="text1"/>
          <w:sz w:val="24"/>
          <w:szCs w:val="24"/>
          <w:lang w:val="en-US"/>
        </w:rPr>
        <w:t xml:space="preserve"> stage instead of old-fashioned engineering prowess.</w:t>
      </w:r>
    </w:p>
    <w:p w14:paraId="0FB5CC1A" w14:textId="0C512937" w:rsidR="00C562E1" w:rsidRPr="00C562E1" w:rsidRDefault="00C562E1" w:rsidP="007B49C0">
      <w:pPr>
        <w:pStyle w:val="Heading2"/>
        <w:rPr>
          <w:lang w:val="en-US"/>
        </w:rPr>
      </w:pPr>
      <w:bookmarkStart w:id="10" w:name="_Toc224742636"/>
      <w:r w:rsidRPr="00C562E1">
        <w:rPr>
          <w:lang w:val="en-US"/>
        </w:rPr>
        <w:t>3.3 Related and Supporting Industries</w:t>
      </w:r>
      <w:r w:rsidR="007B49C0">
        <w:rPr>
          <w:lang w:val="en-US"/>
        </w:rPr>
        <w:t>:</w:t>
      </w:r>
      <w:bookmarkEnd w:id="10"/>
    </w:p>
    <w:p w14:paraId="4C63A8EF"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This is advantageous in the automotive sector of Germany since there is a high concentration of global competitive suppliers such as Robert Bosch GmbH, Continental AG, and ZF Friedrichshafen AG. German OEMs can </w:t>
      </w:r>
      <w:proofErr w:type="spellStart"/>
      <w:r w:rsidRPr="00C562E1">
        <w:rPr>
          <w:rFonts w:ascii="Arial" w:hAnsi="Arial" w:cs="Arial"/>
          <w:color w:val="000000" w:themeColor="text1"/>
          <w:sz w:val="24"/>
          <w:szCs w:val="24"/>
          <w:lang w:val="en-US"/>
        </w:rPr>
        <w:t>capitalise</w:t>
      </w:r>
      <w:proofErr w:type="spellEnd"/>
      <w:r w:rsidRPr="00C562E1">
        <w:rPr>
          <w:rFonts w:ascii="Arial" w:hAnsi="Arial" w:cs="Arial"/>
          <w:color w:val="000000" w:themeColor="text1"/>
          <w:sz w:val="24"/>
          <w:szCs w:val="24"/>
          <w:lang w:val="en-US"/>
        </w:rPr>
        <w:t xml:space="preserve"> on integrated innovation and efficient supply chains because these companies focus on high-technology products (powertrain systems, electronics and driver-assistance technologies).</w:t>
      </w:r>
    </w:p>
    <w:p w14:paraId="2654A81A"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This ecosystem allows quick product development and improvement of technologies, strengthening the German competitive advantage in high-performance cars. The tight coordination between the suppliers, manufacturers and research institutions further spurs innovation mainly in automation and safety systems, among others (VDA, 2023).</w:t>
      </w:r>
    </w:p>
    <w:p w14:paraId="18C1A7AB"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This is, however, being put under strain during the EV transition. German suppliers have no control over the most important part of EVs, which is the batteries, but the Asian ones have. This is why the traditionally powerful supplier network of Germany is not totally transferred into the most strategically significant part of the future automotive value chains. There is also the growth of cheaper manufacturing belts in Central and Eastern Europe, which are taking away production activities at the expense of their cost competitiveness in Germany.</w:t>
      </w:r>
    </w:p>
    <w:p w14:paraId="584A03C4"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lastRenderedPageBreak/>
        <w:t xml:space="preserve">Thus, related and supporting industries continue to be one of the core competencies, but due to their partial lack of congruency with the EV-specific technologies, they can be </w:t>
      </w:r>
      <w:proofErr w:type="spellStart"/>
      <w:r w:rsidRPr="00C562E1">
        <w:rPr>
          <w:rFonts w:ascii="Arial" w:hAnsi="Arial" w:cs="Arial"/>
          <w:color w:val="000000" w:themeColor="text1"/>
          <w:sz w:val="24"/>
          <w:szCs w:val="24"/>
          <w:lang w:val="en-US"/>
        </w:rPr>
        <w:t>characterised</w:t>
      </w:r>
      <w:proofErr w:type="spellEnd"/>
      <w:r w:rsidRPr="00C562E1">
        <w:rPr>
          <w:rFonts w:ascii="Arial" w:hAnsi="Arial" w:cs="Arial"/>
          <w:color w:val="000000" w:themeColor="text1"/>
          <w:sz w:val="24"/>
          <w:szCs w:val="24"/>
          <w:lang w:val="en-US"/>
        </w:rPr>
        <w:t xml:space="preserve"> as less effective in terms of maintaining the sustained competitive advantage.</w:t>
      </w:r>
    </w:p>
    <w:p w14:paraId="2A7F5C55" w14:textId="6A555277" w:rsidR="00C562E1" w:rsidRPr="00C562E1" w:rsidRDefault="00C562E1" w:rsidP="007B49C0">
      <w:pPr>
        <w:pStyle w:val="Heading2"/>
        <w:rPr>
          <w:lang w:val="en-US"/>
        </w:rPr>
      </w:pPr>
      <w:bookmarkStart w:id="11" w:name="_Toc224742637"/>
      <w:r w:rsidRPr="00C562E1">
        <w:rPr>
          <w:lang w:val="en-US"/>
        </w:rPr>
        <w:t>3.4 Firm Strategy, Structure and Rivalry</w:t>
      </w:r>
      <w:r w:rsidR="007B49C0">
        <w:rPr>
          <w:lang w:val="en-US"/>
        </w:rPr>
        <w:t>:</w:t>
      </w:r>
      <w:bookmarkEnd w:id="11"/>
    </w:p>
    <w:p w14:paraId="7305F275"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The automotive industry of Germany has a highly competitive environment in the local market, hence forcing constant innovation and strategic differentiation. An illustration of this is that Volkswagen AG is seeking scale and platform-based efficiency, BMW Group is pursuing a flexible and technology-neutral strategy, and Mercedes-Benz Group AG is pursuing high-margin luxury differentiation.</w:t>
      </w:r>
    </w:p>
    <w:p w14:paraId="46335A94"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Due to this stiff competition within the country, companies are compelled to be innovative and to </w:t>
      </w:r>
      <w:proofErr w:type="spellStart"/>
      <w:r w:rsidRPr="00C562E1">
        <w:rPr>
          <w:rFonts w:ascii="Arial" w:hAnsi="Arial" w:cs="Arial"/>
          <w:color w:val="000000" w:themeColor="text1"/>
          <w:sz w:val="24"/>
          <w:szCs w:val="24"/>
          <w:lang w:val="en-US"/>
        </w:rPr>
        <w:t>optimise</w:t>
      </w:r>
      <w:proofErr w:type="spellEnd"/>
      <w:r w:rsidRPr="00C562E1">
        <w:rPr>
          <w:rFonts w:ascii="Arial" w:hAnsi="Arial" w:cs="Arial"/>
          <w:color w:val="000000" w:themeColor="text1"/>
          <w:sz w:val="24"/>
          <w:szCs w:val="24"/>
          <w:lang w:val="en-US"/>
        </w:rPr>
        <w:t xml:space="preserve"> their efficiency, which equips them for international competition. This has in the past led to quality products and high exports.</w:t>
      </w:r>
    </w:p>
    <w:p w14:paraId="3B26C525"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There are, however, structural differences in strategic effectiveness that the EV transition is revealing. VW's aggressive EV approach has generated scale benefits but also profitability pressures, and Mercedes-Benz is doubting its higher margins with premium positioning. The slow move in BMW </w:t>
      </w:r>
      <w:proofErr w:type="spellStart"/>
      <w:r w:rsidRPr="00C562E1">
        <w:rPr>
          <w:rFonts w:ascii="Arial" w:hAnsi="Arial" w:cs="Arial"/>
          <w:color w:val="000000" w:themeColor="text1"/>
          <w:sz w:val="24"/>
          <w:szCs w:val="24"/>
          <w:lang w:val="en-US"/>
        </w:rPr>
        <w:t>minimises</w:t>
      </w:r>
      <w:proofErr w:type="spellEnd"/>
      <w:r w:rsidRPr="00C562E1">
        <w:rPr>
          <w:rFonts w:ascii="Arial" w:hAnsi="Arial" w:cs="Arial"/>
          <w:color w:val="000000" w:themeColor="text1"/>
          <w:sz w:val="24"/>
          <w:szCs w:val="24"/>
          <w:lang w:val="en-US"/>
        </w:rPr>
        <w:t xml:space="preserve"> the risk but could deprive the company of early market success. These strategic differences indicate that not every company is in a good place to thrive in the EV era.</w:t>
      </w:r>
    </w:p>
    <w:p w14:paraId="5965ED10"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In addition, there is increased competition in the world market. </w:t>
      </w:r>
      <w:proofErr w:type="spellStart"/>
      <w:r w:rsidRPr="00C562E1">
        <w:rPr>
          <w:rFonts w:ascii="Arial" w:hAnsi="Arial" w:cs="Arial"/>
          <w:color w:val="000000" w:themeColor="text1"/>
          <w:sz w:val="24"/>
          <w:szCs w:val="24"/>
          <w:lang w:val="en-US"/>
        </w:rPr>
        <w:t>Organisations</w:t>
      </w:r>
      <w:proofErr w:type="spellEnd"/>
      <w:r w:rsidRPr="00C562E1">
        <w:rPr>
          <w:rFonts w:ascii="Arial" w:hAnsi="Arial" w:cs="Arial"/>
          <w:color w:val="000000" w:themeColor="text1"/>
          <w:sz w:val="24"/>
          <w:szCs w:val="24"/>
          <w:lang w:val="en-US"/>
        </w:rPr>
        <w:t xml:space="preserve"> like Tesla and BYD have a different cost structure and technology focus, which disrupts the conventional German engineering-based differentiation. Consequently, internal competition cannot play the primary role of ensuring international competitiveness anymore; companies need to adjust to new competitive aspects such as software development and battery integration.</w:t>
      </w:r>
    </w:p>
    <w:p w14:paraId="364469BC" w14:textId="3BBA8C0D" w:rsidR="00C562E1" w:rsidRPr="00C562E1" w:rsidRDefault="00C562E1" w:rsidP="007B49C0">
      <w:pPr>
        <w:pStyle w:val="Heading2"/>
        <w:rPr>
          <w:lang w:val="en-US"/>
        </w:rPr>
      </w:pPr>
      <w:bookmarkStart w:id="12" w:name="_Toc224742638"/>
      <w:r w:rsidRPr="00C562E1">
        <w:rPr>
          <w:lang w:val="en-US"/>
        </w:rPr>
        <w:t>3.5 Role of Government and Chance</w:t>
      </w:r>
      <w:r>
        <w:rPr>
          <w:lang w:val="en-US"/>
        </w:rPr>
        <w:t>:</w:t>
      </w:r>
      <w:bookmarkEnd w:id="12"/>
    </w:p>
    <w:p w14:paraId="799932DA"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The German government has greatly contributed to helping the automotive industry by building infrastructures, regulation systems and innovations. EU environmental policies have helped jump-start the move to low-emission cars and require companies to invest in sustainability and electrification.</w:t>
      </w:r>
    </w:p>
    <w:p w14:paraId="0540C212"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lastRenderedPageBreak/>
        <w:t>Nevertheless, there are restrictions brought by the government as well. Restrictions on the environment drive up production costs, which may undermine the price competitiveness in the world. Meanwhile, dependence on global operations of batteries and semiconductors also indicates larger geopolitical and economic interdependencies.</w:t>
      </w:r>
    </w:p>
    <w:p w14:paraId="2061DD2B" w14:textId="77777777" w:rsidR="00C562E1" w:rsidRPr="00C562E1" w:rsidRDefault="00C562E1" w:rsidP="00C562E1">
      <w:pPr>
        <w:spacing w:after="160" w:line="360" w:lineRule="auto"/>
        <w:jc w:val="both"/>
        <w:rPr>
          <w:rFonts w:ascii="Arial" w:hAnsi="Arial" w:cs="Arial"/>
          <w:color w:val="000000" w:themeColor="text1"/>
          <w:sz w:val="24"/>
          <w:szCs w:val="24"/>
          <w:lang w:val="en-US"/>
        </w:rPr>
      </w:pPr>
      <w:r w:rsidRPr="00C562E1">
        <w:rPr>
          <w:rFonts w:ascii="Arial" w:hAnsi="Arial" w:cs="Arial"/>
          <w:color w:val="000000" w:themeColor="text1"/>
          <w:sz w:val="24"/>
          <w:szCs w:val="24"/>
          <w:lang w:val="en-US"/>
        </w:rPr>
        <w:t xml:space="preserve">Supply chains have been further exposed by chance events like the COVID-19 pandemic, global semiconductor shortages, etc. These shocks have made companies re-evaluate sourcing policies and invest in supply chain resilience, yet they also bring into view the vulnerability of the industrial model in Germany in an extremely </w:t>
      </w:r>
      <w:proofErr w:type="spellStart"/>
      <w:r w:rsidRPr="00C562E1">
        <w:rPr>
          <w:rFonts w:ascii="Arial" w:hAnsi="Arial" w:cs="Arial"/>
          <w:color w:val="000000" w:themeColor="text1"/>
          <w:sz w:val="24"/>
          <w:szCs w:val="24"/>
          <w:lang w:val="en-US"/>
        </w:rPr>
        <w:t>globalised</w:t>
      </w:r>
      <w:proofErr w:type="spellEnd"/>
      <w:r w:rsidRPr="00C562E1">
        <w:rPr>
          <w:rFonts w:ascii="Arial" w:hAnsi="Arial" w:cs="Arial"/>
          <w:color w:val="000000" w:themeColor="text1"/>
          <w:sz w:val="24"/>
          <w:szCs w:val="24"/>
          <w:lang w:val="en-US"/>
        </w:rPr>
        <w:t xml:space="preserve"> system of production.</w:t>
      </w:r>
    </w:p>
    <w:p w14:paraId="6B37298A" w14:textId="010396DF" w:rsidR="0012016C" w:rsidRPr="0012016C" w:rsidRDefault="0012016C" w:rsidP="0012016C">
      <w:pPr>
        <w:pStyle w:val="Heading1"/>
        <w:rPr>
          <w:rFonts w:cs="Arial"/>
          <w:sz w:val="24"/>
          <w:szCs w:val="24"/>
          <w:lang w:val="en-US"/>
        </w:rPr>
      </w:pPr>
      <w:bookmarkStart w:id="13" w:name="_Toc224742639"/>
      <w:r w:rsidRPr="0012016C">
        <w:rPr>
          <w:lang w:val="en-US"/>
        </w:rPr>
        <w:t xml:space="preserve">4.0 </w:t>
      </w:r>
      <w:r w:rsidR="00080629" w:rsidRPr="00080629">
        <w:rPr>
          <w:lang w:val="en-US"/>
        </w:rPr>
        <w:t>Foreign MNC Operating in Germany's Automotive Industry: Tesla, Inc.</w:t>
      </w:r>
      <w:bookmarkEnd w:id="13"/>
    </w:p>
    <w:p w14:paraId="3E417E0E" w14:textId="77777777" w:rsidR="0012016C" w:rsidRPr="0012016C" w:rsidRDefault="0012016C" w:rsidP="0012016C">
      <w:pPr>
        <w:pStyle w:val="Heading2"/>
        <w:rPr>
          <w:lang w:val="en-US"/>
        </w:rPr>
      </w:pPr>
      <w:bookmarkStart w:id="14" w:name="_Toc224742640"/>
      <w:r w:rsidRPr="0012016C">
        <w:rPr>
          <w:lang w:val="en-US"/>
        </w:rPr>
        <w:t>4.1 Introduction</w:t>
      </w:r>
      <w:bookmarkEnd w:id="14"/>
    </w:p>
    <w:p w14:paraId="2A4B57D0"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Volkswagen AG, BMW Group and Mercedes-Benz Group AG are the traditional domestic leaders of the German automotive industry. However, Tesla, Inc.'s introduction represents a structural shift in this traditionally engineering-driven market. The largest foreign direct investment in the contemporary automotive industry in Germany is the planting of Gigafactory Berlin-Brandenburg by Tesla in </w:t>
      </w:r>
      <w:proofErr w:type="spellStart"/>
      <w:r w:rsidRPr="00080629">
        <w:rPr>
          <w:rFonts w:ascii="Arial" w:hAnsi="Arial" w:cs="Arial"/>
          <w:color w:val="000000" w:themeColor="text1"/>
          <w:sz w:val="24"/>
          <w:szCs w:val="24"/>
          <w:lang w:val="en-US"/>
        </w:rPr>
        <w:t>Grünheide</w:t>
      </w:r>
      <w:proofErr w:type="spellEnd"/>
      <w:r w:rsidRPr="00080629">
        <w:rPr>
          <w:rFonts w:ascii="Arial" w:hAnsi="Arial" w:cs="Arial"/>
          <w:color w:val="000000" w:themeColor="text1"/>
          <w:sz w:val="24"/>
          <w:szCs w:val="24"/>
          <w:lang w:val="en-US"/>
        </w:rPr>
        <w:t xml:space="preserve"> that started its production in March 2022.</w:t>
      </w:r>
    </w:p>
    <w:p w14:paraId="277487D4"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unlike other foreign entrants, does not have to compete in the old internal combustion engine (ICE) environment but is transforming competition into the electrification paradigm, software-integrated systems, and vertically integrated production systems. Hence, Tesla cannot perform well in Germany based not only on the macro-environmental conditions but also on its success in adapting its global business model into the institutional, regulatory and competitive environment in Germany.</w:t>
      </w:r>
    </w:p>
    <w:p w14:paraId="3C8B8B82"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This part analyses the success of operations within Tesla critically in the firm-specific PESTLE framework and industry competitiveness analysis based on the measurable outcome, like production capacity, pricing strategy,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relations and cost structures.</w:t>
      </w:r>
    </w:p>
    <w:p w14:paraId="5073DC9B" w14:textId="1779421F" w:rsidR="00080629" w:rsidRPr="00080629" w:rsidRDefault="00080629" w:rsidP="00080629">
      <w:pPr>
        <w:pStyle w:val="Heading2"/>
        <w:rPr>
          <w:lang w:val="en-US"/>
        </w:rPr>
      </w:pPr>
      <w:bookmarkStart w:id="15" w:name="_Toc224742641"/>
      <w:r w:rsidRPr="00080629">
        <w:rPr>
          <w:lang w:val="en-US"/>
        </w:rPr>
        <w:lastRenderedPageBreak/>
        <w:t>4.2 Company Overview and Strategic Position in Germany</w:t>
      </w:r>
      <w:r>
        <w:rPr>
          <w:lang w:val="en-US"/>
        </w:rPr>
        <w:t>:</w:t>
      </w:r>
      <w:bookmarkEnd w:id="15"/>
    </w:p>
    <w:p w14:paraId="07E3131C"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was established in 2003 and has grown quickly to be one of the largest EV manufacturers in the world, having sold more than 1.8 million vehicles worldwide in 2023, and their automotive revenues are more than 82 billion dollars (Tesla, 2024). The Model Y is assembled in its German Gigafactory to serve the European market and is intended to have a capacity of about 500,000 vehicles every year (Tesla, 2023).</w:t>
      </w:r>
    </w:p>
    <w:p w14:paraId="2D60C2C2"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Strategic Mechanism:</w:t>
      </w:r>
    </w:p>
    <w:p w14:paraId="741C5F0B"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can use the Berlin Gigafactory to do the following:</w:t>
      </w:r>
    </w:p>
    <w:p w14:paraId="7F772FA4" w14:textId="77777777" w:rsidR="00080629" w:rsidRPr="00080629" w:rsidRDefault="00080629" w:rsidP="00080629">
      <w:pPr>
        <w:pStyle w:val="ListParagraph"/>
        <w:numPr>
          <w:ilvl w:val="0"/>
          <w:numId w:val="13"/>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Shorten the delivery lead times of months (imported vehicles) to weeks.</w:t>
      </w:r>
    </w:p>
    <w:p w14:paraId="1A6B9028" w14:textId="77777777" w:rsidR="00080629" w:rsidRPr="00080629" w:rsidRDefault="00080629" w:rsidP="00080629">
      <w:pPr>
        <w:pStyle w:val="ListParagraph"/>
        <w:numPr>
          <w:ilvl w:val="0"/>
          <w:numId w:val="13"/>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Removal of EU importation tariffs that were imposed on the vehicles produced in China.</w:t>
      </w:r>
    </w:p>
    <w:p w14:paraId="2B85FF76" w14:textId="77777777" w:rsidR="00080629" w:rsidRPr="00080629" w:rsidRDefault="00080629" w:rsidP="00080629">
      <w:pPr>
        <w:pStyle w:val="ListParagraph"/>
        <w:numPr>
          <w:ilvl w:val="0"/>
          <w:numId w:val="13"/>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Reducing logistics through </w:t>
      </w:r>
      <w:proofErr w:type="spellStart"/>
      <w:r w:rsidRPr="00080629">
        <w:rPr>
          <w:rFonts w:ascii="Arial" w:hAnsi="Arial" w:cs="Arial"/>
          <w:color w:val="000000" w:themeColor="text1"/>
          <w:sz w:val="24"/>
          <w:szCs w:val="24"/>
          <w:lang w:val="en-US"/>
        </w:rPr>
        <w:t>localised</w:t>
      </w:r>
      <w:proofErr w:type="spellEnd"/>
      <w:r w:rsidRPr="00080629">
        <w:rPr>
          <w:rFonts w:ascii="Arial" w:hAnsi="Arial" w:cs="Arial"/>
          <w:color w:val="000000" w:themeColor="text1"/>
          <w:sz w:val="24"/>
          <w:szCs w:val="24"/>
          <w:lang w:val="en-US"/>
        </w:rPr>
        <w:t xml:space="preserve"> production.</w:t>
      </w:r>
    </w:p>
    <w:p w14:paraId="4EA61CCB" w14:textId="77777777" w:rsidR="00080629" w:rsidRPr="00080629" w:rsidRDefault="00080629" w:rsidP="00080629">
      <w:pPr>
        <w:pStyle w:val="ListParagraph"/>
        <w:numPr>
          <w:ilvl w:val="0"/>
          <w:numId w:val="13"/>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Be located more in the geographical heart of demand in Europe.</w:t>
      </w:r>
    </w:p>
    <w:p w14:paraId="55AB8A29"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This has seen Tesla increase its responsiveness in operations in Europe. Reuters (2023) claimed that the Berlin plant was among the most productive Tesla plants, despite its relatively short time of launch, since one of the plants produced thousands of vehicles in the first year of operation.</w:t>
      </w:r>
    </w:p>
    <w:p w14:paraId="30E02EBF"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Implication:</w:t>
      </w:r>
    </w:p>
    <w:p w14:paraId="236E25C9"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does not merely have a market in Germany, but it has a strategic production hub that directly contributes to cost efficiency, performance in delivery, and positioning in competition in Europe.</w:t>
      </w:r>
    </w:p>
    <w:p w14:paraId="53AC6609" w14:textId="5308F4C2" w:rsidR="00080629" w:rsidRPr="00080629" w:rsidRDefault="00080629" w:rsidP="00080629">
      <w:pPr>
        <w:pStyle w:val="Heading2"/>
        <w:rPr>
          <w:lang w:val="en-US"/>
        </w:rPr>
      </w:pPr>
      <w:bookmarkStart w:id="16" w:name="_Toc224742642"/>
      <w:r w:rsidRPr="00080629">
        <w:rPr>
          <w:lang w:val="en-US"/>
        </w:rPr>
        <w:t>4.3 Political Factors: Policy vs Institutional Constraints</w:t>
      </w:r>
      <w:bookmarkEnd w:id="16"/>
    </w:p>
    <w:p w14:paraId="17D35531" w14:textId="21C99C17" w:rsidR="00080629" w:rsidRPr="00080629" w:rsidRDefault="00080629" w:rsidP="00080629">
      <w:pPr>
        <w:pStyle w:val="Heading3"/>
        <w:rPr>
          <w:lang w:val="en-US"/>
        </w:rPr>
      </w:pPr>
      <w:bookmarkStart w:id="17" w:name="_Toc224742643"/>
      <w:r w:rsidRPr="00080629">
        <w:rPr>
          <w:lang w:val="en-US"/>
        </w:rPr>
        <w:t>4.3.1</w:t>
      </w:r>
      <w:r>
        <w:rPr>
          <w:lang w:val="en-US"/>
        </w:rPr>
        <w:t xml:space="preserve"> </w:t>
      </w:r>
      <w:r w:rsidRPr="00080629">
        <w:rPr>
          <w:lang w:val="en-US"/>
        </w:rPr>
        <w:t>Government Support and Policy Incentives</w:t>
      </w:r>
      <w:bookmarkEnd w:id="17"/>
    </w:p>
    <w:p w14:paraId="2177FE30" w14:textId="66E7CFD6"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structuring of demand for EVs is generated by the alignment of Germany with the EU climate policy. The framework offered by the European Commission named 'Fit for 55' requires making a reduction of emissions by 55</w:t>
      </w:r>
      <w:r>
        <w:rPr>
          <w:rFonts w:ascii="Arial" w:hAnsi="Arial" w:cs="Arial"/>
          <w:color w:val="000000" w:themeColor="text1"/>
          <w:sz w:val="24"/>
          <w:szCs w:val="24"/>
          <w:lang w:val="en-US"/>
        </w:rPr>
        <w:t>%</w:t>
      </w:r>
      <w:r w:rsidRPr="00080629">
        <w:rPr>
          <w:rFonts w:ascii="Arial" w:hAnsi="Arial" w:cs="Arial"/>
          <w:color w:val="000000" w:themeColor="text1"/>
          <w:sz w:val="24"/>
          <w:szCs w:val="24"/>
          <w:lang w:val="en-US"/>
        </w:rPr>
        <w:t xml:space="preserve"> in 2030, which in practice speeds up the process of switching to a zero-emission vehicle (European Commission, 2023).</w:t>
      </w:r>
    </w:p>
    <w:p w14:paraId="06447C43" w14:textId="77777777" w:rsidR="00080629" w:rsidRDefault="00080629" w:rsidP="00080629">
      <w:pPr>
        <w:spacing w:after="160" w:line="360" w:lineRule="auto"/>
        <w:jc w:val="both"/>
        <w:rPr>
          <w:rFonts w:ascii="Arial" w:hAnsi="Arial" w:cs="Arial"/>
          <w:color w:val="000000" w:themeColor="text1"/>
          <w:sz w:val="24"/>
          <w:szCs w:val="24"/>
          <w:lang w:val="en-US"/>
        </w:rPr>
      </w:pPr>
    </w:p>
    <w:p w14:paraId="518C0B92" w14:textId="77777777" w:rsidR="00080629" w:rsidRDefault="00080629" w:rsidP="00080629">
      <w:pPr>
        <w:spacing w:after="160" w:line="360" w:lineRule="auto"/>
        <w:jc w:val="both"/>
        <w:rPr>
          <w:rFonts w:ascii="Arial" w:hAnsi="Arial" w:cs="Arial"/>
          <w:color w:val="000000" w:themeColor="text1"/>
          <w:sz w:val="24"/>
          <w:szCs w:val="24"/>
          <w:lang w:val="en-US"/>
        </w:rPr>
      </w:pPr>
    </w:p>
    <w:p w14:paraId="135F328F" w14:textId="0C5FC819"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lastRenderedPageBreak/>
        <w:t>Influence on Tesla (Mechanism-Outcome):</w:t>
      </w:r>
    </w:p>
    <w:p w14:paraId="4623577D"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Since Tesla manufactures only electric cars, one of the opportunities that these regulations present to the company is an increased market reach. The demand was enhanced by government subsidies. In Germany, EV subsidies increased sales by huge amounts in 2020-2022.</w:t>
      </w:r>
    </w:p>
    <w:p w14:paraId="54E03172"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Nonetheless, the decrease in EV subsidies at the end of 2023 was felt. In Germany, Reuters (2023) has described a drop in growth in EV demand right after subsidy reductions, especially with respect to price-elastic segments.</w:t>
      </w:r>
    </w:p>
    <w:p w14:paraId="37D5D6DA"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Evaluation:</w:t>
      </w:r>
    </w:p>
    <w:p w14:paraId="21A04D60" w14:textId="5ECB437A" w:rsidR="00080629" w:rsidRPr="00080629" w:rsidRDefault="00080629" w:rsidP="00080629">
      <w:pPr>
        <w:pStyle w:val="ListParagraph"/>
        <w:numPr>
          <w:ilvl w:val="0"/>
          <w:numId w:val="14"/>
        </w:numPr>
        <w:spacing w:after="160" w:line="360" w:lineRule="auto"/>
        <w:jc w:val="both"/>
        <w:rPr>
          <w:rFonts w:ascii="Arial" w:hAnsi="Arial" w:cs="Arial"/>
          <w:color w:val="000000" w:themeColor="text1"/>
          <w:sz w:val="24"/>
          <w:szCs w:val="24"/>
          <w:lang w:val="en-US"/>
        </w:rPr>
      </w:pPr>
      <w:r w:rsidRPr="00080629">
        <w:rPr>
          <w:rFonts w:ascii="Arial" w:hAnsi="Arial" w:cs="Arial"/>
          <w:b/>
          <w:bCs/>
          <w:color w:val="000000" w:themeColor="text1"/>
          <w:sz w:val="24"/>
          <w:szCs w:val="24"/>
          <w:lang w:val="en-US"/>
        </w:rPr>
        <w:t>Advantage:</w:t>
      </w:r>
      <w:r w:rsidRPr="00080629">
        <w:rPr>
          <w:rFonts w:ascii="Arial" w:hAnsi="Arial" w:cs="Arial"/>
          <w:color w:val="000000" w:themeColor="text1"/>
          <w:sz w:val="24"/>
          <w:szCs w:val="24"/>
          <w:lang w:val="en-US"/>
        </w:rPr>
        <w:t xml:space="preserve"> Structural policy alignment aids in long-term demand.</w:t>
      </w:r>
    </w:p>
    <w:p w14:paraId="1DC53019" w14:textId="78CA9F9C" w:rsidR="00080629" w:rsidRPr="00080629" w:rsidRDefault="00080629" w:rsidP="00080629">
      <w:pPr>
        <w:pStyle w:val="ListParagraph"/>
        <w:numPr>
          <w:ilvl w:val="0"/>
          <w:numId w:val="14"/>
        </w:numPr>
        <w:spacing w:after="160" w:line="360" w:lineRule="auto"/>
        <w:jc w:val="both"/>
        <w:rPr>
          <w:rFonts w:ascii="Arial" w:hAnsi="Arial" w:cs="Arial"/>
          <w:color w:val="000000" w:themeColor="text1"/>
          <w:sz w:val="24"/>
          <w:szCs w:val="24"/>
          <w:lang w:val="en-US"/>
        </w:rPr>
      </w:pPr>
      <w:r w:rsidRPr="00080629">
        <w:rPr>
          <w:rFonts w:ascii="Arial" w:hAnsi="Arial" w:cs="Arial"/>
          <w:b/>
          <w:bCs/>
          <w:color w:val="000000" w:themeColor="text1"/>
          <w:sz w:val="24"/>
          <w:szCs w:val="24"/>
          <w:lang w:val="en-US"/>
        </w:rPr>
        <w:t>Vulnerability:</w:t>
      </w:r>
      <w:r w:rsidRPr="00080629">
        <w:rPr>
          <w:rFonts w:ascii="Arial" w:hAnsi="Arial" w:cs="Arial"/>
          <w:color w:val="000000" w:themeColor="text1"/>
          <w:sz w:val="24"/>
          <w:szCs w:val="24"/>
          <w:lang w:val="en-US"/>
        </w:rPr>
        <w:t xml:space="preserve"> The Tesla volume is susceptible to changes in short-term policies.</w:t>
      </w:r>
    </w:p>
    <w:p w14:paraId="30D2E8DA" w14:textId="3F92332F" w:rsidR="00080629" w:rsidRPr="00080629" w:rsidRDefault="00080629" w:rsidP="00080629">
      <w:pPr>
        <w:pStyle w:val="Heading3"/>
        <w:rPr>
          <w:lang w:val="en-US"/>
        </w:rPr>
      </w:pPr>
      <w:bookmarkStart w:id="18" w:name="_Toc224742644"/>
      <w:r w:rsidRPr="00080629">
        <w:rPr>
          <w:lang w:val="en-US"/>
        </w:rPr>
        <w:t xml:space="preserve">4.3.2 </w:t>
      </w:r>
      <w:proofErr w:type="spellStart"/>
      <w:r w:rsidRPr="00080629">
        <w:rPr>
          <w:lang w:val="en-US"/>
        </w:rPr>
        <w:t>Labour</w:t>
      </w:r>
      <w:proofErr w:type="spellEnd"/>
      <w:r w:rsidRPr="00080629">
        <w:rPr>
          <w:lang w:val="en-US"/>
        </w:rPr>
        <w:t xml:space="preserve"> Institutions and Political Resistance</w:t>
      </w:r>
      <w:bookmarkEnd w:id="18"/>
    </w:p>
    <w:p w14:paraId="263BCEC2"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With Gigafactory construction, Tesla had to grapple with several institutional difficulties such as environmental activism, water conservation issues, and union investigation (Reuters, 2022).</w:t>
      </w:r>
    </w:p>
    <w:p w14:paraId="5F77C0F7"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Powerful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unions such as IG Metall and co-determination legislation, which mandates the representation of workers in Germany, mark the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system.</w:t>
      </w:r>
    </w:p>
    <w:p w14:paraId="1032B16E"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Firm-Specific Friction:</w:t>
      </w:r>
    </w:p>
    <w:p w14:paraId="03CD7972" w14:textId="77777777" w:rsidR="00080629" w:rsidRPr="00080629" w:rsidRDefault="00080629" w:rsidP="00080629">
      <w:pPr>
        <w:pStyle w:val="ListParagraph"/>
        <w:numPr>
          <w:ilvl w:val="0"/>
          <w:numId w:val="15"/>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The model of non-unionization at Tesla is incompatible with German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norms.</w:t>
      </w:r>
    </w:p>
    <w:p w14:paraId="7CB8AB87" w14:textId="77777777" w:rsidR="00080629" w:rsidRPr="00080629" w:rsidRDefault="00080629" w:rsidP="00080629">
      <w:pPr>
        <w:pStyle w:val="ListParagraph"/>
        <w:numPr>
          <w:ilvl w:val="0"/>
          <w:numId w:val="15"/>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IG Metall has not been silent when condemning the conditions of work in the Berlin plant.</w:t>
      </w:r>
    </w:p>
    <w:p w14:paraId="5399652F" w14:textId="77777777" w:rsidR="00080629" w:rsidRPr="00080629" w:rsidRDefault="00080629" w:rsidP="00080629">
      <w:pPr>
        <w:pStyle w:val="ListParagraph"/>
        <w:numPr>
          <w:ilvl w:val="0"/>
          <w:numId w:val="15"/>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There are reports of friction in wages, working hours and employee representation (HBR, 2022).</w:t>
      </w:r>
    </w:p>
    <w:p w14:paraId="3ECBA1C1"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Outcome:</w:t>
      </w:r>
    </w:p>
    <w:p w14:paraId="25092F40"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Tesla has had to adjust to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demands in Germany in some ways to attract skilled workers by raising wages and ensuring better working environments.</w:t>
      </w:r>
    </w:p>
    <w:p w14:paraId="1F08C9BB" w14:textId="77777777" w:rsidR="00080629" w:rsidRDefault="00080629" w:rsidP="00080629">
      <w:pPr>
        <w:spacing w:after="160" w:line="360" w:lineRule="auto"/>
        <w:jc w:val="both"/>
        <w:rPr>
          <w:rFonts w:ascii="Arial" w:hAnsi="Arial" w:cs="Arial"/>
          <w:color w:val="000000" w:themeColor="text1"/>
          <w:sz w:val="24"/>
          <w:szCs w:val="24"/>
          <w:lang w:val="en-US"/>
        </w:rPr>
      </w:pPr>
    </w:p>
    <w:p w14:paraId="6C665E53" w14:textId="7F55F0EE"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lastRenderedPageBreak/>
        <w:t>Evaluation:</w:t>
      </w:r>
    </w:p>
    <w:p w14:paraId="2E3D7935"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The political environment in Germany is stable, albeit institutionally inflexible. The success of Tesla lies in the ability to align its efficiency-based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model and the regulatory and social expectations of Germany.</w:t>
      </w:r>
    </w:p>
    <w:p w14:paraId="075FC531" w14:textId="2F2FDABC" w:rsidR="00080629" w:rsidRPr="00080629" w:rsidRDefault="00080629" w:rsidP="00080629">
      <w:pPr>
        <w:pStyle w:val="Heading2"/>
        <w:rPr>
          <w:lang w:val="en-US"/>
        </w:rPr>
      </w:pPr>
      <w:bookmarkStart w:id="19" w:name="_Toc224742645"/>
      <w:r w:rsidRPr="00080629">
        <w:rPr>
          <w:lang w:val="en-US"/>
        </w:rPr>
        <w:t>4.4 Economic Factors: Cost Pressures by Market Opportunity</w:t>
      </w:r>
      <w:bookmarkEnd w:id="19"/>
    </w:p>
    <w:p w14:paraId="001CA19A" w14:textId="73095B42" w:rsidR="00080629" w:rsidRPr="00080629" w:rsidRDefault="00080629" w:rsidP="00080629">
      <w:pPr>
        <w:pStyle w:val="Heading3"/>
        <w:rPr>
          <w:lang w:val="en-US"/>
        </w:rPr>
      </w:pPr>
      <w:bookmarkStart w:id="20" w:name="_Toc224742646"/>
      <w:r w:rsidRPr="00080629">
        <w:rPr>
          <w:lang w:val="en-US"/>
        </w:rPr>
        <w:t>4.4.1</w:t>
      </w:r>
      <w:r>
        <w:rPr>
          <w:lang w:val="en-US"/>
        </w:rPr>
        <w:t xml:space="preserve"> </w:t>
      </w:r>
      <w:r w:rsidRPr="00080629">
        <w:rPr>
          <w:lang w:val="en-US"/>
        </w:rPr>
        <w:t>Production Costs and Energy Prices</w:t>
      </w:r>
      <w:bookmarkEnd w:id="20"/>
      <w:r w:rsidRPr="00080629">
        <w:rPr>
          <w:lang w:val="en-US"/>
        </w:rPr>
        <w:t xml:space="preserve"> </w:t>
      </w:r>
    </w:p>
    <w:p w14:paraId="65703848"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Germany will provide access to the largest automotive market of Europe but at a high cost of production. In 2022–2023, the geopolitical tensions have raised the energy prices considerably (IMF, 2023).</w:t>
      </w:r>
    </w:p>
    <w:p w14:paraId="1D2C09DC"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Operational Impact on Tesla:</w:t>
      </w:r>
    </w:p>
    <w:p w14:paraId="3D830DC5" w14:textId="77777777" w:rsidR="00080629" w:rsidRPr="00080629" w:rsidRDefault="00080629" w:rsidP="00080629">
      <w:pPr>
        <w:pStyle w:val="ListParagraph"/>
        <w:numPr>
          <w:ilvl w:val="0"/>
          <w:numId w:val="16"/>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increasing cost of electricity raises the cost of production of EVs.</w:t>
      </w:r>
    </w:p>
    <w:p w14:paraId="67B41807" w14:textId="77777777" w:rsidR="00080629" w:rsidRPr="00080629" w:rsidRDefault="00080629" w:rsidP="00080629">
      <w:pPr>
        <w:pStyle w:val="ListParagraph"/>
        <w:numPr>
          <w:ilvl w:val="0"/>
          <w:numId w:val="16"/>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price fluctuations of raw materials (lithium, nickel) influence the price of the battery (Tesla, 2024).</w:t>
      </w:r>
    </w:p>
    <w:p w14:paraId="030AC01B"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Measured Outcome:</w:t>
      </w:r>
    </w:p>
    <w:p w14:paraId="4E786D14"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Aggressive price reductions and an increase in costs led to poor operating margin outcomes since Tesla reported 16.8% in 2022 and 10.5% in 2021 (Tesla, 2024).</w:t>
      </w:r>
    </w:p>
    <w:p w14:paraId="7CFD649E"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Evaluation:</w:t>
      </w:r>
    </w:p>
    <w:p w14:paraId="2009F5C4"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Germany offers access to the market but presents a threat to Tesla's cost leadership model, especially in comparison with the cheaper production areas like China.</w:t>
      </w:r>
    </w:p>
    <w:p w14:paraId="39261720" w14:textId="1AC33045" w:rsidR="00080629" w:rsidRPr="00080629" w:rsidRDefault="00080629" w:rsidP="00080629">
      <w:pPr>
        <w:pStyle w:val="Heading3"/>
        <w:rPr>
          <w:lang w:val="en-US"/>
        </w:rPr>
      </w:pPr>
      <w:bookmarkStart w:id="21" w:name="_Toc224742647"/>
      <w:r w:rsidRPr="00080629">
        <w:rPr>
          <w:lang w:val="en-US"/>
        </w:rPr>
        <w:t>4.4.2 Competition and Price Elasticity of Demand</w:t>
      </w:r>
      <w:bookmarkEnd w:id="21"/>
    </w:p>
    <w:p w14:paraId="055205F0"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In 2023–2024, Tesla has resold the considerable price cuts in Europe to retain its market share (Financial Times, 2024).</w:t>
      </w:r>
    </w:p>
    <w:p w14:paraId="36BA7D76"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Mechanism:</w:t>
      </w:r>
    </w:p>
    <w:p w14:paraId="2B6BF754" w14:textId="77777777" w:rsidR="00080629" w:rsidRPr="00080629" w:rsidRDefault="00080629" w:rsidP="00080629">
      <w:pPr>
        <w:pStyle w:val="ListParagraph"/>
        <w:numPr>
          <w:ilvl w:val="0"/>
          <w:numId w:val="17"/>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Reduced prices make the markets of competitive EVs more elastic.</w:t>
      </w:r>
    </w:p>
    <w:p w14:paraId="67FC14B9" w14:textId="77777777" w:rsidR="00080629" w:rsidRPr="00080629" w:rsidRDefault="00080629" w:rsidP="00080629">
      <w:pPr>
        <w:pStyle w:val="ListParagraph"/>
        <w:numPr>
          <w:ilvl w:val="0"/>
          <w:numId w:val="17"/>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Make competitors (e.g., Volkswagen) lower prices.</w:t>
      </w:r>
    </w:p>
    <w:p w14:paraId="4CB3FAC9"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Outcome:</w:t>
      </w:r>
    </w:p>
    <w:p w14:paraId="2FA8DB58" w14:textId="77777777" w:rsidR="00080629" w:rsidRPr="00080629" w:rsidRDefault="00080629" w:rsidP="00080629">
      <w:pPr>
        <w:pStyle w:val="ListParagraph"/>
        <w:numPr>
          <w:ilvl w:val="0"/>
          <w:numId w:val="18"/>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Increased sales volume</w:t>
      </w:r>
    </w:p>
    <w:p w14:paraId="7BF38F24" w14:textId="77777777" w:rsidR="00080629" w:rsidRPr="00080629" w:rsidRDefault="00080629" w:rsidP="00080629">
      <w:pPr>
        <w:pStyle w:val="ListParagraph"/>
        <w:numPr>
          <w:ilvl w:val="0"/>
          <w:numId w:val="18"/>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Reduced profit margins</w:t>
      </w:r>
    </w:p>
    <w:p w14:paraId="49C73F8E"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lastRenderedPageBreak/>
        <w:t>Critical Insight:</w:t>
      </w:r>
    </w:p>
    <w:p w14:paraId="7BDDFE94"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Tesla is a market share-based strategic approach that puts a focus on market share, rather than profitability in the short term, whereas continuous price wars can undermine financial performance unless cost efficiencies are </w:t>
      </w:r>
      <w:proofErr w:type="spellStart"/>
      <w:r w:rsidRPr="00080629">
        <w:rPr>
          <w:rFonts w:ascii="Arial" w:hAnsi="Arial" w:cs="Arial"/>
          <w:color w:val="000000" w:themeColor="text1"/>
          <w:sz w:val="24"/>
          <w:szCs w:val="24"/>
          <w:lang w:val="en-US"/>
        </w:rPr>
        <w:t>realised</w:t>
      </w:r>
      <w:proofErr w:type="spellEnd"/>
      <w:r w:rsidRPr="00080629">
        <w:rPr>
          <w:rFonts w:ascii="Arial" w:hAnsi="Arial" w:cs="Arial"/>
          <w:color w:val="000000" w:themeColor="text1"/>
          <w:sz w:val="24"/>
          <w:szCs w:val="24"/>
          <w:lang w:val="en-US"/>
        </w:rPr>
        <w:t>.</w:t>
      </w:r>
    </w:p>
    <w:p w14:paraId="0E7C655C" w14:textId="0CCA7965" w:rsidR="00080629" w:rsidRPr="00080629" w:rsidRDefault="00080629" w:rsidP="00080629">
      <w:pPr>
        <w:pStyle w:val="Heading2"/>
        <w:rPr>
          <w:lang w:val="en-US"/>
        </w:rPr>
      </w:pPr>
      <w:bookmarkStart w:id="22" w:name="_Toc224742648"/>
      <w:r w:rsidRPr="00080629">
        <w:rPr>
          <w:lang w:val="en-US"/>
        </w:rPr>
        <w:t>4.5 Legal and Regulatory Factors: Competitive vs Operational Speed</w:t>
      </w:r>
      <w:bookmarkEnd w:id="22"/>
    </w:p>
    <w:p w14:paraId="55493BFC" w14:textId="68CC811E" w:rsidR="00080629" w:rsidRPr="00080629" w:rsidRDefault="00080629" w:rsidP="00080629">
      <w:pPr>
        <w:pStyle w:val="Heading3"/>
        <w:rPr>
          <w:lang w:val="en-US"/>
        </w:rPr>
      </w:pPr>
      <w:bookmarkStart w:id="23" w:name="_Toc224742649"/>
      <w:r w:rsidRPr="00080629">
        <w:rPr>
          <w:lang w:val="en-US"/>
        </w:rPr>
        <w:t>4.5.1 Environmental Control and Factory Lateness</w:t>
      </w:r>
      <w:bookmarkEnd w:id="23"/>
    </w:p>
    <w:p w14:paraId="758F09E9"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Berlin Gigafactory by Tesla had to endure long-term approval procedures of the environmental regulations, such as water usage and biodiversity (Reuters, 2022).</w:t>
      </w:r>
    </w:p>
    <w:p w14:paraId="0B7C27E8"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Firm-Specific Impact:</w:t>
      </w:r>
    </w:p>
    <w:p w14:paraId="3513B74A" w14:textId="77777777" w:rsidR="00080629" w:rsidRPr="00080629" w:rsidRDefault="00080629" w:rsidP="00080629">
      <w:pPr>
        <w:pStyle w:val="ListParagraph"/>
        <w:numPr>
          <w:ilvl w:val="0"/>
          <w:numId w:val="19"/>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Delayed production ramp-up</w:t>
      </w:r>
    </w:p>
    <w:p w14:paraId="506B5AB6" w14:textId="77777777" w:rsidR="00080629" w:rsidRPr="00080629" w:rsidRDefault="00080629" w:rsidP="00080629">
      <w:pPr>
        <w:pStyle w:val="ListParagraph"/>
        <w:numPr>
          <w:ilvl w:val="0"/>
          <w:numId w:val="19"/>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Increased compliance costs</w:t>
      </w:r>
    </w:p>
    <w:p w14:paraId="4183E73C" w14:textId="77777777" w:rsidR="00080629" w:rsidRPr="00080629" w:rsidRDefault="00080629" w:rsidP="00080629">
      <w:pPr>
        <w:pStyle w:val="ListParagraph"/>
        <w:numPr>
          <w:ilvl w:val="0"/>
          <w:numId w:val="19"/>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Rebuilding the water management structures.</w:t>
      </w:r>
    </w:p>
    <w:p w14:paraId="7C4AD0F2"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Outcome:</w:t>
      </w:r>
    </w:p>
    <w:p w14:paraId="5D3EC02F"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was eventually allowed into operation after several delays, which shows it to be flexible to the highly regulated settings.</w:t>
      </w:r>
    </w:p>
    <w:p w14:paraId="4B5FB70C" w14:textId="77777777" w:rsidR="00080629" w:rsidRPr="00080629" w:rsidRDefault="00080629" w:rsidP="00080629">
      <w:pPr>
        <w:pStyle w:val="Heading3"/>
        <w:rPr>
          <w:lang w:val="en-US"/>
        </w:rPr>
      </w:pPr>
      <w:bookmarkStart w:id="24" w:name="_Toc224742650"/>
      <w:r w:rsidRPr="00080629">
        <w:rPr>
          <w:lang w:val="en-US"/>
        </w:rPr>
        <w:t>4.5.2 EU Regulatory Framework</w:t>
      </w:r>
      <w:bookmarkEnd w:id="24"/>
    </w:p>
    <w:p w14:paraId="31FE1762"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will have to adhere to the EU-wide regulations, such as the following:</w:t>
      </w:r>
    </w:p>
    <w:p w14:paraId="7BD3E423" w14:textId="77777777" w:rsidR="00080629" w:rsidRPr="00080629" w:rsidRDefault="00080629" w:rsidP="00080629">
      <w:pPr>
        <w:pStyle w:val="ListParagraph"/>
        <w:numPr>
          <w:ilvl w:val="0"/>
          <w:numId w:val="20"/>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Rules of battery sustainability.</w:t>
      </w:r>
    </w:p>
    <w:p w14:paraId="0AE4153E" w14:textId="77777777" w:rsidR="00080629" w:rsidRPr="00080629" w:rsidRDefault="00080629" w:rsidP="00080629">
      <w:pPr>
        <w:pStyle w:val="ListParagraph"/>
        <w:numPr>
          <w:ilvl w:val="0"/>
          <w:numId w:val="20"/>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Data protection requirements of GDPR.</w:t>
      </w:r>
    </w:p>
    <w:p w14:paraId="6B0FAF2E" w14:textId="77777777" w:rsidR="00080629" w:rsidRPr="00080629" w:rsidRDefault="00080629" w:rsidP="00080629">
      <w:pPr>
        <w:pStyle w:val="ListParagraph"/>
        <w:numPr>
          <w:ilvl w:val="0"/>
          <w:numId w:val="20"/>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Self-driving safety requirements.</w:t>
      </w:r>
    </w:p>
    <w:p w14:paraId="53C078BD"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Impact:</w:t>
      </w:r>
    </w:p>
    <w:p w14:paraId="19E4BC69" w14:textId="77777777" w:rsidR="00080629" w:rsidRPr="00080629" w:rsidRDefault="00080629" w:rsidP="00080629">
      <w:pPr>
        <w:pStyle w:val="ListParagraph"/>
        <w:numPr>
          <w:ilvl w:val="0"/>
          <w:numId w:val="21"/>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High administrative and compliance expenses.</w:t>
      </w:r>
    </w:p>
    <w:p w14:paraId="771CC223" w14:textId="77777777" w:rsidR="00080629" w:rsidRPr="00080629" w:rsidRDefault="00080629" w:rsidP="00080629">
      <w:pPr>
        <w:pStyle w:val="ListParagraph"/>
        <w:numPr>
          <w:ilvl w:val="0"/>
          <w:numId w:val="21"/>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Increased credibility of products and trust of customers.</w:t>
      </w:r>
    </w:p>
    <w:p w14:paraId="2550A92F"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Evaluation:</w:t>
      </w:r>
    </w:p>
    <w:p w14:paraId="22773C47"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Legal restrictions retard growth but provide a predictable, rules-based investment climate, which is conducive to long-term investment.</w:t>
      </w:r>
    </w:p>
    <w:p w14:paraId="53503F37" w14:textId="51AFF9B5" w:rsidR="00080629" w:rsidRPr="00080629" w:rsidRDefault="00080629" w:rsidP="00080629">
      <w:pPr>
        <w:pStyle w:val="Heading2"/>
        <w:rPr>
          <w:lang w:val="en-US"/>
        </w:rPr>
      </w:pPr>
      <w:bookmarkStart w:id="25" w:name="_Toc224742651"/>
      <w:r w:rsidRPr="00080629">
        <w:rPr>
          <w:lang w:val="en-US"/>
        </w:rPr>
        <w:lastRenderedPageBreak/>
        <w:t>4.6 Cultural Factors: Brand Differentiation vs. Market Expectations</w:t>
      </w:r>
      <w:bookmarkEnd w:id="25"/>
    </w:p>
    <w:p w14:paraId="48960F80" w14:textId="022C4BA2" w:rsidR="00080629" w:rsidRPr="00080629" w:rsidRDefault="00080629" w:rsidP="00080629">
      <w:pPr>
        <w:pStyle w:val="Heading3"/>
        <w:rPr>
          <w:lang w:val="en-US"/>
        </w:rPr>
      </w:pPr>
      <w:bookmarkStart w:id="26" w:name="_Toc224742652"/>
      <w:r w:rsidRPr="00080629">
        <w:rPr>
          <w:lang w:val="en-US"/>
        </w:rPr>
        <w:t>4.6.1 Engineering culture and brand perception</w:t>
      </w:r>
      <w:bookmarkEnd w:id="26"/>
    </w:p>
    <w:p w14:paraId="3FDD7844"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The German automotive culture </w:t>
      </w:r>
      <w:proofErr w:type="spellStart"/>
      <w:r w:rsidRPr="00080629">
        <w:rPr>
          <w:rFonts w:ascii="Arial" w:hAnsi="Arial" w:cs="Arial"/>
          <w:color w:val="000000" w:themeColor="text1"/>
          <w:sz w:val="24"/>
          <w:szCs w:val="24"/>
          <w:lang w:val="en-US"/>
        </w:rPr>
        <w:t>emphasises</w:t>
      </w:r>
      <w:proofErr w:type="spellEnd"/>
      <w:r w:rsidRPr="00080629">
        <w:rPr>
          <w:rFonts w:ascii="Arial" w:hAnsi="Arial" w:cs="Arial"/>
          <w:color w:val="000000" w:themeColor="text1"/>
          <w:sz w:val="24"/>
          <w:szCs w:val="24"/>
          <w:lang w:val="en-US"/>
        </w:rPr>
        <w:t xml:space="preserve"> precision engineering and luxury refinement. Tesla has a different design philosophy, that is, minimalistic interior design and software-driven features.</w:t>
      </w:r>
    </w:p>
    <w:p w14:paraId="2E5BAF95"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Market Response:</w:t>
      </w:r>
    </w:p>
    <w:p w14:paraId="0E6BA9AB" w14:textId="77777777" w:rsidR="00080629" w:rsidRPr="00080629" w:rsidRDefault="00080629" w:rsidP="00080629">
      <w:pPr>
        <w:pStyle w:val="ListParagraph"/>
        <w:numPr>
          <w:ilvl w:val="0"/>
          <w:numId w:val="22"/>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High attraction of the technology-based consumer.</w:t>
      </w:r>
    </w:p>
    <w:p w14:paraId="5358C3FC" w14:textId="77777777" w:rsidR="00080629" w:rsidRPr="00080629" w:rsidRDefault="00080629" w:rsidP="00080629">
      <w:pPr>
        <w:pStyle w:val="ListParagraph"/>
        <w:numPr>
          <w:ilvl w:val="0"/>
          <w:numId w:val="22"/>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Distrust in conventional high-end customers (HBR, 2021).</w:t>
      </w:r>
    </w:p>
    <w:p w14:paraId="0F63839A"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Outcome:</w:t>
      </w:r>
    </w:p>
    <w:p w14:paraId="77BC5161"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has already established itself as one of the leaders in innovation and has difficulties with the adjustment to the perceived quality cost of German brands.</w:t>
      </w:r>
    </w:p>
    <w:p w14:paraId="0E8AFD6A" w14:textId="77777777" w:rsidR="00080629" w:rsidRPr="00080629" w:rsidRDefault="00080629" w:rsidP="00080629">
      <w:pPr>
        <w:pStyle w:val="Heading3"/>
        <w:rPr>
          <w:lang w:val="en-US"/>
        </w:rPr>
      </w:pPr>
      <w:bookmarkStart w:id="27" w:name="_Toc224742653"/>
      <w:r w:rsidRPr="00080629">
        <w:rPr>
          <w:lang w:val="en-US"/>
        </w:rPr>
        <w:t>4.6.2 Environmental Awareness</w:t>
      </w:r>
      <w:bookmarkEnd w:id="27"/>
    </w:p>
    <w:p w14:paraId="052872B3"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German customers are highly ecologically aware and are proponents of EVs.</w:t>
      </w:r>
    </w:p>
    <w:p w14:paraId="7BC4F06D"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Impact on Tesla:</w:t>
      </w:r>
    </w:p>
    <w:p w14:paraId="4D4876AA" w14:textId="77777777" w:rsidR="00080629" w:rsidRPr="00080629" w:rsidRDefault="00080629" w:rsidP="00080629">
      <w:pPr>
        <w:pStyle w:val="ListParagraph"/>
        <w:numPr>
          <w:ilvl w:val="0"/>
          <w:numId w:val="23"/>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Strengthens the need for zero-emission cars.</w:t>
      </w:r>
    </w:p>
    <w:p w14:paraId="6FFD3557" w14:textId="77777777" w:rsidR="00080629" w:rsidRPr="00080629" w:rsidRDefault="00080629" w:rsidP="00080629">
      <w:pPr>
        <w:pStyle w:val="ListParagraph"/>
        <w:numPr>
          <w:ilvl w:val="0"/>
          <w:numId w:val="23"/>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Fits in with the sustainability story of Tesla.</w:t>
      </w:r>
    </w:p>
    <w:p w14:paraId="5FF445C9"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Evaluation:</w:t>
      </w:r>
    </w:p>
    <w:p w14:paraId="39262189"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opportunity (environmental alignment) and constraint (high-quality expectations) factors are cultural.</w:t>
      </w:r>
    </w:p>
    <w:p w14:paraId="06E165BB" w14:textId="0C4017FE" w:rsidR="00080629" w:rsidRPr="00080629" w:rsidRDefault="00080629" w:rsidP="00080629">
      <w:pPr>
        <w:pStyle w:val="Heading2"/>
        <w:rPr>
          <w:lang w:val="en-US"/>
        </w:rPr>
      </w:pPr>
      <w:bookmarkStart w:id="28" w:name="_Toc224742654"/>
      <w:r w:rsidRPr="00080629">
        <w:rPr>
          <w:lang w:val="en-US"/>
        </w:rPr>
        <w:t>4.7 Industry Attractiveness: Competitive Forces Are Firm-Specific</w:t>
      </w:r>
      <w:bookmarkEnd w:id="28"/>
    </w:p>
    <w:p w14:paraId="10086C10" w14:textId="1E9AA5B0"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Rivalry (Very High - Direct Impact on Tesla)</w:t>
      </w:r>
    </w:p>
    <w:p w14:paraId="2E264CF9"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is competing head-on with the German OEMs that are moving to EVs.</w:t>
      </w:r>
    </w:p>
    <w:p w14:paraId="0E63B7EA"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Evidence:</w:t>
      </w:r>
    </w:p>
    <w:p w14:paraId="22933C1D" w14:textId="3F267AD8" w:rsidR="00080629" w:rsidRPr="00080629" w:rsidRDefault="00080629" w:rsidP="00080629">
      <w:pPr>
        <w:pStyle w:val="ListParagraph"/>
        <w:numPr>
          <w:ilvl w:val="0"/>
          <w:numId w:val="24"/>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Volkswagen increasing EV manufacturing capacity (VW Annual Report, 2023).</w:t>
      </w:r>
    </w:p>
    <w:p w14:paraId="0575EF8B" w14:textId="77777777" w:rsidR="00080629" w:rsidRPr="00080629" w:rsidRDefault="00080629" w:rsidP="00080629">
      <w:pPr>
        <w:pStyle w:val="ListParagraph"/>
        <w:numPr>
          <w:ilvl w:val="0"/>
          <w:numId w:val="24"/>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Mercedes and BMW are introducing luxury EVs.</w:t>
      </w:r>
    </w:p>
    <w:p w14:paraId="18735428"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Impact on Tesla:</w:t>
      </w:r>
    </w:p>
    <w:p w14:paraId="1B703FE6" w14:textId="77777777" w:rsidR="00080629" w:rsidRPr="00080629" w:rsidRDefault="00080629" w:rsidP="00080629">
      <w:pPr>
        <w:pStyle w:val="ListParagraph"/>
        <w:numPr>
          <w:ilvl w:val="0"/>
          <w:numId w:val="25"/>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Constant price rivalry.</w:t>
      </w:r>
    </w:p>
    <w:p w14:paraId="3C502B54" w14:textId="77777777" w:rsidR="00080629" w:rsidRPr="00080629" w:rsidRDefault="00080629" w:rsidP="00080629">
      <w:pPr>
        <w:pStyle w:val="ListParagraph"/>
        <w:numPr>
          <w:ilvl w:val="0"/>
          <w:numId w:val="25"/>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lastRenderedPageBreak/>
        <w:t>Need for rapid innovation</w:t>
      </w:r>
    </w:p>
    <w:p w14:paraId="6A9B0802"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Supplier Power (High - Battery Dependency)</w:t>
      </w:r>
    </w:p>
    <w:p w14:paraId="588F3467"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is dependent on essential raw materials and battery components.</w:t>
      </w:r>
    </w:p>
    <w:p w14:paraId="08DA410B"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Mechanism:</w:t>
      </w:r>
    </w:p>
    <w:p w14:paraId="37FDEC82" w14:textId="77777777" w:rsidR="00080629" w:rsidRPr="00080629" w:rsidRDefault="00080629" w:rsidP="00080629">
      <w:pPr>
        <w:pStyle w:val="ListParagraph"/>
        <w:numPr>
          <w:ilvl w:val="0"/>
          <w:numId w:val="26"/>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Low suppliers of lithium and semiconductors.</w:t>
      </w:r>
    </w:p>
    <w:p w14:paraId="236702D5" w14:textId="77777777" w:rsidR="00080629" w:rsidRPr="00080629" w:rsidRDefault="00080629" w:rsidP="00080629">
      <w:pPr>
        <w:pStyle w:val="ListParagraph"/>
        <w:numPr>
          <w:ilvl w:val="0"/>
          <w:numId w:val="26"/>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volatility of prices has a direct influence on the cost of production.</w:t>
      </w:r>
    </w:p>
    <w:p w14:paraId="41E4636B"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Outcome:</w:t>
      </w:r>
    </w:p>
    <w:p w14:paraId="71C6E8FE"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Tesla puts investment in vertical integration to </w:t>
      </w:r>
      <w:proofErr w:type="spellStart"/>
      <w:r w:rsidRPr="00080629">
        <w:rPr>
          <w:rFonts w:ascii="Arial" w:hAnsi="Arial" w:cs="Arial"/>
          <w:color w:val="000000" w:themeColor="text1"/>
          <w:sz w:val="24"/>
          <w:szCs w:val="24"/>
          <w:lang w:val="en-US"/>
        </w:rPr>
        <w:t>minimise</w:t>
      </w:r>
      <w:proofErr w:type="spellEnd"/>
      <w:r w:rsidRPr="00080629">
        <w:rPr>
          <w:rFonts w:ascii="Arial" w:hAnsi="Arial" w:cs="Arial"/>
          <w:color w:val="000000" w:themeColor="text1"/>
          <w:sz w:val="24"/>
          <w:szCs w:val="24"/>
          <w:lang w:val="en-US"/>
        </w:rPr>
        <w:t xml:space="preserve"> dependency, but it is vulnerable to supply constraints worldwide.</w:t>
      </w:r>
    </w:p>
    <w:p w14:paraId="76E55267"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Buyer Power (Rising Price Sensitivity)</w:t>
      </w:r>
    </w:p>
    <w:p w14:paraId="56973C9E"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Consumers are gaining more EV alternatives.</w:t>
      </w:r>
    </w:p>
    <w:p w14:paraId="02FD5557"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Evidence:</w:t>
      </w:r>
    </w:p>
    <w:p w14:paraId="4BBF9936" w14:textId="77777777" w:rsidR="00080629" w:rsidRPr="00080629" w:rsidRDefault="00080629" w:rsidP="00080629">
      <w:pPr>
        <w:pStyle w:val="ListParagraph"/>
        <w:numPr>
          <w:ilvl w:val="0"/>
          <w:numId w:val="27"/>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Tesla price reduction shows that it is sensitive to demand.</w:t>
      </w:r>
    </w:p>
    <w:p w14:paraId="106585B6" w14:textId="77777777" w:rsidR="00080629" w:rsidRPr="00080629" w:rsidRDefault="00080629" w:rsidP="00080629">
      <w:pPr>
        <w:pStyle w:val="ListParagraph"/>
        <w:numPr>
          <w:ilvl w:val="0"/>
          <w:numId w:val="27"/>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Other competitors with similar models of EVs.</w:t>
      </w:r>
    </w:p>
    <w:p w14:paraId="21C76079"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Impact:</w:t>
      </w:r>
    </w:p>
    <w:p w14:paraId="78CCD520" w14:textId="77777777" w:rsidR="00080629" w:rsidRPr="00080629" w:rsidRDefault="00080629" w:rsidP="00080629">
      <w:pPr>
        <w:pStyle w:val="ListParagraph"/>
        <w:numPr>
          <w:ilvl w:val="0"/>
          <w:numId w:val="28"/>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Reduced pricing power</w:t>
      </w:r>
    </w:p>
    <w:p w14:paraId="65191E4A" w14:textId="77777777" w:rsidR="00080629" w:rsidRPr="00080629" w:rsidRDefault="00080629" w:rsidP="00080629">
      <w:pPr>
        <w:pStyle w:val="ListParagraph"/>
        <w:numPr>
          <w:ilvl w:val="0"/>
          <w:numId w:val="28"/>
        </w:num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More demand on differentiation.</w:t>
      </w:r>
    </w:p>
    <w:p w14:paraId="0FABEBDB"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Threat of New Entrants (Low and developing)</w:t>
      </w:r>
    </w:p>
    <w:p w14:paraId="5183E469"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Entry is restricted by large amounts of capital requirements, but Chinese companies are growing.</w:t>
      </w:r>
    </w:p>
    <w:p w14:paraId="4BDE5E4B"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Example:</w:t>
      </w:r>
    </w:p>
    <w:p w14:paraId="2CD44E65"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Entering the European markets of BYD Company Limited.</w:t>
      </w:r>
    </w:p>
    <w:p w14:paraId="67D048CA"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Threat of Substitutes (Mobility Shift - Moderate)</w:t>
      </w:r>
    </w:p>
    <w:p w14:paraId="3C854DE4"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Alternative mobility (public transport, ride-sharing) is also on the increase, but it is still secondary to the personal cars.</w:t>
      </w:r>
    </w:p>
    <w:p w14:paraId="6109FBDE"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Overall Attractiveness:</w:t>
      </w:r>
    </w:p>
    <w:p w14:paraId="57105DE5"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lastRenderedPageBreak/>
        <w:t>Germany has great long-term EV growth and high competition and cost pressures.</w:t>
      </w:r>
    </w:p>
    <w:p w14:paraId="29EF09C3" w14:textId="1EF79B84" w:rsidR="00080629" w:rsidRPr="00080629" w:rsidRDefault="00080629" w:rsidP="000D3A5C">
      <w:pPr>
        <w:pStyle w:val="Heading2"/>
        <w:rPr>
          <w:lang w:val="en-US"/>
        </w:rPr>
      </w:pPr>
      <w:bookmarkStart w:id="29" w:name="_Toc224742655"/>
      <w:r w:rsidRPr="00080629">
        <w:rPr>
          <w:lang w:val="en-US"/>
        </w:rPr>
        <w:t>4.8 Strategic Fit: Competitive Advantages in Tesla</w:t>
      </w:r>
      <w:bookmarkEnd w:id="29"/>
    </w:p>
    <w:p w14:paraId="52564313"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success of Tesla in Germany is based on a number of firm-specific capabilities:</w:t>
      </w:r>
    </w:p>
    <w:p w14:paraId="52580372"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1. Technological Leadership</w:t>
      </w:r>
    </w:p>
    <w:p w14:paraId="15891A90"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has been leading in battery efficiency and software integration, such as over-the-air updates (Tesla, 2024).</w:t>
      </w:r>
    </w:p>
    <w:p w14:paraId="47CCBA3D" w14:textId="6133CDF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 xml:space="preserve">2. </w:t>
      </w:r>
      <w:proofErr w:type="spellStart"/>
      <w:r w:rsidRPr="00080629">
        <w:rPr>
          <w:rFonts w:ascii="Arial" w:hAnsi="Arial" w:cs="Arial"/>
          <w:b/>
          <w:bCs/>
          <w:color w:val="000000" w:themeColor="text1"/>
          <w:sz w:val="24"/>
          <w:szCs w:val="24"/>
          <w:lang w:val="en-US"/>
        </w:rPr>
        <w:t>Localised</w:t>
      </w:r>
      <w:proofErr w:type="spellEnd"/>
      <w:r w:rsidRPr="00080629">
        <w:rPr>
          <w:rFonts w:ascii="Arial" w:hAnsi="Arial" w:cs="Arial"/>
          <w:b/>
          <w:bCs/>
          <w:color w:val="000000" w:themeColor="text1"/>
          <w:sz w:val="24"/>
          <w:szCs w:val="24"/>
          <w:lang w:val="en-US"/>
        </w:rPr>
        <w:t xml:space="preserve"> Production Strategy</w:t>
      </w:r>
    </w:p>
    <w:p w14:paraId="14118B48"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Berlin Gigafactory also lowers the expenses and increases the speed of delivery.</w:t>
      </w:r>
    </w:p>
    <w:p w14:paraId="001909D3"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3. Brand Positioning</w:t>
      </w:r>
    </w:p>
    <w:p w14:paraId="5B9A8DC3"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Tesla is a company that is viewed as a leader in innovation but not a normal car maker.</w:t>
      </w:r>
    </w:p>
    <w:p w14:paraId="533D4ED4"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4. Vertical Integration</w:t>
      </w:r>
    </w:p>
    <w:p w14:paraId="7205EC16"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The ability to control battery and software systems increases the efficiency and differentiation.</w:t>
      </w:r>
    </w:p>
    <w:p w14:paraId="683EF65C"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Integrated Insight:</w:t>
      </w:r>
    </w:p>
    <w:p w14:paraId="527E16B1" w14:textId="77777777" w:rsid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Germany is not a homogeneously appealing place; it is a high-opportunity and high-cost location, and success will be determined by the effectiveness of its operations and its capacity to adjust to the changing environment.</w:t>
      </w:r>
    </w:p>
    <w:p w14:paraId="19B2F783" w14:textId="2F366F5C" w:rsidR="00A005C3" w:rsidRDefault="00A005C3" w:rsidP="00A005C3">
      <w:pPr>
        <w:pStyle w:val="Heading2"/>
        <w:rPr>
          <w:lang w:val="en-US"/>
        </w:rPr>
      </w:pPr>
      <w:bookmarkStart w:id="30" w:name="_Toc224742656"/>
      <w:r w:rsidRPr="00A005C3">
        <w:rPr>
          <w:lang w:val="en-US"/>
        </w:rPr>
        <w:t>4.9 Critical Evaluation of Market Attractiveness</w:t>
      </w:r>
      <w:r>
        <w:rPr>
          <w:lang w:val="en-US"/>
        </w:rPr>
        <w:t>:</w:t>
      </w:r>
      <w:bookmarkEnd w:id="30"/>
    </w:p>
    <w:tbl>
      <w:tblPr>
        <w:tblStyle w:val="TableGrid"/>
        <w:tblW w:w="0" w:type="auto"/>
        <w:tblLook w:val="04A0" w:firstRow="1" w:lastRow="0" w:firstColumn="1" w:lastColumn="0" w:noHBand="0" w:noVBand="1"/>
      </w:tblPr>
      <w:tblGrid>
        <w:gridCol w:w="1270"/>
        <w:gridCol w:w="3199"/>
        <w:gridCol w:w="2399"/>
        <w:gridCol w:w="2148"/>
      </w:tblGrid>
      <w:tr w:rsidR="00A005C3" w:rsidRPr="00A005C3" w14:paraId="4E8F7612" w14:textId="77777777" w:rsidTr="00A005C3">
        <w:tc>
          <w:tcPr>
            <w:tcW w:w="0" w:type="auto"/>
            <w:hideMark/>
          </w:tcPr>
          <w:p w14:paraId="67F9B915" w14:textId="77777777" w:rsidR="00A005C3" w:rsidRPr="00A005C3" w:rsidRDefault="00A005C3" w:rsidP="00A005C3">
            <w:pPr>
              <w:spacing w:after="160" w:line="360" w:lineRule="auto"/>
              <w:jc w:val="both"/>
              <w:rPr>
                <w:rFonts w:ascii="Arial" w:hAnsi="Arial" w:cs="Arial"/>
                <w:b/>
                <w:bCs/>
                <w:color w:val="000000" w:themeColor="text1"/>
                <w:sz w:val="24"/>
                <w:szCs w:val="24"/>
                <w:lang w:val="en-US"/>
              </w:rPr>
            </w:pPr>
            <w:r w:rsidRPr="00A005C3">
              <w:rPr>
                <w:rFonts w:ascii="Arial" w:hAnsi="Arial" w:cs="Arial"/>
                <w:b/>
                <w:bCs/>
                <w:color w:val="000000" w:themeColor="text1"/>
                <w:sz w:val="24"/>
                <w:szCs w:val="24"/>
                <w:lang w:val="en-US"/>
              </w:rPr>
              <w:t>Factor</w:t>
            </w:r>
          </w:p>
        </w:tc>
        <w:tc>
          <w:tcPr>
            <w:tcW w:w="0" w:type="auto"/>
            <w:hideMark/>
          </w:tcPr>
          <w:p w14:paraId="723E360A" w14:textId="77777777" w:rsidR="00A005C3" w:rsidRPr="00A005C3" w:rsidRDefault="00A005C3" w:rsidP="00A005C3">
            <w:pPr>
              <w:spacing w:after="160" w:line="360" w:lineRule="auto"/>
              <w:jc w:val="both"/>
              <w:rPr>
                <w:rFonts w:ascii="Arial" w:hAnsi="Arial" w:cs="Arial"/>
                <w:b/>
                <w:bCs/>
                <w:color w:val="000000" w:themeColor="text1"/>
                <w:sz w:val="24"/>
                <w:szCs w:val="24"/>
                <w:lang w:val="en-US"/>
              </w:rPr>
            </w:pPr>
            <w:r w:rsidRPr="00A005C3">
              <w:rPr>
                <w:rFonts w:ascii="Arial" w:hAnsi="Arial" w:cs="Arial"/>
                <w:b/>
                <w:bCs/>
                <w:color w:val="000000" w:themeColor="text1"/>
                <w:sz w:val="24"/>
                <w:szCs w:val="24"/>
                <w:lang w:val="en-US"/>
              </w:rPr>
              <w:t>Firm-Specific Outcome</w:t>
            </w:r>
          </w:p>
        </w:tc>
        <w:tc>
          <w:tcPr>
            <w:tcW w:w="0" w:type="auto"/>
            <w:hideMark/>
          </w:tcPr>
          <w:p w14:paraId="57AC0E8C" w14:textId="77777777" w:rsidR="00A005C3" w:rsidRPr="00A005C3" w:rsidRDefault="00A005C3" w:rsidP="00A005C3">
            <w:pPr>
              <w:spacing w:after="160" w:line="360" w:lineRule="auto"/>
              <w:jc w:val="both"/>
              <w:rPr>
                <w:rFonts w:ascii="Arial" w:hAnsi="Arial" w:cs="Arial"/>
                <w:b/>
                <w:bCs/>
                <w:color w:val="000000" w:themeColor="text1"/>
                <w:sz w:val="24"/>
                <w:szCs w:val="24"/>
                <w:lang w:val="en-US"/>
              </w:rPr>
            </w:pPr>
            <w:r w:rsidRPr="00A005C3">
              <w:rPr>
                <w:rFonts w:ascii="Arial" w:hAnsi="Arial" w:cs="Arial"/>
                <w:b/>
                <w:bCs/>
                <w:color w:val="000000" w:themeColor="text1"/>
                <w:sz w:val="24"/>
                <w:szCs w:val="24"/>
                <w:lang w:val="en-US"/>
              </w:rPr>
              <w:t>Risk Level</w:t>
            </w:r>
          </w:p>
        </w:tc>
        <w:tc>
          <w:tcPr>
            <w:tcW w:w="0" w:type="auto"/>
            <w:hideMark/>
          </w:tcPr>
          <w:p w14:paraId="7EB706DE" w14:textId="77777777" w:rsidR="00A005C3" w:rsidRPr="00A005C3" w:rsidRDefault="00A005C3" w:rsidP="00A005C3">
            <w:pPr>
              <w:spacing w:after="160" w:line="360" w:lineRule="auto"/>
              <w:jc w:val="both"/>
              <w:rPr>
                <w:rFonts w:ascii="Arial" w:hAnsi="Arial" w:cs="Arial"/>
                <w:b/>
                <w:bCs/>
                <w:color w:val="000000" w:themeColor="text1"/>
                <w:sz w:val="24"/>
                <w:szCs w:val="24"/>
                <w:lang w:val="en-US"/>
              </w:rPr>
            </w:pPr>
            <w:r w:rsidRPr="00A005C3">
              <w:rPr>
                <w:rFonts w:ascii="Arial" w:hAnsi="Arial" w:cs="Arial"/>
                <w:b/>
                <w:bCs/>
                <w:color w:val="000000" w:themeColor="text1"/>
                <w:sz w:val="24"/>
                <w:szCs w:val="24"/>
                <w:lang w:val="en-US"/>
              </w:rPr>
              <w:t>Assessment</w:t>
            </w:r>
          </w:p>
        </w:tc>
      </w:tr>
      <w:tr w:rsidR="00A005C3" w:rsidRPr="00A005C3" w14:paraId="6DA92052" w14:textId="77777777" w:rsidTr="00A005C3">
        <w:tc>
          <w:tcPr>
            <w:tcW w:w="0" w:type="auto"/>
            <w:hideMark/>
          </w:tcPr>
          <w:p w14:paraId="70B18174"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Political</w:t>
            </w:r>
          </w:p>
        </w:tc>
        <w:tc>
          <w:tcPr>
            <w:tcW w:w="0" w:type="auto"/>
            <w:hideMark/>
          </w:tcPr>
          <w:p w14:paraId="64C03513"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Strong EV policy support</w:t>
            </w:r>
          </w:p>
        </w:tc>
        <w:tc>
          <w:tcPr>
            <w:tcW w:w="0" w:type="auto"/>
            <w:hideMark/>
          </w:tcPr>
          <w:p w14:paraId="3CC11682"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Medium (subsidy changes)</w:t>
            </w:r>
          </w:p>
        </w:tc>
        <w:tc>
          <w:tcPr>
            <w:tcW w:w="0" w:type="auto"/>
            <w:hideMark/>
          </w:tcPr>
          <w:p w14:paraId="568955B0" w14:textId="77777777" w:rsidR="00A005C3" w:rsidRPr="00A005C3" w:rsidRDefault="00A005C3" w:rsidP="00A005C3">
            <w:pPr>
              <w:spacing w:after="160" w:line="360" w:lineRule="auto"/>
              <w:jc w:val="both"/>
              <w:rPr>
                <w:rFonts w:ascii="Arial" w:hAnsi="Arial" w:cs="Arial"/>
                <w:color w:val="000000" w:themeColor="text1"/>
                <w:sz w:val="24"/>
                <w:szCs w:val="24"/>
                <w:lang w:val="en-US"/>
              </w:rPr>
            </w:pPr>
            <w:proofErr w:type="spellStart"/>
            <w:r w:rsidRPr="00A005C3">
              <w:rPr>
                <w:rFonts w:ascii="Arial" w:hAnsi="Arial" w:cs="Arial"/>
                <w:color w:val="000000" w:themeColor="text1"/>
                <w:sz w:val="24"/>
                <w:szCs w:val="24"/>
                <w:lang w:val="en-US"/>
              </w:rPr>
              <w:t>Favourable</w:t>
            </w:r>
            <w:proofErr w:type="spellEnd"/>
          </w:p>
        </w:tc>
      </w:tr>
      <w:tr w:rsidR="00A005C3" w:rsidRPr="00A005C3" w14:paraId="3A653A63" w14:textId="77777777" w:rsidTr="00A005C3">
        <w:tc>
          <w:tcPr>
            <w:tcW w:w="0" w:type="auto"/>
            <w:hideMark/>
          </w:tcPr>
          <w:p w14:paraId="0C49CC66"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Economic</w:t>
            </w:r>
          </w:p>
        </w:tc>
        <w:tc>
          <w:tcPr>
            <w:tcW w:w="0" w:type="auto"/>
            <w:hideMark/>
          </w:tcPr>
          <w:p w14:paraId="06331A08"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Large market but high costs</w:t>
            </w:r>
          </w:p>
        </w:tc>
        <w:tc>
          <w:tcPr>
            <w:tcW w:w="0" w:type="auto"/>
            <w:hideMark/>
          </w:tcPr>
          <w:p w14:paraId="717A687D"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High</w:t>
            </w:r>
          </w:p>
        </w:tc>
        <w:tc>
          <w:tcPr>
            <w:tcW w:w="0" w:type="auto"/>
            <w:hideMark/>
          </w:tcPr>
          <w:p w14:paraId="00077D79"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Moderately attractive</w:t>
            </w:r>
          </w:p>
        </w:tc>
      </w:tr>
      <w:tr w:rsidR="00A005C3" w:rsidRPr="00A005C3" w14:paraId="78112DB8" w14:textId="77777777" w:rsidTr="00A005C3">
        <w:tc>
          <w:tcPr>
            <w:tcW w:w="0" w:type="auto"/>
            <w:hideMark/>
          </w:tcPr>
          <w:p w14:paraId="587DC0FB"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Legal</w:t>
            </w:r>
          </w:p>
        </w:tc>
        <w:tc>
          <w:tcPr>
            <w:tcW w:w="0" w:type="auto"/>
            <w:hideMark/>
          </w:tcPr>
          <w:p w14:paraId="6B613C91"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Stable but complex</w:t>
            </w:r>
          </w:p>
        </w:tc>
        <w:tc>
          <w:tcPr>
            <w:tcW w:w="0" w:type="auto"/>
            <w:hideMark/>
          </w:tcPr>
          <w:p w14:paraId="0C5D6949"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Medium</w:t>
            </w:r>
          </w:p>
        </w:tc>
        <w:tc>
          <w:tcPr>
            <w:tcW w:w="0" w:type="auto"/>
            <w:hideMark/>
          </w:tcPr>
          <w:p w14:paraId="769CCA7E"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Structurally secure</w:t>
            </w:r>
          </w:p>
        </w:tc>
      </w:tr>
      <w:tr w:rsidR="00A005C3" w:rsidRPr="00A005C3" w14:paraId="7319DB40" w14:textId="77777777" w:rsidTr="00A005C3">
        <w:tc>
          <w:tcPr>
            <w:tcW w:w="0" w:type="auto"/>
            <w:hideMark/>
          </w:tcPr>
          <w:p w14:paraId="4613E60D"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lastRenderedPageBreak/>
              <w:t>Cultural</w:t>
            </w:r>
          </w:p>
        </w:tc>
        <w:tc>
          <w:tcPr>
            <w:tcW w:w="0" w:type="auto"/>
            <w:hideMark/>
          </w:tcPr>
          <w:p w14:paraId="046D6475"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Innovation appeal but quality pressure</w:t>
            </w:r>
          </w:p>
        </w:tc>
        <w:tc>
          <w:tcPr>
            <w:tcW w:w="0" w:type="auto"/>
            <w:hideMark/>
          </w:tcPr>
          <w:p w14:paraId="73B386E9" w14:textId="77777777" w:rsidR="00A005C3" w:rsidRPr="00A005C3" w:rsidRDefault="00A005C3" w:rsidP="00A005C3">
            <w:pPr>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Medium</w:t>
            </w:r>
          </w:p>
        </w:tc>
        <w:tc>
          <w:tcPr>
            <w:tcW w:w="0" w:type="auto"/>
            <w:hideMark/>
          </w:tcPr>
          <w:p w14:paraId="494B9181" w14:textId="77777777" w:rsidR="00A005C3" w:rsidRPr="00A005C3" w:rsidRDefault="00A005C3" w:rsidP="00A005C3">
            <w:pPr>
              <w:keepNext/>
              <w:spacing w:after="160" w:line="360" w:lineRule="auto"/>
              <w:jc w:val="both"/>
              <w:rPr>
                <w:rFonts w:ascii="Arial" w:hAnsi="Arial" w:cs="Arial"/>
                <w:color w:val="000000" w:themeColor="text1"/>
                <w:sz w:val="24"/>
                <w:szCs w:val="24"/>
                <w:lang w:val="en-US"/>
              </w:rPr>
            </w:pPr>
            <w:r w:rsidRPr="00A005C3">
              <w:rPr>
                <w:rFonts w:ascii="Arial" w:hAnsi="Arial" w:cs="Arial"/>
                <w:color w:val="000000" w:themeColor="text1"/>
                <w:sz w:val="24"/>
                <w:szCs w:val="24"/>
                <w:lang w:val="en-US"/>
              </w:rPr>
              <w:t>Mixed</w:t>
            </w:r>
          </w:p>
        </w:tc>
      </w:tr>
    </w:tbl>
    <w:p w14:paraId="0C847232" w14:textId="4A22AC3D" w:rsidR="00A005C3" w:rsidRDefault="00A005C3">
      <w:pPr>
        <w:pStyle w:val="Caption"/>
      </w:pPr>
      <w:bookmarkStart w:id="31" w:name="_Toc224742669"/>
      <w:r>
        <w:t xml:space="preserve">Table </w:t>
      </w:r>
      <w:r>
        <w:fldChar w:fldCharType="begin"/>
      </w:r>
      <w:r>
        <w:instrText xml:space="preserve"> SEQ Table \* ARABIC </w:instrText>
      </w:r>
      <w:r>
        <w:fldChar w:fldCharType="separate"/>
      </w:r>
      <w:r>
        <w:rPr>
          <w:noProof/>
        </w:rPr>
        <w:t>2</w:t>
      </w:r>
      <w:r>
        <w:fldChar w:fldCharType="end"/>
      </w:r>
      <w:r>
        <w:t xml:space="preserve">: </w:t>
      </w:r>
      <w:r w:rsidRPr="00590FE9">
        <w:t>Evaluation of Market Attractiveness</w:t>
      </w:r>
      <w:bookmarkEnd w:id="31"/>
    </w:p>
    <w:p w14:paraId="66C530A3" w14:textId="77777777" w:rsidR="00A005C3" w:rsidRDefault="00A005C3" w:rsidP="00A005C3">
      <w:pPr>
        <w:spacing w:line="360" w:lineRule="auto"/>
        <w:jc w:val="both"/>
        <w:rPr>
          <w:rFonts w:ascii="Arial" w:hAnsi="Arial" w:cs="Arial"/>
          <w:b/>
          <w:bCs/>
          <w:sz w:val="24"/>
          <w:szCs w:val="24"/>
        </w:rPr>
      </w:pPr>
      <w:r w:rsidRPr="00A005C3">
        <w:rPr>
          <w:rFonts w:ascii="Arial" w:hAnsi="Arial" w:cs="Arial"/>
          <w:b/>
          <w:bCs/>
          <w:sz w:val="24"/>
          <w:szCs w:val="24"/>
        </w:rPr>
        <w:t>Integrated Insight:</w:t>
      </w:r>
    </w:p>
    <w:p w14:paraId="28A7F842" w14:textId="5DAAD562" w:rsidR="00A005C3" w:rsidRPr="00A005C3" w:rsidRDefault="00A005C3" w:rsidP="00A005C3">
      <w:pPr>
        <w:spacing w:line="360" w:lineRule="auto"/>
        <w:jc w:val="both"/>
        <w:rPr>
          <w:rFonts w:ascii="Arial" w:hAnsi="Arial" w:cs="Arial"/>
          <w:sz w:val="24"/>
          <w:szCs w:val="24"/>
        </w:rPr>
      </w:pPr>
      <w:r w:rsidRPr="00A005C3">
        <w:rPr>
          <w:rFonts w:ascii="Arial" w:hAnsi="Arial" w:cs="Arial"/>
          <w:sz w:val="24"/>
          <w:szCs w:val="24"/>
        </w:rPr>
        <w:t>Germany is not uniformly attractive—it is a high-opportunity but high-cost environment where success depends on operational efficiency and strategic adaptation.</w:t>
      </w:r>
    </w:p>
    <w:p w14:paraId="4A395406" w14:textId="77777777" w:rsidR="00080629" w:rsidRPr="00080629" w:rsidRDefault="00080629" w:rsidP="000D3A5C">
      <w:pPr>
        <w:pStyle w:val="Heading2"/>
        <w:rPr>
          <w:lang w:val="en-US"/>
        </w:rPr>
      </w:pPr>
      <w:bookmarkStart w:id="32" w:name="_Toc224742657"/>
      <w:r w:rsidRPr="00080629">
        <w:rPr>
          <w:lang w:val="en-US"/>
        </w:rPr>
        <w:t>4.10 Conclusion</w:t>
      </w:r>
      <w:bookmarkEnd w:id="32"/>
    </w:p>
    <w:p w14:paraId="14594E36" w14:textId="5B24F60B"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The decision by Tesla to venture into Germany is a transformative action into a highly competitive European automotive market. Material Tesla </w:t>
      </w:r>
      <w:r w:rsidR="00A005C3" w:rsidRPr="00080629">
        <w:rPr>
          <w:rFonts w:ascii="Arial" w:hAnsi="Arial" w:cs="Arial"/>
          <w:color w:val="000000" w:themeColor="text1"/>
          <w:sz w:val="24"/>
          <w:szCs w:val="24"/>
          <w:lang w:val="en-US"/>
        </w:rPr>
        <w:t>the</w:t>
      </w:r>
      <w:r w:rsidRPr="00080629">
        <w:rPr>
          <w:rFonts w:ascii="Arial" w:hAnsi="Arial" w:cs="Arial"/>
          <w:color w:val="000000" w:themeColor="text1"/>
          <w:sz w:val="24"/>
          <w:szCs w:val="24"/>
          <w:lang w:val="en-US"/>
        </w:rPr>
        <w:t xml:space="preserve"> Berlin Gigafactory has significantly enhanced the operation capacity of Tesla through cost reduction in logistics, shorter delivery times, and regional presence.</w:t>
      </w:r>
    </w:p>
    <w:p w14:paraId="411A33E6"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Nonetheless, the analysis of Tesla on a firm-specific level indicates that the success of the company is the result of an intricate combination of enabling and limiting factors. The existence of political support for electrification and high demand forms serious growth opportunities but is countered by institutional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constraints, regulatory complexity and the high cost of production. Tesla has been compelled to engage in fierce price wars that have lowered its profitability as it gains a larger market share.</w:t>
      </w:r>
    </w:p>
    <w:p w14:paraId="2545E6EF" w14:textId="77777777" w:rsidR="00080629" w:rsidRPr="00080629" w:rsidRDefault="00080629" w:rsidP="0008062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Most importantly, the competitive environment in Germany is structurally competitive. Domestic players are quickly scaled to EV production; the world competitors like Tesla and BYD are also entering the market with innovative new elements of competition through cost-efficiency and </w:t>
      </w:r>
      <w:proofErr w:type="spellStart"/>
      <w:r w:rsidRPr="00080629">
        <w:rPr>
          <w:rFonts w:ascii="Arial" w:hAnsi="Arial" w:cs="Arial"/>
          <w:color w:val="000000" w:themeColor="text1"/>
          <w:sz w:val="24"/>
          <w:szCs w:val="24"/>
          <w:lang w:val="en-US"/>
        </w:rPr>
        <w:t>digitalisation</w:t>
      </w:r>
      <w:proofErr w:type="spellEnd"/>
      <w:r w:rsidRPr="00080629">
        <w:rPr>
          <w:rFonts w:ascii="Arial" w:hAnsi="Arial" w:cs="Arial"/>
          <w:color w:val="000000" w:themeColor="text1"/>
          <w:sz w:val="24"/>
          <w:szCs w:val="24"/>
          <w:lang w:val="en-US"/>
        </w:rPr>
        <w:t>.</w:t>
      </w:r>
    </w:p>
    <w:p w14:paraId="05B91347" w14:textId="77777777" w:rsidR="00080629" w:rsidRPr="00080629" w:rsidRDefault="00080629" w:rsidP="00080629">
      <w:pPr>
        <w:spacing w:after="160" w:line="360" w:lineRule="auto"/>
        <w:jc w:val="both"/>
        <w:rPr>
          <w:rFonts w:ascii="Arial" w:hAnsi="Arial" w:cs="Arial"/>
          <w:b/>
          <w:bCs/>
          <w:color w:val="000000" w:themeColor="text1"/>
          <w:sz w:val="24"/>
          <w:szCs w:val="24"/>
          <w:lang w:val="en-US"/>
        </w:rPr>
      </w:pPr>
      <w:r w:rsidRPr="00080629">
        <w:rPr>
          <w:rFonts w:ascii="Arial" w:hAnsi="Arial" w:cs="Arial"/>
          <w:b/>
          <w:bCs/>
          <w:color w:val="000000" w:themeColor="text1"/>
          <w:sz w:val="24"/>
          <w:szCs w:val="24"/>
          <w:lang w:val="en-US"/>
        </w:rPr>
        <w:t>Final Evaluation:</w:t>
      </w:r>
    </w:p>
    <w:p w14:paraId="088DD4B3" w14:textId="4116B7DE" w:rsidR="00BF590A" w:rsidRDefault="00080629" w:rsidP="005E1FC9">
      <w:pPr>
        <w:spacing w:after="160" w:line="360" w:lineRule="auto"/>
        <w:jc w:val="both"/>
        <w:rPr>
          <w:rFonts w:ascii="Arial" w:hAnsi="Arial" w:cs="Arial"/>
          <w:color w:val="000000" w:themeColor="text1"/>
          <w:sz w:val="24"/>
          <w:szCs w:val="24"/>
          <w:lang w:val="en-US"/>
        </w:rPr>
      </w:pPr>
      <w:r w:rsidRPr="00080629">
        <w:rPr>
          <w:rFonts w:ascii="Arial" w:hAnsi="Arial" w:cs="Arial"/>
          <w:color w:val="000000" w:themeColor="text1"/>
          <w:sz w:val="24"/>
          <w:szCs w:val="24"/>
          <w:lang w:val="en-US"/>
        </w:rPr>
        <w:t xml:space="preserve">The capacity to remain cost-efficient, adjust to the institutional </w:t>
      </w:r>
      <w:proofErr w:type="spellStart"/>
      <w:r w:rsidRPr="00080629">
        <w:rPr>
          <w:rFonts w:ascii="Arial" w:hAnsi="Arial" w:cs="Arial"/>
          <w:color w:val="000000" w:themeColor="text1"/>
          <w:sz w:val="24"/>
          <w:szCs w:val="24"/>
          <w:lang w:val="en-US"/>
        </w:rPr>
        <w:t>labour</w:t>
      </w:r>
      <w:proofErr w:type="spellEnd"/>
      <w:r w:rsidRPr="00080629">
        <w:rPr>
          <w:rFonts w:ascii="Arial" w:hAnsi="Arial" w:cs="Arial"/>
          <w:color w:val="000000" w:themeColor="text1"/>
          <w:sz w:val="24"/>
          <w:szCs w:val="24"/>
          <w:lang w:val="en-US"/>
        </w:rPr>
        <w:t xml:space="preserve"> structures and stay technologically ahead in an ever-saturated and cost-sensitive EV market will determine the long-term success of Tesla in Germany. Germany has a high strategic potential; however, it is not a sure profitability generator. It is an experiment on which Tesla's global competitive model will be evaluated in one of the most developed automotive ecosystems in the world.</w:t>
      </w:r>
    </w:p>
    <w:p w14:paraId="1B0B7CD5" w14:textId="77777777" w:rsidR="00BF590A" w:rsidRDefault="00BF590A">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02AD3481" w14:textId="77777777" w:rsidR="001E31AD" w:rsidRDefault="00BF590A" w:rsidP="00405C7D">
      <w:pPr>
        <w:pStyle w:val="Heading1"/>
        <w:rPr>
          <w:lang w:val="en-US"/>
        </w:rPr>
      </w:pPr>
      <w:bookmarkStart w:id="33" w:name="_Toc224742658"/>
      <w:r>
        <w:rPr>
          <w:lang w:val="en-US"/>
        </w:rPr>
        <w:lastRenderedPageBreak/>
        <w:t>5.0 Conclusion</w:t>
      </w:r>
      <w:bookmarkEnd w:id="33"/>
    </w:p>
    <w:p w14:paraId="44258602" w14:textId="2D697C7A" w:rsidR="001E31AD" w:rsidRDefault="000D3A5C" w:rsidP="001E31AD">
      <w:pPr>
        <w:spacing w:after="160" w:line="360" w:lineRule="auto"/>
        <w:jc w:val="both"/>
        <w:rPr>
          <w:rFonts w:ascii="Arial" w:hAnsi="Arial" w:cs="Arial"/>
          <w:color w:val="000000" w:themeColor="text1"/>
          <w:sz w:val="24"/>
          <w:szCs w:val="24"/>
          <w:lang w:val="en-US"/>
        </w:rPr>
      </w:pPr>
      <w:r w:rsidRPr="000D3A5C">
        <w:rPr>
          <w:rFonts w:ascii="Arial" w:hAnsi="Arial" w:cs="Arial"/>
          <w:color w:val="000000" w:themeColor="text1"/>
          <w:sz w:val="24"/>
          <w:szCs w:val="24"/>
          <w:lang w:val="en-US"/>
        </w:rPr>
        <w:t xml:space="preserve">The automotive sector in Germany is competitive at the global level because of the high factor conditions that include a high level of R&amp;D, a skilled </w:t>
      </w:r>
      <w:proofErr w:type="spellStart"/>
      <w:r w:rsidRPr="000D3A5C">
        <w:rPr>
          <w:rFonts w:ascii="Arial" w:hAnsi="Arial" w:cs="Arial"/>
          <w:color w:val="000000" w:themeColor="text1"/>
          <w:sz w:val="24"/>
          <w:szCs w:val="24"/>
          <w:lang w:val="en-US"/>
        </w:rPr>
        <w:t>labour</w:t>
      </w:r>
      <w:proofErr w:type="spellEnd"/>
      <w:r w:rsidRPr="000D3A5C">
        <w:rPr>
          <w:rFonts w:ascii="Arial" w:hAnsi="Arial" w:cs="Arial"/>
          <w:color w:val="000000" w:themeColor="text1"/>
          <w:sz w:val="24"/>
          <w:szCs w:val="24"/>
          <w:lang w:val="en-US"/>
        </w:rPr>
        <w:t xml:space="preserve"> force, and integrated supplier networks that allow companies like Volkswagen AG, BMW Group, and Mercedes-Benz Group AG to maintain innovation and high-end positioning. This benefit is, however, becoming tenuous, with the reliance on external battery chains and the upward pressure on costs in the manufacture of EVs. In the case of Tesla, Inc., structural cost and institutional friction, especially high </w:t>
      </w:r>
      <w:proofErr w:type="spellStart"/>
      <w:r w:rsidRPr="000D3A5C">
        <w:rPr>
          <w:rFonts w:ascii="Arial" w:hAnsi="Arial" w:cs="Arial"/>
          <w:color w:val="000000" w:themeColor="text1"/>
          <w:sz w:val="24"/>
          <w:szCs w:val="24"/>
          <w:lang w:val="en-US"/>
        </w:rPr>
        <w:t>labour</w:t>
      </w:r>
      <w:proofErr w:type="spellEnd"/>
      <w:r w:rsidRPr="000D3A5C">
        <w:rPr>
          <w:rFonts w:ascii="Arial" w:hAnsi="Arial" w:cs="Arial"/>
          <w:color w:val="000000" w:themeColor="text1"/>
          <w:sz w:val="24"/>
          <w:szCs w:val="24"/>
          <w:lang w:val="en-US"/>
        </w:rPr>
        <w:t xml:space="preserve"> costs and regulatory complexity, are the appropriate limitations that drive down margins even in a market with great access. The resistance of growing competition posed by Chinese EV makers with cost-efficient operations over the next 3-5 years will have the most severe impact on the market attractiveness shaping of the industry, as this may significantly alter the pricing strategies, profitability, and long-term competitive positioning in the German automotive market.</w:t>
      </w:r>
    </w:p>
    <w:p w14:paraId="3994B1B1" w14:textId="32354A57" w:rsidR="005E1FC9" w:rsidRDefault="005E1FC9" w:rsidP="005E1FC9">
      <w:pPr>
        <w:spacing w:after="240" w:line="360" w:lineRule="auto"/>
        <w:jc w:val="both"/>
        <w:rPr>
          <w:rFonts w:ascii="Arial" w:hAnsi="Arial" w:cs="Arial"/>
          <w:color w:val="000000" w:themeColor="text1"/>
          <w:sz w:val="24"/>
          <w:szCs w:val="24"/>
          <w:lang w:val="en-US"/>
        </w:rPr>
      </w:pPr>
    </w:p>
    <w:p w14:paraId="18719F0E" w14:textId="77777777" w:rsidR="005E1FC9" w:rsidRDefault="005E1FC9" w:rsidP="005E1FC9">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59EFA810" w14:textId="77777777" w:rsidR="005E1FC9" w:rsidRPr="00F75A88" w:rsidRDefault="005E1FC9" w:rsidP="005E1FC9">
      <w:pPr>
        <w:pStyle w:val="Heading1"/>
        <w:jc w:val="center"/>
        <w:rPr>
          <w:u w:val="single"/>
          <w:lang w:val="en-US"/>
        </w:rPr>
      </w:pPr>
      <w:bookmarkStart w:id="34" w:name="_Toc224742659"/>
      <w:r w:rsidRPr="00F75A88">
        <w:rPr>
          <w:u w:val="single"/>
          <w:lang w:val="en-US"/>
        </w:rPr>
        <w:lastRenderedPageBreak/>
        <w:t>Section 2</w:t>
      </w:r>
      <w:bookmarkEnd w:id="34"/>
    </w:p>
    <w:p w14:paraId="1E0571AD" w14:textId="78EE94AB" w:rsidR="00757BCD" w:rsidRPr="00757BCD" w:rsidRDefault="00757BCD" w:rsidP="00757BCD">
      <w:pPr>
        <w:pStyle w:val="Heading1"/>
        <w:rPr>
          <w:lang w:val="en-US"/>
        </w:rPr>
      </w:pPr>
      <w:bookmarkStart w:id="35" w:name="_Toc224742660"/>
      <w:r w:rsidRPr="00757BCD">
        <w:rPr>
          <w:lang w:val="en-US"/>
        </w:rPr>
        <w:t>Reflective Account Gibbs Reflective Cycle</w:t>
      </w:r>
      <w:r>
        <w:rPr>
          <w:lang w:val="en-US"/>
        </w:rPr>
        <w:t>:</w:t>
      </w:r>
      <w:bookmarkEnd w:id="35"/>
    </w:p>
    <w:p w14:paraId="47DF3ABF" w14:textId="77777777" w:rsidR="0098300F" w:rsidRPr="0098300F" w:rsidRDefault="0098300F" w:rsidP="0098300F">
      <w:pPr>
        <w:pStyle w:val="Heading2"/>
        <w:rPr>
          <w:lang w:val="en-US"/>
        </w:rPr>
      </w:pPr>
      <w:bookmarkStart w:id="36" w:name="_Toc224742661"/>
      <w:r w:rsidRPr="0098300F">
        <w:rPr>
          <w:lang w:val="en-US"/>
        </w:rPr>
        <w:t>2.1 Description</w:t>
      </w:r>
      <w:bookmarkEnd w:id="36"/>
    </w:p>
    <w:p w14:paraId="59DD7DF6" w14:textId="77777777" w:rsidR="0098300F" w:rsidRPr="0098300F" w:rsidRDefault="0098300F" w:rsidP="0098300F">
      <w:pPr>
        <w:spacing w:before="240" w:line="360" w:lineRule="auto"/>
        <w:jc w:val="both"/>
        <w:rPr>
          <w:rFonts w:ascii="Arial" w:hAnsi="Arial" w:cs="Arial"/>
          <w:color w:val="000000" w:themeColor="text1"/>
          <w:sz w:val="24"/>
          <w:szCs w:val="24"/>
          <w:lang w:val="en-US"/>
        </w:rPr>
      </w:pPr>
      <w:r w:rsidRPr="0098300F">
        <w:rPr>
          <w:rFonts w:ascii="Arial" w:hAnsi="Arial" w:cs="Arial"/>
          <w:color w:val="000000" w:themeColor="text1"/>
          <w:sz w:val="24"/>
          <w:szCs w:val="24"/>
          <w:lang w:val="en-US"/>
        </w:rPr>
        <w:t xml:space="preserve">The report entailed an </w:t>
      </w:r>
      <w:proofErr w:type="spellStart"/>
      <w:r w:rsidRPr="0098300F">
        <w:rPr>
          <w:rFonts w:ascii="Arial" w:hAnsi="Arial" w:cs="Arial"/>
          <w:color w:val="000000" w:themeColor="text1"/>
          <w:sz w:val="24"/>
          <w:szCs w:val="24"/>
          <w:lang w:val="en-US"/>
        </w:rPr>
        <w:t>organised</w:t>
      </w:r>
      <w:proofErr w:type="spellEnd"/>
      <w:r w:rsidRPr="0098300F">
        <w:rPr>
          <w:rFonts w:ascii="Arial" w:hAnsi="Arial" w:cs="Arial"/>
          <w:color w:val="000000" w:themeColor="text1"/>
          <w:sz w:val="24"/>
          <w:szCs w:val="24"/>
          <w:lang w:val="en-US"/>
        </w:rPr>
        <w:t xml:space="preserve"> analysis of the automotive sector in Germany and its foreign multinationals in particular, as is the case of Tesla, Inc. Identification of a good industry-country combination regarding its international relevance, availability of good-quality data, and strategic presence of foreign MNCs started the process of research. The automotive industry of Germany was chosen because of its international importance, large coverage of the industry associations like </w:t>
      </w:r>
      <w:proofErr w:type="spellStart"/>
      <w:r w:rsidRPr="0098300F">
        <w:rPr>
          <w:rFonts w:ascii="Arial" w:hAnsi="Arial" w:cs="Arial"/>
          <w:color w:val="000000" w:themeColor="text1"/>
          <w:sz w:val="24"/>
          <w:szCs w:val="24"/>
          <w:lang w:val="en-US"/>
        </w:rPr>
        <w:t>Verband</w:t>
      </w:r>
      <w:proofErr w:type="spellEnd"/>
      <w:r w:rsidRPr="0098300F">
        <w:rPr>
          <w:rFonts w:ascii="Arial" w:hAnsi="Arial" w:cs="Arial"/>
          <w:color w:val="000000" w:themeColor="text1"/>
          <w:sz w:val="24"/>
          <w:szCs w:val="24"/>
          <w:lang w:val="en-US"/>
        </w:rPr>
        <w:t xml:space="preserve"> der </w:t>
      </w:r>
      <w:proofErr w:type="spellStart"/>
      <w:r w:rsidRPr="0098300F">
        <w:rPr>
          <w:rFonts w:ascii="Arial" w:hAnsi="Arial" w:cs="Arial"/>
          <w:color w:val="000000" w:themeColor="text1"/>
          <w:sz w:val="24"/>
          <w:szCs w:val="24"/>
          <w:lang w:val="en-US"/>
        </w:rPr>
        <w:t>Automobilindustrie</w:t>
      </w:r>
      <w:proofErr w:type="spellEnd"/>
      <w:r w:rsidRPr="0098300F">
        <w:rPr>
          <w:rFonts w:ascii="Arial" w:hAnsi="Arial" w:cs="Arial"/>
          <w:color w:val="000000" w:themeColor="text1"/>
          <w:sz w:val="24"/>
          <w:szCs w:val="24"/>
          <w:lang w:val="en-US"/>
        </w:rPr>
        <w:t xml:space="preserve"> (VDA) and the fact that Tesla has its Gigafactory Berlin-Brandenburg operational. To obtain quantitative and qualitative data, the sources of secondary data were </w:t>
      </w:r>
      <w:proofErr w:type="spellStart"/>
      <w:r w:rsidRPr="0098300F">
        <w:rPr>
          <w:rFonts w:ascii="Arial" w:hAnsi="Arial" w:cs="Arial"/>
          <w:color w:val="000000" w:themeColor="text1"/>
          <w:sz w:val="24"/>
          <w:szCs w:val="24"/>
          <w:lang w:val="en-US"/>
        </w:rPr>
        <w:t>analysed</w:t>
      </w:r>
      <w:proofErr w:type="spellEnd"/>
      <w:r w:rsidRPr="0098300F">
        <w:rPr>
          <w:rFonts w:ascii="Arial" w:hAnsi="Arial" w:cs="Arial"/>
          <w:color w:val="000000" w:themeColor="text1"/>
          <w:sz w:val="24"/>
          <w:szCs w:val="24"/>
          <w:lang w:val="en-US"/>
        </w:rPr>
        <w:t xml:space="preserve">, such as annual reports of corporations (2020–2024), academic journals, and well-established business media (Financial Times, The Economist, Reuters, and Harvard Business Review). The Porter Diamond Model and PESTLE analysis are two of the analytical frameworks that were used to investigate national competitiveness and the dynamics of operations by foreign MNCs. The information was </w:t>
      </w:r>
      <w:proofErr w:type="spellStart"/>
      <w:r w:rsidRPr="0098300F">
        <w:rPr>
          <w:rFonts w:ascii="Arial" w:hAnsi="Arial" w:cs="Arial"/>
          <w:color w:val="000000" w:themeColor="text1"/>
          <w:sz w:val="24"/>
          <w:szCs w:val="24"/>
          <w:lang w:val="en-US"/>
        </w:rPr>
        <w:t>organised</w:t>
      </w:r>
      <w:proofErr w:type="spellEnd"/>
      <w:r w:rsidRPr="0098300F">
        <w:rPr>
          <w:rFonts w:ascii="Arial" w:hAnsi="Arial" w:cs="Arial"/>
          <w:color w:val="000000" w:themeColor="text1"/>
          <w:sz w:val="24"/>
          <w:szCs w:val="24"/>
          <w:lang w:val="en-US"/>
        </w:rPr>
        <w:t xml:space="preserve"> into thematic groups – industry overview, firm-specific analysis and external environmental assessment – and comparative tables were provided to improve the clarity and help reach evidence-based conclusions.</w:t>
      </w:r>
    </w:p>
    <w:p w14:paraId="213638A3" w14:textId="77777777" w:rsidR="0098300F" w:rsidRPr="0098300F" w:rsidRDefault="0098300F" w:rsidP="0098300F">
      <w:pPr>
        <w:pStyle w:val="Heading2"/>
        <w:rPr>
          <w:lang w:val="en-US"/>
        </w:rPr>
      </w:pPr>
      <w:bookmarkStart w:id="37" w:name="_Toc224742662"/>
      <w:r w:rsidRPr="0098300F">
        <w:rPr>
          <w:lang w:val="en-US"/>
        </w:rPr>
        <w:t>2.2 Feelings</w:t>
      </w:r>
      <w:bookmarkEnd w:id="37"/>
    </w:p>
    <w:p w14:paraId="382778C4" w14:textId="77777777" w:rsidR="0098300F" w:rsidRPr="0098300F" w:rsidRDefault="0098300F" w:rsidP="0098300F">
      <w:pPr>
        <w:spacing w:before="240" w:line="360" w:lineRule="auto"/>
        <w:jc w:val="both"/>
        <w:rPr>
          <w:rFonts w:ascii="Arial" w:hAnsi="Arial" w:cs="Arial"/>
          <w:color w:val="000000" w:themeColor="text1"/>
          <w:sz w:val="24"/>
          <w:szCs w:val="24"/>
          <w:lang w:val="en-US"/>
        </w:rPr>
      </w:pPr>
      <w:r w:rsidRPr="0098300F">
        <w:rPr>
          <w:rFonts w:ascii="Arial" w:hAnsi="Arial" w:cs="Arial"/>
          <w:color w:val="000000" w:themeColor="text1"/>
          <w:sz w:val="24"/>
          <w:szCs w:val="24"/>
          <w:lang w:val="en-US"/>
        </w:rPr>
        <w:t>First, the selection of the automotive industry of Germany ensured the confidence because of the amount of publicly available information. Nevertheless, there was difficulty in the accuracy and freshness of Tesla-specific data, especially when it comes to the local operation plans and Tesla product output at the Gigafactory. Stability with the UWTSD Harvard referencing style was yet another level of accuracy that was necessary in the sources' compilation process. In the process, the combination of various analytical frameworks increased the level of insights and methodological confidence. At the same time, the task of critical synthesis turned out not to be an easy one and demanded a thorough consideration of the contradictory or incomplete information, especially in the context of the quickly changing EV market and the changes in the global supply chains.</w:t>
      </w:r>
    </w:p>
    <w:p w14:paraId="5D50CFD8" w14:textId="77777777" w:rsidR="0098300F" w:rsidRPr="0098300F" w:rsidRDefault="0098300F" w:rsidP="0098300F">
      <w:pPr>
        <w:pStyle w:val="Heading2"/>
        <w:rPr>
          <w:lang w:val="en-US"/>
        </w:rPr>
      </w:pPr>
      <w:bookmarkStart w:id="38" w:name="_Toc224742663"/>
      <w:r w:rsidRPr="0098300F">
        <w:rPr>
          <w:lang w:val="en-US"/>
        </w:rPr>
        <w:lastRenderedPageBreak/>
        <w:t>2.3 Evaluation</w:t>
      </w:r>
      <w:bookmarkEnd w:id="38"/>
    </w:p>
    <w:p w14:paraId="004266BE" w14:textId="77777777" w:rsidR="0098300F" w:rsidRPr="0098300F" w:rsidRDefault="0098300F" w:rsidP="0098300F">
      <w:pPr>
        <w:spacing w:before="240" w:line="360" w:lineRule="auto"/>
        <w:jc w:val="both"/>
        <w:rPr>
          <w:rFonts w:ascii="Arial" w:hAnsi="Arial" w:cs="Arial"/>
          <w:color w:val="000000" w:themeColor="text1"/>
          <w:sz w:val="24"/>
          <w:szCs w:val="24"/>
          <w:lang w:val="en-US"/>
        </w:rPr>
      </w:pPr>
      <w:r w:rsidRPr="0098300F">
        <w:rPr>
          <w:rFonts w:ascii="Arial" w:hAnsi="Arial" w:cs="Arial"/>
          <w:color w:val="000000" w:themeColor="text1"/>
          <w:sz w:val="24"/>
          <w:szCs w:val="24"/>
          <w:lang w:val="en-US"/>
        </w:rPr>
        <w:t xml:space="preserve">There were a number of strengths in the research process. To begin with, high reliability and credibility were achieved because of employing primary data sources such as annual reports of Tesla and governmental publications on the industry. Secondly, systematic application of the Porter Diamond and PESTLE models gave orderly data regarding the national competitiveness as well as the operational issues of foreign MNCs. Third, the presence of quantitative data (amounts of production, financial indicators, the rate of EV adoption, etc.) and a qualitative contextual analysis contributed to the strengthening of analytical </w:t>
      </w:r>
      <w:proofErr w:type="spellStart"/>
      <w:r w:rsidRPr="0098300F">
        <w:rPr>
          <w:rFonts w:ascii="Arial" w:hAnsi="Arial" w:cs="Arial"/>
          <w:color w:val="000000" w:themeColor="text1"/>
          <w:sz w:val="24"/>
          <w:szCs w:val="24"/>
          <w:lang w:val="en-US"/>
        </w:rPr>
        <w:t>rigour</w:t>
      </w:r>
      <w:proofErr w:type="spellEnd"/>
      <w:r w:rsidRPr="0098300F">
        <w:rPr>
          <w:rFonts w:ascii="Arial" w:hAnsi="Arial" w:cs="Arial"/>
          <w:color w:val="000000" w:themeColor="text1"/>
          <w:sz w:val="24"/>
          <w:szCs w:val="24"/>
          <w:lang w:val="en-US"/>
        </w:rPr>
        <w:t xml:space="preserve">. Nevertheless, there were some constraints. Tesla's local operational strategies were not well documented as compared to domestic OEMs, so they had to be inferred carefully. Also, the fast-evolving geopolitical and EV markets were among the factors that ensured that some of the data points might have had a limited period of validity and thus needed to be cautiously interpreted. Lastly, </w:t>
      </w:r>
      <w:proofErr w:type="spellStart"/>
      <w:r w:rsidRPr="0098300F">
        <w:rPr>
          <w:rFonts w:ascii="Arial" w:hAnsi="Arial" w:cs="Arial"/>
          <w:color w:val="000000" w:themeColor="text1"/>
          <w:sz w:val="24"/>
          <w:szCs w:val="24"/>
          <w:lang w:val="en-US"/>
        </w:rPr>
        <w:t>synthesising</w:t>
      </w:r>
      <w:proofErr w:type="spellEnd"/>
      <w:r w:rsidRPr="0098300F">
        <w:rPr>
          <w:rFonts w:ascii="Arial" w:hAnsi="Arial" w:cs="Arial"/>
          <w:color w:val="000000" w:themeColor="text1"/>
          <w:sz w:val="24"/>
          <w:szCs w:val="24"/>
          <w:lang w:val="en-US"/>
        </w:rPr>
        <w:t xml:space="preserve"> several sources and models was time consuming and demanded an exceptionally high degree of order to ensure consistency and analysis.</w:t>
      </w:r>
    </w:p>
    <w:p w14:paraId="0E6C2F43" w14:textId="77777777" w:rsidR="0098300F" w:rsidRPr="0098300F" w:rsidRDefault="0098300F" w:rsidP="0098300F">
      <w:pPr>
        <w:pStyle w:val="Heading2"/>
        <w:rPr>
          <w:lang w:val="en-US"/>
        </w:rPr>
      </w:pPr>
      <w:bookmarkStart w:id="39" w:name="_Toc224742664"/>
      <w:r w:rsidRPr="0098300F">
        <w:rPr>
          <w:lang w:val="en-US"/>
        </w:rPr>
        <w:t>2.4 Analysis</w:t>
      </w:r>
      <w:bookmarkEnd w:id="39"/>
    </w:p>
    <w:p w14:paraId="675DE592" w14:textId="77777777" w:rsidR="0098300F" w:rsidRPr="0098300F" w:rsidRDefault="0098300F" w:rsidP="0098300F">
      <w:pPr>
        <w:spacing w:before="240" w:line="360" w:lineRule="auto"/>
        <w:jc w:val="both"/>
        <w:rPr>
          <w:rFonts w:ascii="Arial" w:hAnsi="Arial" w:cs="Arial"/>
          <w:color w:val="000000" w:themeColor="text1"/>
          <w:sz w:val="24"/>
          <w:szCs w:val="24"/>
          <w:lang w:val="en-US"/>
        </w:rPr>
      </w:pPr>
      <w:r w:rsidRPr="0098300F">
        <w:rPr>
          <w:rFonts w:ascii="Arial" w:hAnsi="Arial" w:cs="Arial"/>
          <w:color w:val="000000" w:themeColor="text1"/>
          <w:sz w:val="24"/>
          <w:szCs w:val="24"/>
          <w:lang w:val="en-US"/>
        </w:rPr>
        <w:t xml:space="preserve">There are several learning outcomes that were identified through critical reflection. The need to have the triangulation of various sources was critical in terms of determining the reliability of the industry and firm-level analysis, especially in exploring foreign MNC activity. The comparative analysis of Tesla and local OEMs helped to understand the connection between </w:t>
      </w:r>
      <w:proofErr w:type="spellStart"/>
      <w:r w:rsidRPr="0098300F">
        <w:rPr>
          <w:rFonts w:ascii="Arial" w:hAnsi="Arial" w:cs="Arial"/>
          <w:color w:val="000000" w:themeColor="text1"/>
          <w:sz w:val="24"/>
          <w:szCs w:val="24"/>
          <w:lang w:val="en-US"/>
        </w:rPr>
        <w:t>organisational</w:t>
      </w:r>
      <w:proofErr w:type="spellEnd"/>
      <w:r w:rsidRPr="0098300F">
        <w:rPr>
          <w:rFonts w:ascii="Arial" w:hAnsi="Arial" w:cs="Arial"/>
          <w:color w:val="000000" w:themeColor="text1"/>
          <w:sz w:val="24"/>
          <w:szCs w:val="24"/>
          <w:lang w:val="en-US"/>
        </w:rPr>
        <w:t xml:space="preserve"> strengths, operational strategy, and the competitive market positioning. By applying the Diamond Model developed by Porter, it was possible to systematically comprehend the conditions of factors, sophistication of domestic demand, supporting industries and domestic competition, which demonstrated how these factors explain how Germany has managed to remain at the forefront of the automotive industry. The PESTLE analysis was a functional tool to consider the political, economic, legal, social, and technological factors that limited the performance of Tesla. The reflection process highlighted that to succeed in the foreign markets, the corporation should be strategically aligned with the local regulatory factors, cultural demands, and infrastructural factors. Also, the systematic academic writing and logical flow of information played a crucial role in the </w:t>
      </w:r>
      <w:r w:rsidRPr="0098300F">
        <w:rPr>
          <w:rFonts w:ascii="Arial" w:hAnsi="Arial" w:cs="Arial"/>
          <w:color w:val="000000" w:themeColor="text1"/>
          <w:sz w:val="24"/>
          <w:szCs w:val="24"/>
          <w:lang w:val="en-US"/>
        </w:rPr>
        <w:lastRenderedPageBreak/>
        <w:t>presentation of complex and multi-source evidence. The combination of the qualitative and quantitative evidence enhanced the quality of the report and its analytical nature.</w:t>
      </w:r>
    </w:p>
    <w:p w14:paraId="183CFE25" w14:textId="77777777" w:rsidR="0098300F" w:rsidRPr="0098300F" w:rsidRDefault="0098300F" w:rsidP="0098300F">
      <w:pPr>
        <w:pStyle w:val="Heading2"/>
        <w:rPr>
          <w:lang w:val="en-US"/>
        </w:rPr>
      </w:pPr>
      <w:bookmarkStart w:id="40" w:name="_Toc224742665"/>
      <w:r w:rsidRPr="0098300F">
        <w:rPr>
          <w:lang w:val="en-US"/>
        </w:rPr>
        <w:t>2.5 Conclusion</w:t>
      </w:r>
      <w:bookmarkEnd w:id="40"/>
    </w:p>
    <w:p w14:paraId="76EE90E7" w14:textId="77777777" w:rsidR="0098300F" w:rsidRPr="0098300F" w:rsidRDefault="0098300F" w:rsidP="0098300F">
      <w:pPr>
        <w:spacing w:before="240" w:line="360" w:lineRule="auto"/>
        <w:jc w:val="both"/>
        <w:rPr>
          <w:rFonts w:ascii="Arial" w:hAnsi="Arial" w:cs="Arial"/>
          <w:color w:val="000000" w:themeColor="text1"/>
          <w:sz w:val="24"/>
          <w:szCs w:val="24"/>
          <w:lang w:val="en-US"/>
        </w:rPr>
      </w:pPr>
      <w:r w:rsidRPr="0098300F">
        <w:rPr>
          <w:rFonts w:ascii="Arial" w:hAnsi="Arial" w:cs="Arial"/>
          <w:color w:val="000000" w:themeColor="text1"/>
          <w:sz w:val="24"/>
          <w:szCs w:val="24"/>
          <w:lang w:val="en-US"/>
        </w:rPr>
        <w:t xml:space="preserve">The reflective practice is proven to support the fact that analytical reports with high quality demand a systematic and evidence-based approach. The meticulous choice of industry and country, the analysis of reliable literature, and the sensible use of analysis models helped to obtain the complete picture of the automotive market in Germany and the Tesla dynamics in its operations. The gap caused by limitations in the data and market volatility were all counteracted by critical analysis, cross-referencing and critical interpretation. This practice also helped me to </w:t>
      </w:r>
      <w:proofErr w:type="spellStart"/>
      <w:r w:rsidRPr="0098300F">
        <w:rPr>
          <w:rFonts w:ascii="Arial" w:hAnsi="Arial" w:cs="Arial"/>
          <w:color w:val="000000" w:themeColor="text1"/>
          <w:sz w:val="24"/>
          <w:szCs w:val="24"/>
          <w:lang w:val="en-US"/>
        </w:rPr>
        <w:t>synthesise</w:t>
      </w:r>
      <w:proofErr w:type="spellEnd"/>
      <w:r w:rsidRPr="0098300F">
        <w:rPr>
          <w:rFonts w:ascii="Arial" w:hAnsi="Arial" w:cs="Arial"/>
          <w:color w:val="000000" w:themeColor="text1"/>
          <w:sz w:val="24"/>
          <w:szCs w:val="24"/>
          <w:lang w:val="en-US"/>
        </w:rPr>
        <w:t xml:space="preserve"> complex information, </w:t>
      </w:r>
      <w:proofErr w:type="spellStart"/>
      <w:r w:rsidRPr="0098300F">
        <w:rPr>
          <w:rFonts w:ascii="Arial" w:hAnsi="Arial" w:cs="Arial"/>
          <w:color w:val="000000" w:themeColor="text1"/>
          <w:sz w:val="24"/>
          <w:szCs w:val="24"/>
          <w:lang w:val="en-US"/>
        </w:rPr>
        <w:t>analyse</w:t>
      </w:r>
      <w:proofErr w:type="spellEnd"/>
      <w:r w:rsidRPr="0098300F">
        <w:rPr>
          <w:rFonts w:ascii="Arial" w:hAnsi="Arial" w:cs="Arial"/>
          <w:color w:val="000000" w:themeColor="text1"/>
          <w:sz w:val="24"/>
          <w:szCs w:val="24"/>
          <w:lang w:val="en-US"/>
        </w:rPr>
        <w:t xml:space="preserve"> industry and firm-level dynamics critically and report findings in a well-</w:t>
      </w:r>
      <w:proofErr w:type="spellStart"/>
      <w:r w:rsidRPr="0098300F">
        <w:rPr>
          <w:rFonts w:ascii="Arial" w:hAnsi="Arial" w:cs="Arial"/>
          <w:color w:val="000000" w:themeColor="text1"/>
          <w:sz w:val="24"/>
          <w:szCs w:val="24"/>
          <w:lang w:val="en-US"/>
        </w:rPr>
        <w:t>organised</w:t>
      </w:r>
      <w:proofErr w:type="spellEnd"/>
      <w:r w:rsidRPr="0098300F">
        <w:rPr>
          <w:rFonts w:ascii="Arial" w:hAnsi="Arial" w:cs="Arial"/>
          <w:color w:val="000000" w:themeColor="text1"/>
          <w:sz w:val="24"/>
          <w:szCs w:val="24"/>
          <w:lang w:val="en-US"/>
        </w:rPr>
        <w:t xml:space="preserve"> and scholarly way.</w:t>
      </w:r>
    </w:p>
    <w:p w14:paraId="3939E85A" w14:textId="77777777" w:rsidR="0098300F" w:rsidRPr="0098300F" w:rsidRDefault="0098300F" w:rsidP="0098300F">
      <w:pPr>
        <w:pStyle w:val="Heading2"/>
        <w:rPr>
          <w:lang w:val="en-US"/>
        </w:rPr>
      </w:pPr>
      <w:bookmarkStart w:id="41" w:name="_Toc224742666"/>
      <w:r w:rsidRPr="0098300F">
        <w:rPr>
          <w:lang w:val="en-US"/>
        </w:rPr>
        <w:t>2.6 Action Plan</w:t>
      </w:r>
      <w:bookmarkEnd w:id="41"/>
    </w:p>
    <w:p w14:paraId="2CA26FE3" w14:textId="25CD957C" w:rsidR="005E1FC9" w:rsidRPr="008A70BC" w:rsidRDefault="0098300F" w:rsidP="005E1FC9">
      <w:pPr>
        <w:spacing w:before="240" w:line="360" w:lineRule="auto"/>
        <w:jc w:val="both"/>
        <w:rPr>
          <w:rFonts w:ascii="Arial" w:hAnsi="Arial" w:cs="Arial"/>
          <w:color w:val="000000" w:themeColor="text1"/>
          <w:sz w:val="24"/>
          <w:szCs w:val="24"/>
          <w:lang w:val="en-US"/>
        </w:rPr>
      </w:pPr>
      <w:r w:rsidRPr="0098300F">
        <w:rPr>
          <w:rFonts w:ascii="Arial" w:hAnsi="Arial" w:cs="Arial"/>
          <w:color w:val="000000" w:themeColor="text1"/>
          <w:sz w:val="24"/>
          <w:szCs w:val="24"/>
          <w:lang w:val="en-US"/>
        </w:rPr>
        <w:t xml:space="preserve">A number of refinements will be useful in future research projects. First, it will be more efficient and reliable by creating a developed data collection plan, that is, a claim-evidence matrix of each key statistic. Second, the research questions and methodological </w:t>
      </w:r>
      <w:proofErr w:type="spellStart"/>
      <w:r w:rsidRPr="0098300F">
        <w:rPr>
          <w:rFonts w:ascii="Arial" w:hAnsi="Arial" w:cs="Arial"/>
          <w:color w:val="000000" w:themeColor="text1"/>
          <w:sz w:val="24"/>
          <w:szCs w:val="24"/>
          <w:lang w:val="en-US"/>
        </w:rPr>
        <w:t>rigour</w:t>
      </w:r>
      <w:proofErr w:type="spellEnd"/>
      <w:r w:rsidRPr="0098300F">
        <w:rPr>
          <w:rFonts w:ascii="Arial" w:hAnsi="Arial" w:cs="Arial"/>
          <w:color w:val="000000" w:themeColor="text1"/>
          <w:sz w:val="24"/>
          <w:szCs w:val="24"/>
          <w:lang w:val="en-US"/>
        </w:rPr>
        <w:t xml:space="preserve"> will be aligned through a framework-selection protocol which will be used to select the analytical tools. Thirdly, the combination of primary research techniques, including the interviews with experts in the industry or the questionnaires of market participants, will enhance the contextual information, in particular, in the case of the foreign MNC operations. Fourth, there will be the use of interactive data </w:t>
      </w:r>
      <w:proofErr w:type="spellStart"/>
      <w:r w:rsidRPr="0098300F">
        <w:rPr>
          <w:rFonts w:ascii="Arial" w:hAnsi="Arial" w:cs="Arial"/>
          <w:color w:val="000000" w:themeColor="text1"/>
          <w:sz w:val="24"/>
          <w:szCs w:val="24"/>
          <w:lang w:val="en-US"/>
        </w:rPr>
        <w:t>visualisation</w:t>
      </w:r>
      <w:proofErr w:type="spellEnd"/>
      <w:r w:rsidRPr="0098300F">
        <w:rPr>
          <w:rFonts w:ascii="Arial" w:hAnsi="Arial" w:cs="Arial"/>
          <w:color w:val="000000" w:themeColor="text1"/>
          <w:sz w:val="24"/>
          <w:szCs w:val="24"/>
          <w:lang w:val="en-US"/>
        </w:rPr>
        <w:t xml:space="preserve"> tools and industry dashboards, which will lead to better interpretation and presentation of complex quantitative data. Finally, increased time management and foreseeing of various iterative analyses will be used to achieve coherence, allow critical reflection in a deeper sense, and allow theory and practice integration. A combination of these measures will improve the credibility, level of analysis, and professional relevance of the future analyses of international business.</w:t>
      </w:r>
    </w:p>
    <w:p w14:paraId="6EAB167A" w14:textId="77777777" w:rsidR="005E1FC9" w:rsidRPr="00833DE5" w:rsidRDefault="005E1FC9" w:rsidP="005E1FC9">
      <w:pPr>
        <w:spacing w:before="240" w:line="360" w:lineRule="auto"/>
        <w:jc w:val="both"/>
        <w:rPr>
          <w:rFonts w:ascii="Arial" w:hAnsi="Arial" w:cs="Arial"/>
          <w:color w:val="000000" w:themeColor="text1"/>
          <w:sz w:val="24"/>
          <w:szCs w:val="24"/>
          <w:lang w:val="en-US"/>
        </w:rPr>
      </w:pPr>
      <w:r w:rsidRPr="008D3FC7">
        <w:rPr>
          <w:rFonts w:ascii="Arial" w:hAnsi="Arial" w:cs="Arial"/>
          <w:color w:val="000000" w:themeColor="text1"/>
          <w:sz w:val="24"/>
          <w:szCs w:val="24"/>
        </w:rPr>
        <w:br w:type="page"/>
      </w:r>
    </w:p>
    <w:p w14:paraId="348A3D4F" w14:textId="77777777" w:rsidR="005E1FC9" w:rsidRPr="00294F8F" w:rsidRDefault="005E1FC9" w:rsidP="0098300F">
      <w:pPr>
        <w:pStyle w:val="Heading1"/>
      </w:pPr>
      <w:bookmarkStart w:id="42" w:name="_Toc224742667"/>
      <w:r w:rsidRPr="0098300F">
        <w:lastRenderedPageBreak/>
        <w:t>Reference</w:t>
      </w:r>
      <w:bookmarkEnd w:id="42"/>
    </w:p>
    <w:p w14:paraId="098CB8EF"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ACEA (2023) </w:t>
      </w:r>
      <w:r w:rsidRPr="00470495">
        <w:rPr>
          <w:rFonts w:ascii="Arial" w:hAnsi="Arial" w:cs="Arial"/>
          <w:i/>
          <w:iCs/>
          <w:color w:val="000000" w:themeColor="text1"/>
          <w:lang w:val="en-US"/>
        </w:rPr>
        <w:t>Vehicles in use Europe 2023</w:t>
      </w:r>
      <w:r w:rsidRPr="00470495">
        <w:rPr>
          <w:rFonts w:ascii="Arial" w:hAnsi="Arial" w:cs="Arial"/>
          <w:color w:val="000000" w:themeColor="text1"/>
          <w:lang w:val="en-US"/>
        </w:rPr>
        <w:t xml:space="preserve">. Available at: </w:t>
      </w:r>
      <w:hyperlink r:id="rId9" w:tgtFrame="_new" w:history="1">
        <w:r w:rsidRPr="00470495">
          <w:rPr>
            <w:rStyle w:val="Hyperlink"/>
            <w:rFonts w:ascii="Arial" w:hAnsi="Arial" w:cs="Arial"/>
            <w:lang w:val="en-US"/>
          </w:rPr>
          <w:t>https://www.acea.auto</w:t>
        </w:r>
      </w:hyperlink>
      <w:r w:rsidRPr="00470495">
        <w:rPr>
          <w:rFonts w:ascii="Arial" w:hAnsi="Arial" w:cs="Arial"/>
          <w:color w:val="000000" w:themeColor="text1"/>
          <w:lang w:val="en-US"/>
        </w:rPr>
        <w:t xml:space="preserve"> (Accessed: 28 February 2026).</w:t>
      </w:r>
    </w:p>
    <w:p w14:paraId="769F6284"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BMW Group (2023) </w:t>
      </w:r>
      <w:r w:rsidRPr="00470495">
        <w:rPr>
          <w:rFonts w:ascii="Arial" w:hAnsi="Arial" w:cs="Arial"/>
          <w:i/>
          <w:iCs/>
          <w:color w:val="000000" w:themeColor="text1"/>
          <w:lang w:val="en-US"/>
        </w:rPr>
        <w:t>Annual Report 2023</w:t>
      </w:r>
      <w:r w:rsidRPr="00470495">
        <w:rPr>
          <w:rFonts w:ascii="Arial" w:hAnsi="Arial" w:cs="Arial"/>
          <w:color w:val="000000" w:themeColor="text1"/>
          <w:lang w:val="en-US"/>
        </w:rPr>
        <w:t xml:space="preserve">. Available at: </w:t>
      </w:r>
      <w:hyperlink r:id="rId10" w:tgtFrame="_new" w:history="1">
        <w:r w:rsidRPr="00470495">
          <w:rPr>
            <w:rStyle w:val="Hyperlink"/>
            <w:rFonts w:ascii="Arial" w:hAnsi="Arial" w:cs="Arial"/>
            <w:lang w:val="en-US"/>
          </w:rPr>
          <w:t>https://www.bmwgroup.com</w:t>
        </w:r>
      </w:hyperlink>
      <w:r w:rsidRPr="00470495">
        <w:rPr>
          <w:rFonts w:ascii="Arial" w:hAnsi="Arial" w:cs="Arial"/>
          <w:color w:val="000000" w:themeColor="text1"/>
          <w:lang w:val="en-US"/>
        </w:rPr>
        <w:t xml:space="preserve"> (Accessed: 28 February 2026).</w:t>
      </w:r>
    </w:p>
    <w:p w14:paraId="5B935CE9"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Financial Times (2023) ‘Volkswagen’s EV profitability challenge’. Available at: </w:t>
      </w:r>
      <w:hyperlink r:id="rId11" w:tgtFrame="_new" w:history="1">
        <w:r w:rsidRPr="00470495">
          <w:rPr>
            <w:rStyle w:val="Hyperlink"/>
            <w:rFonts w:ascii="Arial" w:hAnsi="Arial" w:cs="Arial"/>
            <w:lang w:val="en-US"/>
          </w:rPr>
          <w:t>https://www.ft.com</w:t>
        </w:r>
      </w:hyperlink>
      <w:r w:rsidRPr="00470495">
        <w:rPr>
          <w:rFonts w:ascii="Arial" w:hAnsi="Arial" w:cs="Arial"/>
          <w:color w:val="000000" w:themeColor="text1"/>
          <w:lang w:val="en-US"/>
        </w:rPr>
        <w:t xml:space="preserve"> (Accessed: 28 February 2026).</w:t>
      </w:r>
    </w:p>
    <w:p w14:paraId="3F603355"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Financial Times (2024) ‘Chinese EV makers expand in Europe’. Available at: </w:t>
      </w:r>
      <w:hyperlink r:id="rId12" w:tgtFrame="_new" w:history="1">
        <w:r w:rsidRPr="00470495">
          <w:rPr>
            <w:rStyle w:val="Hyperlink"/>
            <w:rFonts w:ascii="Arial" w:hAnsi="Arial" w:cs="Arial"/>
            <w:lang w:val="en-US"/>
          </w:rPr>
          <w:t>https://www.ft.com</w:t>
        </w:r>
      </w:hyperlink>
      <w:r w:rsidRPr="00470495">
        <w:rPr>
          <w:rFonts w:ascii="Arial" w:hAnsi="Arial" w:cs="Arial"/>
          <w:color w:val="000000" w:themeColor="text1"/>
          <w:lang w:val="en-US"/>
        </w:rPr>
        <w:t xml:space="preserve"> (Accessed: 28 February 2026).</w:t>
      </w:r>
    </w:p>
    <w:p w14:paraId="689E11CD"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Forbes (2024) ‘BMW’s EV strategy and performance update’. Available at: </w:t>
      </w:r>
      <w:hyperlink r:id="rId13" w:tgtFrame="_new" w:history="1">
        <w:r w:rsidRPr="00470495">
          <w:rPr>
            <w:rStyle w:val="Hyperlink"/>
            <w:rFonts w:ascii="Arial" w:hAnsi="Arial" w:cs="Arial"/>
            <w:lang w:val="en-US"/>
          </w:rPr>
          <w:t>https://www.forbes.com</w:t>
        </w:r>
      </w:hyperlink>
      <w:r w:rsidRPr="00470495">
        <w:rPr>
          <w:rFonts w:ascii="Arial" w:hAnsi="Arial" w:cs="Arial"/>
          <w:color w:val="000000" w:themeColor="text1"/>
          <w:lang w:val="en-US"/>
        </w:rPr>
        <w:t xml:space="preserve"> (Accessed: 28 February 2026).</w:t>
      </w:r>
    </w:p>
    <w:p w14:paraId="131DE215"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Mercedes-Benz Group (2023) </w:t>
      </w:r>
      <w:r w:rsidRPr="00470495">
        <w:rPr>
          <w:rFonts w:ascii="Arial" w:hAnsi="Arial" w:cs="Arial"/>
          <w:i/>
          <w:iCs/>
          <w:color w:val="000000" w:themeColor="text1"/>
          <w:lang w:val="en-US"/>
        </w:rPr>
        <w:t>Annual Report 2023</w:t>
      </w:r>
      <w:r w:rsidRPr="00470495">
        <w:rPr>
          <w:rFonts w:ascii="Arial" w:hAnsi="Arial" w:cs="Arial"/>
          <w:color w:val="000000" w:themeColor="text1"/>
          <w:lang w:val="en-US"/>
        </w:rPr>
        <w:t xml:space="preserve">. Available at: </w:t>
      </w:r>
      <w:hyperlink r:id="rId14" w:tgtFrame="_new" w:history="1">
        <w:r w:rsidRPr="00470495">
          <w:rPr>
            <w:rStyle w:val="Hyperlink"/>
            <w:rFonts w:ascii="Arial" w:hAnsi="Arial" w:cs="Arial"/>
            <w:lang w:val="en-US"/>
          </w:rPr>
          <w:t>https://group.mercedes-benz.com</w:t>
        </w:r>
      </w:hyperlink>
      <w:r w:rsidRPr="00470495">
        <w:rPr>
          <w:rFonts w:ascii="Arial" w:hAnsi="Arial" w:cs="Arial"/>
          <w:color w:val="000000" w:themeColor="text1"/>
          <w:lang w:val="en-US"/>
        </w:rPr>
        <w:t xml:space="preserve"> (Accessed: 28 February 2026).</w:t>
      </w:r>
    </w:p>
    <w:p w14:paraId="7C76F5B9"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The Economist (2023) ‘Germany’s car industry and the electric transition’. Available at: </w:t>
      </w:r>
      <w:hyperlink r:id="rId15" w:tgtFrame="_new" w:history="1">
        <w:r w:rsidRPr="00470495">
          <w:rPr>
            <w:rStyle w:val="Hyperlink"/>
            <w:rFonts w:ascii="Arial" w:hAnsi="Arial" w:cs="Arial"/>
            <w:lang w:val="en-US"/>
          </w:rPr>
          <w:t>https://www.economist.com</w:t>
        </w:r>
      </w:hyperlink>
      <w:r w:rsidRPr="00470495">
        <w:rPr>
          <w:rFonts w:ascii="Arial" w:hAnsi="Arial" w:cs="Arial"/>
          <w:color w:val="000000" w:themeColor="text1"/>
          <w:lang w:val="en-US"/>
        </w:rPr>
        <w:t xml:space="preserve"> (Accessed: 28 February 2026).</w:t>
      </w:r>
    </w:p>
    <w:p w14:paraId="7ABDBFF3"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Volkswagen AG (2023) </w:t>
      </w:r>
      <w:r w:rsidRPr="00470495">
        <w:rPr>
          <w:rFonts w:ascii="Arial" w:hAnsi="Arial" w:cs="Arial"/>
          <w:i/>
          <w:iCs/>
          <w:color w:val="000000" w:themeColor="text1"/>
          <w:lang w:val="en-US"/>
        </w:rPr>
        <w:t>Annual Report 2023</w:t>
      </w:r>
      <w:r w:rsidRPr="00470495">
        <w:rPr>
          <w:rFonts w:ascii="Arial" w:hAnsi="Arial" w:cs="Arial"/>
          <w:color w:val="000000" w:themeColor="text1"/>
          <w:lang w:val="en-US"/>
        </w:rPr>
        <w:t>. Available at: https://www.volkswagenag.com (Accessed: 28 February 2026).</w:t>
      </w:r>
    </w:p>
    <w:p w14:paraId="5C79D652"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VDA (2023) </w:t>
      </w:r>
      <w:r w:rsidRPr="00470495">
        <w:rPr>
          <w:rFonts w:ascii="Arial" w:hAnsi="Arial" w:cs="Arial"/>
          <w:i/>
          <w:iCs/>
          <w:color w:val="000000" w:themeColor="text1"/>
          <w:lang w:val="en-US"/>
        </w:rPr>
        <w:t>German Automotive Industry Report 2023</w:t>
      </w:r>
      <w:r w:rsidRPr="00470495">
        <w:rPr>
          <w:rFonts w:ascii="Arial" w:hAnsi="Arial" w:cs="Arial"/>
          <w:color w:val="000000" w:themeColor="text1"/>
          <w:lang w:val="en-US"/>
        </w:rPr>
        <w:t xml:space="preserve">. Available at: </w:t>
      </w:r>
      <w:hyperlink r:id="rId16" w:tgtFrame="_new" w:history="1">
        <w:r w:rsidRPr="00470495">
          <w:rPr>
            <w:rStyle w:val="Hyperlink"/>
            <w:rFonts w:ascii="Arial" w:hAnsi="Arial" w:cs="Arial"/>
            <w:lang w:val="en-US"/>
          </w:rPr>
          <w:t>https://www.vda.de</w:t>
        </w:r>
      </w:hyperlink>
      <w:r w:rsidRPr="00470495">
        <w:rPr>
          <w:rFonts w:ascii="Arial" w:hAnsi="Arial" w:cs="Arial"/>
          <w:color w:val="000000" w:themeColor="text1"/>
          <w:lang w:val="en-US"/>
        </w:rPr>
        <w:t xml:space="preserve"> (Accessed: 28 February 2026).</w:t>
      </w:r>
    </w:p>
    <w:p w14:paraId="21CC8BE6"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t xml:space="preserve">Investopedia (2009) </w:t>
      </w:r>
      <w:r w:rsidRPr="0052577F">
        <w:rPr>
          <w:rFonts w:ascii="Arial" w:hAnsi="Arial" w:cs="Arial"/>
          <w:i/>
          <w:iCs/>
          <w:color w:val="000000" w:themeColor="text1"/>
          <w:lang w:val="en-US"/>
        </w:rPr>
        <w:t>Understanding the National Diamond Theory of Competitive Advantage</w:t>
      </w:r>
      <w:r w:rsidRPr="0052577F">
        <w:rPr>
          <w:rFonts w:ascii="Arial" w:hAnsi="Arial" w:cs="Arial"/>
          <w:color w:val="000000" w:themeColor="text1"/>
          <w:lang w:val="en-US"/>
        </w:rPr>
        <w:t xml:space="preserve">. Available at: </w:t>
      </w:r>
      <w:hyperlink r:id="rId17" w:tgtFrame="_new" w:history="1">
        <w:r w:rsidRPr="0052577F">
          <w:rPr>
            <w:rStyle w:val="Hyperlink"/>
            <w:rFonts w:ascii="Arial" w:hAnsi="Arial" w:cs="Arial"/>
            <w:lang w:val="en-US"/>
          </w:rPr>
          <w:t>https://www.investopedia.com/terms/n/national-diamond.asp</w:t>
        </w:r>
      </w:hyperlink>
      <w:r w:rsidRPr="0052577F">
        <w:rPr>
          <w:rFonts w:ascii="Arial" w:hAnsi="Arial" w:cs="Arial"/>
          <w:color w:val="000000" w:themeColor="text1"/>
          <w:lang w:val="en-US"/>
        </w:rPr>
        <w:t xml:space="preserve"> (Accessed: 28 February 2026). </w:t>
      </w:r>
    </w:p>
    <w:p w14:paraId="3F1FABFB"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t xml:space="preserve">Germany Trade &amp; Invest (2025) </w:t>
      </w:r>
      <w:r w:rsidRPr="0052577F">
        <w:rPr>
          <w:rFonts w:ascii="Arial" w:hAnsi="Arial" w:cs="Arial"/>
          <w:i/>
          <w:iCs/>
          <w:color w:val="000000" w:themeColor="text1"/>
          <w:lang w:val="en-US"/>
        </w:rPr>
        <w:t>The Automotive Industry in Germany</w:t>
      </w:r>
      <w:r w:rsidRPr="0052577F">
        <w:rPr>
          <w:rFonts w:ascii="Arial" w:hAnsi="Arial" w:cs="Arial"/>
          <w:color w:val="000000" w:themeColor="text1"/>
          <w:lang w:val="en-US"/>
        </w:rPr>
        <w:t xml:space="preserve">. Available at: </w:t>
      </w:r>
      <w:hyperlink r:id="rId18" w:tgtFrame="_new" w:history="1">
        <w:r w:rsidRPr="0052577F">
          <w:rPr>
            <w:rStyle w:val="Hyperlink"/>
            <w:rFonts w:ascii="Arial" w:hAnsi="Arial" w:cs="Arial"/>
            <w:lang w:val="en-US"/>
          </w:rPr>
          <w:t>https://www.gtai.de/resource/blob/64100/ebdfca790aa0df33b694bfc4e653f998/20250520_IO_Automotive_WEB.pdf</w:t>
        </w:r>
      </w:hyperlink>
      <w:r w:rsidRPr="0052577F">
        <w:rPr>
          <w:rFonts w:ascii="Arial" w:hAnsi="Arial" w:cs="Arial"/>
          <w:color w:val="000000" w:themeColor="text1"/>
          <w:lang w:val="en-US"/>
        </w:rPr>
        <w:t xml:space="preserve"> (Accessed: 28 February 2026). </w:t>
      </w:r>
    </w:p>
    <w:p w14:paraId="3D158337"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lastRenderedPageBreak/>
        <w:t xml:space="preserve">VDA (2023) </w:t>
      </w:r>
      <w:r w:rsidRPr="0052577F">
        <w:rPr>
          <w:rFonts w:ascii="Arial" w:hAnsi="Arial" w:cs="Arial"/>
          <w:i/>
          <w:iCs/>
          <w:color w:val="000000" w:themeColor="text1"/>
          <w:lang w:val="en-US"/>
        </w:rPr>
        <w:t>The German automotive industry</w:t>
      </w:r>
      <w:r w:rsidRPr="0052577F">
        <w:rPr>
          <w:rFonts w:ascii="Arial" w:hAnsi="Arial" w:cs="Arial"/>
          <w:color w:val="000000" w:themeColor="text1"/>
          <w:lang w:val="en-US"/>
        </w:rPr>
        <w:t xml:space="preserve">. </w:t>
      </w:r>
      <w:proofErr w:type="spellStart"/>
      <w:r w:rsidRPr="0052577F">
        <w:rPr>
          <w:rFonts w:ascii="Arial" w:hAnsi="Arial" w:cs="Arial"/>
          <w:color w:val="000000" w:themeColor="text1"/>
          <w:lang w:val="en-US"/>
        </w:rPr>
        <w:t>Verband</w:t>
      </w:r>
      <w:proofErr w:type="spellEnd"/>
      <w:r w:rsidRPr="0052577F">
        <w:rPr>
          <w:rFonts w:ascii="Arial" w:hAnsi="Arial" w:cs="Arial"/>
          <w:color w:val="000000" w:themeColor="text1"/>
          <w:lang w:val="en-US"/>
        </w:rPr>
        <w:t xml:space="preserve"> der </w:t>
      </w:r>
      <w:proofErr w:type="spellStart"/>
      <w:r w:rsidRPr="0052577F">
        <w:rPr>
          <w:rFonts w:ascii="Arial" w:hAnsi="Arial" w:cs="Arial"/>
          <w:color w:val="000000" w:themeColor="text1"/>
          <w:lang w:val="en-US"/>
        </w:rPr>
        <w:t>Automobilindustrie</w:t>
      </w:r>
      <w:proofErr w:type="spellEnd"/>
      <w:r w:rsidRPr="0052577F">
        <w:rPr>
          <w:rFonts w:ascii="Arial" w:hAnsi="Arial" w:cs="Arial"/>
          <w:color w:val="000000" w:themeColor="text1"/>
          <w:lang w:val="en-US"/>
        </w:rPr>
        <w:t xml:space="preserve">. Available at: </w:t>
      </w:r>
      <w:hyperlink r:id="rId19" w:tgtFrame="_new" w:history="1">
        <w:r w:rsidRPr="0052577F">
          <w:rPr>
            <w:rStyle w:val="Hyperlink"/>
            <w:rFonts w:ascii="Arial" w:hAnsi="Arial" w:cs="Arial"/>
            <w:lang w:val="en-US"/>
          </w:rPr>
          <w:t>https://www.vda.de/en/topics/automotive-industry</w:t>
        </w:r>
      </w:hyperlink>
      <w:r w:rsidRPr="0052577F">
        <w:rPr>
          <w:rFonts w:ascii="Arial" w:hAnsi="Arial" w:cs="Arial"/>
          <w:color w:val="000000" w:themeColor="text1"/>
          <w:lang w:val="en-US"/>
        </w:rPr>
        <w:t xml:space="preserve"> (Accessed: 28 February 2026). </w:t>
      </w:r>
    </w:p>
    <w:p w14:paraId="7D57B64F"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t xml:space="preserve">Reuters (2026) ‘Germany ranks second worldwide for EV production in 2025’, </w:t>
      </w:r>
      <w:r w:rsidRPr="0052577F">
        <w:rPr>
          <w:rFonts w:ascii="Arial" w:hAnsi="Arial" w:cs="Arial"/>
          <w:i/>
          <w:iCs/>
          <w:color w:val="000000" w:themeColor="text1"/>
          <w:lang w:val="en-US"/>
        </w:rPr>
        <w:t>Reuters</w:t>
      </w:r>
      <w:r w:rsidRPr="0052577F">
        <w:rPr>
          <w:rFonts w:ascii="Arial" w:hAnsi="Arial" w:cs="Arial"/>
          <w:color w:val="000000" w:themeColor="text1"/>
          <w:lang w:val="en-US"/>
        </w:rPr>
        <w:t xml:space="preserve">, 4 February. Available at: </w:t>
      </w:r>
      <w:hyperlink r:id="rId20" w:tgtFrame="_new" w:history="1">
        <w:r w:rsidRPr="0052577F">
          <w:rPr>
            <w:rStyle w:val="Hyperlink"/>
            <w:rFonts w:ascii="Arial" w:hAnsi="Arial" w:cs="Arial"/>
            <w:lang w:val="en-US"/>
          </w:rPr>
          <w:t>https://www.reuters.com</w:t>
        </w:r>
      </w:hyperlink>
      <w:r w:rsidRPr="0052577F">
        <w:rPr>
          <w:rFonts w:ascii="Arial" w:hAnsi="Arial" w:cs="Arial"/>
          <w:color w:val="000000" w:themeColor="text1"/>
          <w:lang w:val="en-US"/>
        </w:rPr>
        <w:t xml:space="preserve"> (Accessed: 28 February 2026). </w:t>
      </w:r>
    </w:p>
    <w:p w14:paraId="27AF3AC7"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European Commission (2023) </w:t>
      </w:r>
      <w:r w:rsidRPr="006D1412">
        <w:rPr>
          <w:rFonts w:ascii="Arial" w:hAnsi="Arial" w:cs="Arial"/>
          <w:i/>
          <w:iCs/>
          <w:color w:val="000000" w:themeColor="text1"/>
          <w:lang w:val="en-US"/>
        </w:rPr>
        <w:t>Fit for 55: Delivering the EU’s 2030 climate target</w:t>
      </w:r>
      <w:r w:rsidRPr="006D1412">
        <w:rPr>
          <w:rFonts w:ascii="Arial" w:hAnsi="Arial" w:cs="Arial"/>
          <w:color w:val="000000" w:themeColor="text1"/>
          <w:lang w:val="en-US"/>
        </w:rPr>
        <w:t xml:space="preserve">. Available at: </w:t>
      </w:r>
      <w:hyperlink r:id="rId21" w:tgtFrame="_new" w:history="1">
        <w:r w:rsidRPr="006D1412">
          <w:rPr>
            <w:rStyle w:val="Hyperlink"/>
            <w:rFonts w:ascii="Arial" w:hAnsi="Arial" w:cs="Arial"/>
            <w:lang w:val="en-US"/>
          </w:rPr>
          <w:t>https://commission.europa.eu</w:t>
        </w:r>
      </w:hyperlink>
      <w:r w:rsidRPr="006D1412">
        <w:rPr>
          <w:rFonts w:ascii="Arial" w:hAnsi="Arial" w:cs="Arial"/>
          <w:color w:val="000000" w:themeColor="text1"/>
          <w:lang w:val="en-US"/>
        </w:rPr>
        <w:t xml:space="preserve"> (Accessed: 28 February 2026).</w:t>
      </w:r>
    </w:p>
    <w:p w14:paraId="086E9F91"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Financial Times (2024) </w:t>
      </w:r>
      <w:r w:rsidRPr="006D1412">
        <w:rPr>
          <w:rFonts w:ascii="Arial" w:hAnsi="Arial" w:cs="Arial"/>
          <w:i/>
          <w:iCs/>
          <w:color w:val="000000" w:themeColor="text1"/>
          <w:lang w:val="en-US"/>
        </w:rPr>
        <w:t>Tesla’s European price cuts intensify EV competition</w:t>
      </w:r>
      <w:r w:rsidRPr="006D1412">
        <w:rPr>
          <w:rFonts w:ascii="Arial" w:hAnsi="Arial" w:cs="Arial"/>
          <w:color w:val="000000" w:themeColor="text1"/>
          <w:lang w:val="en-US"/>
        </w:rPr>
        <w:t xml:space="preserve">. Available at: </w:t>
      </w:r>
      <w:hyperlink r:id="rId22" w:tgtFrame="_new" w:history="1">
        <w:r w:rsidRPr="006D1412">
          <w:rPr>
            <w:rStyle w:val="Hyperlink"/>
            <w:rFonts w:ascii="Arial" w:hAnsi="Arial" w:cs="Arial"/>
            <w:lang w:val="en-US"/>
          </w:rPr>
          <w:t>https://www.ft.com</w:t>
        </w:r>
      </w:hyperlink>
      <w:r w:rsidRPr="006D1412">
        <w:rPr>
          <w:rFonts w:ascii="Arial" w:hAnsi="Arial" w:cs="Arial"/>
          <w:color w:val="000000" w:themeColor="text1"/>
          <w:lang w:val="en-US"/>
        </w:rPr>
        <w:t xml:space="preserve"> (Accessed: 28 February 2026).</w:t>
      </w:r>
    </w:p>
    <w:p w14:paraId="16EC24CB"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Harvard Business Review (2021) </w:t>
      </w:r>
      <w:r w:rsidRPr="006D1412">
        <w:rPr>
          <w:rFonts w:ascii="Arial" w:hAnsi="Arial" w:cs="Arial"/>
          <w:i/>
          <w:iCs/>
          <w:color w:val="000000" w:themeColor="text1"/>
          <w:lang w:val="en-US"/>
        </w:rPr>
        <w:t>How Tesla sets itself apart</w:t>
      </w:r>
      <w:r w:rsidRPr="006D1412">
        <w:rPr>
          <w:rFonts w:ascii="Arial" w:hAnsi="Arial" w:cs="Arial"/>
          <w:color w:val="000000" w:themeColor="text1"/>
          <w:lang w:val="en-US"/>
        </w:rPr>
        <w:t xml:space="preserve">. Available at: </w:t>
      </w:r>
      <w:hyperlink r:id="rId23" w:tgtFrame="_new" w:history="1">
        <w:r w:rsidRPr="006D1412">
          <w:rPr>
            <w:rStyle w:val="Hyperlink"/>
            <w:rFonts w:ascii="Arial" w:hAnsi="Arial" w:cs="Arial"/>
            <w:lang w:val="en-US"/>
          </w:rPr>
          <w:t>https://hbr.org</w:t>
        </w:r>
      </w:hyperlink>
      <w:r w:rsidRPr="006D1412">
        <w:rPr>
          <w:rFonts w:ascii="Arial" w:hAnsi="Arial" w:cs="Arial"/>
          <w:color w:val="000000" w:themeColor="text1"/>
          <w:lang w:val="en-US"/>
        </w:rPr>
        <w:t xml:space="preserve"> (Accessed: 28 February 2026).</w:t>
      </w:r>
    </w:p>
    <w:p w14:paraId="7C4C2C2D"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International Monetary Fund (2023) </w:t>
      </w:r>
      <w:r w:rsidRPr="006D1412">
        <w:rPr>
          <w:rFonts w:ascii="Arial" w:hAnsi="Arial" w:cs="Arial"/>
          <w:i/>
          <w:iCs/>
          <w:color w:val="000000" w:themeColor="text1"/>
          <w:lang w:val="en-US"/>
        </w:rPr>
        <w:t>Germany: Economic Outlook Report</w:t>
      </w:r>
      <w:r w:rsidRPr="006D1412">
        <w:rPr>
          <w:rFonts w:ascii="Arial" w:hAnsi="Arial" w:cs="Arial"/>
          <w:color w:val="000000" w:themeColor="text1"/>
          <w:lang w:val="en-US"/>
        </w:rPr>
        <w:t xml:space="preserve">. Available at: </w:t>
      </w:r>
      <w:hyperlink r:id="rId24" w:tgtFrame="_new" w:history="1">
        <w:r w:rsidRPr="006D1412">
          <w:rPr>
            <w:rStyle w:val="Hyperlink"/>
            <w:rFonts w:ascii="Arial" w:hAnsi="Arial" w:cs="Arial"/>
            <w:lang w:val="en-US"/>
          </w:rPr>
          <w:t>https://www.imf.org</w:t>
        </w:r>
      </w:hyperlink>
      <w:r w:rsidRPr="006D1412">
        <w:rPr>
          <w:rFonts w:ascii="Arial" w:hAnsi="Arial" w:cs="Arial"/>
          <w:color w:val="000000" w:themeColor="text1"/>
          <w:lang w:val="en-US"/>
        </w:rPr>
        <w:t xml:space="preserve"> (Accessed: 28 February 2026).</w:t>
      </w:r>
    </w:p>
    <w:p w14:paraId="1147AF8A"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Reuters (2022) </w:t>
      </w:r>
      <w:r w:rsidRPr="006D1412">
        <w:rPr>
          <w:rFonts w:ascii="Arial" w:hAnsi="Arial" w:cs="Arial"/>
          <w:i/>
          <w:iCs/>
          <w:color w:val="000000" w:themeColor="text1"/>
          <w:lang w:val="en-US"/>
        </w:rPr>
        <w:t>Tesla faces environmental hurdles in Germany</w:t>
      </w:r>
      <w:r w:rsidRPr="006D1412">
        <w:rPr>
          <w:rFonts w:ascii="Arial" w:hAnsi="Arial" w:cs="Arial"/>
          <w:color w:val="000000" w:themeColor="text1"/>
          <w:lang w:val="en-US"/>
        </w:rPr>
        <w:t xml:space="preserve">. Available at: </w:t>
      </w:r>
      <w:hyperlink r:id="rId25" w:tgtFrame="_new" w:history="1">
        <w:r w:rsidRPr="006D1412">
          <w:rPr>
            <w:rStyle w:val="Hyperlink"/>
            <w:rFonts w:ascii="Arial" w:hAnsi="Arial" w:cs="Arial"/>
            <w:lang w:val="en-US"/>
          </w:rPr>
          <w:t>https://www.reuters.com</w:t>
        </w:r>
      </w:hyperlink>
      <w:r w:rsidRPr="006D1412">
        <w:rPr>
          <w:rFonts w:ascii="Arial" w:hAnsi="Arial" w:cs="Arial"/>
          <w:color w:val="000000" w:themeColor="text1"/>
          <w:lang w:val="en-US"/>
        </w:rPr>
        <w:t xml:space="preserve"> (Accessed: 28 February 2026).</w:t>
      </w:r>
    </w:p>
    <w:p w14:paraId="0625F7E9"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Reuters (2023) </w:t>
      </w:r>
      <w:r w:rsidRPr="006D1412">
        <w:rPr>
          <w:rFonts w:ascii="Arial" w:hAnsi="Arial" w:cs="Arial"/>
          <w:i/>
          <w:iCs/>
          <w:color w:val="000000" w:themeColor="text1"/>
          <w:lang w:val="en-US"/>
        </w:rPr>
        <w:t>Germany reduces EV subsidies amid budget constraints</w:t>
      </w:r>
      <w:r w:rsidRPr="006D1412">
        <w:rPr>
          <w:rFonts w:ascii="Arial" w:hAnsi="Arial" w:cs="Arial"/>
          <w:color w:val="000000" w:themeColor="text1"/>
          <w:lang w:val="en-US"/>
        </w:rPr>
        <w:t xml:space="preserve">. Available at: </w:t>
      </w:r>
      <w:hyperlink r:id="rId26" w:tgtFrame="_new" w:history="1">
        <w:r w:rsidRPr="006D1412">
          <w:rPr>
            <w:rStyle w:val="Hyperlink"/>
            <w:rFonts w:ascii="Arial" w:hAnsi="Arial" w:cs="Arial"/>
            <w:lang w:val="en-US"/>
          </w:rPr>
          <w:t>https://www.reuters.com</w:t>
        </w:r>
      </w:hyperlink>
      <w:r w:rsidRPr="006D1412">
        <w:rPr>
          <w:rFonts w:ascii="Arial" w:hAnsi="Arial" w:cs="Arial"/>
          <w:color w:val="000000" w:themeColor="text1"/>
          <w:lang w:val="en-US"/>
        </w:rPr>
        <w:t xml:space="preserve"> (Accessed: 28 February 2026).</w:t>
      </w:r>
    </w:p>
    <w:p w14:paraId="79A450A6"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Tesla, Inc. (2023) </w:t>
      </w:r>
      <w:r w:rsidRPr="006D1412">
        <w:rPr>
          <w:rFonts w:ascii="Arial" w:hAnsi="Arial" w:cs="Arial"/>
          <w:i/>
          <w:iCs/>
          <w:color w:val="000000" w:themeColor="text1"/>
          <w:lang w:val="en-US"/>
        </w:rPr>
        <w:t>Form 10-K Annual Report 2022</w:t>
      </w:r>
      <w:r w:rsidRPr="006D1412">
        <w:rPr>
          <w:rFonts w:ascii="Arial" w:hAnsi="Arial" w:cs="Arial"/>
          <w:color w:val="000000" w:themeColor="text1"/>
          <w:lang w:val="en-US"/>
        </w:rPr>
        <w:t xml:space="preserve">. Available at: </w:t>
      </w:r>
      <w:hyperlink r:id="rId27" w:tgtFrame="_new" w:history="1">
        <w:r w:rsidRPr="006D1412">
          <w:rPr>
            <w:rStyle w:val="Hyperlink"/>
            <w:rFonts w:ascii="Arial" w:hAnsi="Arial" w:cs="Arial"/>
            <w:lang w:val="en-US"/>
          </w:rPr>
          <w:t>https://www.sec.gov</w:t>
        </w:r>
      </w:hyperlink>
      <w:r w:rsidRPr="006D1412">
        <w:rPr>
          <w:rFonts w:ascii="Arial" w:hAnsi="Arial" w:cs="Arial"/>
          <w:color w:val="000000" w:themeColor="text1"/>
          <w:lang w:val="en-US"/>
        </w:rPr>
        <w:t xml:space="preserve"> (Accessed: 28 February 2026).</w:t>
      </w:r>
    </w:p>
    <w:p w14:paraId="2FB6FA8C"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Tesla, Inc. (2024) </w:t>
      </w:r>
      <w:r w:rsidRPr="006D1412">
        <w:rPr>
          <w:rFonts w:ascii="Arial" w:hAnsi="Arial" w:cs="Arial"/>
          <w:i/>
          <w:iCs/>
          <w:color w:val="000000" w:themeColor="text1"/>
          <w:lang w:val="en-US"/>
        </w:rPr>
        <w:t>Form 10-K Annual Report 2023</w:t>
      </w:r>
      <w:r w:rsidRPr="006D1412">
        <w:rPr>
          <w:rFonts w:ascii="Arial" w:hAnsi="Arial" w:cs="Arial"/>
          <w:color w:val="000000" w:themeColor="text1"/>
          <w:lang w:val="en-US"/>
        </w:rPr>
        <w:t xml:space="preserve">. Available at: </w:t>
      </w:r>
      <w:hyperlink r:id="rId28" w:tgtFrame="_new" w:history="1">
        <w:r w:rsidRPr="006D1412">
          <w:rPr>
            <w:rStyle w:val="Hyperlink"/>
            <w:rFonts w:ascii="Arial" w:hAnsi="Arial" w:cs="Arial"/>
            <w:lang w:val="en-US"/>
          </w:rPr>
          <w:t>https://www.sec.gov</w:t>
        </w:r>
      </w:hyperlink>
      <w:r w:rsidRPr="006D1412">
        <w:rPr>
          <w:rFonts w:ascii="Arial" w:hAnsi="Arial" w:cs="Arial"/>
          <w:color w:val="000000" w:themeColor="text1"/>
          <w:lang w:val="en-US"/>
        </w:rPr>
        <w:t xml:space="preserve"> (Accessed: 28 February 2026).</w:t>
      </w:r>
    </w:p>
    <w:p w14:paraId="117E28A9" w14:textId="0EBF78A8" w:rsidR="00212ED5" w:rsidRDefault="006D1412" w:rsidP="00470495">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World Bank (2023) </w:t>
      </w:r>
      <w:r w:rsidRPr="006D1412">
        <w:rPr>
          <w:rFonts w:ascii="Arial" w:hAnsi="Arial" w:cs="Arial"/>
          <w:i/>
          <w:iCs/>
          <w:color w:val="000000" w:themeColor="text1"/>
          <w:lang w:val="en-US"/>
        </w:rPr>
        <w:t>Germany GDP Data</w:t>
      </w:r>
      <w:r w:rsidRPr="006D1412">
        <w:rPr>
          <w:rFonts w:ascii="Arial" w:hAnsi="Arial" w:cs="Arial"/>
          <w:color w:val="000000" w:themeColor="text1"/>
          <w:lang w:val="en-US"/>
        </w:rPr>
        <w:t xml:space="preserve">. Available at: </w:t>
      </w:r>
      <w:hyperlink r:id="rId29" w:tgtFrame="_new" w:history="1">
        <w:r w:rsidRPr="006D1412">
          <w:rPr>
            <w:rStyle w:val="Hyperlink"/>
            <w:rFonts w:ascii="Arial" w:hAnsi="Arial" w:cs="Arial"/>
            <w:lang w:val="en-US"/>
          </w:rPr>
          <w:t>https://data.worldbank.org</w:t>
        </w:r>
      </w:hyperlink>
      <w:r w:rsidRPr="006D1412">
        <w:rPr>
          <w:rFonts w:ascii="Arial" w:hAnsi="Arial" w:cs="Arial"/>
          <w:color w:val="000000" w:themeColor="text1"/>
          <w:lang w:val="en-US"/>
        </w:rPr>
        <w:t xml:space="preserve"> (Accessed: 28 February 2026).</w:t>
      </w:r>
    </w:p>
    <w:p w14:paraId="630E06F2" w14:textId="77777777" w:rsidR="00E340CD" w:rsidRDefault="00E340CD" w:rsidP="00470495">
      <w:pPr>
        <w:pStyle w:val="NormalWeb"/>
        <w:spacing w:line="360" w:lineRule="auto"/>
        <w:rPr>
          <w:rFonts w:ascii="Arial" w:hAnsi="Arial" w:cs="Arial"/>
          <w:color w:val="000000" w:themeColor="text1"/>
          <w:lang w:val="en-US"/>
        </w:rPr>
      </w:pPr>
    </w:p>
    <w:p w14:paraId="222E5E04" w14:textId="77777777" w:rsidR="00E340CD" w:rsidRPr="00E340CD" w:rsidRDefault="00E340CD" w:rsidP="00E340CD">
      <w:pPr>
        <w:pStyle w:val="NormalWeb"/>
        <w:spacing w:line="360" w:lineRule="auto"/>
        <w:rPr>
          <w:rFonts w:ascii="Arial" w:hAnsi="Arial" w:cs="Arial"/>
          <w:color w:val="000000" w:themeColor="text1"/>
          <w:lang w:val="en-US"/>
        </w:rPr>
      </w:pPr>
      <w:r w:rsidRPr="00E340CD">
        <w:rPr>
          <w:rFonts w:ascii="Arial" w:hAnsi="Arial" w:cs="Arial"/>
          <w:color w:val="000000" w:themeColor="text1"/>
          <w:lang w:val="en-US"/>
        </w:rPr>
        <w:lastRenderedPageBreak/>
        <w:t xml:space="preserve">Financial Times (2024) ‘Tesla’s European price cuts intensify EV competition’. Available at: </w:t>
      </w:r>
      <w:hyperlink r:id="rId30" w:tgtFrame="_new" w:history="1">
        <w:r w:rsidRPr="00E340CD">
          <w:rPr>
            <w:rStyle w:val="Hyperlink"/>
            <w:rFonts w:ascii="Arial" w:hAnsi="Arial" w:cs="Arial"/>
            <w:lang w:val="en-US"/>
          </w:rPr>
          <w:t>https://www.ft.com</w:t>
        </w:r>
      </w:hyperlink>
      <w:r w:rsidRPr="00E340CD">
        <w:rPr>
          <w:rFonts w:ascii="Arial" w:hAnsi="Arial" w:cs="Arial"/>
          <w:color w:val="000000" w:themeColor="text1"/>
          <w:lang w:val="en-US"/>
        </w:rPr>
        <w:t xml:space="preserve"> (Accessed: 28 February 2026).</w:t>
      </w:r>
    </w:p>
    <w:p w14:paraId="67D977B9" w14:textId="77777777" w:rsidR="00E340CD" w:rsidRPr="00E340CD" w:rsidRDefault="00E340CD" w:rsidP="00E340CD">
      <w:pPr>
        <w:pStyle w:val="NormalWeb"/>
        <w:spacing w:line="360" w:lineRule="auto"/>
        <w:rPr>
          <w:rFonts w:ascii="Arial" w:hAnsi="Arial" w:cs="Arial"/>
          <w:color w:val="000000" w:themeColor="text1"/>
          <w:lang w:val="en-US"/>
        </w:rPr>
      </w:pPr>
      <w:r w:rsidRPr="00E340CD">
        <w:rPr>
          <w:rFonts w:ascii="Arial" w:hAnsi="Arial" w:cs="Arial"/>
          <w:color w:val="000000" w:themeColor="text1"/>
          <w:lang w:val="en-US"/>
        </w:rPr>
        <w:t xml:space="preserve">Harvard Business Review (2021) ‘How Tesla sets itself apart’. Available at: </w:t>
      </w:r>
      <w:hyperlink r:id="rId31" w:tgtFrame="_new" w:history="1">
        <w:r w:rsidRPr="00E340CD">
          <w:rPr>
            <w:rStyle w:val="Hyperlink"/>
            <w:rFonts w:ascii="Arial" w:hAnsi="Arial" w:cs="Arial"/>
            <w:lang w:val="en-US"/>
          </w:rPr>
          <w:t>https://hbr.org</w:t>
        </w:r>
      </w:hyperlink>
      <w:r w:rsidRPr="00E340CD">
        <w:rPr>
          <w:rFonts w:ascii="Arial" w:hAnsi="Arial" w:cs="Arial"/>
          <w:color w:val="000000" w:themeColor="text1"/>
          <w:lang w:val="en-US"/>
        </w:rPr>
        <w:t xml:space="preserve"> (Accessed: 28 February 2026).</w:t>
      </w:r>
    </w:p>
    <w:p w14:paraId="1CD2DDDC" w14:textId="77777777" w:rsidR="00E340CD" w:rsidRPr="00E340CD" w:rsidRDefault="00E340CD" w:rsidP="00E340CD">
      <w:pPr>
        <w:pStyle w:val="NormalWeb"/>
        <w:spacing w:line="360" w:lineRule="auto"/>
        <w:rPr>
          <w:rFonts w:ascii="Arial" w:hAnsi="Arial" w:cs="Arial"/>
          <w:color w:val="000000" w:themeColor="text1"/>
          <w:lang w:val="en-US"/>
        </w:rPr>
      </w:pPr>
      <w:r w:rsidRPr="00E340CD">
        <w:rPr>
          <w:rFonts w:ascii="Arial" w:hAnsi="Arial" w:cs="Arial"/>
          <w:color w:val="000000" w:themeColor="text1"/>
          <w:lang w:val="en-US"/>
        </w:rPr>
        <w:t xml:space="preserve">Harvard Business Review (2022) ‘Tesla and </w:t>
      </w:r>
      <w:proofErr w:type="spellStart"/>
      <w:r w:rsidRPr="00E340CD">
        <w:rPr>
          <w:rFonts w:ascii="Arial" w:hAnsi="Arial" w:cs="Arial"/>
          <w:color w:val="000000" w:themeColor="text1"/>
          <w:lang w:val="en-US"/>
        </w:rPr>
        <w:t>labour</w:t>
      </w:r>
      <w:proofErr w:type="spellEnd"/>
      <w:r w:rsidRPr="00E340CD">
        <w:rPr>
          <w:rFonts w:ascii="Arial" w:hAnsi="Arial" w:cs="Arial"/>
          <w:color w:val="000000" w:themeColor="text1"/>
          <w:lang w:val="en-US"/>
        </w:rPr>
        <w:t xml:space="preserve"> challenges in global </w:t>
      </w:r>
      <w:proofErr w:type="gramStart"/>
      <w:r w:rsidRPr="00E340CD">
        <w:rPr>
          <w:rFonts w:ascii="Arial" w:hAnsi="Arial" w:cs="Arial"/>
          <w:color w:val="000000" w:themeColor="text1"/>
          <w:lang w:val="en-US"/>
        </w:rPr>
        <w:t>markets’</w:t>
      </w:r>
      <w:proofErr w:type="gramEnd"/>
      <w:r w:rsidRPr="00E340CD">
        <w:rPr>
          <w:rFonts w:ascii="Arial" w:hAnsi="Arial" w:cs="Arial"/>
          <w:color w:val="000000" w:themeColor="text1"/>
          <w:lang w:val="en-US"/>
        </w:rPr>
        <w:t xml:space="preserve">. Available at: </w:t>
      </w:r>
      <w:hyperlink r:id="rId32" w:tgtFrame="_new" w:history="1">
        <w:r w:rsidRPr="00E340CD">
          <w:rPr>
            <w:rStyle w:val="Hyperlink"/>
            <w:rFonts w:ascii="Arial" w:hAnsi="Arial" w:cs="Arial"/>
            <w:lang w:val="en-US"/>
          </w:rPr>
          <w:t>https://hbr.org</w:t>
        </w:r>
      </w:hyperlink>
      <w:r w:rsidRPr="00E340CD">
        <w:rPr>
          <w:rFonts w:ascii="Arial" w:hAnsi="Arial" w:cs="Arial"/>
          <w:color w:val="000000" w:themeColor="text1"/>
          <w:lang w:val="en-US"/>
        </w:rPr>
        <w:t xml:space="preserve"> (Accessed: 28 February 2026).</w:t>
      </w:r>
    </w:p>
    <w:p w14:paraId="74747739" w14:textId="77777777" w:rsidR="00E340CD" w:rsidRPr="00E340CD" w:rsidRDefault="00E340CD" w:rsidP="00E340CD">
      <w:pPr>
        <w:pStyle w:val="NormalWeb"/>
        <w:spacing w:line="360" w:lineRule="auto"/>
        <w:rPr>
          <w:rFonts w:ascii="Arial" w:hAnsi="Arial" w:cs="Arial"/>
          <w:color w:val="000000" w:themeColor="text1"/>
          <w:lang w:val="en-US"/>
        </w:rPr>
      </w:pPr>
      <w:r w:rsidRPr="00E340CD">
        <w:rPr>
          <w:rFonts w:ascii="Arial" w:hAnsi="Arial" w:cs="Arial"/>
          <w:color w:val="000000" w:themeColor="text1"/>
          <w:lang w:val="en-US"/>
        </w:rPr>
        <w:t xml:space="preserve">Reuters (2022) ‘Tesla faces environmental hurdles in Germany’. Available at: </w:t>
      </w:r>
      <w:hyperlink r:id="rId33" w:tgtFrame="_new" w:history="1">
        <w:r w:rsidRPr="00E340CD">
          <w:rPr>
            <w:rStyle w:val="Hyperlink"/>
            <w:rFonts w:ascii="Arial" w:hAnsi="Arial" w:cs="Arial"/>
            <w:lang w:val="en-US"/>
          </w:rPr>
          <w:t>https://www.reuters.com</w:t>
        </w:r>
      </w:hyperlink>
      <w:r w:rsidRPr="00E340CD">
        <w:rPr>
          <w:rFonts w:ascii="Arial" w:hAnsi="Arial" w:cs="Arial"/>
          <w:color w:val="000000" w:themeColor="text1"/>
          <w:lang w:val="en-US"/>
        </w:rPr>
        <w:t xml:space="preserve"> (Accessed: 28 February 2026).</w:t>
      </w:r>
    </w:p>
    <w:p w14:paraId="618EF379" w14:textId="78E7B6DB" w:rsidR="00E340CD" w:rsidRPr="005E1FC9" w:rsidRDefault="00E340CD" w:rsidP="00470495">
      <w:pPr>
        <w:pStyle w:val="NormalWeb"/>
        <w:spacing w:line="360" w:lineRule="auto"/>
        <w:rPr>
          <w:rFonts w:ascii="Arial" w:hAnsi="Arial" w:cs="Arial"/>
          <w:color w:val="000000" w:themeColor="text1"/>
          <w:lang w:val="en-US"/>
        </w:rPr>
      </w:pPr>
      <w:r w:rsidRPr="00E340CD">
        <w:rPr>
          <w:rFonts w:ascii="Arial" w:hAnsi="Arial" w:cs="Arial"/>
          <w:color w:val="000000" w:themeColor="text1"/>
          <w:lang w:val="en-US"/>
        </w:rPr>
        <w:t xml:space="preserve">Reuters (2023) ‘Germany reduces EV subsidies amid budget </w:t>
      </w:r>
      <w:proofErr w:type="gramStart"/>
      <w:r w:rsidRPr="00E340CD">
        <w:rPr>
          <w:rFonts w:ascii="Arial" w:hAnsi="Arial" w:cs="Arial"/>
          <w:color w:val="000000" w:themeColor="text1"/>
          <w:lang w:val="en-US"/>
        </w:rPr>
        <w:t>constraints’</w:t>
      </w:r>
      <w:proofErr w:type="gramEnd"/>
      <w:r w:rsidRPr="00E340CD">
        <w:rPr>
          <w:rFonts w:ascii="Arial" w:hAnsi="Arial" w:cs="Arial"/>
          <w:color w:val="000000" w:themeColor="text1"/>
          <w:lang w:val="en-US"/>
        </w:rPr>
        <w:t xml:space="preserve">. Available at: </w:t>
      </w:r>
      <w:hyperlink r:id="rId34" w:tgtFrame="_new" w:history="1">
        <w:r w:rsidRPr="00E340CD">
          <w:rPr>
            <w:rStyle w:val="Hyperlink"/>
            <w:rFonts w:ascii="Arial" w:hAnsi="Arial" w:cs="Arial"/>
            <w:lang w:val="en-US"/>
          </w:rPr>
          <w:t>https://www.reuters.com</w:t>
        </w:r>
      </w:hyperlink>
      <w:r w:rsidRPr="00E340CD">
        <w:rPr>
          <w:rFonts w:ascii="Arial" w:hAnsi="Arial" w:cs="Arial"/>
          <w:color w:val="000000" w:themeColor="text1"/>
          <w:lang w:val="en-US"/>
        </w:rPr>
        <w:t xml:space="preserve"> (Accessed: 28 February 2026).</w:t>
      </w:r>
    </w:p>
    <w:sectPr w:rsidR="00E340CD" w:rsidRPr="005E1FC9" w:rsidSect="005E1FC9">
      <w:footerReference w:type="default" r:id="rId35"/>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A720E" w14:textId="77777777" w:rsidR="00B354D6" w:rsidRDefault="00B354D6">
      <w:pPr>
        <w:spacing w:after="0" w:line="240" w:lineRule="auto"/>
      </w:pPr>
      <w:r>
        <w:separator/>
      </w:r>
    </w:p>
  </w:endnote>
  <w:endnote w:type="continuationSeparator" w:id="0">
    <w:p w14:paraId="00514116" w14:textId="77777777" w:rsidR="00B354D6" w:rsidRDefault="00B35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0201291"/>
      <w:docPartObj>
        <w:docPartGallery w:val="Page Numbers (Bottom of Page)"/>
        <w:docPartUnique/>
      </w:docPartObj>
    </w:sdtPr>
    <w:sdtEndPr>
      <w:rPr>
        <w:noProof/>
      </w:rPr>
    </w:sdtEndPr>
    <w:sdtContent>
      <w:p w14:paraId="0C585559" w14:textId="77777777" w:rsidR="005E1FC9" w:rsidRDefault="005E1FC9">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33CEDDEC" w14:textId="77777777" w:rsidR="005E1FC9" w:rsidRDefault="005E1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5FBE2" w14:textId="77777777" w:rsidR="00B354D6" w:rsidRDefault="00B354D6">
      <w:pPr>
        <w:spacing w:after="0" w:line="240" w:lineRule="auto"/>
      </w:pPr>
      <w:r>
        <w:separator/>
      </w:r>
    </w:p>
  </w:footnote>
  <w:footnote w:type="continuationSeparator" w:id="0">
    <w:p w14:paraId="5EC81FF0" w14:textId="77777777" w:rsidR="00B354D6" w:rsidRDefault="00B35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4D9B"/>
    <w:multiLevelType w:val="hybridMultilevel"/>
    <w:tmpl w:val="04522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B63B3E"/>
    <w:multiLevelType w:val="hybridMultilevel"/>
    <w:tmpl w:val="0C34A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74701D"/>
    <w:multiLevelType w:val="hybridMultilevel"/>
    <w:tmpl w:val="3ED290B4"/>
    <w:lvl w:ilvl="0" w:tplc="C2CE0AA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050739"/>
    <w:multiLevelType w:val="hybridMultilevel"/>
    <w:tmpl w:val="68E20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FE598C"/>
    <w:multiLevelType w:val="hybridMultilevel"/>
    <w:tmpl w:val="1A9C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8A3E9C"/>
    <w:multiLevelType w:val="hybridMultilevel"/>
    <w:tmpl w:val="4FBC7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F242FD"/>
    <w:multiLevelType w:val="hybridMultilevel"/>
    <w:tmpl w:val="60C4B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946C8D"/>
    <w:multiLevelType w:val="hybridMultilevel"/>
    <w:tmpl w:val="6B983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5F23EC"/>
    <w:multiLevelType w:val="hybridMultilevel"/>
    <w:tmpl w:val="752EC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A14CE1"/>
    <w:multiLevelType w:val="hybridMultilevel"/>
    <w:tmpl w:val="413E7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AE824CB"/>
    <w:multiLevelType w:val="hybridMultilevel"/>
    <w:tmpl w:val="5926A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514336"/>
    <w:multiLevelType w:val="hybridMultilevel"/>
    <w:tmpl w:val="478C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353F32"/>
    <w:multiLevelType w:val="hybridMultilevel"/>
    <w:tmpl w:val="4AEA5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DF15BD"/>
    <w:multiLevelType w:val="hybridMultilevel"/>
    <w:tmpl w:val="330CC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C26C15"/>
    <w:multiLevelType w:val="hybridMultilevel"/>
    <w:tmpl w:val="53763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B8744BE"/>
    <w:multiLevelType w:val="hybridMultilevel"/>
    <w:tmpl w:val="E95A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40092C"/>
    <w:multiLevelType w:val="hybridMultilevel"/>
    <w:tmpl w:val="F88CA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C6737E9"/>
    <w:multiLevelType w:val="hybridMultilevel"/>
    <w:tmpl w:val="3424A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18744C"/>
    <w:multiLevelType w:val="hybridMultilevel"/>
    <w:tmpl w:val="D494B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3C95AF0"/>
    <w:multiLevelType w:val="hybridMultilevel"/>
    <w:tmpl w:val="02420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8111970"/>
    <w:multiLevelType w:val="hybridMultilevel"/>
    <w:tmpl w:val="24E83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EDF2EFB"/>
    <w:multiLevelType w:val="hybridMultilevel"/>
    <w:tmpl w:val="12AEF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F83090"/>
    <w:multiLevelType w:val="hybridMultilevel"/>
    <w:tmpl w:val="60E4A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9F372A"/>
    <w:multiLevelType w:val="hybridMultilevel"/>
    <w:tmpl w:val="0BD8C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32F1164"/>
    <w:multiLevelType w:val="hybridMultilevel"/>
    <w:tmpl w:val="9AB8F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4BC308E"/>
    <w:multiLevelType w:val="hybridMultilevel"/>
    <w:tmpl w:val="FC948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A532135"/>
    <w:multiLevelType w:val="hybridMultilevel"/>
    <w:tmpl w:val="4C640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F8E3EA3"/>
    <w:multiLevelType w:val="hybridMultilevel"/>
    <w:tmpl w:val="82F0A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25"/>
  </w:num>
  <w:num w:numId="4">
    <w:abstractNumId w:val="20"/>
  </w:num>
  <w:num w:numId="5">
    <w:abstractNumId w:val="26"/>
  </w:num>
  <w:num w:numId="6">
    <w:abstractNumId w:val="21"/>
  </w:num>
  <w:num w:numId="7">
    <w:abstractNumId w:val="15"/>
  </w:num>
  <w:num w:numId="8">
    <w:abstractNumId w:val="27"/>
  </w:num>
  <w:num w:numId="9">
    <w:abstractNumId w:val="4"/>
  </w:num>
  <w:num w:numId="10">
    <w:abstractNumId w:val="7"/>
  </w:num>
  <w:num w:numId="11">
    <w:abstractNumId w:val="2"/>
  </w:num>
  <w:num w:numId="12">
    <w:abstractNumId w:val="13"/>
  </w:num>
  <w:num w:numId="13">
    <w:abstractNumId w:val="8"/>
  </w:num>
  <w:num w:numId="14">
    <w:abstractNumId w:val="6"/>
  </w:num>
  <w:num w:numId="15">
    <w:abstractNumId w:val="12"/>
  </w:num>
  <w:num w:numId="16">
    <w:abstractNumId w:val="22"/>
  </w:num>
  <w:num w:numId="17">
    <w:abstractNumId w:val="23"/>
  </w:num>
  <w:num w:numId="18">
    <w:abstractNumId w:val="0"/>
  </w:num>
  <w:num w:numId="19">
    <w:abstractNumId w:val="5"/>
  </w:num>
  <w:num w:numId="20">
    <w:abstractNumId w:val="18"/>
  </w:num>
  <w:num w:numId="21">
    <w:abstractNumId w:val="3"/>
  </w:num>
  <w:num w:numId="22">
    <w:abstractNumId w:val="10"/>
  </w:num>
  <w:num w:numId="23">
    <w:abstractNumId w:val="17"/>
  </w:num>
  <w:num w:numId="24">
    <w:abstractNumId w:val="9"/>
  </w:num>
  <w:num w:numId="25">
    <w:abstractNumId w:val="19"/>
  </w:num>
  <w:num w:numId="26">
    <w:abstractNumId w:val="16"/>
  </w:num>
  <w:num w:numId="27">
    <w:abstractNumId w:val="1"/>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449"/>
    <w:rsid w:val="00023776"/>
    <w:rsid w:val="00035838"/>
    <w:rsid w:val="00080629"/>
    <w:rsid w:val="000A13A9"/>
    <w:rsid w:val="000C7046"/>
    <w:rsid w:val="000D3A5C"/>
    <w:rsid w:val="000F3F15"/>
    <w:rsid w:val="000F5E66"/>
    <w:rsid w:val="0012016C"/>
    <w:rsid w:val="001B2A07"/>
    <w:rsid w:val="001D5EF2"/>
    <w:rsid w:val="001E31AD"/>
    <w:rsid w:val="00212ED5"/>
    <w:rsid w:val="002167D9"/>
    <w:rsid w:val="00250E94"/>
    <w:rsid w:val="003471FD"/>
    <w:rsid w:val="003530F1"/>
    <w:rsid w:val="00361E3B"/>
    <w:rsid w:val="00395191"/>
    <w:rsid w:val="003B371C"/>
    <w:rsid w:val="00405C7D"/>
    <w:rsid w:val="004560CD"/>
    <w:rsid w:val="00456D91"/>
    <w:rsid w:val="00470495"/>
    <w:rsid w:val="004E4B12"/>
    <w:rsid w:val="0052577F"/>
    <w:rsid w:val="005E1FC9"/>
    <w:rsid w:val="00632499"/>
    <w:rsid w:val="006C6415"/>
    <w:rsid w:val="006D1412"/>
    <w:rsid w:val="006D243F"/>
    <w:rsid w:val="007007BD"/>
    <w:rsid w:val="0072168C"/>
    <w:rsid w:val="00757BCD"/>
    <w:rsid w:val="0078240F"/>
    <w:rsid w:val="00795ACB"/>
    <w:rsid w:val="007A38B1"/>
    <w:rsid w:val="007B49C0"/>
    <w:rsid w:val="00806FDC"/>
    <w:rsid w:val="009153A3"/>
    <w:rsid w:val="00932E32"/>
    <w:rsid w:val="0098300F"/>
    <w:rsid w:val="00992F28"/>
    <w:rsid w:val="009F752E"/>
    <w:rsid w:val="00A005C3"/>
    <w:rsid w:val="00A06A94"/>
    <w:rsid w:val="00A16974"/>
    <w:rsid w:val="00A27743"/>
    <w:rsid w:val="00A7047A"/>
    <w:rsid w:val="00A9373A"/>
    <w:rsid w:val="00AA1F3D"/>
    <w:rsid w:val="00AC24F6"/>
    <w:rsid w:val="00B22A2A"/>
    <w:rsid w:val="00B354D6"/>
    <w:rsid w:val="00B46597"/>
    <w:rsid w:val="00BF590A"/>
    <w:rsid w:val="00C07E90"/>
    <w:rsid w:val="00C20D50"/>
    <w:rsid w:val="00C471C5"/>
    <w:rsid w:val="00C562E1"/>
    <w:rsid w:val="00C74935"/>
    <w:rsid w:val="00C95F86"/>
    <w:rsid w:val="00D025E3"/>
    <w:rsid w:val="00DB2F22"/>
    <w:rsid w:val="00DD704F"/>
    <w:rsid w:val="00E340CD"/>
    <w:rsid w:val="00E9427E"/>
    <w:rsid w:val="00EA0A9C"/>
    <w:rsid w:val="00EA5449"/>
    <w:rsid w:val="00EE2A3A"/>
    <w:rsid w:val="00EF54BA"/>
    <w:rsid w:val="00F33CA7"/>
    <w:rsid w:val="00F82959"/>
    <w:rsid w:val="00FE7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369E8"/>
  <w15:chartTrackingRefBased/>
  <w15:docId w15:val="{AFDF5B1C-492B-4F01-B574-C31F3E2A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FC9"/>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FE70C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E70C2"/>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A06A9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EA54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54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5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0C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E70C2"/>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A06A9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EA54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54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5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449"/>
    <w:rPr>
      <w:rFonts w:eastAsiaTheme="majorEastAsia" w:cstheme="majorBidi"/>
      <w:color w:val="272727" w:themeColor="text1" w:themeTint="D8"/>
    </w:rPr>
  </w:style>
  <w:style w:type="paragraph" w:styleId="Title">
    <w:name w:val="Title"/>
    <w:basedOn w:val="Normal"/>
    <w:next w:val="Normal"/>
    <w:link w:val="TitleChar"/>
    <w:uiPriority w:val="10"/>
    <w:qFormat/>
    <w:rsid w:val="00EA5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449"/>
    <w:pPr>
      <w:spacing w:before="160"/>
      <w:jc w:val="center"/>
    </w:pPr>
    <w:rPr>
      <w:i/>
      <w:iCs/>
      <w:color w:val="404040" w:themeColor="text1" w:themeTint="BF"/>
    </w:rPr>
  </w:style>
  <w:style w:type="character" w:customStyle="1" w:styleId="QuoteChar">
    <w:name w:val="Quote Char"/>
    <w:basedOn w:val="DefaultParagraphFont"/>
    <w:link w:val="Quote"/>
    <w:uiPriority w:val="29"/>
    <w:rsid w:val="00EA5449"/>
    <w:rPr>
      <w:i/>
      <w:iCs/>
      <w:color w:val="404040" w:themeColor="text1" w:themeTint="BF"/>
    </w:rPr>
  </w:style>
  <w:style w:type="paragraph" w:styleId="ListParagraph">
    <w:name w:val="List Paragraph"/>
    <w:basedOn w:val="Normal"/>
    <w:uiPriority w:val="34"/>
    <w:qFormat/>
    <w:rsid w:val="00EA5449"/>
    <w:pPr>
      <w:ind w:left="720"/>
      <w:contextualSpacing/>
    </w:pPr>
  </w:style>
  <w:style w:type="character" w:styleId="IntenseEmphasis">
    <w:name w:val="Intense Emphasis"/>
    <w:basedOn w:val="DefaultParagraphFont"/>
    <w:uiPriority w:val="21"/>
    <w:qFormat/>
    <w:rsid w:val="00EA5449"/>
    <w:rPr>
      <w:i/>
      <w:iCs/>
      <w:color w:val="2F5496" w:themeColor="accent1" w:themeShade="BF"/>
    </w:rPr>
  </w:style>
  <w:style w:type="paragraph" w:styleId="IntenseQuote">
    <w:name w:val="Intense Quote"/>
    <w:basedOn w:val="Normal"/>
    <w:next w:val="Normal"/>
    <w:link w:val="IntenseQuoteChar"/>
    <w:uiPriority w:val="30"/>
    <w:qFormat/>
    <w:rsid w:val="00EA54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5449"/>
    <w:rPr>
      <w:i/>
      <w:iCs/>
      <w:color w:val="2F5496" w:themeColor="accent1" w:themeShade="BF"/>
    </w:rPr>
  </w:style>
  <w:style w:type="character" w:styleId="IntenseReference">
    <w:name w:val="Intense Reference"/>
    <w:basedOn w:val="DefaultParagraphFont"/>
    <w:uiPriority w:val="32"/>
    <w:qFormat/>
    <w:rsid w:val="00EA5449"/>
    <w:rPr>
      <w:b/>
      <w:bCs/>
      <w:smallCaps/>
      <w:color w:val="2F5496" w:themeColor="accent1" w:themeShade="BF"/>
      <w:spacing w:val="5"/>
    </w:rPr>
  </w:style>
  <w:style w:type="paragraph" w:styleId="NormalWeb">
    <w:name w:val="Normal (Web)"/>
    <w:basedOn w:val="Normal"/>
    <w:uiPriority w:val="99"/>
    <w:unhideWhenUsed/>
    <w:rsid w:val="005E1F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E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FC9"/>
    <w:rPr>
      <w:kern w:val="0"/>
      <w:sz w:val="22"/>
      <w:szCs w:val="22"/>
      <w:lang w:val="en-GB"/>
      <w14:ligatures w14:val="none"/>
    </w:rPr>
  </w:style>
  <w:style w:type="paragraph" w:styleId="TOCHeading">
    <w:name w:val="TOC Heading"/>
    <w:basedOn w:val="Heading1"/>
    <w:next w:val="Normal"/>
    <w:uiPriority w:val="39"/>
    <w:unhideWhenUsed/>
    <w:qFormat/>
    <w:rsid w:val="005E1FC9"/>
    <w:pPr>
      <w:spacing w:before="480" w:after="0"/>
      <w:outlineLvl w:val="9"/>
    </w:pPr>
    <w:rPr>
      <w:rFonts w:ascii="Times New Roman" w:hAnsi="Times New Roman"/>
      <w:b w:val="0"/>
      <w:bCs/>
      <w:color w:val="222A35" w:themeColor="text2" w:themeShade="80"/>
      <w:szCs w:val="28"/>
      <w:lang w:eastAsia="ja-JP"/>
    </w:rPr>
  </w:style>
  <w:style w:type="paragraph" w:styleId="TOC1">
    <w:name w:val="toc 1"/>
    <w:basedOn w:val="Normal"/>
    <w:next w:val="Normal"/>
    <w:autoRedefine/>
    <w:uiPriority w:val="39"/>
    <w:unhideWhenUsed/>
    <w:rsid w:val="005E1FC9"/>
    <w:pPr>
      <w:spacing w:after="100"/>
    </w:pPr>
  </w:style>
  <w:style w:type="character" w:styleId="Hyperlink">
    <w:name w:val="Hyperlink"/>
    <w:basedOn w:val="DefaultParagraphFont"/>
    <w:uiPriority w:val="99"/>
    <w:unhideWhenUsed/>
    <w:rsid w:val="005E1FC9"/>
    <w:rPr>
      <w:color w:val="0563C1" w:themeColor="hyperlink"/>
      <w:u w:val="single"/>
    </w:rPr>
  </w:style>
  <w:style w:type="paragraph" w:styleId="TOC2">
    <w:name w:val="toc 2"/>
    <w:basedOn w:val="Normal"/>
    <w:next w:val="Normal"/>
    <w:autoRedefine/>
    <w:uiPriority w:val="39"/>
    <w:unhideWhenUsed/>
    <w:rsid w:val="005E1FC9"/>
    <w:pPr>
      <w:spacing w:after="100"/>
      <w:ind w:left="220"/>
    </w:pPr>
  </w:style>
  <w:style w:type="table" w:styleId="TableGrid">
    <w:name w:val="Table Grid"/>
    <w:basedOn w:val="TableNormal"/>
    <w:uiPriority w:val="39"/>
    <w:rsid w:val="005E1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1FC9"/>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E1FC9"/>
    <w:pPr>
      <w:spacing w:after="0"/>
    </w:pPr>
  </w:style>
  <w:style w:type="character" w:styleId="UnresolvedMention">
    <w:name w:val="Unresolved Mention"/>
    <w:basedOn w:val="DefaultParagraphFont"/>
    <w:uiPriority w:val="99"/>
    <w:semiHidden/>
    <w:unhideWhenUsed/>
    <w:rsid w:val="00470495"/>
    <w:rPr>
      <w:color w:val="605E5C"/>
      <w:shd w:val="clear" w:color="auto" w:fill="E1DFDD"/>
    </w:rPr>
  </w:style>
  <w:style w:type="paragraph" w:styleId="TOC3">
    <w:name w:val="toc 3"/>
    <w:basedOn w:val="Normal"/>
    <w:next w:val="Normal"/>
    <w:autoRedefine/>
    <w:uiPriority w:val="39"/>
    <w:unhideWhenUsed/>
    <w:rsid w:val="00DB2F2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 TargetMode="External"/><Relationship Id="rId18" Type="http://schemas.openxmlformats.org/officeDocument/2006/relationships/hyperlink" Target="https://www.gtai.de/resource/blob/64100/ebdfca790aa0df33b694bfc4e653f998/20250520_IO_Automotive_WEB.pdf?utm_source=chatgpt.com" TargetMode="External"/><Relationship Id="rId26" Type="http://schemas.openxmlformats.org/officeDocument/2006/relationships/hyperlink" Target="https://www.reuters.com" TargetMode="External"/><Relationship Id="rId21" Type="http://schemas.openxmlformats.org/officeDocument/2006/relationships/hyperlink" Target="https://commission.europa.eu" TargetMode="External"/><Relationship Id="rId34" Type="http://schemas.openxmlformats.org/officeDocument/2006/relationships/hyperlink" Target="https://www.reuters.com" TargetMode="External"/><Relationship Id="rId7" Type="http://schemas.openxmlformats.org/officeDocument/2006/relationships/image" Target="media/image1.png"/><Relationship Id="rId12" Type="http://schemas.openxmlformats.org/officeDocument/2006/relationships/hyperlink" Target="https://www.ft.com" TargetMode="External"/><Relationship Id="rId17" Type="http://schemas.openxmlformats.org/officeDocument/2006/relationships/hyperlink" Target="https://www.investopedia.com/terms/n/national-diamond.asp?utm_source=chatgpt.com" TargetMode="External"/><Relationship Id="rId25" Type="http://schemas.openxmlformats.org/officeDocument/2006/relationships/hyperlink" Target="https://www.reuters.com" TargetMode="External"/><Relationship Id="rId33" Type="http://schemas.openxmlformats.org/officeDocument/2006/relationships/hyperlink" Target="https://www.reuters.com" TargetMode="External"/><Relationship Id="rId2" Type="http://schemas.openxmlformats.org/officeDocument/2006/relationships/styles" Target="styles.xml"/><Relationship Id="rId16" Type="http://schemas.openxmlformats.org/officeDocument/2006/relationships/hyperlink" Target="https://www.vda.de" TargetMode="External"/><Relationship Id="rId20" Type="http://schemas.openxmlformats.org/officeDocument/2006/relationships/hyperlink" Target="https://www.reuters.com" TargetMode="External"/><Relationship Id="rId29" Type="http://schemas.openxmlformats.org/officeDocument/2006/relationships/hyperlink" Target="https://data.worldbank.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t.com" TargetMode="External"/><Relationship Id="rId24" Type="http://schemas.openxmlformats.org/officeDocument/2006/relationships/hyperlink" Target="https://www.imf.org" TargetMode="External"/><Relationship Id="rId32" Type="http://schemas.openxmlformats.org/officeDocument/2006/relationships/hyperlink" Target="https://hbr.org"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conomist.com" TargetMode="External"/><Relationship Id="rId23" Type="http://schemas.openxmlformats.org/officeDocument/2006/relationships/hyperlink" Target="https://hbr.org" TargetMode="External"/><Relationship Id="rId28" Type="http://schemas.openxmlformats.org/officeDocument/2006/relationships/hyperlink" Target="https://www.sec.gov" TargetMode="External"/><Relationship Id="rId36" Type="http://schemas.openxmlformats.org/officeDocument/2006/relationships/fontTable" Target="fontTable.xml"/><Relationship Id="rId10" Type="http://schemas.openxmlformats.org/officeDocument/2006/relationships/hyperlink" Target="https://www.bmwgroup.com" TargetMode="External"/><Relationship Id="rId19" Type="http://schemas.openxmlformats.org/officeDocument/2006/relationships/hyperlink" Target="https://www.vda.de/en/topics/automotive-industry?utm_source=chatgpt.com" TargetMode="External"/><Relationship Id="rId31" Type="http://schemas.openxmlformats.org/officeDocument/2006/relationships/hyperlink" Target="https://hbr.org" TargetMode="External"/><Relationship Id="rId4" Type="http://schemas.openxmlformats.org/officeDocument/2006/relationships/webSettings" Target="webSettings.xml"/><Relationship Id="rId9" Type="http://schemas.openxmlformats.org/officeDocument/2006/relationships/hyperlink" Target="https://www.acea.auto" TargetMode="External"/><Relationship Id="rId14" Type="http://schemas.openxmlformats.org/officeDocument/2006/relationships/hyperlink" Target="https://group.mercedes-benz.com" TargetMode="External"/><Relationship Id="rId22" Type="http://schemas.openxmlformats.org/officeDocument/2006/relationships/hyperlink" Target="https://www.ft.com" TargetMode="External"/><Relationship Id="rId27" Type="http://schemas.openxmlformats.org/officeDocument/2006/relationships/hyperlink" Target="https://www.sec.gov" TargetMode="External"/><Relationship Id="rId30" Type="http://schemas.openxmlformats.org/officeDocument/2006/relationships/hyperlink" Target="https://www.ft.com" TargetMode="External"/><Relationship Id="rId35" Type="http://schemas.openxmlformats.org/officeDocument/2006/relationships/footer" Target="footer1.xml"/><Relationship Id="rId8" Type="http://schemas.microsoft.com/office/2007/relationships/hdphoto" Target="media/hdphoto1.wdp"/><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27</Pages>
  <Words>7219</Words>
  <Characters>41154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Tasnime Noyon</dc:creator>
  <cp:keywords/>
  <dc:description/>
  <cp:lastModifiedBy>DFIT</cp:lastModifiedBy>
  <cp:revision>2</cp:revision>
  <dcterms:created xsi:type="dcterms:W3CDTF">2026-03-18T18:05:00Z</dcterms:created>
  <dcterms:modified xsi:type="dcterms:W3CDTF">2026-03-18T18:05:00Z</dcterms:modified>
</cp:coreProperties>
</file>