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D57AF" w:rsidRDefault="00BD57AF" w:rsidP="005A2829">
      <w:pPr>
        <w:jc w:val="both"/>
      </w:pPr>
    </w:p>
    <w:p w:rsidR="00BD57AF" w:rsidRDefault="00BD57AF" w:rsidP="005A2829">
      <w:pPr>
        <w:jc w:val="both"/>
      </w:pPr>
      <w:r>
        <w:t>Hammurabi was a king of Babylon who died in approximately 1750 BC</w:t>
      </w:r>
      <w:r>
        <w:rPr>
          <w:rStyle w:val="FootnoteReference"/>
        </w:rPr>
        <w:footnoteReference w:id="1"/>
      </w:r>
      <w:r w:rsidR="003905F5">
        <w:t xml:space="preserve">. During his reign a stela was engraved with a series of laws, the laws are known as Hammurabi law code. This section of the law code which this essay analyses contains a series of laws to do with the rights of women particularly to do with marriage. </w:t>
      </w:r>
      <w:r w:rsidR="00052991">
        <w:t xml:space="preserve">In ancient Mesopotamia </w:t>
      </w:r>
      <w:proofErr w:type="gramStart"/>
      <w:r w:rsidR="00052991">
        <w:t>it is clear that woman</w:t>
      </w:r>
      <w:proofErr w:type="gramEnd"/>
      <w:r w:rsidR="00052991">
        <w:t xml:space="preserve"> had significantly less status than men however woman had some rights and protected by law</w:t>
      </w:r>
      <w:r w:rsidR="00052991">
        <w:rPr>
          <w:rStyle w:val="FootnoteReference"/>
        </w:rPr>
        <w:footnoteReference w:id="2"/>
      </w:r>
      <w:r w:rsidR="00052991">
        <w:t>. Hammurabi law code appears to support this</w:t>
      </w:r>
      <w:r w:rsidR="00E366C2">
        <w:t xml:space="preserve"> argument.</w:t>
      </w:r>
    </w:p>
    <w:p w:rsidR="00693C97" w:rsidRDefault="003C1012" w:rsidP="005A2829">
      <w:pPr>
        <w:jc w:val="both"/>
      </w:pPr>
      <w:r>
        <w:t xml:space="preserve">Hammurabi ruled Babylon and was responsible for its rise to power when he conquered many rival peoples such as Elam, </w:t>
      </w:r>
      <w:proofErr w:type="gramStart"/>
      <w:r>
        <w:t>Assyria</w:t>
      </w:r>
      <w:proofErr w:type="gramEnd"/>
      <w:r>
        <w:t xml:space="preserve"> and Mari</w:t>
      </w:r>
      <w:r>
        <w:rPr>
          <w:rStyle w:val="FootnoteReference"/>
        </w:rPr>
        <w:footnoteReference w:id="3"/>
      </w:r>
      <w:r>
        <w:t>.</w:t>
      </w:r>
      <w:r w:rsidR="00DE6831">
        <w:t xml:space="preserve"> </w:t>
      </w:r>
      <w:proofErr w:type="gramStart"/>
      <w:r w:rsidR="00DE6831">
        <w:t>However</w:t>
      </w:r>
      <w:proofErr w:type="gramEnd"/>
      <w:r w:rsidR="00DE6831">
        <w:t xml:space="preserve"> Hammurabi’s rule and the success of Babylon as a civilization was not just due to conquest; Hammurabi also established a code of laws which were engraved onto a Stela</w:t>
      </w:r>
      <w:r w:rsidR="00DE6831">
        <w:rPr>
          <w:rStyle w:val="FootnoteReference"/>
        </w:rPr>
        <w:footnoteReference w:id="4"/>
      </w:r>
      <w:r w:rsidR="00DE6831">
        <w:t xml:space="preserve">. This stela appears to be the first recording of laws in the area, however this does not mean that laws did not exist before as it is very likely that these laws already existed and were communicated orally. </w:t>
      </w:r>
      <w:r w:rsidR="00693C97">
        <w:t xml:space="preserve">When the law code was created it is likely that the majority of people were illiterate and therefore were unable to read and understand the laws inscribed on the stela, the purpose of the law code could be that if a dispute about law arose then a literate person such as a scribe could read out what is stated in the law code, however the majority of cases were probably sorted without need to consult the </w:t>
      </w:r>
      <w:proofErr w:type="spellStart"/>
      <w:r w:rsidR="00693C97">
        <w:t>lawcode</w:t>
      </w:r>
      <w:proofErr w:type="spellEnd"/>
      <w:r w:rsidR="00693C97">
        <w:t xml:space="preserve"> due to the fact that it is only in one place and for people to get to the stela and to have someone literate with them is likely too much effort for many people to do.</w:t>
      </w:r>
    </w:p>
    <w:p w:rsidR="00E366C2" w:rsidRDefault="00E366C2" w:rsidP="005A2829">
      <w:pPr>
        <w:jc w:val="both"/>
      </w:pPr>
      <w:r>
        <w:t xml:space="preserve">The section of Hammurabi’s law code which this essay analyses can be looked at in sections. Laws 137 to 142 as well as 148 and 149 are to do with divorce, 141 and 144 to 147 </w:t>
      </w:r>
      <w:proofErr w:type="gramStart"/>
      <w:r>
        <w:t>talk</w:t>
      </w:r>
      <w:proofErr w:type="gramEnd"/>
      <w:r>
        <w:t xml:space="preserve"> about different statuses of woman in a household (wife, maidservants and concubines) and 147 as well as 150 to 152 discuss woman’s property and finances.</w:t>
      </w:r>
    </w:p>
    <w:p w:rsidR="00AB415F" w:rsidRDefault="00ED0D7B" w:rsidP="005A2829">
      <w:pPr>
        <w:jc w:val="both"/>
      </w:pPr>
      <w:proofErr w:type="gramStart"/>
      <w:r>
        <w:t>Firstly</w:t>
      </w:r>
      <w:proofErr w:type="gramEnd"/>
      <w:r>
        <w:t xml:space="preserve"> divorce appears to have been practice</w:t>
      </w:r>
      <w:r w:rsidR="00B963D5">
        <w:t>d</w:t>
      </w:r>
      <w:r>
        <w:t xml:space="preserve"> in ancient Mesopotamia and the majority of laws from this extract are to do with divorce.</w:t>
      </w:r>
      <w:r w:rsidR="00AB415F">
        <w:t xml:space="preserve"> </w:t>
      </w:r>
      <w:proofErr w:type="spellStart"/>
      <w:r w:rsidR="00AB415F">
        <w:t>Stol</w:t>
      </w:r>
      <w:proofErr w:type="spellEnd"/>
      <w:r w:rsidR="00AB415F">
        <w:t xml:space="preserve"> argues that it is far easier for a man to divorce his wife Than for a wife to divorce her husband and that if a woman instigates divorce she is always severely punished </w:t>
      </w:r>
      <w:r w:rsidR="00AB415F">
        <w:rPr>
          <w:rStyle w:val="FootnoteReference"/>
        </w:rPr>
        <w:footnoteReference w:id="5"/>
      </w:r>
      <w:r w:rsidR="00AB415F">
        <w:t xml:space="preserve">. However, examining the extract shows us that there are some circumstances where a wife may divorce her husband without punishment, this can be seen in law 142. Law 142 states that if a husband has wronged his wife and she did not want to be with him then there will be an enquiry and if the husband is found to be in the wrong then the wife gets her dowry back from her husband and is free to return to her father meaning that she can be remarried. Law 142 seems to contradict </w:t>
      </w:r>
      <w:proofErr w:type="spellStart"/>
      <w:r w:rsidR="00AB415F">
        <w:t>Stol’s</w:t>
      </w:r>
      <w:proofErr w:type="spellEnd"/>
      <w:r w:rsidR="00AB415F">
        <w:t xml:space="preserve"> argument that woman </w:t>
      </w:r>
      <w:proofErr w:type="gramStart"/>
      <w:r w:rsidR="00AB415F">
        <w:t>are</w:t>
      </w:r>
      <w:proofErr w:type="gramEnd"/>
      <w:r w:rsidR="00AB415F">
        <w:t xml:space="preserve"> treated much more harshly than men, although in comparison to the laws regarding divorce instigated by men it is slightly more difficult for a woman to get a divorce as an enquiry is involved, it is possible for the wife instigate a divorce without punishment. Another way that is possible for a woman to instigate a divorce without punishment is shown in law 149 where it states that if her husband chooses to take another wife on account of his first wife’s illness then she can choose to receive her dowry and return to her father, however it is the woman’s choice whether she </w:t>
      </w:r>
      <w:proofErr w:type="gramStart"/>
      <w:r w:rsidR="00AB415F">
        <w:t>returns</w:t>
      </w:r>
      <w:proofErr w:type="gramEnd"/>
      <w:r w:rsidR="00AB415F">
        <w:t xml:space="preserve"> and the husband cannot force it on her and is obliged to take care of her if she chooses to stay. Law 149 shows that in some situations women have some power over the marriage and where </w:t>
      </w:r>
      <w:r w:rsidR="00AB415F">
        <w:lastRenderedPageBreak/>
        <w:t xml:space="preserve">she lives however this is only the case in a limited number of scenarios and </w:t>
      </w:r>
      <w:proofErr w:type="gramStart"/>
      <w:r w:rsidR="00AB415F">
        <w:t>the majority of</w:t>
      </w:r>
      <w:proofErr w:type="gramEnd"/>
      <w:r w:rsidR="00AB415F">
        <w:t xml:space="preserve"> the time it is not a simple.</w:t>
      </w:r>
    </w:p>
    <w:p w:rsidR="00BD57AF" w:rsidRDefault="00AB415F" w:rsidP="005A2829">
      <w:pPr>
        <w:jc w:val="both"/>
      </w:pPr>
      <w:r>
        <w:t xml:space="preserve">Another inference that can be made about woman in ancient Mesopotamia from Hammurabi’s laws </w:t>
      </w:r>
      <w:r w:rsidR="00685631">
        <w:t xml:space="preserve">regarding divorce, </w:t>
      </w:r>
      <w:r>
        <w:t xml:space="preserve">is factors which affect the “worth” of woman in the eyes of the society. One thing which can be inferred is that women are “worth” more if they are able to bare children as can be seen in laws 137 and 138, it is far </w:t>
      </w:r>
      <w:proofErr w:type="gramStart"/>
      <w:r>
        <w:t>more costly</w:t>
      </w:r>
      <w:proofErr w:type="gramEnd"/>
      <w:r>
        <w:t xml:space="preserve"> for a man to divorce the wife who had borne him children (law 137) than it is for him to divorce a barren woman (law 138). This suggests that society in ancient Mesopotamia views the primary role of woman as being to give birth to and to raise children.</w:t>
      </w:r>
    </w:p>
    <w:p w:rsidR="00AB415F" w:rsidRDefault="008B07FA" w:rsidP="005A2829">
      <w:pPr>
        <w:jc w:val="both"/>
      </w:pPr>
      <w:r>
        <w:t xml:space="preserve">Divorce is not the only set of laws regarding women mentioned in this extract. This extract the law code discusses three different statuses of women within the household, these statuses are wives, </w:t>
      </w:r>
      <w:proofErr w:type="gramStart"/>
      <w:r>
        <w:t>maidservants</w:t>
      </w:r>
      <w:proofErr w:type="gramEnd"/>
      <w:r>
        <w:t xml:space="preserve"> and concubines. </w:t>
      </w:r>
      <w:r w:rsidR="00813A03">
        <w:t xml:space="preserve">The laws seem to suggest that wives are of the highest status, maidservants are female servants who are property of the wives and concubines are </w:t>
      </w:r>
      <w:r w:rsidR="00CC35A8">
        <w:t>under the command of and chosen by the husband without the need for the wife’s consent</w:t>
      </w:r>
      <w:r w:rsidR="00813A03">
        <w:t>. Laws 144 and 146 states that the wife may give her husband a maidservant with whom he can try to have children with, this suggests that maidservants are the property of the wife and that they only serve the husband</w:t>
      </w:r>
      <w:r w:rsidR="0040024B">
        <w:t xml:space="preserve"> under the wife’s command, this suggests that women played an important role in in the running of the household and in some spheres had more power than their husbands. The practice of a wife giving her husband a maidservant to impregnate is not unique to Babylonia, one example of this is that in the Bible Abraham is recorded to have been given a maidservant fired barren wife Sarah</w:t>
      </w:r>
      <w:r w:rsidR="0040024B">
        <w:rPr>
          <w:rStyle w:val="FootnoteReference"/>
        </w:rPr>
        <w:footnoteReference w:id="6"/>
      </w:r>
      <w:r w:rsidR="0040024B">
        <w:t xml:space="preserve"> this shows that Babylon was not unique in its practices</w:t>
      </w:r>
      <w:r w:rsidR="00B963D5">
        <w:t xml:space="preserve"> regarding women. Law 147 states that the wife may sell her maid servants for money unless they have borne the children of her husband, further showing that the maidservants were property of the wife and not the husband.</w:t>
      </w:r>
      <w:r w:rsidR="00685631">
        <w:t xml:space="preserve"> </w:t>
      </w:r>
    </w:p>
    <w:p w:rsidR="0040024B" w:rsidRDefault="0040024B" w:rsidP="005A2829">
      <w:pPr>
        <w:jc w:val="both"/>
        <w:rPr>
          <w:lang w:val="en-US"/>
        </w:rPr>
      </w:pPr>
      <w:r>
        <w:rPr>
          <w:lang w:val="en-US"/>
        </w:rPr>
        <w:t>A further thing that can be seen in the laws</w:t>
      </w:r>
      <w:r w:rsidR="0054692E">
        <w:rPr>
          <w:lang w:val="en-US"/>
        </w:rPr>
        <w:t xml:space="preserve"> regarding different statuses of women is that there was a degree of social mobility for women within the household, this can be seen in law 146 which states that if a maidservant that was given by the wife bears children the she “ranks with her mistress”. </w:t>
      </w:r>
      <w:proofErr w:type="gramStart"/>
      <w:r w:rsidR="003A3B4B">
        <w:rPr>
          <w:lang w:val="en-US"/>
        </w:rPr>
        <w:t>However</w:t>
      </w:r>
      <w:proofErr w:type="gramEnd"/>
      <w:r w:rsidR="003A3B4B">
        <w:rPr>
          <w:lang w:val="en-US"/>
        </w:rPr>
        <w:t xml:space="preserve"> this </w:t>
      </w:r>
      <w:r w:rsidR="00CC35A8">
        <w:rPr>
          <w:lang w:val="en-US"/>
        </w:rPr>
        <w:t xml:space="preserve">law does not also apply to concubines and although children of concubines are considered legitimate a concubine does not gain status by giving birth. </w:t>
      </w:r>
      <w:r w:rsidR="0054692E">
        <w:rPr>
          <w:lang w:val="en-US"/>
        </w:rPr>
        <w:t>Social mobility also goes the other way and law 141 states that if a wife neglects her house or commits adultery then the husband may choose to keep her in his household as a maidservant instead of sending back to her father. In both these examples women can rise and fall in status within the household based on their ability as a wife and in one case by bearing children a maidservant is considered a “wife” as she has performed duty of a wife by bearing children and if a wife neglects her duty to look after the household then she can be deemed unfit and become a maidservant.</w:t>
      </w:r>
    </w:p>
    <w:p w:rsidR="0093465E" w:rsidRDefault="0093465E" w:rsidP="005A2829">
      <w:pPr>
        <w:jc w:val="both"/>
        <w:rPr>
          <w:lang w:val="en-US"/>
        </w:rPr>
      </w:pPr>
      <w:r>
        <w:rPr>
          <w:lang w:val="en-US"/>
        </w:rPr>
        <w:t xml:space="preserve">From these laws we can see that maidservants and concubines are views as property and appear to have limited protection in law; however this is not the case for wives as there are </w:t>
      </w:r>
      <w:proofErr w:type="spellStart"/>
      <w:r>
        <w:rPr>
          <w:lang w:val="en-US"/>
        </w:rPr>
        <w:t>mamy</w:t>
      </w:r>
      <w:proofErr w:type="spellEnd"/>
      <w:r>
        <w:rPr>
          <w:lang w:val="en-US"/>
        </w:rPr>
        <w:t xml:space="preserve"> laws regarding the conditions which are required for her husband to divorce her</w:t>
      </w:r>
      <w:r w:rsidR="00170928">
        <w:rPr>
          <w:lang w:val="en-US"/>
        </w:rPr>
        <w:t xml:space="preserve"> and the husband has to pay to divorce as is shown by laws 137-140 implying that you do not buy or own your wife but instead you have to pay to get rid of her, however law 141 says that this does not apply to women who neglect fail in their duties by neglecting the household or by committing adultery, this is because, as has been previously discussed by doing these things the women forfeits</w:t>
      </w:r>
      <w:bookmarkStart w:id="0" w:name="_GoBack"/>
      <w:bookmarkEnd w:id="0"/>
      <w:r w:rsidR="00170928">
        <w:rPr>
          <w:lang w:val="en-US"/>
        </w:rPr>
        <w:t xml:space="preserve"> her position of “wife”</w:t>
      </w:r>
      <w:r>
        <w:rPr>
          <w:lang w:val="en-US"/>
        </w:rPr>
        <w:t xml:space="preserve">. This suggests that although some women </w:t>
      </w:r>
      <w:proofErr w:type="gramStart"/>
      <w:r>
        <w:rPr>
          <w:lang w:val="en-US"/>
        </w:rPr>
        <w:t>are seen as</w:t>
      </w:r>
      <w:proofErr w:type="gramEnd"/>
      <w:r>
        <w:rPr>
          <w:lang w:val="en-US"/>
        </w:rPr>
        <w:t xml:space="preserve"> property this is to do with their social status as opposed to their </w:t>
      </w:r>
      <w:r w:rsidR="00170928">
        <w:rPr>
          <w:lang w:val="en-US"/>
        </w:rPr>
        <w:t xml:space="preserve">gender and in some cases, as is shown by law 147 the wife has the power to sell maidservants. </w:t>
      </w:r>
    </w:p>
    <w:p w:rsidR="00B963D5" w:rsidRDefault="00B963D5" w:rsidP="005A2829">
      <w:pPr>
        <w:jc w:val="both"/>
        <w:rPr>
          <w:lang w:val="en-US"/>
        </w:rPr>
      </w:pPr>
      <w:r>
        <w:rPr>
          <w:lang w:val="en-US"/>
        </w:rPr>
        <w:lastRenderedPageBreak/>
        <w:t xml:space="preserve">The final group of laws which this essay examines is laws to do with the economic power a woman could hold. As has already been mentioned the wife could sell maidservants for money, this suggests that a wife has her own personal money and the economic affairs of the household are not solely controlled by the men. </w:t>
      </w:r>
      <w:proofErr w:type="spellStart"/>
      <w:r>
        <w:rPr>
          <w:lang w:val="en-US"/>
        </w:rPr>
        <w:t>Gansell</w:t>
      </w:r>
      <w:proofErr w:type="spellEnd"/>
      <w:r>
        <w:rPr>
          <w:lang w:val="en-US"/>
        </w:rPr>
        <w:t xml:space="preserve"> also states that the dowry for a wedding was given to the bride</w:t>
      </w:r>
      <w:r>
        <w:rPr>
          <w:rStyle w:val="FootnoteReference"/>
          <w:lang w:val="en-US"/>
        </w:rPr>
        <w:footnoteReference w:id="7"/>
      </w:r>
      <w:r>
        <w:rPr>
          <w:lang w:val="en-US"/>
        </w:rPr>
        <w:t xml:space="preserve"> however the fact that many of the divorce laws refer to the husband as having to “make good the dowry” suggests that </w:t>
      </w:r>
      <w:proofErr w:type="gramStart"/>
      <w:r>
        <w:rPr>
          <w:lang w:val="en-US"/>
        </w:rPr>
        <w:t xml:space="preserve">in reality </w:t>
      </w:r>
      <w:r w:rsidR="004E0618">
        <w:rPr>
          <w:lang w:val="en-US"/>
        </w:rPr>
        <w:t>it</w:t>
      </w:r>
      <w:proofErr w:type="gramEnd"/>
      <w:r w:rsidR="004E0618">
        <w:rPr>
          <w:lang w:val="en-US"/>
        </w:rPr>
        <w:t xml:space="preserve"> was the men who controlled the dowry money and potentially also controlled money gained from the sail of maidservants. </w:t>
      </w:r>
    </w:p>
    <w:p w:rsidR="00693C97" w:rsidRDefault="004E0618" w:rsidP="005A2829">
      <w:pPr>
        <w:jc w:val="both"/>
        <w:rPr>
          <w:lang w:val="en-US"/>
        </w:rPr>
      </w:pPr>
      <w:r>
        <w:rPr>
          <w:lang w:val="en-US"/>
        </w:rPr>
        <w:t xml:space="preserve">Another inference that we can make from the extract of the law code is that women </w:t>
      </w:r>
      <w:proofErr w:type="gramStart"/>
      <w:r>
        <w:rPr>
          <w:lang w:val="en-US"/>
        </w:rPr>
        <w:t>were seen as</w:t>
      </w:r>
      <w:proofErr w:type="gramEnd"/>
      <w:r>
        <w:rPr>
          <w:lang w:val="en-US"/>
        </w:rPr>
        <w:t xml:space="preserve"> being responsible for money and could get into debt in the same way as men; law 151 not only states that a woman may not be held on account of her husband’s premarital debt but also that a husband may not be held on account of his wife’s, this suggests that women could get into debt which in turn suggests that she had some degree of economic power. This law also appears to show that men and women are treated equally when it comes to debt and that women are not given lighter or stronger punishment. Furthermore law 152 states that if a household gets into debt after a marriage then both the husband and wife are accountable for the debt suggesting again that a wife must have some economic power and be in some way responsible for money.</w:t>
      </w:r>
    </w:p>
    <w:p w:rsidR="00693C97" w:rsidRDefault="00693C97" w:rsidP="005A2829">
      <w:pPr>
        <w:jc w:val="both"/>
        <w:rPr>
          <w:lang w:val="en-US"/>
        </w:rPr>
      </w:pPr>
      <w:r>
        <w:rPr>
          <w:lang w:val="en-US"/>
        </w:rPr>
        <w:t>In conclusion Hammurabi’s laws that involve women can tell us many things about the rights of all women, not just the wives of the elite but of all wives, as well as lower classes such as maidservants and concubines. From these laws we can see that although men are clearly</w:t>
      </w:r>
      <w:r w:rsidR="00685631">
        <w:rPr>
          <w:lang w:val="en-US"/>
        </w:rPr>
        <w:t xml:space="preserve"> dominant, and that Hammurabi’s Babylon was a patriarchal society. </w:t>
      </w:r>
      <w:proofErr w:type="gramStart"/>
      <w:r w:rsidR="00685631">
        <w:rPr>
          <w:lang w:val="en-US"/>
        </w:rPr>
        <w:t>However</w:t>
      </w:r>
      <w:proofErr w:type="gramEnd"/>
      <w:r w:rsidR="00685631">
        <w:rPr>
          <w:lang w:val="en-US"/>
        </w:rPr>
        <w:t xml:space="preserve"> we can also see that women did have many rights, they could initiate divorce in certain circumstances and had their own economic power, suggesting that women were far more influential in Babylon than other cultures at the time.</w:t>
      </w:r>
    </w:p>
    <w:p w:rsidR="00B963D5" w:rsidRPr="005A2829" w:rsidRDefault="00B963D5" w:rsidP="005A2829">
      <w:pPr>
        <w:jc w:val="both"/>
        <w:rPr>
          <w:lang w:val="en-US"/>
        </w:rPr>
      </w:pPr>
    </w:p>
    <w:p w:rsidR="00BD57AF" w:rsidRDefault="00BD57AF" w:rsidP="005A2829">
      <w:pPr>
        <w:jc w:val="both"/>
        <w:rPr>
          <w:b/>
          <w:u w:val="single"/>
        </w:rPr>
      </w:pPr>
      <w:r>
        <w:rPr>
          <w:b/>
          <w:u w:val="single"/>
        </w:rPr>
        <w:t>Bibliography</w:t>
      </w:r>
    </w:p>
    <w:p w:rsidR="00BD57AF" w:rsidRDefault="00BD57AF" w:rsidP="005A2829">
      <w:pPr>
        <w:jc w:val="both"/>
      </w:pPr>
      <w:r w:rsidRPr="00BD57AF">
        <w:t>Encyclopaedia Britannica</w:t>
      </w:r>
      <w:r>
        <w:t xml:space="preserve"> “Hammurabi” 1999 </w:t>
      </w:r>
      <w:hyperlink r:id="rId7" w:history="1">
        <w:r w:rsidRPr="0013368E">
          <w:rPr>
            <w:rStyle w:val="Hyperlink"/>
          </w:rPr>
          <w:t>https://www.brita</w:t>
        </w:r>
        <w:r w:rsidRPr="0013368E">
          <w:rPr>
            <w:rStyle w:val="Hyperlink"/>
          </w:rPr>
          <w:t>n</w:t>
        </w:r>
        <w:r w:rsidRPr="0013368E">
          <w:rPr>
            <w:rStyle w:val="Hyperlink"/>
          </w:rPr>
          <w:t>nica.com/biography/Hammurabi</w:t>
        </w:r>
      </w:hyperlink>
      <w:r>
        <w:t xml:space="preserve"> (accessed on</w:t>
      </w:r>
      <w:r w:rsidR="003905F5">
        <w:t xml:space="preserve"> 13/11/17)</w:t>
      </w:r>
    </w:p>
    <w:p w:rsidR="00052991" w:rsidRDefault="00052991" w:rsidP="005A2829">
      <w:pPr>
        <w:jc w:val="both"/>
      </w:pPr>
      <w:proofErr w:type="spellStart"/>
      <w:r>
        <w:t>Gansell</w:t>
      </w:r>
      <w:proofErr w:type="spellEnd"/>
      <w:r>
        <w:t>. A.R. 2012 “Women in ancient Mesopotamia” in S.L. James, S. Dillon “A companion to women in the ancient world!” Hoboken, Wiley, 11-26</w:t>
      </w:r>
    </w:p>
    <w:p w:rsidR="00AB415F" w:rsidRDefault="00AB415F" w:rsidP="005A2829">
      <w:pPr>
        <w:jc w:val="both"/>
      </w:pPr>
      <w:proofErr w:type="spellStart"/>
      <w:r>
        <w:t>Stol.M</w:t>
      </w:r>
      <w:proofErr w:type="spellEnd"/>
      <w:r>
        <w:t xml:space="preserve">. 1995 “Women in Mesopotamia” </w:t>
      </w:r>
      <w:r w:rsidRPr="00AB415F">
        <w:rPr>
          <w:i/>
        </w:rPr>
        <w:t>Journal of the Economic and Social History of the Orient</w:t>
      </w:r>
      <w:r>
        <w:rPr>
          <w:i/>
        </w:rPr>
        <w:t xml:space="preserve"> </w:t>
      </w:r>
      <w:r>
        <w:t>VOL. 38</w:t>
      </w:r>
    </w:p>
    <w:p w:rsidR="003C1012" w:rsidRPr="003C1012" w:rsidRDefault="003C1012" w:rsidP="005A2829">
      <w:pPr>
        <w:jc w:val="both"/>
      </w:pPr>
      <w:proofErr w:type="spellStart"/>
      <w:r>
        <w:t>Wellard.J</w:t>
      </w:r>
      <w:proofErr w:type="spellEnd"/>
      <w:r>
        <w:t xml:space="preserve">. 1972 </w:t>
      </w:r>
      <w:r w:rsidRPr="003C1012">
        <w:rPr>
          <w:i/>
        </w:rPr>
        <w:t>By the Waters of Babylon</w:t>
      </w:r>
      <w:r>
        <w:rPr>
          <w:i/>
        </w:rPr>
        <w:t xml:space="preserve"> </w:t>
      </w:r>
      <w:r w:rsidR="00DE6831">
        <w:t>Hutchinson, London</w:t>
      </w:r>
    </w:p>
    <w:p w:rsidR="003C1012" w:rsidRPr="00AB415F" w:rsidRDefault="003C1012" w:rsidP="005A2829">
      <w:pPr>
        <w:jc w:val="both"/>
      </w:pPr>
      <w:r>
        <w:t>The Bible (NIV)</w:t>
      </w:r>
    </w:p>
    <w:sectPr w:rsidR="003C1012" w:rsidRPr="00AB415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7041D" w:rsidRDefault="0007041D" w:rsidP="00BD57AF">
      <w:pPr>
        <w:spacing w:after="0" w:line="240" w:lineRule="auto"/>
      </w:pPr>
      <w:r>
        <w:separator/>
      </w:r>
    </w:p>
  </w:endnote>
  <w:endnote w:type="continuationSeparator" w:id="0">
    <w:p w:rsidR="0007041D" w:rsidRDefault="0007041D" w:rsidP="00BD57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7041D" w:rsidRDefault="0007041D" w:rsidP="00BD57AF">
      <w:pPr>
        <w:spacing w:after="0" w:line="240" w:lineRule="auto"/>
      </w:pPr>
      <w:r>
        <w:separator/>
      </w:r>
    </w:p>
  </w:footnote>
  <w:footnote w:type="continuationSeparator" w:id="0">
    <w:p w:rsidR="0007041D" w:rsidRDefault="0007041D" w:rsidP="00BD57AF">
      <w:pPr>
        <w:spacing w:after="0" w:line="240" w:lineRule="auto"/>
      </w:pPr>
      <w:r>
        <w:continuationSeparator/>
      </w:r>
    </w:p>
  </w:footnote>
  <w:footnote w:id="1">
    <w:p w:rsidR="00BD57AF" w:rsidRDefault="00BD57AF">
      <w:pPr>
        <w:pStyle w:val="FootnoteText"/>
      </w:pPr>
      <w:r>
        <w:rPr>
          <w:rStyle w:val="FootnoteReference"/>
        </w:rPr>
        <w:footnoteRef/>
      </w:r>
      <w:r>
        <w:t xml:space="preserve"> Encyclopaedia Britannica 1999</w:t>
      </w:r>
    </w:p>
  </w:footnote>
  <w:footnote w:id="2">
    <w:p w:rsidR="00052991" w:rsidRDefault="00052991">
      <w:pPr>
        <w:pStyle w:val="FootnoteText"/>
      </w:pPr>
      <w:r>
        <w:rPr>
          <w:rStyle w:val="FootnoteReference"/>
        </w:rPr>
        <w:footnoteRef/>
      </w:r>
      <w:r>
        <w:t xml:space="preserve"> </w:t>
      </w:r>
      <w:proofErr w:type="spellStart"/>
      <w:r>
        <w:t>Gansell</w:t>
      </w:r>
      <w:proofErr w:type="spellEnd"/>
      <w:r>
        <w:t xml:space="preserve"> 2012</w:t>
      </w:r>
    </w:p>
  </w:footnote>
  <w:footnote w:id="3">
    <w:p w:rsidR="003C1012" w:rsidRDefault="003C1012">
      <w:pPr>
        <w:pStyle w:val="FootnoteText"/>
      </w:pPr>
      <w:r>
        <w:rPr>
          <w:rStyle w:val="FootnoteReference"/>
        </w:rPr>
        <w:footnoteRef/>
      </w:r>
      <w:r>
        <w:t xml:space="preserve"> </w:t>
      </w:r>
      <w:proofErr w:type="spellStart"/>
      <w:r>
        <w:t>Wellard</w:t>
      </w:r>
      <w:proofErr w:type="spellEnd"/>
      <w:r>
        <w:t xml:space="preserve"> 1972</w:t>
      </w:r>
      <w:r w:rsidR="00DE6831">
        <w:t xml:space="preserve"> 120</w:t>
      </w:r>
    </w:p>
  </w:footnote>
  <w:footnote w:id="4">
    <w:p w:rsidR="00DE6831" w:rsidRDefault="00DE6831">
      <w:pPr>
        <w:pStyle w:val="FootnoteText"/>
      </w:pPr>
      <w:r>
        <w:rPr>
          <w:rStyle w:val="FootnoteReference"/>
        </w:rPr>
        <w:footnoteRef/>
      </w:r>
      <w:r>
        <w:t xml:space="preserve"> </w:t>
      </w:r>
      <w:proofErr w:type="spellStart"/>
      <w:r>
        <w:t>Wellard</w:t>
      </w:r>
      <w:proofErr w:type="spellEnd"/>
      <w:r>
        <w:t xml:space="preserve"> 1972</w:t>
      </w:r>
      <w:r>
        <w:t xml:space="preserve"> 121</w:t>
      </w:r>
    </w:p>
  </w:footnote>
  <w:footnote w:id="5">
    <w:p w:rsidR="00AB415F" w:rsidRDefault="00AB415F">
      <w:pPr>
        <w:pStyle w:val="FootnoteText"/>
      </w:pPr>
      <w:r>
        <w:rPr>
          <w:rStyle w:val="FootnoteReference"/>
        </w:rPr>
        <w:footnoteRef/>
      </w:r>
      <w:r>
        <w:t xml:space="preserve"> </w:t>
      </w:r>
      <w:proofErr w:type="spellStart"/>
      <w:r>
        <w:t>Stol</w:t>
      </w:r>
      <w:proofErr w:type="spellEnd"/>
      <w:r>
        <w:t xml:space="preserve"> 1995: 130</w:t>
      </w:r>
    </w:p>
  </w:footnote>
  <w:footnote w:id="6">
    <w:p w:rsidR="0040024B" w:rsidRPr="0040024B" w:rsidRDefault="0040024B">
      <w:pPr>
        <w:pStyle w:val="FootnoteText"/>
        <w:rPr>
          <w:lang w:val="en-US"/>
        </w:rPr>
      </w:pPr>
      <w:r>
        <w:rPr>
          <w:rStyle w:val="FootnoteReference"/>
        </w:rPr>
        <w:footnoteRef/>
      </w:r>
      <w:r>
        <w:t xml:space="preserve"> </w:t>
      </w:r>
      <w:r>
        <w:rPr>
          <w:lang w:val="en-US"/>
        </w:rPr>
        <w:t>Genesis 16:1-3 (NIV)</w:t>
      </w:r>
    </w:p>
  </w:footnote>
  <w:footnote w:id="7">
    <w:p w:rsidR="00B963D5" w:rsidRDefault="00B963D5">
      <w:pPr>
        <w:pStyle w:val="FootnoteText"/>
      </w:pPr>
      <w:r>
        <w:rPr>
          <w:rStyle w:val="FootnoteReference"/>
        </w:rPr>
        <w:footnoteRef/>
      </w:r>
      <w:r>
        <w:t xml:space="preserve"> </w:t>
      </w:r>
      <w:proofErr w:type="spellStart"/>
      <w:r>
        <w:t>Gansell</w:t>
      </w:r>
      <w:proofErr w:type="spellEnd"/>
      <w:r>
        <w:t xml:space="preserve"> 2012</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7AF"/>
    <w:rsid w:val="00052991"/>
    <w:rsid w:val="00055B54"/>
    <w:rsid w:val="0007041D"/>
    <w:rsid w:val="00090530"/>
    <w:rsid w:val="00170928"/>
    <w:rsid w:val="00182A34"/>
    <w:rsid w:val="003905F5"/>
    <w:rsid w:val="003A3B4B"/>
    <w:rsid w:val="003C1012"/>
    <w:rsid w:val="0040024B"/>
    <w:rsid w:val="004E0618"/>
    <w:rsid w:val="0054692E"/>
    <w:rsid w:val="005A2829"/>
    <w:rsid w:val="00685631"/>
    <w:rsid w:val="00693C97"/>
    <w:rsid w:val="007C1184"/>
    <w:rsid w:val="00813A03"/>
    <w:rsid w:val="00853988"/>
    <w:rsid w:val="008B07FA"/>
    <w:rsid w:val="008B2D5F"/>
    <w:rsid w:val="0093465E"/>
    <w:rsid w:val="009B4998"/>
    <w:rsid w:val="00A1646C"/>
    <w:rsid w:val="00AB415F"/>
    <w:rsid w:val="00B51AFA"/>
    <w:rsid w:val="00B963D5"/>
    <w:rsid w:val="00BD57AF"/>
    <w:rsid w:val="00C658F4"/>
    <w:rsid w:val="00CC35A8"/>
    <w:rsid w:val="00D34885"/>
    <w:rsid w:val="00DE6831"/>
    <w:rsid w:val="00E22CFA"/>
    <w:rsid w:val="00E366C2"/>
    <w:rsid w:val="00E56DD6"/>
    <w:rsid w:val="00ED0D7B"/>
    <w:rsid w:val="00F57C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2CA85"/>
  <w15:chartTrackingRefBased/>
  <w15:docId w15:val="{980A0C1D-C7C2-4538-A5EB-3EC0955272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D57A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57AF"/>
    <w:rPr>
      <w:sz w:val="20"/>
      <w:szCs w:val="20"/>
    </w:rPr>
  </w:style>
  <w:style w:type="character" w:styleId="FootnoteReference">
    <w:name w:val="footnote reference"/>
    <w:basedOn w:val="DefaultParagraphFont"/>
    <w:uiPriority w:val="99"/>
    <w:semiHidden/>
    <w:unhideWhenUsed/>
    <w:rsid w:val="00BD57AF"/>
    <w:rPr>
      <w:vertAlign w:val="superscript"/>
    </w:rPr>
  </w:style>
  <w:style w:type="character" w:styleId="Hyperlink">
    <w:name w:val="Hyperlink"/>
    <w:basedOn w:val="DefaultParagraphFont"/>
    <w:uiPriority w:val="99"/>
    <w:unhideWhenUsed/>
    <w:rsid w:val="00BD57AF"/>
    <w:rPr>
      <w:color w:val="0563C1" w:themeColor="hyperlink"/>
      <w:u w:val="single"/>
    </w:rPr>
  </w:style>
  <w:style w:type="character" w:styleId="UnresolvedMention">
    <w:name w:val="Unresolved Mention"/>
    <w:basedOn w:val="DefaultParagraphFont"/>
    <w:uiPriority w:val="99"/>
    <w:semiHidden/>
    <w:unhideWhenUsed/>
    <w:rsid w:val="00BD57AF"/>
    <w:rPr>
      <w:color w:val="808080"/>
      <w:shd w:val="clear" w:color="auto" w:fill="E6E6E6"/>
    </w:rPr>
  </w:style>
  <w:style w:type="character" w:styleId="FollowedHyperlink">
    <w:name w:val="FollowedHyperlink"/>
    <w:basedOn w:val="DefaultParagraphFont"/>
    <w:uiPriority w:val="99"/>
    <w:semiHidden/>
    <w:unhideWhenUsed/>
    <w:rsid w:val="003C10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biography/Hammurabi"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B9CAAF-BA5D-41EA-AFD2-7805DB1F6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599</TotalTime>
  <Pages>3</Pages>
  <Words>1506</Words>
  <Characters>8586</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Garters</dc:creator>
  <cp:keywords/>
  <dc:description/>
  <cp:lastModifiedBy>Peter Garters (1600311)</cp:lastModifiedBy>
  <cp:revision>5</cp:revision>
  <dcterms:created xsi:type="dcterms:W3CDTF">2017-11-13T11:38:00Z</dcterms:created>
  <dcterms:modified xsi:type="dcterms:W3CDTF">2017-11-14T18:07:00Z</dcterms:modified>
</cp:coreProperties>
</file>