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43CAC" w14:textId="0F4A836F" w:rsidR="005407D3" w:rsidRPr="00864AC9" w:rsidRDefault="00000703" w:rsidP="00864AC9">
      <w:pPr>
        <w:spacing w:before="100" w:beforeAutospacing="1" w:after="100" w:afterAutospacing="1" w:line="240" w:lineRule="auto"/>
        <w:jc w:val="center"/>
        <w:outlineLvl w:val="1"/>
        <w:rPr>
          <w:rFonts w:ascii="Arial" w:eastAsia="Times New Roman" w:hAnsi="Arial" w:cs="Arial"/>
          <w:b/>
          <w:bCs/>
          <w:kern w:val="0"/>
          <w:sz w:val="58"/>
          <w:szCs w:val="58"/>
          <w14:ligatures w14:val="none"/>
        </w:rPr>
      </w:pPr>
      <w:r w:rsidRPr="00864AC9">
        <w:rPr>
          <w:rFonts w:ascii="Arial" w:eastAsia="Times New Roman" w:hAnsi="Arial" w:cs="Arial"/>
          <w:b/>
          <w:bCs/>
          <w:kern w:val="0"/>
          <w:sz w:val="58"/>
          <w:szCs w:val="58"/>
          <w14:ligatures w14:val="none"/>
        </w:rPr>
        <w:t>Psychology in Health and Social Care</w:t>
      </w:r>
    </w:p>
    <w:p w14:paraId="10DC2BB5" w14:textId="77777777" w:rsidR="00185723" w:rsidRPr="00864AC9" w:rsidRDefault="00185723" w:rsidP="00864AC9">
      <w:pPr>
        <w:spacing w:before="100" w:beforeAutospacing="1" w:after="100" w:afterAutospacing="1" w:line="240" w:lineRule="auto"/>
        <w:jc w:val="center"/>
        <w:outlineLvl w:val="1"/>
        <w:rPr>
          <w:rFonts w:ascii="Arial" w:eastAsia="Times New Roman" w:hAnsi="Arial" w:cs="Arial"/>
          <w:b/>
          <w:bCs/>
          <w:kern w:val="0"/>
          <w:sz w:val="58"/>
          <w:szCs w:val="58"/>
          <w14:ligatures w14:val="none"/>
        </w:rPr>
      </w:pPr>
      <w:r w:rsidRPr="00864AC9">
        <w:rPr>
          <w:rFonts w:ascii="Arial" w:eastAsia="Times New Roman" w:hAnsi="Arial" w:cs="Arial"/>
          <w:b/>
          <w:bCs/>
          <w:kern w:val="0"/>
          <w:sz w:val="58"/>
          <w:szCs w:val="58"/>
          <w14:ligatures w14:val="none"/>
        </w:rPr>
        <w:t>Assignment 2:</w:t>
      </w:r>
    </w:p>
    <w:p w14:paraId="0F16D841" w14:textId="69858975" w:rsidR="00000703" w:rsidRPr="00864AC9" w:rsidRDefault="00185723" w:rsidP="00864AC9">
      <w:pPr>
        <w:spacing w:before="100" w:beforeAutospacing="1" w:after="100" w:afterAutospacing="1" w:line="240" w:lineRule="auto"/>
        <w:jc w:val="center"/>
        <w:outlineLvl w:val="1"/>
        <w:rPr>
          <w:rFonts w:ascii="Arial" w:eastAsia="Times New Roman" w:hAnsi="Arial" w:cs="Arial"/>
          <w:b/>
          <w:bCs/>
          <w:kern w:val="0"/>
          <w:sz w:val="58"/>
          <w:szCs w:val="58"/>
          <w14:ligatures w14:val="none"/>
        </w:rPr>
      </w:pPr>
      <w:r w:rsidRPr="00864AC9">
        <w:rPr>
          <w:rFonts w:ascii="Arial" w:eastAsia="Times New Roman" w:hAnsi="Arial" w:cs="Arial"/>
          <w:b/>
          <w:bCs/>
          <w:kern w:val="0"/>
          <w:sz w:val="58"/>
          <w:szCs w:val="58"/>
          <w14:ligatures w14:val="none"/>
        </w:rPr>
        <w:t>Written Task</w:t>
      </w:r>
    </w:p>
    <w:p w14:paraId="1458D2B9" w14:textId="77777777" w:rsidR="005407D3" w:rsidRDefault="005407D3" w:rsidP="005407D3">
      <w:pPr>
        <w:spacing w:before="100" w:beforeAutospacing="1" w:after="100" w:afterAutospacing="1" w:line="240" w:lineRule="auto"/>
        <w:outlineLvl w:val="1"/>
        <w:rPr>
          <w:rFonts w:ascii="Arial" w:eastAsia="Times New Roman" w:hAnsi="Arial" w:cs="Arial"/>
          <w:b/>
          <w:bCs/>
          <w:kern w:val="0"/>
          <w:sz w:val="44"/>
          <w:szCs w:val="44"/>
          <w14:ligatures w14:val="none"/>
        </w:rPr>
      </w:pPr>
    </w:p>
    <w:p w14:paraId="4EA6125E" w14:textId="77777777" w:rsidR="00873CA2" w:rsidRPr="00864AC9" w:rsidRDefault="00873CA2" w:rsidP="005407D3">
      <w:pPr>
        <w:spacing w:before="100" w:beforeAutospacing="1" w:after="100" w:afterAutospacing="1" w:line="240" w:lineRule="auto"/>
        <w:outlineLvl w:val="1"/>
        <w:rPr>
          <w:rFonts w:ascii="Arial" w:eastAsia="Times New Roman" w:hAnsi="Arial" w:cs="Arial"/>
          <w:b/>
          <w:bCs/>
          <w:kern w:val="0"/>
          <w:sz w:val="44"/>
          <w:szCs w:val="44"/>
          <w14:ligatures w14:val="none"/>
        </w:rPr>
      </w:pPr>
    </w:p>
    <w:p w14:paraId="795DD93B" w14:textId="78D2BC96" w:rsidR="00436851" w:rsidRDefault="00436851" w:rsidP="00864AC9">
      <w:pPr>
        <w:spacing w:before="100" w:beforeAutospacing="1" w:after="100" w:afterAutospacing="1" w:line="240" w:lineRule="auto"/>
        <w:jc w:val="right"/>
        <w:outlineLvl w:val="1"/>
        <w:rPr>
          <w:rFonts w:ascii="Arial" w:eastAsia="Times New Roman" w:hAnsi="Arial" w:cs="Arial"/>
          <w:kern w:val="0"/>
          <w14:ligatures w14:val="none"/>
        </w:rPr>
      </w:pPr>
      <w:r>
        <w:rPr>
          <w:rFonts w:ascii="Arial" w:eastAsia="Times New Roman" w:hAnsi="Arial" w:cs="Arial"/>
          <w:kern w:val="0"/>
          <w14:ligatures w14:val="none"/>
        </w:rPr>
        <w:t>Lecturer: Mark Kane</w:t>
      </w:r>
    </w:p>
    <w:p w14:paraId="415A09E9" w14:textId="07CDB322" w:rsidR="001C0F61" w:rsidRPr="00864AC9" w:rsidRDefault="001C0F61" w:rsidP="00864AC9">
      <w:pPr>
        <w:spacing w:before="100" w:beforeAutospacing="1" w:after="100" w:afterAutospacing="1" w:line="240" w:lineRule="auto"/>
        <w:jc w:val="right"/>
        <w:outlineLvl w:val="1"/>
        <w:rPr>
          <w:rFonts w:ascii="Arial" w:eastAsia="Times New Roman" w:hAnsi="Arial" w:cs="Arial"/>
          <w:kern w:val="0"/>
          <w14:ligatures w14:val="none"/>
        </w:rPr>
      </w:pPr>
      <w:r w:rsidRPr="00864AC9">
        <w:rPr>
          <w:rFonts w:ascii="Arial" w:eastAsia="Times New Roman" w:hAnsi="Arial" w:cs="Arial"/>
          <w:kern w:val="0"/>
          <w14:ligatures w14:val="none"/>
        </w:rPr>
        <w:t>Student: Ionela Maria Mihai</w:t>
      </w:r>
    </w:p>
    <w:p w14:paraId="3FD5918B" w14:textId="6898B438" w:rsidR="00873CA2" w:rsidRPr="00873CA2" w:rsidRDefault="001C0F61" w:rsidP="00873CA2">
      <w:pPr>
        <w:spacing w:before="100" w:beforeAutospacing="1" w:after="100" w:afterAutospacing="1" w:line="240" w:lineRule="auto"/>
        <w:jc w:val="right"/>
        <w:outlineLvl w:val="1"/>
        <w:rPr>
          <w:rFonts w:ascii="Arial" w:eastAsia="Times New Roman" w:hAnsi="Arial" w:cs="Arial"/>
          <w:kern w:val="0"/>
          <w14:ligatures w14:val="none"/>
        </w:rPr>
      </w:pPr>
      <w:r w:rsidRPr="00864AC9">
        <w:rPr>
          <w:rFonts w:ascii="Arial" w:eastAsia="Times New Roman" w:hAnsi="Arial" w:cs="Arial"/>
          <w:kern w:val="0"/>
          <w14:ligatures w14:val="none"/>
        </w:rPr>
        <w:t>ID: 242</w:t>
      </w:r>
      <w:r w:rsidR="00E32F6A" w:rsidRPr="00864AC9">
        <w:rPr>
          <w:rFonts w:ascii="Arial" w:eastAsia="Times New Roman" w:hAnsi="Arial" w:cs="Arial"/>
          <w:kern w:val="0"/>
          <w14:ligatures w14:val="none"/>
        </w:rPr>
        <w:t>3135</w:t>
      </w:r>
    </w:p>
    <w:p w14:paraId="647F85FD" w14:textId="77777777" w:rsidR="00873CA2" w:rsidRPr="00864AC9" w:rsidRDefault="00873CA2" w:rsidP="005407D3">
      <w:pPr>
        <w:spacing w:before="100" w:beforeAutospacing="1" w:after="100" w:afterAutospacing="1" w:line="240" w:lineRule="auto"/>
        <w:outlineLvl w:val="1"/>
        <w:rPr>
          <w:rFonts w:ascii="Arial" w:eastAsia="Times New Roman" w:hAnsi="Arial" w:cs="Arial"/>
          <w:b/>
          <w:bCs/>
          <w:kern w:val="0"/>
          <w:sz w:val="44"/>
          <w:szCs w:val="44"/>
          <w14:ligatures w14:val="none"/>
        </w:rPr>
      </w:pPr>
    </w:p>
    <w:p w14:paraId="0A4A8995" w14:textId="2E98B3D6" w:rsidR="005407D3" w:rsidRPr="005407D3" w:rsidRDefault="005407D3" w:rsidP="005407D3">
      <w:pPr>
        <w:spacing w:before="100" w:beforeAutospacing="1" w:after="100" w:afterAutospacing="1" w:line="240" w:lineRule="auto"/>
        <w:outlineLvl w:val="1"/>
        <w:rPr>
          <w:rFonts w:ascii="Arial" w:eastAsia="Times New Roman" w:hAnsi="Arial" w:cs="Arial"/>
          <w:b/>
          <w:bCs/>
          <w:kern w:val="0"/>
          <w:sz w:val="44"/>
          <w:szCs w:val="44"/>
          <w14:ligatures w14:val="none"/>
        </w:rPr>
      </w:pPr>
      <w:r w:rsidRPr="005407D3">
        <w:rPr>
          <w:rFonts w:ascii="Arial" w:eastAsia="Times New Roman" w:hAnsi="Arial" w:cs="Arial"/>
          <w:b/>
          <w:bCs/>
          <w:kern w:val="0"/>
          <w:sz w:val="44"/>
          <w:szCs w:val="44"/>
          <w14:ligatures w14:val="none"/>
        </w:rPr>
        <w:t>Introduction</w:t>
      </w:r>
    </w:p>
    <w:p w14:paraId="688CBF6A"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7A983EBD"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Supporting older adults living in dementia care homes requires an understanding of how psychological factors influence behaviour, wellbeing, and emotional needs. Dementia impacts memory, communication, and decision-making, which can lead to anxiety, distress, and changes in behaviour (NICE, 2022). Health and social care professionals therefore need strong theoretical knowledge to provide person-centred interventions. This report examines how two major psychological theories—Maslow’s Hierarchy of Needs (Maslow, 1987) and Erikson’s Psychosocial Stages (Erikson, 1997)—can be used to support adults aged 65 and over living in a dementia care setting. Each theory is explored in detail, critically evaluated, and applied to real-world practice using practical examples.</w:t>
      </w:r>
    </w:p>
    <w:p w14:paraId="3DABD4D1" w14:textId="3532FF2B" w:rsidR="005407D3" w:rsidRPr="005407D3" w:rsidRDefault="005407D3" w:rsidP="005407D3">
      <w:pPr>
        <w:spacing w:after="0" w:line="240" w:lineRule="auto"/>
        <w:rPr>
          <w:rFonts w:ascii="Arial" w:eastAsia="Times New Roman" w:hAnsi="Arial" w:cs="Arial"/>
          <w:kern w:val="0"/>
          <w14:ligatures w14:val="none"/>
        </w:rPr>
      </w:pPr>
    </w:p>
    <w:p w14:paraId="04102F05" w14:textId="77777777" w:rsidR="005407D3" w:rsidRPr="005407D3" w:rsidRDefault="005407D3" w:rsidP="005407D3">
      <w:pPr>
        <w:spacing w:before="100" w:beforeAutospacing="1" w:after="100" w:afterAutospacing="1" w:line="240" w:lineRule="auto"/>
        <w:outlineLvl w:val="0"/>
        <w:rPr>
          <w:rFonts w:ascii="Arial" w:hAnsi="Arial" w:cs="Arial"/>
          <w:b/>
          <w:bCs/>
          <w:kern w:val="36"/>
          <w:sz w:val="40"/>
          <w:szCs w:val="40"/>
          <w14:ligatures w14:val="none"/>
        </w:rPr>
      </w:pPr>
      <w:r w:rsidRPr="005407D3">
        <w:rPr>
          <w:rFonts w:ascii="Arial" w:eastAsia="Times New Roman" w:hAnsi="Arial" w:cs="Arial"/>
          <w:b/>
          <w:bCs/>
          <w:kern w:val="36"/>
          <w:sz w:val="40"/>
          <w:szCs w:val="40"/>
          <w14:ligatures w14:val="none"/>
        </w:rPr>
        <w:t>1. Context: Older Adults Living in a Dementia Care Home</w:t>
      </w:r>
    </w:p>
    <w:p w14:paraId="7BE8852A"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22499EDC"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lastRenderedPageBreak/>
        <w:t>Dementia is a progressive neurological condition that affects cognitive processes such as memory, language, reasoning, and emotional regulation (NICE, 2022). For many older adults, the severity of symptoms leads to admission into care homes, where support for daily living, safety, and wellbeing is required. Behavioural expressions—such as wandering, shouting, resistance to care, or withdrawal—often represent unmet needs rather than deliberate actions (Kitwood, 1997). Understanding psychological theories helps staff identify these needs and respond empathetically.</w:t>
      </w:r>
    </w:p>
    <w:p w14:paraId="7D602879"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6CFD9FE4"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Residents with dementia may experience psychological conditions such as depression, anxiety, confusion, and paranoia (Woods &amp; Clare, 2008). They may also face challenges related to identity, independence, and social connection. Health and social care professionals therefore need frameworks that address both emotional and practical aspects of care. Theories such as Maslow’s and Erikson’s provide insight into motivation, needs, and developmental experiences, guiding staff to deliver holistic, person-centred support (Quinn et al., 2016).</w:t>
      </w:r>
    </w:p>
    <w:p w14:paraId="58EBEA48" w14:textId="0073EA58" w:rsidR="005407D3" w:rsidRPr="005407D3" w:rsidRDefault="005407D3" w:rsidP="005407D3">
      <w:pPr>
        <w:spacing w:after="0" w:line="240" w:lineRule="auto"/>
        <w:rPr>
          <w:rFonts w:ascii="Arial" w:eastAsia="Times New Roman" w:hAnsi="Arial" w:cs="Arial"/>
          <w:kern w:val="0"/>
          <w14:ligatures w14:val="none"/>
        </w:rPr>
      </w:pPr>
    </w:p>
    <w:p w14:paraId="6D87C11E" w14:textId="77777777" w:rsidR="005407D3" w:rsidRPr="005407D3" w:rsidRDefault="005407D3" w:rsidP="005407D3">
      <w:pPr>
        <w:spacing w:before="100" w:beforeAutospacing="1" w:after="100" w:afterAutospacing="1" w:line="240" w:lineRule="auto"/>
        <w:outlineLvl w:val="0"/>
        <w:rPr>
          <w:rFonts w:ascii="Arial" w:hAnsi="Arial" w:cs="Arial"/>
          <w:b/>
          <w:bCs/>
          <w:kern w:val="36"/>
          <w:sz w:val="40"/>
          <w:szCs w:val="40"/>
          <w14:ligatures w14:val="none"/>
        </w:rPr>
      </w:pPr>
      <w:r w:rsidRPr="005407D3">
        <w:rPr>
          <w:rFonts w:ascii="Arial" w:eastAsia="Times New Roman" w:hAnsi="Arial" w:cs="Arial"/>
          <w:b/>
          <w:bCs/>
          <w:kern w:val="36"/>
          <w:sz w:val="40"/>
          <w:szCs w:val="40"/>
          <w14:ligatures w14:val="none"/>
        </w:rPr>
        <w:t>2. Theory 1: Maslow’s Hierarchy of Needs</w:t>
      </w:r>
    </w:p>
    <w:p w14:paraId="62991AFB"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26ACF876"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Maslow’s Hierarchy of Needs suggests that people are motivated by five levels of needs organised in a pyramid: physiological, safety, love and belonging, esteem, and self-actualisation (Maslow, 1987). Lower-level needs must typically be met before individuals can focus on higher-level ones. Although criticised for being too rigid, it remains widely applied in health and social care because of its holistic approach (Quinn et al., 2016).</w:t>
      </w:r>
    </w:p>
    <w:p w14:paraId="54C48236" w14:textId="79F1DDA6" w:rsidR="005407D3" w:rsidRPr="005407D3" w:rsidRDefault="005407D3" w:rsidP="005407D3">
      <w:pPr>
        <w:spacing w:after="0" w:line="240" w:lineRule="auto"/>
        <w:rPr>
          <w:rFonts w:ascii="Arial" w:eastAsia="Times New Roman" w:hAnsi="Arial" w:cs="Arial"/>
          <w:kern w:val="0"/>
          <w14:ligatures w14:val="none"/>
        </w:rPr>
      </w:pPr>
    </w:p>
    <w:p w14:paraId="11C42611" w14:textId="77777777" w:rsidR="005407D3" w:rsidRPr="005407D3" w:rsidRDefault="005407D3" w:rsidP="005407D3">
      <w:pPr>
        <w:spacing w:before="100" w:beforeAutospacing="1" w:after="100" w:afterAutospacing="1" w:line="240" w:lineRule="auto"/>
        <w:outlineLvl w:val="1"/>
        <w:rPr>
          <w:rFonts w:ascii="Arial" w:hAnsi="Arial" w:cs="Arial"/>
          <w:b/>
          <w:bCs/>
          <w:kern w:val="0"/>
          <w:sz w:val="36"/>
          <w:szCs w:val="36"/>
          <w14:ligatures w14:val="none"/>
        </w:rPr>
      </w:pPr>
      <w:r w:rsidRPr="005407D3">
        <w:rPr>
          <w:rFonts w:ascii="Arial" w:eastAsia="Times New Roman" w:hAnsi="Arial" w:cs="Arial"/>
          <w:b/>
          <w:bCs/>
          <w:kern w:val="0"/>
          <w:sz w:val="36"/>
          <w:szCs w:val="36"/>
          <w14:ligatures w14:val="none"/>
        </w:rPr>
        <w:t>Application to Dementia Care</w:t>
      </w:r>
    </w:p>
    <w:p w14:paraId="2CF5027D"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4E6D449C" w14:textId="77777777" w:rsidR="005407D3" w:rsidRPr="005407D3" w:rsidRDefault="005407D3" w:rsidP="005407D3">
      <w:pPr>
        <w:spacing w:before="100" w:beforeAutospacing="1" w:after="100" w:afterAutospacing="1" w:line="240" w:lineRule="auto"/>
        <w:outlineLvl w:val="2"/>
        <w:rPr>
          <w:rFonts w:ascii="Arial" w:eastAsia="Times New Roman" w:hAnsi="Arial" w:cs="Arial"/>
          <w:b/>
          <w:bCs/>
          <w:kern w:val="0"/>
          <w:sz w:val="27"/>
          <w:szCs w:val="27"/>
          <w14:ligatures w14:val="none"/>
        </w:rPr>
      </w:pPr>
      <w:r w:rsidRPr="005407D3">
        <w:rPr>
          <w:rFonts w:ascii="Arial" w:eastAsia="Times New Roman" w:hAnsi="Arial" w:cs="Arial"/>
          <w:b/>
          <w:bCs/>
          <w:kern w:val="0"/>
          <w:sz w:val="27"/>
          <w:szCs w:val="27"/>
          <w14:ligatures w14:val="none"/>
        </w:rPr>
        <w:t>Physiological Needs</w:t>
      </w:r>
    </w:p>
    <w:p w14:paraId="50EDEE49"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52DB49A6"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Older adults with dementia may struggle with eating, hydration, sleep, and mobility (NICE, 2022). Staff must support these needs through regular monitoring, assistance with meals, continence care, and ensuring a calming environment. A resident who becomes restless or agitated may be experiencing discomfort but unable to express it verbally (Kitwood, 1997).</w:t>
      </w:r>
    </w:p>
    <w:p w14:paraId="41A54B0F"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7D3D4B8C" w14:textId="77777777" w:rsidR="005407D3" w:rsidRPr="005407D3" w:rsidRDefault="005407D3" w:rsidP="005407D3">
      <w:pPr>
        <w:spacing w:before="100" w:beforeAutospacing="1" w:after="100" w:afterAutospacing="1" w:line="240" w:lineRule="auto"/>
        <w:outlineLvl w:val="2"/>
        <w:rPr>
          <w:rFonts w:ascii="Arial" w:eastAsia="Times New Roman" w:hAnsi="Arial" w:cs="Arial"/>
          <w:b/>
          <w:bCs/>
          <w:kern w:val="0"/>
          <w:sz w:val="27"/>
          <w:szCs w:val="27"/>
          <w14:ligatures w14:val="none"/>
        </w:rPr>
      </w:pPr>
      <w:r w:rsidRPr="005407D3">
        <w:rPr>
          <w:rFonts w:ascii="Arial" w:eastAsia="Times New Roman" w:hAnsi="Arial" w:cs="Arial"/>
          <w:b/>
          <w:bCs/>
          <w:kern w:val="0"/>
          <w:sz w:val="27"/>
          <w:szCs w:val="27"/>
          <w14:ligatures w14:val="none"/>
        </w:rPr>
        <w:lastRenderedPageBreak/>
        <w:t>Safety Needs</w:t>
      </w:r>
    </w:p>
    <w:p w14:paraId="3388368B"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0BA12F91"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Confusion, memory loss, and poor judgement make residents more vulnerable to falls, fear, and distress. Providing consistent routines, clear signage, and reassurance helps restore a sense of safety (Quinn et al., 2016). For example, predictable evening routines may reduce sundowning-related agitation (NICE, 2022).</w:t>
      </w:r>
    </w:p>
    <w:p w14:paraId="41AA8293"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45602462" w14:textId="77777777" w:rsidR="005407D3" w:rsidRPr="005407D3" w:rsidRDefault="005407D3" w:rsidP="005407D3">
      <w:pPr>
        <w:spacing w:before="100" w:beforeAutospacing="1" w:after="100" w:afterAutospacing="1" w:line="240" w:lineRule="auto"/>
        <w:outlineLvl w:val="2"/>
        <w:rPr>
          <w:rFonts w:ascii="Arial" w:eastAsia="Times New Roman" w:hAnsi="Arial" w:cs="Arial"/>
          <w:b/>
          <w:bCs/>
          <w:kern w:val="0"/>
          <w:sz w:val="27"/>
          <w:szCs w:val="27"/>
          <w14:ligatures w14:val="none"/>
        </w:rPr>
      </w:pPr>
      <w:r w:rsidRPr="005407D3">
        <w:rPr>
          <w:rFonts w:ascii="Arial" w:eastAsia="Times New Roman" w:hAnsi="Arial" w:cs="Arial"/>
          <w:b/>
          <w:bCs/>
          <w:kern w:val="0"/>
          <w:sz w:val="27"/>
          <w:szCs w:val="27"/>
          <w14:ligatures w14:val="none"/>
        </w:rPr>
        <w:t>Love and Belonging</w:t>
      </w:r>
    </w:p>
    <w:p w14:paraId="14609B6C"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59372D37"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Dementia can lead to loneliness and social withdrawal. Staff can support belonging by involving residents in social activities, encouraging family interactions, and building trusting relationships (Kitwood, 1997).</w:t>
      </w:r>
    </w:p>
    <w:p w14:paraId="34CE6C8D"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6E272154" w14:textId="77777777" w:rsidR="005407D3" w:rsidRPr="005407D3" w:rsidRDefault="005407D3" w:rsidP="005407D3">
      <w:pPr>
        <w:spacing w:before="100" w:beforeAutospacing="1" w:after="100" w:afterAutospacing="1" w:line="240" w:lineRule="auto"/>
        <w:outlineLvl w:val="2"/>
        <w:rPr>
          <w:rFonts w:ascii="Arial" w:eastAsia="Times New Roman" w:hAnsi="Arial" w:cs="Arial"/>
          <w:b/>
          <w:bCs/>
          <w:kern w:val="0"/>
          <w:sz w:val="27"/>
          <w:szCs w:val="27"/>
          <w14:ligatures w14:val="none"/>
        </w:rPr>
      </w:pPr>
      <w:r w:rsidRPr="005407D3">
        <w:rPr>
          <w:rFonts w:ascii="Arial" w:eastAsia="Times New Roman" w:hAnsi="Arial" w:cs="Arial"/>
          <w:b/>
          <w:bCs/>
          <w:kern w:val="0"/>
          <w:sz w:val="27"/>
          <w:szCs w:val="27"/>
          <w14:ligatures w14:val="none"/>
        </w:rPr>
        <w:t>Esteem Needs</w:t>
      </w:r>
    </w:p>
    <w:p w14:paraId="6E3697FD"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3F71A425"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Loss of independence can decrease confidence and self-worth. Offering choices—such as clothing or meals—helps residents maintain dignity. Small, meaningful roles like setting tables or watering plants also support self-esteem (Woods &amp; Clare, 2008).</w:t>
      </w:r>
    </w:p>
    <w:p w14:paraId="05B2F430"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3D4E999F" w14:textId="77777777" w:rsidR="005407D3" w:rsidRPr="005407D3" w:rsidRDefault="005407D3" w:rsidP="005407D3">
      <w:pPr>
        <w:spacing w:before="100" w:beforeAutospacing="1" w:after="100" w:afterAutospacing="1" w:line="240" w:lineRule="auto"/>
        <w:outlineLvl w:val="2"/>
        <w:rPr>
          <w:rFonts w:ascii="Arial" w:eastAsia="Times New Roman" w:hAnsi="Arial" w:cs="Arial"/>
          <w:b/>
          <w:bCs/>
          <w:kern w:val="0"/>
          <w:sz w:val="27"/>
          <w:szCs w:val="27"/>
          <w14:ligatures w14:val="none"/>
        </w:rPr>
      </w:pPr>
      <w:r w:rsidRPr="005407D3">
        <w:rPr>
          <w:rFonts w:ascii="Arial" w:eastAsia="Times New Roman" w:hAnsi="Arial" w:cs="Arial"/>
          <w:b/>
          <w:bCs/>
          <w:kern w:val="0"/>
          <w:sz w:val="27"/>
          <w:szCs w:val="27"/>
          <w14:ligatures w14:val="none"/>
        </w:rPr>
        <w:t>Self-Actualisation</w:t>
      </w:r>
    </w:p>
    <w:p w14:paraId="0B684DD8"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3B7F0C38"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Although cognitive decline may limit some abilities, residents can still enjoy personalised and creative activities. Music therapy, art, and spiritual practices can support identity and emotional expression (Woods &amp; Clare, 2008).</w:t>
      </w:r>
    </w:p>
    <w:p w14:paraId="14049564" w14:textId="4ED12589" w:rsidR="005407D3" w:rsidRPr="005407D3" w:rsidRDefault="005407D3" w:rsidP="005407D3">
      <w:pPr>
        <w:spacing w:after="0" w:line="240" w:lineRule="auto"/>
        <w:rPr>
          <w:rFonts w:ascii="Arial" w:eastAsia="Times New Roman" w:hAnsi="Arial" w:cs="Arial"/>
          <w:kern w:val="0"/>
          <w14:ligatures w14:val="none"/>
        </w:rPr>
      </w:pPr>
    </w:p>
    <w:p w14:paraId="0EE3D707" w14:textId="77777777" w:rsidR="005407D3" w:rsidRPr="005407D3" w:rsidRDefault="005407D3" w:rsidP="005407D3">
      <w:pPr>
        <w:spacing w:before="100" w:beforeAutospacing="1" w:after="100" w:afterAutospacing="1" w:line="240" w:lineRule="auto"/>
        <w:outlineLvl w:val="1"/>
        <w:rPr>
          <w:rFonts w:ascii="Arial" w:hAnsi="Arial" w:cs="Arial"/>
          <w:b/>
          <w:bCs/>
          <w:kern w:val="0"/>
          <w:sz w:val="36"/>
          <w:szCs w:val="36"/>
          <w14:ligatures w14:val="none"/>
        </w:rPr>
      </w:pPr>
      <w:r w:rsidRPr="005407D3">
        <w:rPr>
          <w:rFonts w:ascii="Arial" w:eastAsia="Times New Roman" w:hAnsi="Arial" w:cs="Arial"/>
          <w:b/>
          <w:bCs/>
          <w:kern w:val="0"/>
          <w:sz w:val="36"/>
          <w:szCs w:val="36"/>
          <w14:ligatures w14:val="none"/>
        </w:rPr>
        <w:t>Critical Evaluation of Maslow’s Theory</w:t>
      </w:r>
    </w:p>
    <w:p w14:paraId="55BCD5C6"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4861E98A"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 xml:space="preserve">Maslow’s model is useful because it provides a holistic and person-centred framework that aligns closely with dementia care values (Quinn et al., 2016). However, the hierarchical structure may not suit individuals with dementia, whose </w:t>
      </w:r>
      <w:r w:rsidRPr="005407D3">
        <w:rPr>
          <w:rFonts w:ascii="Arial" w:hAnsi="Arial" w:cs="Arial"/>
          <w:kern w:val="0"/>
          <w14:ligatures w14:val="none"/>
        </w:rPr>
        <w:lastRenderedPageBreak/>
        <w:t>needs fluctuate unpredictably. Research suggests that emotional needs may take precedence even when physical needs are not yet met (Kitwood, 1997). Nevertheless, Maslow’s theory remains a valuable guide for recognising the complexity of human needs in care home environments (Woods &amp; Clare, 2008).</w:t>
      </w:r>
    </w:p>
    <w:p w14:paraId="6F494073" w14:textId="4899E44B" w:rsidR="005407D3" w:rsidRPr="005407D3" w:rsidRDefault="005407D3" w:rsidP="005407D3">
      <w:pPr>
        <w:spacing w:after="0" w:line="240" w:lineRule="auto"/>
        <w:rPr>
          <w:rFonts w:ascii="Arial" w:eastAsia="Times New Roman" w:hAnsi="Arial" w:cs="Arial"/>
          <w:kern w:val="0"/>
          <w14:ligatures w14:val="none"/>
        </w:rPr>
      </w:pPr>
    </w:p>
    <w:p w14:paraId="447A192F" w14:textId="50653F39" w:rsidR="005407D3" w:rsidRPr="005407D3" w:rsidRDefault="005407D3" w:rsidP="00EF0DB6">
      <w:pPr>
        <w:spacing w:before="100" w:beforeAutospacing="1" w:after="100" w:afterAutospacing="1" w:line="240" w:lineRule="auto"/>
        <w:outlineLvl w:val="0"/>
        <w:rPr>
          <w:rFonts w:ascii="Arial" w:hAnsi="Arial" w:cs="Arial"/>
          <w:b/>
          <w:bCs/>
          <w:kern w:val="36"/>
          <w:sz w:val="40"/>
          <w:szCs w:val="40"/>
          <w14:ligatures w14:val="none"/>
        </w:rPr>
      </w:pPr>
      <w:r w:rsidRPr="005407D3">
        <w:rPr>
          <w:rFonts w:ascii="Arial" w:eastAsia="Times New Roman" w:hAnsi="Arial" w:cs="Arial"/>
          <w:b/>
          <w:bCs/>
          <w:kern w:val="36"/>
          <w:sz w:val="40"/>
          <w:szCs w:val="40"/>
          <w14:ligatures w14:val="none"/>
        </w:rPr>
        <w:t>3. Theory 2: Erikson’s Psychosocial Stages</w:t>
      </w:r>
    </w:p>
    <w:p w14:paraId="1B24F0ED"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733B6732"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Erikson proposed eight psychosocial stages across the lifespan, each characterised by a developmental conflict. In later adulthood, the key conflict is Integrity vs Despair, where individuals reflect on their life achievements and experiences (Erikson, 1997). Successful resolution leads to acceptance and a sense of accomplishment; failure may result in regret and emotional distress.</w:t>
      </w:r>
    </w:p>
    <w:p w14:paraId="48F2E4B8" w14:textId="52D7DDD2" w:rsidR="005407D3" w:rsidRPr="005407D3" w:rsidRDefault="005407D3" w:rsidP="005407D3">
      <w:pPr>
        <w:spacing w:after="0" w:line="240" w:lineRule="auto"/>
        <w:rPr>
          <w:rFonts w:ascii="Arial" w:eastAsia="Times New Roman" w:hAnsi="Arial" w:cs="Arial"/>
          <w:kern w:val="0"/>
          <w14:ligatures w14:val="none"/>
        </w:rPr>
      </w:pPr>
    </w:p>
    <w:p w14:paraId="293D54EA" w14:textId="77777777" w:rsidR="005407D3" w:rsidRPr="005407D3" w:rsidRDefault="005407D3" w:rsidP="005407D3">
      <w:pPr>
        <w:spacing w:before="100" w:beforeAutospacing="1" w:after="100" w:afterAutospacing="1" w:line="240" w:lineRule="auto"/>
        <w:outlineLvl w:val="1"/>
        <w:rPr>
          <w:rFonts w:ascii="Arial" w:hAnsi="Arial" w:cs="Arial"/>
          <w:b/>
          <w:bCs/>
          <w:kern w:val="0"/>
          <w:sz w:val="36"/>
          <w:szCs w:val="36"/>
          <w14:ligatures w14:val="none"/>
        </w:rPr>
      </w:pPr>
      <w:r w:rsidRPr="005407D3">
        <w:rPr>
          <w:rFonts w:ascii="Arial" w:eastAsia="Times New Roman" w:hAnsi="Arial" w:cs="Arial"/>
          <w:b/>
          <w:bCs/>
          <w:kern w:val="0"/>
          <w:sz w:val="36"/>
          <w:szCs w:val="36"/>
          <w14:ligatures w14:val="none"/>
        </w:rPr>
        <w:t>Application to Dementia Care</w:t>
      </w:r>
    </w:p>
    <w:p w14:paraId="30EF6854"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6B8237C1" w14:textId="77777777" w:rsidR="005407D3" w:rsidRPr="005407D3" w:rsidRDefault="005407D3" w:rsidP="005407D3">
      <w:pPr>
        <w:spacing w:before="100" w:beforeAutospacing="1" w:after="100" w:afterAutospacing="1" w:line="240" w:lineRule="auto"/>
        <w:outlineLvl w:val="2"/>
        <w:rPr>
          <w:rFonts w:ascii="Arial" w:eastAsia="Times New Roman" w:hAnsi="Arial" w:cs="Arial"/>
          <w:b/>
          <w:bCs/>
          <w:kern w:val="0"/>
          <w:sz w:val="27"/>
          <w:szCs w:val="27"/>
          <w14:ligatures w14:val="none"/>
        </w:rPr>
      </w:pPr>
      <w:r w:rsidRPr="005407D3">
        <w:rPr>
          <w:rFonts w:ascii="Arial" w:eastAsia="Times New Roman" w:hAnsi="Arial" w:cs="Arial"/>
          <w:b/>
          <w:bCs/>
          <w:kern w:val="0"/>
          <w:sz w:val="27"/>
          <w:szCs w:val="27"/>
          <w14:ligatures w14:val="none"/>
        </w:rPr>
        <w:t>Identity and Life Story Work</w:t>
      </w:r>
    </w:p>
    <w:p w14:paraId="7DA1CDC3"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435FAC33"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Dementia affects autobiographical memory and identity. Life-story work—such as memory boxes, photographs, and reminiscence sessions—supports a coherent sense of self and reduces anxiety (Kitwood, 1997).</w:t>
      </w:r>
    </w:p>
    <w:p w14:paraId="485DEBD5"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562D12E9" w14:textId="77777777" w:rsidR="005407D3" w:rsidRPr="005407D3" w:rsidRDefault="005407D3" w:rsidP="005407D3">
      <w:pPr>
        <w:spacing w:before="100" w:beforeAutospacing="1" w:after="100" w:afterAutospacing="1" w:line="240" w:lineRule="auto"/>
        <w:outlineLvl w:val="2"/>
        <w:rPr>
          <w:rFonts w:ascii="Arial" w:eastAsia="Times New Roman" w:hAnsi="Arial" w:cs="Arial"/>
          <w:b/>
          <w:bCs/>
          <w:kern w:val="0"/>
          <w:sz w:val="27"/>
          <w:szCs w:val="27"/>
          <w14:ligatures w14:val="none"/>
        </w:rPr>
      </w:pPr>
      <w:r w:rsidRPr="005407D3">
        <w:rPr>
          <w:rFonts w:ascii="Arial" w:eastAsia="Times New Roman" w:hAnsi="Arial" w:cs="Arial"/>
          <w:b/>
          <w:bCs/>
          <w:kern w:val="0"/>
          <w:sz w:val="27"/>
          <w:szCs w:val="27"/>
          <w14:ligatures w14:val="none"/>
        </w:rPr>
        <w:t>Emotional Expression</w:t>
      </w:r>
    </w:p>
    <w:p w14:paraId="1A3B47E4"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6F41C819"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Residents may express despair, sadness, or grief over losses. Staff can support them using empathy, validation, and calm communication (Erikson, 1997). A resident who expresses regret about past decisions may require reassurance and emotional support.</w:t>
      </w:r>
    </w:p>
    <w:p w14:paraId="49A651DB"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0C9F1242" w14:textId="77777777" w:rsidR="005407D3" w:rsidRPr="005407D3" w:rsidRDefault="005407D3" w:rsidP="005407D3">
      <w:pPr>
        <w:spacing w:before="100" w:beforeAutospacing="1" w:after="100" w:afterAutospacing="1" w:line="240" w:lineRule="auto"/>
        <w:outlineLvl w:val="2"/>
        <w:rPr>
          <w:rFonts w:ascii="Arial" w:eastAsia="Times New Roman" w:hAnsi="Arial" w:cs="Arial"/>
          <w:b/>
          <w:bCs/>
          <w:kern w:val="0"/>
          <w:sz w:val="27"/>
          <w:szCs w:val="27"/>
          <w14:ligatures w14:val="none"/>
        </w:rPr>
      </w:pPr>
      <w:r w:rsidRPr="005407D3">
        <w:rPr>
          <w:rFonts w:ascii="Arial" w:eastAsia="Times New Roman" w:hAnsi="Arial" w:cs="Arial"/>
          <w:b/>
          <w:bCs/>
          <w:kern w:val="0"/>
          <w:sz w:val="27"/>
          <w:szCs w:val="27"/>
          <w14:ligatures w14:val="none"/>
        </w:rPr>
        <w:t>Meaning and Purpose</w:t>
      </w:r>
    </w:p>
    <w:p w14:paraId="4D8C1D55"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134E17EE"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lastRenderedPageBreak/>
        <w:t>Engaging residents in meaningful activities promotes a sense of integrity. Activities such as gardening, storytelling, or helping staff with simple roles support emotional wellbeing (Woods &amp; Clare, 2008).</w:t>
      </w:r>
    </w:p>
    <w:p w14:paraId="35F8B4F7"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214347B7" w14:textId="77777777" w:rsidR="005407D3" w:rsidRPr="005407D3" w:rsidRDefault="005407D3" w:rsidP="005407D3">
      <w:pPr>
        <w:spacing w:before="100" w:beforeAutospacing="1" w:after="100" w:afterAutospacing="1" w:line="240" w:lineRule="auto"/>
        <w:outlineLvl w:val="2"/>
        <w:rPr>
          <w:rFonts w:ascii="Arial" w:eastAsia="Times New Roman" w:hAnsi="Arial" w:cs="Arial"/>
          <w:b/>
          <w:bCs/>
          <w:kern w:val="0"/>
          <w:sz w:val="27"/>
          <w:szCs w:val="27"/>
          <w14:ligatures w14:val="none"/>
        </w:rPr>
      </w:pPr>
      <w:r w:rsidRPr="005407D3">
        <w:rPr>
          <w:rFonts w:ascii="Arial" w:eastAsia="Times New Roman" w:hAnsi="Arial" w:cs="Arial"/>
          <w:b/>
          <w:bCs/>
          <w:kern w:val="0"/>
          <w:sz w:val="27"/>
          <w:szCs w:val="27"/>
          <w14:ligatures w14:val="none"/>
        </w:rPr>
        <w:t>Social Relationships</w:t>
      </w:r>
    </w:p>
    <w:p w14:paraId="2D23051C"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3387BD8B"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Positive relationships with staff help residents feel safe and valued. Consistency in staffing supports emotional stability and builds trust (Kitwood, 1997).</w:t>
      </w:r>
    </w:p>
    <w:p w14:paraId="797F4413" w14:textId="3E65B38E" w:rsidR="005407D3" w:rsidRPr="005407D3" w:rsidRDefault="005407D3" w:rsidP="005407D3">
      <w:pPr>
        <w:spacing w:after="0" w:line="240" w:lineRule="auto"/>
        <w:rPr>
          <w:rFonts w:ascii="Arial" w:eastAsia="Times New Roman" w:hAnsi="Arial" w:cs="Arial"/>
          <w:kern w:val="0"/>
          <w14:ligatures w14:val="none"/>
        </w:rPr>
      </w:pPr>
    </w:p>
    <w:p w14:paraId="22639127" w14:textId="77777777" w:rsidR="005407D3" w:rsidRPr="005407D3" w:rsidRDefault="005407D3" w:rsidP="005407D3">
      <w:pPr>
        <w:spacing w:before="100" w:beforeAutospacing="1" w:after="100" w:afterAutospacing="1" w:line="240" w:lineRule="auto"/>
        <w:outlineLvl w:val="1"/>
        <w:rPr>
          <w:rFonts w:ascii="Arial" w:hAnsi="Arial" w:cs="Arial"/>
          <w:b/>
          <w:bCs/>
          <w:kern w:val="0"/>
          <w:sz w:val="36"/>
          <w:szCs w:val="36"/>
          <w14:ligatures w14:val="none"/>
        </w:rPr>
      </w:pPr>
      <w:r w:rsidRPr="005407D3">
        <w:rPr>
          <w:rFonts w:ascii="Arial" w:eastAsia="Times New Roman" w:hAnsi="Arial" w:cs="Arial"/>
          <w:b/>
          <w:bCs/>
          <w:kern w:val="0"/>
          <w:sz w:val="36"/>
          <w:szCs w:val="36"/>
          <w14:ligatures w14:val="none"/>
        </w:rPr>
        <w:t>Critical Evaluation of Erikson’s Theory</w:t>
      </w:r>
    </w:p>
    <w:p w14:paraId="60C44F92"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662D7C0A"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Erikson’s theory is valuable because it emphasises identity, meaning, and emotional needs—areas that are highly relevant to dementia care (Erikson, 1997). Reminiscence therapy, based on Erikson’s ideas, is widely supported by research (Woods &amp; Clare, 2008). However, the theory assumes individuals progress through stages in a linear fashion, which may not apply to those with cognitive impairment. Memory loss may also limit a resident’s ability to engage in life review (Quinn et al., 2016). Despite these limitations, Erikson’s theory remains widely used because it addresses the emotional experiences of older adults and supports holistic care.</w:t>
      </w:r>
    </w:p>
    <w:p w14:paraId="79FC69F7" w14:textId="5EA62880" w:rsidR="005407D3" w:rsidRPr="005407D3" w:rsidRDefault="005407D3" w:rsidP="005407D3">
      <w:pPr>
        <w:spacing w:after="0" w:line="240" w:lineRule="auto"/>
        <w:rPr>
          <w:rFonts w:ascii="Arial" w:eastAsia="Times New Roman" w:hAnsi="Arial" w:cs="Arial"/>
          <w:kern w:val="0"/>
          <w14:ligatures w14:val="none"/>
        </w:rPr>
      </w:pPr>
    </w:p>
    <w:p w14:paraId="637A1CDE" w14:textId="77777777" w:rsidR="005407D3" w:rsidRPr="005407D3" w:rsidRDefault="005407D3" w:rsidP="005407D3">
      <w:pPr>
        <w:spacing w:before="100" w:beforeAutospacing="1" w:after="100" w:afterAutospacing="1" w:line="240" w:lineRule="auto"/>
        <w:outlineLvl w:val="0"/>
        <w:rPr>
          <w:rFonts w:ascii="Arial" w:hAnsi="Arial" w:cs="Arial"/>
          <w:b/>
          <w:bCs/>
          <w:kern w:val="36"/>
          <w:sz w:val="40"/>
          <w:szCs w:val="40"/>
          <w14:ligatures w14:val="none"/>
        </w:rPr>
      </w:pPr>
      <w:r w:rsidRPr="005407D3">
        <w:rPr>
          <w:rFonts w:ascii="Arial" w:eastAsia="Times New Roman" w:hAnsi="Arial" w:cs="Arial"/>
          <w:b/>
          <w:bCs/>
          <w:kern w:val="36"/>
          <w:sz w:val="40"/>
          <w:szCs w:val="40"/>
          <w14:ligatures w14:val="none"/>
        </w:rPr>
        <w:t>4. How These Theories Support Health and Social Care Practice</w:t>
      </w:r>
    </w:p>
    <w:p w14:paraId="5EB25F51"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7BFF8B20"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Maslow and Erikson together offer a comprehensive understanding of both practical and emotional needs. Maslow helps staff identify unmet needs such as hunger, discomfort, or loneliness, while Erikson highlights emotional struggles linked to identity, loss, and self-worth (Maslow, 1987; Erikson, 1997). Theories help staff interpret behaviours as expressions of need rather than “problem behaviour” (Kitwood, 1997).</w:t>
      </w:r>
    </w:p>
    <w:p w14:paraId="15894FA0"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4FC0707C"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Using these theories enables professionals to:</w:t>
      </w:r>
    </w:p>
    <w:p w14:paraId="24A82A34" w14:textId="77777777" w:rsidR="005407D3" w:rsidRPr="005407D3" w:rsidRDefault="005407D3" w:rsidP="005407D3">
      <w:pPr>
        <w:numPr>
          <w:ilvl w:val="0"/>
          <w:numId w:val="1"/>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deliver person-centred and needs-based care (NICE, 2022)</w:t>
      </w:r>
    </w:p>
    <w:p w14:paraId="6267C89B" w14:textId="77777777" w:rsidR="005407D3" w:rsidRPr="005407D3" w:rsidRDefault="005407D3" w:rsidP="005407D3">
      <w:pPr>
        <w:numPr>
          <w:ilvl w:val="0"/>
          <w:numId w:val="1"/>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improve communication and relationships</w:t>
      </w:r>
    </w:p>
    <w:p w14:paraId="4287D998" w14:textId="77777777" w:rsidR="005407D3" w:rsidRPr="005407D3" w:rsidRDefault="005407D3" w:rsidP="005407D3">
      <w:pPr>
        <w:numPr>
          <w:ilvl w:val="0"/>
          <w:numId w:val="1"/>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lastRenderedPageBreak/>
        <w:t>develop meaningful, personalised activities</w:t>
      </w:r>
    </w:p>
    <w:p w14:paraId="70B37CA6" w14:textId="77777777" w:rsidR="005407D3" w:rsidRPr="005407D3" w:rsidRDefault="005407D3" w:rsidP="005407D3">
      <w:pPr>
        <w:numPr>
          <w:ilvl w:val="0"/>
          <w:numId w:val="1"/>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support emotional wellbeing</w:t>
      </w:r>
    </w:p>
    <w:p w14:paraId="30C1E3BE" w14:textId="77777777" w:rsidR="005407D3" w:rsidRPr="00864AC9" w:rsidRDefault="005407D3" w:rsidP="005407D3">
      <w:pPr>
        <w:numPr>
          <w:ilvl w:val="0"/>
          <w:numId w:val="1"/>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reduce distress and behavioural symptoms (Woods &amp; Clare, 2008)</w:t>
      </w:r>
    </w:p>
    <w:p w14:paraId="4802EDF1" w14:textId="77777777" w:rsidR="009D3F5A" w:rsidRPr="005407D3" w:rsidRDefault="009D3F5A" w:rsidP="009D3F5A">
      <w:pPr>
        <w:spacing w:before="100" w:beforeAutospacing="1" w:after="100" w:afterAutospacing="1" w:line="240" w:lineRule="auto"/>
        <w:rPr>
          <w:rFonts w:ascii="Arial" w:hAnsi="Arial" w:cs="Arial"/>
          <w:kern w:val="0"/>
          <w14:ligatures w14:val="none"/>
        </w:rPr>
      </w:pPr>
    </w:p>
    <w:p w14:paraId="28A31496" w14:textId="77777777" w:rsidR="009D3F5A" w:rsidRPr="00864AC9" w:rsidRDefault="009D3F5A">
      <w:pPr>
        <w:pStyle w:val="p1"/>
        <w:rPr>
          <w:rFonts w:ascii="Arial" w:hAnsi="Arial" w:cs="Arial"/>
        </w:rPr>
      </w:pPr>
      <w:r w:rsidRPr="00864AC9">
        <w:rPr>
          <w:rStyle w:val="s1"/>
          <w:rFonts w:ascii="Arial" w:hAnsi="Arial" w:cs="Arial"/>
        </w:rPr>
        <w:t>Another important aspect of applying psychological theories in dementia care is recognising that residents’ needs and emotional states can change rapidly from day to day, or even hour to hour. Theories such as Maslow’s and Erikson’s do not provide fixed rules, but rather flexible frameworks that support ongoing assessment and reflection. For example, a resident who appears confident and socially engaged one day may become withdrawn the next due to confusion, pain, or fatigue. By using Maslow’s hierarchy, staff can check whether physiological or safety needs are being overlooked, which could contribute to sudden changes in behaviour (Maslow, 1987; NICE, 2022). This continuous, needs-led approach helps avoid misinterpreting behaviour as “challenging” when it may simply indicate distress.</w:t>
      </w:r>
    </w:p>
    <w:p w14:paraId="1359920A" w14:textId="77777777" w:rsidR="009D3F5A" w:rsidRPr="00864AC9" w:rsidRDefault="009D3F5A">
      <w:pPr>
        <w:pStyle w:val="p2"/>
        <w:rPr>
          <w:rFonts w:ascii="Arial" w:hAnsi="Arial" w:cs="Arial"/>
        </w:rPr>
      </w:pPr>
    </w:p>
    <w:p w14:paraId="6E445169" w14:textId="77777777" w:rsidR="009D3F5A" w:rsidRPr="00864AC9" w:rsidRDefault="009D3F5A">
      <w:pPr>
        <w:pStyle w:val="p1"/>
        <w:rPr>
          <w:rFonts w:ascii="Arial" w:hAnsi="Arial" w:cs="Arial"/>
        </w:rPr>
      </w:pPr>
      <w:r w:rsidRPr="00864AC9">
        <w:rPr>
          <w:rStyle w:val="s1"/>
          <w:rFonts w:ascii="Arial" w:hAnsi="Arial" w:cs="Arial"/>
        </w:rPr>
        <w:t>These theories also strengthen multidisciplinary teamwork. When staff share a common psychological understanding, communication between carers, nurses, activity coordinators, social workers, and family members becomes more consistent (Quinn et al., 2016). For instance, if a resident becomes verbally aggressive during personal care, staff might refer to Maslow’s safety needs or Erikson’s ideas about loss of control and identity. Instead of blaming the behaviour on “non-compliance,” the team can plan strategies such as offering choices, explaining actions clearly, or introducing a familiar carer to complete the task. This improves the resident’s dignity and reduces stress for both staff and service users.</w:t>
      </w:r>
    </w:p>
    <w:p w14:paraId="4DF429CC" w14:textId="77777777" w:rsidR="009D3F5A" w:rsidRPr="00864AC9" w:rsidRDefault="009D3F5A">
      <w:pPr>
        <w:pStyle w:val="p2"/>
        <w:rPr>
          <w:rFonts w:ascii="Arial" w:hAnsi="Arial" w:cs="Arial"/>
        </w:rPr>
      </w:pPr>
    </w:p>
    <w:p w14:paraId="2AF44C4E" w14:textId="77777777" w:rsidR="009D3F5A" w:rsidRPr="00864AC9" w:rsidRDefault="009D3F5A">
      <w:pPr>
        <w:pStyle w:val="p1"/>
        <w:rPr>
          <w:rFonts w:ascii="Arial" w:hAnsi="Arial" w:cs="Arial"/>
        </w:rPr>
      </w:pPr>
      <w:r w:rsidRPr="00864AC9">
        <w:rPr>
          <w:rStyle w:val="s1"/>
          <w:rFonts w:ascii="Arial" w:hAnsi="Arial" w:cs="Arial"/>
        </w:rPr>
        <w:t>In addition, applying Erikson’s and Maslow’s principles supports a genuinely person-centred culture, which is central to UK dementia care standards (NICE, 2022). Activities become more than just entertainment — they hold therapeutic value. For example, reminiscence work inspired by Erikson encourages residents to rebuild identity and find meaning, while sensory activities can meet Maslow’s physiological and emotional needs by providing comfort and stimulation. Staff who understand these theories are more likely to tailor interventions to individual histories, preferences, and abilities, which research shows leads to higher wellbeing and improved mood in dementia care settings (Woods &amp; Clare, 2008). Overall, psychological theory enhances not only individual practices but the entire philosophy of care within a dementia home.</w:t>
      </w:r>
    </w:p>
    <w:p w14:paraId="194AB808" w14:textId="276C8F24" w:rsidR="005407D3" w:rsidRPr="005407D3" w:rsidRDefault="005407D3" w:rsidP="005407D3">
      <w:pPr>
        <w:spacing w:after="0" w:line="240" w:lineRule="auto"/>
        <w:rPr>
          <w:rFonts w:ascii="Arial" w:eastAsia="Times New Roman" w:hAnsi="Arial" w:cs="Arial"/>
          <w:kern w:val="0"/>
          <w14:ligatures w14:val="none"/>
        </w:rPr>
      </w:pPr>
    </w:p>
    <w:p w14:paraId="6282D3BC" w14:textId="77777777" w:rsidR="005407D3" w:rsidRPr="005407D3" w:rsidRDefault="005407D3" w:rsidP="005407D3">
      <w:pPr>
        <w:spacing w:before="100" w:beforeAutospacing="1" w:after="100" w:afterAutospacing="1" w:line="240" w:lineRule="auto"/>
        <w:outlineLvl w:val="0"/>
        <w:rPr>
          <w:rFonts w:ascii="Arial" w:hAnsi="Arial" w:cs="Arial"/>
          <w:b/>
          <w:bCs/>
          <w:kern w:val="36"/>
          <w:sz w:val="40"/>
          <w:szCs w:val="40"/>
          <w14:ligatures w14:val="none"/>
        </w:rPr>
      </w:pPr>
      <w:r w:rsidRPr="005407D3">
        <w:rPr>
          <w:rFonts w:ascii="Arial" w:eastAsia="Times New Roman" w:hAnsi="Arial" w:cs="Arial"/>
          <w:b/>
          <w:bCs/>
          <w:kern w:val="36"/>
          <w:sz w:val="40"/>
          <w:szCs w:val="40"/>
          <w14:ligatures w14:val="none"/>
        </w:rPr>
        <w:t>Conclusion</w:t>
      </w:r>
    </w:p>
    <w:p w14:paraId="5001C26A" w14:textId="77777777" w:rsidR="005407D3" w:rsidRPr="005407D3" w:rsidRDefault="005407D3" w:rsidP="005407D3">
      <w:pPr>
        <w:spacing w:before="100" w:beforeAutospacing="1" w:after="100" w:afterAutospacing="1" w:line="240" w:lineRule="auto"/>
        <w:rPr>
          <w:rFonts w:ascii="Arial" w:hAnsi="Arial" w:cs="Arial"/>
          <w:kern w:val="0"/>
          <w14:ligatures w14:val="none"/>
        </w:rPr>
      </w:pPr>
    </w:p>
    <w:p w14:paraId="6E8C44A8" w14:textId="77777777" w:rsidR="005407D3" w:rsidRPr="005407D3" w:rsidRDefault="005407D3" w:rsidP="005407D3">
      <w:p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lastRenderedPageBreak/>
        <w:t>Psychological theories are essential tools for understanding and supporting older adults living with dementia in care homes. Maslow’s Hierarchy of Needs highlights the importance of meeting physical, emotional, and social needs, while Erikson’s theory offers insight into identity, life reflection, and emotional wellbeing. Although both theories have limitations, their application in dementia care supports person-centred practice and improves residents’ quality of life. Understanding and applying these theories enables professionals to respond effectively to behaviours, promote dignity, and meet the complex needs of adults aged 65 and over.</w:t>
      </w:r>
    </w:p>
    <w:p w14:paraId="1632CD4E" w14:textId="0ABC2D5A" w:rsidR="005407D3" w:rsidRPr="005407D3" w:rsidRDefault="005407D3" w:rsidP="005407D3">
      <w:pPr>
        <w:spacing w:after="0" w:line="240" w:lineRule="auto"/>
        <w:rPr>
          <w:rFonts w:ascii="Arial" w:eastAsia="Times New Roman" w:hAnsi="Arial" w:cs="Arial"/>
          <w:kern w:val="0"/>
          <w14:ligatures w14:val="none"/>
        </w:rPr>
      </w:pPr>
    </w:p>
    <w:p w14:paraId="35FAEEF2" w14:textId="4300020E" w:rsidR="005407D3" w:rsidRPr="005407D3" w:rsidRDefault="005407D3" w:rsidP="005407D3">
      <w:pPr>
        <w:spacing w:before="100" w:beforeAutospacing="1" w:after="100" w:afterAutospacing="1" w:line="240" w:lineRule="auto"/>
        <w:outlineLvl w:val="0"/>
        <w:rPr>
          <w:rFonts w:ascii="Arial" w:hAnsi="Arial" w:cs="Arial"/>
          <w:b/>
          <w:bCs/>
          <w:kern w:val="36"/>
          <w:sz w:val="48"/>
          <w:szCs w:val="48"/>
          <w14:ligatures w14:val="none"/>
        </w:rPr>
      </w:pPr>
    </w:p>
    <w:p w14:paraId="76AD89EF" w14:textId="71D1DB2C" w:rsidR="005407D3" w:rsidRPr="005407D3" w:rsidRDefault="005407D3" w:rsidP="005407D3">
      <w:pPr>
        <w:spacing w:before="100" w:beforeAutospacing="1" w:after="100" w:afterAutospacing="1" w:line="240" w:lineRule="auto"/>
        <w:outlineLvl w:val="0"/>
        <w:rPr>
          <w:rFonts w:ascii="Arial" w:eastAsia="Times New Roman" w:hAnsi="Arial" w:cs="Arial"/>
          <w:b/>
          <w:bCs/>
          <w:kern w:val="36"/>
          <w:sz w:val="40"/>
          <w:szCs w:val="40"/>
          <w14:ligatures w14:val="none"/>
        </w:rPr>
      </w:pPr>
      <w:r w:rsidRPr="005407D3">
        <w:rPr>
          <w:rFonts w:ascii="Arial" w:eastAsia="Times New Roman" w:hAnsi="Arial" w:cs="Arial"/>
          <w:b/>
          <w:bCs/>
          <w:kern w:val="36"/>
          <w:sz w:val="40"/>
          <w:szCs w:val="40"/>
          <w14:ligatures w14:val="none"/>
        </w:rPr>
        <w:t>Reference</w:t>
      </w:r>
    </w:p>
    <w:p w14:paraId="7A9195B9" w14:textId="77777777" w:rsidR="005407D3" w:rsidRPr="005407D3" w:rsidRDefault="005407D3" w:rsidP="005407D3">
      <w:pPr>
        <w:numPr>
          <w:ilvl w:val="0"/>
          <w:numId w:val="2"/>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Erikson, E. H. (1997) The Life Cycle Completed. New York: Norton.</w:t>
      </w:r>
    </w:p>
    <w:p w14:paraId="3E29DCCF" w14:textId="77777777" w:rsidR="005407D3" w:rsidRPr="005407D3" w:rsidRDefault="005407D3" w:rsidP="005407D3">
      <w:pPr>
        <w:numPr>
          <w:ilvl w:val="0"/>
          <w:numId w:val="2"/>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Kitwood, T. (1997) Dementia Reconsidered: The Person Comes First. Buckingham: Open University Press.</w:t>
      </w:r>
    </w:p>
    <w:p w14:paraId="6708BBC0" w14:textId="77777777" w:rsidR="005407D3" w:rsidRPr="005407D3" w:rsidRDefault="005407D3" w:rsidP="005407D3">
      <w:pPr>
        <w:numPr>
          <w:ilvl w:val="0"/>
          <w:numId w:val="2"/>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Maslow, A. H. (1987) Motivation and Personality. 3rd ed. New York: Harper &amp; Row.</w:t>
      </w:r>
    </w:p>
    <w:p w14:paraId="5517AAB0" w14:textId="77777777" w:rsidR="005407D3" w:rsidRPr="005407D3" w:rsidRDefault="005407D3" w:rsidP="005407D3">
      <w:pPr>
        <w:numPr>
          <w:ilvl w:val="0"/>
          <w:numId w:val="2"/>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National Institute for Health and Care Excellence (NICE) (2022) Dementia: assessment, management and support for people living with dementia and their carers. NG97.</w:t>
      </w:r>
    </w:p>
    <w:p w14:paraId="07FBF809" w14:textId="77777777" w:rsidR="005407D3" w:rsidRPr="005407D3" w:rsidRDefault="005407D3" w:rsidP="005407D3">
      <w:pPr>
        <w:numPr>
          <w:ilvl w:val="0"/>
          <w:numId w:val="2"/>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Quinn, A. et al. (2016) ‘Needs-based care planning in dementia settings’, Journal of Dementia Care, 24(6), pp. 22–27.</w:t>
      </w:r>
    </w:p>
    <w:p w14:paraId="6867196E" w14:textId="77777777" w:rsidR="005407D3" w:rsidRPr="005407D3" w:rsidRDefault="005407D3" w:rsidP="005407D3">
      <w:pPr>
        <w:numPr>
          <w:ilvl w:val="0"/>
          <w:numId w:val="2"/>
        </w:numPr>
        <w:spacing w:before="100" w:beforeAutospacing="1" w:after="100" w:afterAutospacing="1" w:line="240" w:lineRule="auto"/>
        <w:rPr>
          <w:rFonts w:ascii="Arial" w:hAnsi="Arial" w:cs="Arial"/>
          <w:kern w:val="0"/>
          <w14:ligatures w14:val="none"/>
        </w:rPr>
      </w:pPr>
      <w:r w:rsidRPr="005407D3">
        <w:rPr>
          <w:rFonts w:ascii="Arial" w:hAnsi="Arial" w:cs="Arial"/>
          <w:kern w:val="0"/>
          <w14:ligatures w14:val="none"/>
        </w:rPr>
        <w:t>Woods, B. and Clare, L. (2008) ‘Cognitive rehabilitation and dementia’, Psychological Medicine, 38(3), pp.127–131.</w:t>
      </w:r>
    </w:p>
    <w:p w14:paraId="497EC91F" w14:textId="77777777" w:rsidR="005407D3" w:rsidRPr="00864AC9" w:rsidRDefault="005407D3">
      <w:pPr>
        <w:rPr>
          <w:rFonts w:ascii="Arial" w:hAnsi="Arial" w:cs="Arial"/>
        </w:rPr>
      </w:pPr>
    </w:p>
    <w:sectPr w:rsidR="005407D3" w:rsidRPr="00864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26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327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5508301">
    <w:abstractNumId w:val="1"/>
  </w:num>
  <w:num w:numId="2" w16cid:durableId="2085300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7D3"/>
    <w:rsid w:val="00000703"/>
    <w:rsid w:val="00185723"/>
    <w:rsid w:val="001C0F61"/>
    <w:rsid w:val="00436851"/>
    <w:rsid w:val="005407D3"/>
    <w:rsid w:val="00864AC9"/>
    <w:rsid w:val="00873CA2"/>
    <w:rsid w:val="009D3F5A"/>
    <w:rsid w:val="00C4158E"/>
    <w:rsid w:val="00CA1B35"/>
    <w:rsid w:val="00E32F6A"/>
    <w:rsid w:val="00EF0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42916"/>
  <w15:chartTrackingRefBased/>
  <w15:docId w15:val="{1DBF4CF1-6FF8-864A-A012-33E4BE90C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7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07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07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7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7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7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7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7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7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7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7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7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7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7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7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7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7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7D3"/>
    <w:rPr>
      <w:rFonts w:eastAsiaTheme="majorEastAsia" w:cstheme="majorBidi"/>
      <w:color w:val="272727" w:themeColor="text1" w:themeTint="D8"/>
    </w:rPr>
  </w:style>
  <w:style w:type="paragraph" w:styleId="Title">
    <w:name w:val="Title"/>
    <w:basedOn w:val="Normal"/>
    <w:next w:val="Normal"/>
    <w:link w:val="TitleChar"/>
    <w:uiPriority w:val="10"/>
    <w:qFormat/>
    <w:rsid w:val="00540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7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7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7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7D3"/>
    <w:pPr>
      <w:spacing w:before="160"/>
      <w:jc w:val="center"/>
    </w:pPr>
    <w:rPr>
      <w:i/>
      <w:iCs/>
      <w:color w:val="404040" w:themeColor="text1" w:themeTint="BF"/>
    </w:rPr>
  </w:style>
  <w:style w:type="character" w:customStyle="1" w:styleId="QuoteChar">
    <w:name w:val="Quote Char"/>
    <w:basedOn w:val="DefaultParagraphFont"/>
    <w:link w:val="Quote"/>
    <w:uiPriority w:val="29"/>
    <w:rsid w:val="005407D3"/>
    <w:rPr>
      <w:i/>
      <w:iCs/>
      <w:color w:val="404040" w:themeColor="text1" w:themeTint="BF"/>
    </w:rPr>
  </w:style>
  <w:style w:type="paragraph" w:styleId="ListParagraph">
    <w:name w:val="List Paragraph"/>
    <w:basedOn w:val="Normal"/>
    <w:uiPriority w:val="34"/>
    <w:qFormat/>
    <w:rsid w:val="005407D3"/>
    <w:pPr>
      <w:ind w:left="720"/>
      <w:contextualSpacing/>
    </w:pPr>
  </w:style>
  <w:style w:type="character" w:styleId="IntenseEmphasis">
    <w:name w:val="Intense Emphasis"/>
    <w:basedOn w:val="DefaultParagraphFont"/>
    <w:uiPriority w:val="21"/>
    <w:qFormat/>
    <w:rsid w:val="005407D3"/>
    <w:rPr>
      <w:i/>
      <w:iCs/>
      <w:color w:val="0F4761" w:themeColor="accent1" w:themeShade="BF"/>
    </w:rPr>
  </w:style>
  <w:style w:type="paragraph" w:styleId="IntenseQuote">
    <w:name w:val="Intense Quote"/>
    <w:basedOn w:val="Normal"/>
    <w:next w:val="Normal"/>
    <w:link w:val="IntenseQuoteChar"/>
    <w:uiPriority w:val="30"/>
    <w:qFormat/>
    <w:rsid w:val="005407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7D3"/>
    <w:rPr>
      <w:i/>
      <w:iCs/>
      <w:color w:val="0F4761" w:themeColor="accent1" w:themeShade="BF"/>
    </w:rPr>
  </w:style>
  <w:style w:type="character" w:styleId="IntenseReference">
    <w:name w:val="Intense Reference"/>
    <w:basedOn w:val="DefaultParagraphFont"/>
    <w:uiPriority w:val="32"/>
    <w:qFormat/>
    <w:rsid w:val="005407D3"/>
    <w:rPr>
      <w:b/>
      <w:bCs/>
      <w:smallCaps/>
      <w:color w:val="0F4761" w:themeColor="accent1" w:themeShade="BF"/>
      <w:spacing w:val="5"/>
    </w:rPr>
  </w:style>
  <w:style w:type="paragraph" w:customStyle="1" w:styleId="p1">
    <w:name w:val="p1"/>
    <w:basedOn w:val="Normal"/>
    <w:rsid w:val="005407D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5407D3"/>
  </w:style>
  <w:style w:type="paragraph" w:customStyle="1" w:styleId="p2">
    <w:name w:val="p2"/>
    <w:basedOn w:val="Normal"/>
    <w:rsid w:val="005407D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407D3"/>
  </w:style>
  <w:style w:type="paragraph" w:customStyle="1" w:styleId="p3">
    <w:name w:val="p3"/>
    <w:basedOn w:val="Normal"/>
    <w:rsid w:val="005407D3"/>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407D3"/>
  </w:style>
  <w:style w:type="character" w:customStyle="1" w:styleId="apple-converted-space">
    <w:name w:val="apple-converted-space"/>
    <w:basedOn w:val="DefaultParagraphFont"/>
    <w:rsid w:val="00540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d2494e2-e538-44a1-8b95-4a5dc1625f44}" enabled="0" method="" siteId="{5d2494e2-e538-44a1-8b95-4a5dc1625f44}"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1661</Words>
  <Characters>9468</Characters>
  <Application>Microsoft Office Word</Application>
  <DocSecurity>0</DocSecurity>
  <Lines>78</Lines>
  <Paragraphs>22</Paragraphs>
  <ScaleCrop>false</ScaleCrop>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Mihai</dc:creator>
  <cp:keywords/>
  <dc:description/>
  <cp:lastModifiedBy>Victoria Mihai</cp:lastModifiedBy>
  <cp:revision>2</cp:revision>
  <dcterms:created xsi:type="dcterms:W3CDTF">2025-12-11T16:22:00Z</dcterms:created>
  <dcterms:modified xsi:type="dcterms:W3CDTF">2025-12-11T16:22:00Z</dcterms:modified>
</cp:coreProperties>
</file>