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372BF" w14:textId="271C7B2F" w:rsidR="00455DCE" w:rsidRPr="00455DCE" w:rsidRDefault="00455DCE" w:rsidP="00455DCE">
      <w:pPr>
        <w:tabs>
          <w:tab w:val="left" w:pos="4270"/>
        </w:tabs>
      </w:pPr>
    </w:p>
    <w:p w14:paraId="4D457656" w14:textId="77777777" w:rsidR="00455DCE" w:rsidRDefault="00455DCE" w:rsidP="00455DCE">
      <w:pPr>
        <w:pStyle w:val="NormalWeb"/>
        <w:jc w:val="center"/>
        <w:rPr>
          <w:b/>
          <w:sz w:val="56"/>
          <w:szCs w:val="56"/>
        </w:rPr>
      </w:pPr>
    </w:p>
    <w:p w14:paraId="379B2FF2" w14:textId="62A77522" w:rsidR="00455DCE" w:rsidRDefault="00455DCE" w:rsidP="00455DCE">
      <w:pPr>
        <w:pStyle w:val="NormalWeb"/>
        <w:jc w:val="center"/>
      </w:pPr>
      <w:r>
        <w:rPr>
          <w:b/>
          <w:sz w:val="56"/>
          <w:szCs w:val="56"/>
        </w:rPr>
        <w:t xml:space="preserve">Module name: </w:t>
      </w:r>
      <w:r w:rsidRPr="00455DCE">
        <w:rPr>
          <w:b/>
          <w:bCs/>
          <w:sz w:val="56"/>
          <w:szCs w:val="56"/>
        </w:rPr>
        <w:t>International Financial Management</w:t>
      </w:r>
    </w:p>
    <w:p w14:paraId="75401F68" w14:textId="578B31E0" w:rsidR="00455DCE" w:rsidRDefault="00455DCE" w:rsidP="00455DCE">
      <w:pPr>
        <w:spacing w:after="200" w:line="276" w:lineRule="auto"/>
        <w:rPr>
          <w:b/>
          <w:sz w:val="56"/>
          <w:szCs w:val="56"/>
        </w:rPr>
      </w:pPr>
    </w:p>
    <w:p w14:paraId="3801DB02" w14:textId="77777777" w:rsidR="00455DCE" w:rsidRDefault="00455DCE" w:rsidP="00455DCE">
      <w:pPr>
        <w:numPr>
          <w:ilvl w:val="0"/>
          <w:numId w:val="3"/>
        </w:numPr>
        <w:spacing w:after="200" w:line="276" w:lineRule="auto"/>
        <w:jc w:val="center"/>
        <w:rPr>
          <w:b/>
          <w:sz w:val="56"/>
          <w:szCs w:val="56"/>
        </w:rPr>
      </w:pPr>
    </w:p>
    <w:p w14:paraId="3A3BA9E1" w14:textId="77777777" w:rsidR="00455DCE" w:rsidRDefault="00455DCE" w:rsidP="00455DCE">
      <w:pPr>
        <w:numPr>
          <w:ilvl w:val="0"/>
          <w:numId w:val="3"/>
        </w:numPr>
        <w:spacing w:after="200" w:line="276" w:lineRule="auto"/>
        <w:jc w:val="center"/>
        <w:rPr>
          <w:b/>
          <w:sz w:val="56"/>
          <w:szCs w:val="56"/>
        </w:rPr>
      </w:pPr>
      <w:r>
        <w:rPr>
          <w:b/>
          <w:sz w:val="56"/>
          <w:szCs w:val="56"/>
        </w:rPr>
        <w:t>Assignment 1</w:t>
      </w:r>
    </w:p>
    <w:p w14:paraId="1DF0E186" w14:textId="77777777" w:rsidR="00455DCE" w:rsidRDefault="00455DCE" w:rsidP="00455DCE">
      <w:pPr>
        <w:numPr>
          <w:ilvl w:val="0"/>
          <w:numId w:val="3"/>
        </w:numPr>
        <w:spacing w:after="200" w:line="276" w:lineRule="auto"/>
        <w:rPr>
          <w:b/>
          <w:sz w:val="56"/>
          <w:szCs w:val="56"/>
        </w:rPr>
      </w:pPr>
    </w:p>
    <w:p w14:paraId="3D08A1C7" w14:textId="14CA474E" w:rsidR="00455DCE" w:rsidRDefault="00455DCE" w:rsidP="00455DCE">
      <w:pPr>
        <w:numPr>
          <w:ilvl w:val="0"/>
          <w:numId w:val="3"/>
        </w:numPr>
        <w:spacing w:after="200" w:line="276" w:lineRule="auto"/>
        <w:jc w:val="center"/>
        <w:rPr>
          <w:b/>
          <w:sz w:val="56"/>
          <w:szCs w:val="56"/>
        </w:rPr>
      </w:pPr>
      <w:r>
        <w:rPr>
          <w:b/>
          <w:sz w:val="56"/>
          <w:szCs w:val="56"/>
        </w:rPr>
        <w:t>Module Code: LCBB</w:t>
      </w:r>
      <w:r>
        <w:rPr>
          <w:b/>
          <w:sz w:val="56"/>
          <w:szCs w:val="56"/>
        </w:rPr>
        <w:t>6002</w:t>
      </w:r>
    </w:p>
    <w:p w14:paraId="0F332FCE" w14:textId="77777777" w:rsidR="00455DCE" w:rsidRDefault="00455DCE" w:rsidP="00455DCE">
      <w:pPr>
        <w:numPr>
          <w:ilvl w:val="0"/>
          <w:numId w:val="3"/>
        </w:numPr>
        <w:spacing w:after="200" w:line="276" w:lineRule="auto"/>
        <w:rPr>
          <w:b/>
          <w:sz w:val="56"/>
          <w:szCs w:val="56"/>
        </w:rPr>
      </w:pPr>
    </w:p>
    <w:p w14:paraId="39BDA384" w14:textId="77777777" w:rsidR="00455DCE" w:rsidRDefault="00455DCE" w:rsidP="00455DCE">
      <w:pPr>
        <w:numPr>
          <w:ilvl w:val="0"/>
          <w:numId w:val="3"/>
        </w:numPr>
        <w:spacing w:after="200" w:line="276" w:lineRule="auto"/>
        <w:jc w:val="right"/>
        <w:rPr>
          <w:b/>
          <w:sz w:val="56"/>
          <w:szCs w:val="56"/>
        </w:rPr>
      </w:pPr>
    </w:p>
    <w:p w14:paraId="3B36C2D7" w14:textId="77777777" w:rsidR="00455DCE" w:rsidRDefault="00455DCE" w:rsidP="00455DCE">
      <w:pPr>
        <w:numPr>
          <w:ilvl w:val="0"/>
          <w:numId w:val="3"/>
        </w:numPr>
        <w:spacing w:after="200" w:line="276" w:lineRule="auto"/>
        <w:jc w:val="right"/>
        <w:rPr>
          <w:b/>
          <w:sz w:val="56"/>
          <w:szCs w:val="56"/>
        </w:rPr>
      </w:pPr>
      <w:r>
        <w:rPr>
          <w:b/>
          <w:sz w:val="56"/>
          <w:szCs w:val="56"/>
        </w:rPr>
        <w:t>Name: Valentina Pituscanu</w:t>
      </w:r>
    </w:p>
    <w:p w14:paraId="3EDD7B50" w14:textId="77777777" w:rsidR="00455DCE" w:rsidRDefault="00455DCE" w:rsidP="00455DCE">
      <w:pPr>
        <w:numPr>
          <w:ilvl w:val="0"/>
          <w:numId w:val="3"/>
        </w:numPr>
        <w:spacing w:after="200" w:line="276" w:lineRule="auto"/>
        <w:jc w:val="right"/>
        <w:rPr>
          <w:b/>
          <w:sz w:val="56"/>
          <w:szCs w:val="56"/>
        </w:rPr>
      </w:pPr>
      <w:r>
        <w:rPr>
          <w:b/>
          <w:sz w:val="56"/>
          <w:szCs w:val="56"/>
        </w:rPr>
        <w:t>Student ID: 2124861</w:t>
      </w:r>
    </w:p>
    <w:p w14:paraId="51D0714C" w14:textId="77777777" w:rsidR="00455DCE" w:rsidRDefault="00455DCE" w:rsidP="00455DCE">
      <w:pPr>
        <w:numPr>
          <w:ilvl w:val="0"/>
          <w:numId w:val="3"/>
        </w:numPr>
        <w:spacing w:after="200" w:line="276" w:lineRule="auto"/>
        <w:rPr>
          <w:b/>
          <w:sz w:val="56"/>
          <w:szCs w:val="56"/>
        </w:rPr>
      </w:pPr>
    </w:p>
    <w:p w14:paraId="44974428" w14:textId="77777777" w:rsidR="00455DCE" w:rsidRDefault="00455DCE" w:rsidP="00455DCE">
      <w:pPr>
        <w:numPr>
          <w:ilvl w:val="0"/>
          <w:numId w:val="3"/>
        </w:numPr>
        <w:spacing w:after="200" w:line="276" w:lineRule="auto"/>
        <w:rPr>
          <w:b/>
          <w:sz w:val="56"/>
          <w:szCs w:val="56"/>
        </w:rPr>
      </w:pPr>
    </w:p>
    <w:p w14:paraId="362B525F" w14:textId="2F1E2E4A" w:rsidR="00455DCE" w:rsidRDefault="00455DCE">
      <w:pPr>
        <w:rPr>
          <w:b/>
          <w:sz w:val="56"/>
          <w:szCs w:val="56"/>
        </w:rPr>
      </w:pPr>
    </w:p>
    <w:p w14:paraId="33E2AB25" w14:textId="19CC7140" w:rsidR="00455DCE" w:rsidRDefault="00455DCE">
      <w:pPr>
        <w:rPr>
          <w:b/>
          <w:sz w:val="56"/>
          <w:szCs w:val="56"/>
        </w:rPr>
      </w:pPr>
    </w:p>
    <w:p w14:paraId="532170AD" w14:textId="77777777" w:rsidR="00455DCE" w:rsidRDefault="00455DCE"/>
    <w:p w14:paraId="7C09015C" w14:textId="30D91F24" w:rsidR="00455DCE" w:rsidRDefault="00455DCE" w:rsidP="00455DCE"/>
    <w:p w14:paraId="148C8059" w14:textId="6D7E8FE4" w:rsidR="00455DCE" w:rsidRDefault="00455DCE"/>
    <w:p w14:paraId="2A699DD8" w14:textId="77777777" w:rsidR="00455DCE" w:rsidRDefault="00455DCE" w:rsidP="00455DCE"/>
    <w:p w14:paraId="24383C34" w14:textId="63CF21D2" w:rsidR="00455DCE" w:rsidRDefault="00455DCE"/>
    <w:sdt>
      <w:sdtPr>
        <w:id w:val="1589582637"/>
        <w:docPartObj>
          <w:docPartGallery w:val="Table of Contents"/>
          <w:docPartUnique/>
        </w:docPartObj>
      </w:sdtPr>
      <w:sdtEndPr>
        <w:rPr>
          <w:rFonts w:ascii="Times New Roman" w:eastAsia="Times New Roman" w:hAnsi="Times New Roman" w:cs="Times New Roman"/>
          <w:color w:val="auto"/>
          <w:sz w:val="24"/>
          <w:szCs w:val="24"/>
          <w:lang w:val="en-GB" w:eastAsia="en-GB"/>
        </w:rPr>
      </w:sdtEndPr>
      <w:sdtContent>
        <w:p w14:paraId="1C6A693D" w14:textId="467270D8" w:rsidR="00455DCE" w:rsidRDefault="00455DCE">
          <w:pPr>
            <w:pStyle w:val="TOCHeading"/>
          </w:pPr>
          <w:r>
            <w:t>Table of Contents</w:t>
          </w:r>
        </w:p>
        <w:p w14:paraId="25FD21BA" w14:textId="1D27EDCF" w:rsidR="00455DCE" w:rsidRDefault="00455DCE">
          <w:pPr>
            <w:pStyle w:val="TOC1"/>
            <w:tabs>
              <w:tab w:val="right" w:leader="dot" w:pos="10456"/>
            </w:tabs>
            <w:rPr>
              <w:rFonts w:eastAsiaTheme="minorEastAsia" w:cstheme="minorBidi"/>
              <w:b w:val="0"/>
              <w:bCs w:val="0"/>
              <w:i w:val="0"/>
              <w:iCs w:val="0"/>
              <w:kern w:val="0"/>
              <w:lang w:eastAsia="en-GB"/>
              <w14:ligatures w14:val="none"/>
            </w:rPr>
          </w:pPr>
          <w:r>
            <w:rPr>
              <w:b w:val="0"/>
              <w:bCs w:val="0"/>
              <w:noProof w:val="0"/>
            </w:rPr>
            <w:fldChar w:fldCharType="begin"/>
          </w:r>
          <w:r>
            <w:instrText xml:space="preserve"> TOC \o "1-3" \h \z \u </w:instrText>
          </w:r>
          <w:r>
            <w:rPr>
              <w:b w:val="0"/>
              <w:bCs w:val="0"/>
              <w:noProof w:val="0"/>
            </w:rPr>
            <w:fldChar w:fldCharType="separate"/>
          </w:r>
          <w:hyperlink w:anchor="_Toc162599359" w:history="1">
            <w:r w:rsidRPr="003B274A">
              <w:rPr>
                <w:rStyle w:val="Hyperlink"/>
              </w:rPr>
              <w:t>Introduction</w:t>
            </w:r>
            <w:r>
              <w:rPr>
                <w:webHidden/>
              </w:rPr>
              <w:tab/>
            </w:r>
            <w:r>
              <w:rPr>
                <w:webHidden/>
              </w:rPr>
              <w:fldChar w:fldCharType="begin"/>
            </w:r>
            <w:r>
              <w:rPr>
                <w:webHidden/>
              </w:rPr>
              <w:instrText xml:space="preserve"> PAGEREF _Toc162599359 \h </w:instrText>
            </w:r>
            <w:r>
              <w:rPr>
                <w:webHidden/>
              </w:rPr>
            </w:r>
            <w:r>
              <w:rPr>
                <w:webHidden/>
              </w:rPr>
              <w:fldChar w:fldCharType="separate"/>
            </w:r>
            <w:r>
              <w:rPr>
                <w:webHidden/>
              </w:rPr>
              <w:t>3</w:t>
            </w:r>
            <w:r>
              <w:rPr>
                <w:webHidden/>
              </w:rPr>
              <w:fldChar w:fldCharType="end"/>
            </w:r>
          </w:hyperlink>
        </w:p>
        <w:p w14:paraId="7B03AE9D" w14:textId="1B50B3F7" w:rsidR="00455DCE" w:rsidRDefault="00455DCE">
          <w:pPr>
            <w:pStyle w:val="TOC1"/>
            <w:tabs>
              <w:tab w:val="right" w:leader="dot" w:pos="10456"/>
            </w:tabs>
            <w:rPr>
              <w:rFonts w:eastAsiaTheme="minorEastAsia" w:cstheme="minorBidi"/>
              <w:b w:val="0"/>
              <w:bCs w:val="0"/>
              <w:i w:val="0"/>
              <w:iCs w:val="0"/>
              <w:kern w:val="0"/>
              <w:lang w:eastAsia="en-GB"/>
              <w14:ligatures w14:val="none"/>
            </w:rPr>
          </w:pPr>
          <w:hyperlink w:anchor="_Toc162599360" w:history="1">
            <w:r w:rsidRPr="003B274A">
              <w:rPr>
                <w:rStyle w:val="Hyperlink"/>
                <w:rFonts w:ascii="Times New Roman" w:eastAsia="Times New Roman" w:hAnsi="Times New Roman" w:cs="Times New Roman"/>
                <w:lang w:eastAsia="en-GB"/>
              </w:rPr>
              <w:t>Strategies</w:t>
            </w:r>
            <w:r>
              <w:rPr>
                <w:webHidden/>
              </w:rPr>
              <w:tab/>
            </w:r>
            <w:r>
              <w:rPr>
                <w:webHidden/>
              </w:rPr>
              <w:fldChar w:fldCharType="begin"/>
            </w:r>
            <w:r>
              <w:rPr>
                <w:webHidden/>
              </w:rPr>
              <w:instrText xml:space="preserve"> PAGEREF _Toc162599360 \h </w:instrText>
            </w:r>
            <w:r>
              <w:rPr>
                <w:webHidden/>
              </w:rPr>
            </w:r>
            <w:r>
              <w:rPr>
                <w:webHidden/>
              </w:rPr>
              <w:fldChar w:fldCharType="separate"/>
            </w:r>
            <w:r>
              <w:rPr>
                <w:webHidden/>
              </w:rPr>
              <w:t>4</w:t>
            </w:r>
            <w:r>
              <w:rPr>
                <w:webHidden/>
              </w:rPr>
              <w:fldChar w:fldCharType="end"/>
            </w:r>
          </w:hyperlink>
        </w:p>
        <w:p w14:paraId="574EB944" w14:textId="2AD6DA30"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61" w:history="1">
            <w:r w:rsidRPr="003B274A">
              <w:rPr>
                <w:rStyle w:val="Hyperlink"/>
                <w:rFonts w:eastAsia="Times New Roman"/>
                <w:lang w:eastAsia="en-GB"/>
              </w:rPr>
              <w:t>Natural Hedging</w:t>
            </w:r>
            <w:r>
              <w:rPr>
                <w:webHidden/>
              </w:rPr>
              <w:tab/>
            </w:r>
            <w:r>
              <w:rPr>
                <w:webHidden/>
              </w:rPr>
              <w:fldChar w:fldCharType="begin"/>
            </w:r>
            <w:r>
              <w:rPr>
                <w:webHidden/>
              </w:rPr>
              <w:instrText xml:space="preserve"> PAGEREF _Toc162599361 \h </w:instrText>
            </w:r>
            <w:r>
              <w:rPr>
                <w:webHidden/>
              </w:rPr>
            </w:r>
            <w:r>
              <w:rPr>
                <w:webHidden/>
              </w:rPr>
              <w:fldChar w:fldCharType="separate"/>
            </w:r>
            <w:r>
              <w:rPr>
                <w:webHidden/>
              </w:rPr>
              <w:t>4</w:t>
            </w:r>
            <w:r>
              <w:rPr>
                <w:webHidden/>
              </w:rPr>
              <w:fldChar w:fldCharType="end"/>
            </w:r>
          </w:hyperlink>
        </w:p>
        <w:p w14:paraId="022645D7" w14:textId="4BDCD560"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62" w:history="1">
            <w:r w:rsidRPr="003B274A">
              <w:rPr>
                <w:rStyle w:val="Hyperlink"/>
                <w:rFonts w:eastAsia="Times New Roman"/>
                <w:lang w:eastAsia="en-GB"/>
              </w:rPr>
              <w:t>Forward Contracts</w:t>
            </w:r>
            <w:r>
              <w:rPr>
                <w:webHidden/>
              </w:rPr>
              <w:tab/>
            </w:r>
            <w:r>
              <w:rPr>
                <w:webHidden/>
              </w:rPr>
              <w:fldChar w:fldCharType="begin"/>
            </w:r>
            <w:r>
              <w:rPr>
                <w:webHidden/>
              </w:rPr>
              <w:instrText xml:space="preserve"> PAGEREF _Toc162599362 \h </w:instrText>
            </w:r>
            <w:r>
              <w:rPr>
                <w:webHidden/>
              </w:rPr>
            </w:r>
            <w:r>
              <w:rPr>
                <w:webHidden/>
              </w:rPr>
              <w:fldChar w:fldCharType="separate"/>
            </w:r>
            <w:r>
              <w:rPr>
                <w:webHidden/>
              </w:rPr>
              <w:t>4</w:t>
            </w:r>
            <w:r>
              <w:rPr>
                <w:webHidden/>
              </w:rPr>
              <w:fldChar w:fldCharType="end"/>
            </w:r>
          </w:hyperlink>
        </w:p>
        <w:p w14:paraId="1151FE4F" w14:textId="27A361BC"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63" w:history="1">
            <w:r w:rsidRPr="003B274A">
              <w:rPr>
                <w:rStyle w:val="Hyperlink"/>
                <w:rFonts w:eastAsia="Times New Roman"/>
                <w:lang w:eastAsia="en-GB"/>
              </w:rPr>
              <w:t>Options Contracts</w:t>
            </w:r>
            <w:r>
              <w:rPr>
                <w:webHidden/>
              </w:rPr>
              <w:tab/>
            </w:r>
            <w:r>
              <w:rPr>
                <w:webHidden/>
              </w:rPr>
              <w:fldChar w:fldCharType="begin"/>
            </w:r>
            <w:r>
              <w:rPr>
                <w:webHidden/>
              </w:rPr>
              <w:instrText xml:space="preserve"> PAGEREF _Toc162599363 \h </w:instrText>
            </w:r>
            <w:r>
              <w:rPr>
                <w:webHidden/>
              </w:rPr>
            </w:r>
            <w:r>
              <w:rPr>
                <w:webHidden/>
              </w:rPr>
              <w:fldChar w:fldCharType="separate"/>
            </w:r>
            <w:r>
              <w:rPr>
                <w:webHidden/>
              </w:rPr>
              <w:t>4</w:t>
            </w:r>
            <w:r>
              <w:rPr>
                <w:webHidden/>
              </w:rPr>
              <w:fldChar w:fldCharType="end"/>
            </w:r>
          </w:hyperlink>
        </w:p>
        <w:p w14:paraId="1195CED5" w14:textId="65309C4B"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64" w:history="1">
            <w:r w:rsidRPr="003B274A">
              <w:rPr>
                <w:rStyle w:val="Hyperlink"/>
                <w:rFonts w:eastAsia="Times New Roman"/>
                <w:lang w:eastAsia="en-GB"/>
              </w:rPr>
              <w:t>Money Market Hedging</w:t>
            </w:r>
            <w:r>
              <w:rPr>
                <w:webHidden/>
              </w:rPr>
              <w:tab/>
            </w:r>
            <w:r>
              <w:rPr>
                <w:webHidden/>
              </w:rPr>
              <w:fldChar w:fldCharType="begin"/>
            </w:r>
            <w:r>
              <w:rPr>
                <w:webHidden/>
              </w:rPr>
              <w:instrText xml:space="preserve"> PAGEREF _Toc162599364 \h </w:instrText>
            </w:r>
            <w:r>
              <w:rPr>
                <w:webHidden/>
              </w:rPr>
            </w:r>
            <w:r>
              <w:rPr>
                <w:webHidden/>
              </w:rPr>
              <w:fldChar w:fldCharType="separate"/>
            </w:r>
            <w:r>
              <w:rPr>
                <w:webHidden/>
              </w:rPr>
              <w:t>4</w:t>
            </w:r>
            <w:r>
              <w:rPr>
                <w:webHidden/>
              </w:rPr>
              <w:fldChar w:fldCharType="end"/>
            </w:r>
          </w:hyperlink>
        </w:p>
        <w:p w14:paraId="3B2C795A" w14:textId="1A582EA7"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65" w:history="1">
            <w:r w:rsidRPr="003B274A">
              <w:rPr>
                <w:rStyle w:val="Hyperlink"/>
                <w:rFonts w:eastAsia="Times New Roman"/>
                <w:lang w:eastAsia="en-GB"/>
              </w:rPr>
              <w:t>Exposure Netting</w:t>
            </w:r>
            <w:r>
              <w:rPr>
                <w:webHidden/>
              </w:rPr>
              <w:tab/>
            </w:r>
            <w:r>
              <w:rPr>
                <w:webHidden/>
              </w:rPr>
              <w:fldChar w:fldCharType="begin"/>
            </w:r>
            <w:r>
              <w:rPr>
                <w:webHidden/>
              </w:rPr>
              <w:instrText xml:space="preserve"> PAGEREF _Toc162599365 \h </w:instrText>
            </w:r>
            <w:r>
              <w:rPr>
                <w:webHidden/>
              </w:rPr>
            </w:r>
            <w:r>
              <w:rPr>
                <w:webHidden/>
              </w:rPr>
              <w:fldChar w:fldCharType="separate"/>
            </w:r>
            <w:r>
              <w:rPr>
                <w:webHidden/>
              </w:rPr>
              <w:t>4</w:t>
            </w:r>
            <w:r>
              <w:rPr>
                <w:webHidden/>
              </w:rPr>
              <w:fldChar w:fldCharType="end"/>
            </w:r>
          </w:hyperlink>
        </w:p>
        <w:p w14:paraId="34383F79" w14:textId="06BBAFB5"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66" w:history="1">
            <w:r w:rsidRPr="003B274A">
              <w:rPr>
                <w:rStyle w:val="Hyperlink"/>
                <w:rFonts w:eastAsia="Times New Roman"/>
                <w:lang w:eastAsia="en-GB"/>
              </w:rPr>
              <w:t>Leading and Lagging</w:t>
            </w:r>
            <w:r>
              <w:rPr>
                <w:webHidden/>
              </w:rPr>
              <w:tab/>
            </w:r>
            <w:r>
              <w:rPr>
                <w:webHidden/>
              </w:rPr>
              <w:fldChar w:fldCharType="begin"/>
            </w:r>
            <w:r>
              <w:rPr>
                <w:webHidden/>
              </w:rPr>
              <w:instrText xml:space="preserve"> PAGEREF _Toc162599366 \h </w:instrText>
            </w:r>
            <w:r>
              <w:rPr>
                <w:webHidden/>
              </w:rPr>
            </w:r>
            <w:r>
              <w:rPr>
                <w:webHidden/>
              </w:rPr>
              <w:fldChar w:fldCharType="separate"/>
            </w:r>
            <w:r>
              <w:rPr>
                <w:webHidden/>
              </w:rPr>
              <w:t>4</w:t>
            </w:r>
            <w:r>
              <w:rPr>
                <w:webHidden/>
              </w:rPr>
              <w:fldChar w:fldCharType="end"/>
            </w:r>
          </w:hyperlink>
        </w:p>
        <w:p w14:paraId="6CE7CD43" w14:textId="526570EC" w:rsidR="00455DCE" w:rsidRDefault="00455DCE">
          <w:pPr>
            <w:pStyle w:val="TOC1"/>
            <w:tabs>
              <w:tab w:val="right" w:leader="dot" w:pos="10456"/>
            </w:tabs>
            <w:rPr>
              <w:rFonts w:eastAsiaTheme="minorEastAsia" w:cstheme="minorBidi"/>
              <w:b w:val="0"/>
              <w:bCs w:val="0"/>
              <w:i w:val="0"/>
              <w:iCs w:val="0"/>
              <w:kern w:val="0"/>
              <w:lang w:eastAsia="en-GB"/>
              <w14:ligatures w14:val="none"/>
            </w:rPr>
          </w:pPr>
          <w:hyperlink w:anchor="_Toc162599367" w:history="1">
            <w:r w:rsidRPr="003B274A">
              <w:rPr>
                <w:rStyle w:val="Hyperlink"/>
                <w:rFonts w:eastAsia="Times New Roman"/>
                <w:lang w:eastAsia="en-GB"/>
              </w:rPr>
              <w:t>Risks</w:t>
            </w:r>
            <w:r>
              <w:rPr>
                <w:webHidden/>
              </w:rPr>
              <w:tab/>
            </w:r>
            <w:r>
              <w:rPr>
                <w:webHidden/>
              </w:rPr>
              <w:fldChar w:fldCharType="begin"/>
            </w:r>
            <w:r>
              <w:rPr>
                <w:webHidden/>
              </w:rPr>
              <w:instrText xml:space="preserve"> PAGEREF _Toc162599367 \h </w:instrText>
            </w:r>
            <w:r>
              <w:rPr>
                <w:webHidden/>
              </w:rPr>
            </w:r>
            <w:r>
              <w:rPr>
                <w:webHidden/>
              </w:rPr>
              <w:fldChar w:fldCharType="separate"/>
            </w:r>
            <w:r>
              <w:rPr>
                <w:webHidden/>
              </w:rPr>
              <w:t>5</w:t>
            </w:r>
            <w:r>
              <w:rPr>
                <w:webHidden/>
              </w:rPr>
              <w:fldChar w:fldCharType="end"/>
            </w:r>
          </w:hyperlink>
        </w:p>
        <w:p w14:paraId="13BA680C" w14:textId="6A608B2E"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68" w:history="1">
            <w:r w:rsidRPr="003B274A">
              <w:rPr>
                <w:rStyle w:val="Hyperlink"/>
                <w:rFonts w:eastAsia="Times New Roman"/>
                <w:lang w:eastAsia="en-GB"/>
              </w:rPr>
              <w:t>Transaction Exposur</w:t>
            </w:r>
            <w:r w:rsidRPr="003B274A">
              <w:rPr>
                <w:rStyle w:val="Hyperlink"/>
                <w:rFonts w:eastAsia="Times New Roman"/>
                <w:lang w:eastAsia="en-GB"/>
              </w:rPr>
              <w:t>e</w:t>
            </w:r>
            <w:r>
              <w:rPr>
                <w:webHidden/>
              </w:rPr>
              <w:tab/>
            </w:r>
            <w:r>
              <w:rPr>
                <w:webHidden/>
              </w:rPr>
              <w:fldChar w:fldCharType="begin"/>
            </w:r>
            <w:r>
              <w:rPr>
                <w:webHidden/>
              </w:rPr>
              <w:instrText xml:space="preserve"> PAGEREF _Toc162599368 \h </w:instrText>
            </w:r>
            <w:r>
              <w:rPr>
                <w:webHidden/>
              </w:rPr>
            </w:r>
            <w:r>
              <w:rPr>
                <w:webHidden/>
              </w:rPr>
              <w:fldChar w:fldCharType="separate"/>
            </w:r>
            <w:r>
              <w:rPr>
                <w:webHidden/>
              </w:rPr>
              <w:t>5</w:t>
            </w:r>
            <w:r>
              <w:rPr>
                <w:webHidden/>
              </w:rPr>
              <w:fldChar w:fldCharType="end"/>
            </w:r>
          </w:hyperlink>
        </w:p>
        <w:p w14:paraId="71364CA1" w14:textId="5153D0A8"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69" w:history="1">
            <w:r w:rsidRPr="003B274A">
              <w:rPr>
                <w:rStyle w:val="Hyperlink"/>
                <w:rFonts w:eastAsia="Times New Roman"/>
                <w:lang w:eastAsia="en-GB"/>
              </w:rPr>
              <w:t>Translation Exposure</w:t>
            </w:r>
            <w:r>
              <w:rPr>
                <w:webHidden/>
              </w:rPr>
              <w:tab/>
            </w:r>
            <w:r>
              <w:rPr>
                <w:webHidden/>
              </w:rPr>
              <w:fldChar w:fldCharType="begin"/>
            </w:r>
            <w:r>
              <w:rPr>
                <w:webHidden/>
              </w:rPr>
              <w:instrText xml:space="preserve"> PAGEREF _Toc162599369 \h </w:instrText>
            </w:r>
            <w:r>
              <w:rPr>
                <w:webHidden/>
              </w:rPr>
            </w:r>
            <w:r>
              <w:rPr>
                <w:webHidden/>
              </w:rPr>
              <w:fldChar w:fldCharType="separate"/>
            </w:r>
            <w:r>
              <w:rPr>
                <w:webHidden/>
              </w:rPr>
              <w:t>5</w:t>
            </w:r>
            <w:r>
              <w:rPr>
                <w:webHidden/>
              </w:rPr>
              <w:fldChar w:fldCharType="end"/>
            </w:r>
          </w:hyperlink>
        </w:p>
        <w:p w14:paraId="4B26A623" w14:textId="57B94D2C"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70" w:history="1">
            <w:r w:rsidRPr="003B274A">
              <w:rPr>
                <w:rStyle w:val="Hyperlink"/>
                <w:rFonts w:eastAsia="Times New Roman"/>
                <w:lang w:eastAsia="en-GB"/>
              </w:rPr>
              <w:t>Economic Exposure</w:t>
            </w:r>
            <w:r>
              <w:rPr>
                <w:webHidden/>
              </w:rPr>
              <w:tab/>
            </w:r>
            <w:r>
              <w:rPr>
                <w:webHidden/>
              </w:rPr>
              <w:fldChar w:fldCharType="begin"/>
            </w:r>
            <w:r>
              <w:rPr>
                <w:webHidden/>
              </w:rPr>
              <w:instrText xml:space="preserve"> PAGEREF _Toc162599370 \h </w:instrText>
            </w:r>
            <w:r>
              <w:rPr>
                <w:webHidden/>
              </w:rPr>
            </w:r>
            <w:r>
              <w:rPr>
                <w:webHidden/>
              </w:rPr>
              <w:fldChar w:fldCharType="separate"/>
            </w:r>
            <w:r>
              <w:rPr>
                <w:webHidden/>
              </w:rPr>
              <w:t>5</w:t>
            </w:r>
            <w:r>
              <w:rPr>
                <w:webHidden/>
              </w:rPr>
              <w:fldChar w:fldCharType="end"/>
            </w:r>
          </w:hyperlink>
        </w:p>
        <w:p w14:paraId="24C06B0D" w14:textId="705D8ED4"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71" w:history="1">
            <w:r w:rsidRPr="003B274A">
              <w:rPr>
                <w:rStyle w:val="Hyperlink"/>
                <w:rFonts w:eastAsia="Times New Roman"/>
                <w:lang w:eastAsia="en-GB"/>
              </w:rPr>
              <w:t>Translation Risk</w:t>
            </w:r>
            <w:r>
              <w:rPr>
                <w:webHidden/>
              </w:rPr>
              <w:tab/>
            </w:r>
            <w:r>
              <w:rPr>
                <w:webHidden/>
              </w:rPr>
              <w:fldChar w:fldCharType="begin"/>
            </w:r>
            <w:r>
              <w:rPr>
                <w:webHidden/>
              </w:rPr>
              <w:instrText xml:space="preserve"> PAGEREF _Toc162599371 \h </w:instrText>
            </w:r>
            <w:r>
              <w:rPr>
                <w:webHidden/>
              </w:rPr>
            </w:r>
            <w:r>
              <w:rPr>
                <w:webHidden/>
              </w:rPr>
              <w:fldChar w:fldCharType="separate"/>
            </w:r>
            <w:r>
              <w:rPr>
                <w:webHidden/>
              </w:rPr>
              <w:t>5</w:t>
            </w:r>
            <w:r>
              <w:rPr>
                <w:webHidden/>
              </w:rPr>
              <w:fldChar w:fldCharType="end"/>
            </w:r>
          </w:hyperlink>
        </w:p>
        <w:p w14:paraId="04D79F81" w14:textId="377FD07A" w:rsidR="00455DCE" w:rsidRDefault="00455DCE">
          <w:pPr>
            <w:pStyle w:val="TOC2"/>
            <w:tabs>
              <w:tab w:val="right" w:leader="dot" w:pos="10456"/>
            </w:tabs>
            <w:rPr>
              <w:rFonts w:eastAsiaTheme="minorEastAsia" w:cstheme="minorBidi"/>
              <w:b w:val="0"/>
              <w:bCs w:val="0"/>
              <w:kern w:val="0"/>
              <w:sz w:val="24"/>
              <w:szCs w:val="24"/>
              <w:lang w:eastAsia="en-GB"/>
              <w14:ligatures w14:val="none"/>
            </w:rPr>
          </w:pPr>
          <w:hyperlink w:anchor="_Toc162599372" w:history="1">
            <w:r w:rsidRPr="003B274A">
              <w:rPr>
                <w:rStyle w:val="Hyperlink"/>
                <w:rFonts w:eastAsia="Times New Roman"/>
                <w:lang w:eastAsia="en-GB"/>
              </w:rPr>
              <w:t>Country Risk</w:t>
            </w:r>
            <w:r>
              <w:rPr>
                <w:webHidden/>
              </w:rPr>
              <w:tab/>
            </w:r>
            <w:r>
              <w:rPr>
                <w:webHidden/>
              </w:rPr>
              <w:fldChar w:fldCharType="begin"/>
            </w:r>
            <w:r>
              <w:rPr>
                <w:webHidden/>
              </w:rPr>
              <w:instrText xml:space="preserve"> PAGEREF _Toc162599372 \h </w:instrText>
            </w:r>
            <w:r>
              <w:rPr>
                <w:webHidden/>
              </w:rPr>
            </w:r>
            <w:r>
              <w:rPr>
                <w:webHidden/>
              </w:rPr>
              <w:fldChar w:fldCharType="separate"/>
            </w:r>
            <w:r>
              <w:rPr>
                <w:webHidden/>
              </w:rPr>
              <w:t>5</w:t>
            </w:r>
            <w:r>
              <w:rPr>
                <w:webHidden/>
              </w:rPr>
              <w:fldChar w:fldCharType="end"/>
            </w:r>
          </w:hyperlink>
        </w:p>
        <w:p w14:paraId="5F0EB9CE" w14:textId="0C9D303B" w:rsidR="00455DCE" w:rsidRDefault="00455DCE">
          <w:pPr>
            <w:pStyle w:val="TOC1"/>
            <w:tabs>
              <w:tab w:val="right" w:leader="dot" w:pos="10456"/>
            </w:tabs>
            <w:rPr>
              <w:rFonts w:eastAsiaTheme="minorEastAsia" w:cstheme="minorBidi"/>
              <w:b w:val="0"/>
              <w:bCs w:val="0"/>
              <w:i w:val="0"/>
              <w:iCs w:val="0"/>
              <w:kern w:val="0"/>
              <w:lang w:eastAsia="en-GB"/>
              <w14:ligatures w14:val="none"/>
            </w:rPr>
          </w:pPr>
          <w:hyperlink w:anchor="_Toc162599373" w:history="1">
            <w:r w:rsidRPr="003B274A">
              <w:rPr>
                <w:rStyle w:val="Hyperlink"/>
                <w:rFonts w:eastAsia="Times New Roman"/>
                <w:lang w:eastAsia="en-GB"/>
              </w:rPr>
              <w:t>Conclusion</w:t>
            </w:r>
            <w:r>
              <w:rPr>
                <w:webHidden/>
              </w:rPr>
              <w:tab/>
            </w:r>
            <w:r>
              <w:rPr>
                <w:webHidden/>
              </w:rPr>
              <w:fldChar w:fldCharType="begin"/>
            </w:r>
            <w:r>
              <w:rPr>
                <w:webHidden/>
              </w:rPr>
              <w:instrText xml:space="preserve"> PAGEREF _Toc162599373 \h </w:instrText>
            </w:r>
            <w:r>
              <w:rPr>
                <w:webHidden/>
              </w:rPr>
            </w:r>
            <w:r>
              <w:rPr>
                <w:webHidden/>
              </w:rPr>
              <w:fldChar w:fldCharType="separate"/>
            </w:r>
            <w:r>
              <w:rPr>
                <w:webHidden/>
              </w:rPr>
              <w:t>6</w:t>
            </w:r>
            <w:r>
              <w:rPr>
                <w:webHidden/>
              </w:rPr>
              <w:fldChar w:fldCharType="end"/>
            </w:r>
          </w:hyperlink>
        </w:p>
        <w:p w14:paraId="52FAF88A" w14:textId="0EDD1707" w:rsidR="00455DCE" w:rsidRDefault="00455DCE">
          <w:pPr>
            <w:pStyle w:val="TOC1"/>
            <w:tabs>
              <w:tab w:val="right" w:leader="dot" w:pos="10456"/>
            </w:tabs>
            <w:rPr>
              <w:rFonts w:eastAsiaTheme="minorEastAsia" w:cstheme="minorBidi"/>
              <w:b w:val="0"/>
              <w:bCs w:val="0"/>
              <w:i w:val="0"/>
              <w:iCs w:val="0"/>
              <w:kern w:val="0"/>
              <w:lang w:eastAsia="en-GB"/>
              <w14:ligatures w14:val="none"/>
            </w:rPr>
          </w:pPr>
          <w:hyperlink w:anchor="_Toc162599374" w:history="1">
            <w:r w:rsidRPr="003B274A">
              <w:rPr>
                <w:rStyle w:val="Hyperlink"/>
                <w:rFonts w:eastAsia="Times New Roman"/>
                <w:lang w:eastAsia="en-GB"/>
              </w:rPr>
              <w:t>References</w:t>
            </w:r>
            <w:r>
              <w:rPr>
                <w:webHidden/>
              </w:rPr>
              <w:tab/>
            </w:r>
            <w:r>
              <w:rPr>
                <w:webHidden/>
              </w:rPr>
              <w:fldChar w:fldCharType="begin"/>
            </w:r>
            <w:r>
              <w:rPr>
                <w:webHidden/>
              </w:rPr>
              <w:instrText xml:space="preserve"> PAGEREF _Toc162599374 \h </w:instrText>
            </w:r>
            <w:r>
              <w:rPr>
                <w:webHidden/>
              </w:rPr>
            </w:r>
            <w:r>
              <w:rPr>
                <w:webHidden/>
              </w:rPr>
              <w:fldChar w:fldCharType="separate"/>
            </w:r>
            <w:r>
              <w:rPr>
                <w:webHidden/>
              </w:rPr>
              <w:t>7</w:t>
            </w:r>
            <w:r>
              <w:rPr>
                <w:webHidden/>
              </w:rPr>
              <w:fldChar w:fldCharType="end"/>
            </w:r>
          </w:hyperlink>
        </w:p>
        <w:p w14:paraId="3954148A" w14:textId="011DA4C5" w:rsidR="00455DCE" w:rsidRDefault="00455DCE">
          <w:r>
            <w:rPr>
              <w:b/>
              <w:bCs/>
              <w:noProof/>
            </w:rPr>
            <w:fldChar w:fldCharType="end"/>
          </w:r>
        </w:p>
      </w:sdtContent>
    </w:sdt>
    <w:p w14:paraId="5A99AE6A" w14:textId="6D2488C2" w:rsidR="00455DCE" w:rsidRDefault="00455DCE"/>
    <w:p w14:paraId="2D9F5DAF" w14:textId="55D9C8EE" w:rsidR="00455DCE" w:rsidRDefault="00455DCE"/>
    <w:p w14:paraId="1EFE41CF" w14:textId="1B2F5288" w:rsidR="00455DCE" w:rsidRDefault="00455DCE"/>
    <w:p w14:paraId="017DE4F5" w14:textId="55C52B4C" w:rsidR="00455DCE" w:rsidRDefault="00455DCE"/>
    <w:p w14:paraId="081AE778" w14:textId="0B2E91E8" w:rsidR="00455DCE" w:rsidRDefault="00455DCE"/>
    <w:p w14:paraId="14A0244F" w14:textId="5E9DB8EC" w:rsidR="00455DCE" w:rsidRDefault="00455DCE"/>
    <w:p w14:paraId="63CC27D9" w14:textId="2A21A22D" w:rsidR="00455DCE" w:rsidRDefault="00455DCE"/>
    <w:p w14:paraId="675752DD" w14:textId="1C12E32C" w:rsidR="00455DCE" w:rsidRDefault="00455DCE"/>
    <w:p w14:paraId="1BA1BE44" w14:textId="270D01C8" w:rsidR="00455DCE" w:rsidRDefault="00455DCE"/>
    <w:p w14:paraId="390A2FA5" w14:textId="56D2AC8D" w:rsidR="00455DCE" w:rsidRDefault="00455DCE"/>
    <w:p w14:paraId="6B326E5E" w14:textId="08C1017D" w:rsidR="00455DCE" w:rsidRDefault="00455DCE"/>
    <w:p w14:paraId="6F62DD44" w14:textId="3ECF7722" w:rsidR="00455DCE" w:rsidRDefault="00455DCE"/>
    <w:p w14:paraId="381A2FE4" w14:textId="5FABFDD1" w:rsidR="00455DCE" w:rsidRDefault="00455DCE"/>
    <w:p w14:paraId="64351969" w14:textId="641CACDB" w:rsidR="00455DCE" w:rsidRDefault="00455DCE"/>
    <w:p w14:paraId="3B2033FC" w14:textId="5D773000" w:rsidR="00455DCE" w:rsidRDefault="00455DCE"/>
    <w:p w14:paraId="40794797" w14:textId="07BC52A9" w:rsidR="00455DCE" w:rsidRDefault="00455DCE"/>
    <w:p w14:paraId="5EBBD8F6" w14:textId="677F3EB7" w:rsidR="00455DCE" w:rsidRDefault="00455DCE"/>
    <w:p w14:paraId="1795DB28" w14:textId="6B055DDA" w:rsidR="00455DCE" w:rsidRDefault="00455DCE"/>
    <w:p w14:paraId="47EE699C" w14:textId="2056516D" w:rsidR="00455DCE" w:rsidRDefault="00455DCE"/>
    <w:p w14:paraId="2A7E8E94" w14:textId="54307E49" w:rsidR="00455DCE" w:rsidRDefault="00455DCE"/>
    <w:p w14:paraId="63698B09" w14:textId="6307D446" w:rsidR="00455DCE" w:rsidRDefault="00455DCE"/>
    <w:p w14:paraId="3E6772DF" w14:textId="21AEAF01" w:rsidR="00455DCE" w:rsidRDefault="00455DCE"/>
    <w:p w14:paraId="457C729C" w14:textId="52459BD2" w:rsidR="00455DCE" w:rsidRDefault="00455DCE"/>
    <w:p w14:paraId="53779643" w14:textId="2DCC736A" w:rsidR="00455DCE" w:rsidRDefault="00455DCE"/>
    <w:p w14:paraId="10D243C5" w14:textId="3DC0F801" w:rsidR="00455DCE" w:rsidRPr="00455DCE" w:rsidRDefault="00455DCE" w:rsidP="00455DCE">
      <w:pPr>
        <w:pStyle w:val="Heading1"/>
        <w:jc w:val="center"/>
        <w:rPr>
          <w:sz w:val="72"/>
          <w:szCs w:val="72"/>
        </w:rPr>
      </w:pPr>
      <w:bookmarkStart w:id="0" w:name="_Toc162599359"/>
      <w:r w:rsidRPr="00455DCE">
        <w:rPr>
          <w:sz w:val="72"/>
          <w:szCs w:val="72"/>
        </w:rPr>
        <w:lastRenderedPageBreak/>
        <w:t>Introduction</w:t>
      </w:r>
      <w:bookmarkEnd w:id="0"/>
    </w:p>
    <w:p w14:paraId="730CE4B4" w14:textId="77777777" w:rsidR="00455DCE" w:rsidRDefault="00455DCE" w:rsidP="00455DCE"/>
    <w:p w14:paraId="5F27D263" w14:textId="4D6F30CD" w:rsidR="00455DCE" w:rsidRDefault="00455DCE" w:rsidP="00455DCE">
      <w:pPr>
        <w:spacing w:after="300"/>
        <w:jc w:val="both"/>
      </w:pPr>
      <w:r>
        <w:drawing>
          <wp:inline distT="0" distB="0" distL="0" distR="0" wp14:anchorId="3DB00A8E" wp14:editId="0CC01732">
            <wp:extent cx="6773501" cy="17113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6801389" cy="1718371"/>
                    </a:xfrm>
                    <a:prstGeom prst="rect">
                      <a:avLst/>
                    </a:prstGeom>
                  </pic:spPr>
                </pic:pic>
              </a:graphicData>
            </a:graphic>
          </wp:inline>
        </w:drawing>
      </w:r>
    </w:p>
    <w:p w14:paraId="6801EB6D" w14:textId="77777777" w:rsidR="00455DCE" w:rsidRDefault="00455DCE" w:rsidP="00455DCE">
      <w:pPr>
        <w:spacing w:after="300"/>
      </w:pPr>
    </w:p>
    <w:p w14:paraId="399DD11E" w14:textId="011399DA" w:rsidR="00455DCE" w:rsidRDefault="00455DCE" w:rsidP="00455DCE">
      <w:pPr>
        <w:spacing w:after="300"/>
        <w:jc w:val="both"/>
      </w:pPr>
      <w:r w:rsidRPr="00455DCE">
        <w:t xml:space="preserve">International Financial Management (IFM) refers to the management of financial resources and risks in a multinational business environment. It encompasses various financial activities, including but not limited to, managing foreign exchange exposure, </w:t>
      </w:r>
      <w:r w:rsidRPr="00455DCE">
        <w:t>sourcing,</w:t>
      </w:r>
      <w:r w:rsidRPr="00455DCE">
        <w:t xml:space="preserve"> and allocating capital across borders, evaluating investment opportunities in different countries, and navigating the regulatory and tax frameworks of multiple jurisdictions.</w:t>
      </w:r>
    </w:p>
    <w:p w14:paraId="0A5ED30D" w14:textId="72D35B82" w:rsidR="00455DCE" w:rsidRDefault="00455DCE" w:rsidP="00455DCE">
      <w:pPr>
        <w:rPr>
          <w:rFonts w:ascii="Open Sans" w:hAnsi="Open Sans" w:cs="Open Sans"/>
          <w:color w:val="444444"/>
          <w:bdr w:val="none" w:sz="0" w:space="0" w:color="auto" w:frame="1"/>
          <w:shd w:val="clear" w:color="auto" w:fill="FFFFFF"/>
        </w:rPr>
      </w:pPr>
    </w:p>
    <w:p w14:paraId="316A7680" w14:textId="4AEE1C8D" w:rsidR="00455DCE" w:rsidRPr="00455DCE" w:rsidRDefault="00455DCE" w:rsidP="00455DCE">
      <w:r>
        <w:drawing>
          <wp:inline distT="0" distB="0" distL="0" distR="0" wp14:anchorId="2BCA3719" wp14:editId="281F9DDE">
            <wp:extent cx="6878955" cy="2977116"/>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6915706" cy="2993021"/>
                    </a:xfrm>
                    <a:prstGeom prst="rect">
                      <a:avLst/>
                    </a:prstGeom>
                  </pic:spPr>
                </pic:pic>
              </a:graphicData>
            </a:graphic>
          </wp:inline>
        </w:drawing>
      </w:r>
    </w:p>
    <w:p w14:paraId="6EDB2B4F" w14:textId="77777777" w:rsidR="00455DCE" w:rsidRPr="00455DCE" w:rsidRDefault="00455DCE" w:rsidP="00455DCE">
      <w:pPr>
        <w:spacing w:after="300"/>
      </w:pPr>
    </w:p>
    <w:p w14:paraId="766C4582" w14:textId="77777777" w:rsidR="00455DCE" w:rsidRPr="00455DCE" w:rsidRDefault="00455DCE" w:rsidP="00455DCE">
      <w:pPr>
        <w:spacing w:before="300" w:after="300"/>
      </w:pPr>
      <w:r w:rsidRPr="00455DCE">
        <w:t>In essence, IFM involves making strategic decisions to optimize the financial performance and resilience of a multinational corporation operating in a globalized economy. This may involve hedging against currency fluctuations, raising capital through international markets, managing cross-border cash flows, and assessing the impact of political and economic events on financial operations.</w:t>
      </w:r>
    </w:p>
    <w:p w14:paraId="32B395B9" w14:textId="0915259A" w:rsidR="00455DCE" w:rsidRPr="00455DCE" w:rsidRDefault="00455DCE" w:rsidP="00455DCE">
      <w:pPr>
        <w:spacing w:before="300" w:after="300"/>
      </w:pPr>
      <w:r w:rsidRPr="00455DCE">
        <w:t xml:space="preserve">IFM also encompasses a range of financial instruments and techniques tailored to mitigate risks associated with international business activities. These may include derivatives such as forward contracts, options, swaps, as well as strategies like exposure netting, </w:t>
      </w:r>
      <w:r w:rsidRPr="00455DCE">
        <w:t>leading,</w:t>
      </w:r>
      <w:r w:rsidRPr="00455DCE">
        <w:t xml:space="preserve"> and lagging, and natural hedging.</w:t>
      </w:r>
    </w:p>
    <w:p w14:paraId="09AB2F8F" w14:textId="0B502D69" w:rsidR="00455DCE" w:rsidRPr="00455DCE" w:rsidRDefault="00455DCE" w:rsidP="00455DCE">
      <w:pPr>
        <w:spacing w:before="300"/>
      </w:pPr>
      <w:r w:rsidRPr="00455DCE">
        <w:t>Overall, international financial management is essential for multinational corporations to effectively navigate the complexities of global financial markets, minimize risks, seize opportunities, and maximize shareholder value across diverse geographical locations.</w:t>
      </w:r>
      <w:r w:rsidRPr="00455DCE">
        <w:rPr>
          <w:rFonts w:ascii="Arial" w:hAnsi="Arial" w:cs="Arial"/>
          <w:vanish/>
          <w:sz w:val="16"/>
          <w:szCs w:val="16"/>
        </w:rPr>
        <w:t>Top of Form</w:t>
      </w:r>
    </w:p>
    <w:p w14:paraId="333C1B70" w14:textId="77777777" w:rsidR="00455DCE" w:rsidRDefault="00455DCE" w:rsidP="00455DCE">
      <w:pPr>
        <w:rPr>
          <w:sz w:val="28"/>
          <w:szCs w:val="28"/>
        </w:rPr>
      </w:pPr>
    </w:p>
    <w:p w14:paraId="26AE2ED4" w14:textId="5FF82071" w:rsidR="00455DCE" w:rsidRPr="00455DCE" w:rsidRDefault="00455DCE" w:rsidP="00455DCE">
      <w:pPr>
        <w:pStyle w:val="Heading1"/>
        <w:jc w:val="center"/>
        <w:rPr>
          <w:rFonts w:ascii="Times New Roman" w:eastAsia="Times New Roman" w:hAnsi="Times New Roman" w:cs="Times New Roman"/>
          <w:sz w:val="72"/>
          <w:szCs w:val="72"/>
          <w:lang w:eastAsia="en-GB"/>
        </w:rPr>
      </w:pPr>
      <w:bookmarkStart w:id="1" w:name="_Toc162599360"/>
      <w:r w:rsidRPr="00455DCE">
        <w:rPr>
          <w:rFonts w:ascii="Times New Roman" w:eastAsia="Times New Roman" w:hAnsi="Times New Roman" w:cs="Times New Roman"/>
          <w:sz w:val="72"/>
          <w:szCs w:val="72"/>
          <w:lang w:eastAsia="en-GB"/>
        </w:rPr>
        <w:t>Strategies</w:t>
      </w:r>
      <w:bookmarkEnd w:id="1"/>
    </w:p>
    <w:p w14:paraId="4D01843D" w14:textId="77777777" w:rsidR="00455DCE" w:rsidRPr="00455DCE" w:rsidRDefault="00455DCE" w:rsidP="00455DCE"/>
    <w:p w14:paraId="539DC7BE" w14:textId="77777777" w:rsidR="00455DCE" w:rsidRPr="00455DCE" w:rsidRDefault="00455DCE" w:rsidP="00455DCE">
      <w:pPr>
        <w:rPr>
          <w:rFonts w:ascii="Arial" w:hAnsi="Arial" w:cs="Arial"/>
          <w:vanish/>
          <w:sz w:val="16"/>
          <w:szCs w:val="16"/>
        </w:rPr>
      </w:pPr>
    </w:p>
    <w:p w14:paraId="6F614190" w14:textId="5C7D6795" w:rsidR="00455DCE" w:rsidRDefault="00455DCE" w:rsidP="00455DCE">
      <w:pPr>
        <w:spacing w:after="300"/>
      </w:pPr>
      <w:r w:rsidRPr="00455DCE">
        <w:t>Managing exposure to foreign exchange (forex) risks is a critical aspect of multinational corporations' (MNCs) financial management, given the inherent uncertainties in global currency markets. Various strategies have been developed to mitigate these risks, each with its own advantages and limitations. Below, I will evaluate some of the key strategies adopted by MNCs:</w:t>
      </w:r>
    </w:p>
    <w:p w14:paraId="65174D83" w14:textId="59D95792" w:rsidR="00455DCE" w:rsidRPr="00455DCE" w:rsidRDefault="00455DCE" w:rsidP="00455DCE">
      <w:pPr>
        <w:pStyle w:val="Heading2"/>
        <w:rPr>
          <w:rFonts w:eastAsia="Times New Roman"/>
          <w:lang w:eastAsia="en-GB"/>
        </w:rPr>
      </w:pPr>
      <w:bookmarkStart w:id="2" w:name="_Toc162599361"/>
      <w:r>
        <w:rPr>
          <w:rFonts w:eastAsia="Times New Roman"/>
          <w:lang w:eastAsia="en-GB"/>
        </w:rPr>
        <w:t>Natural Hedging</w:t>
      </w:r>
      <w:bookmarkEnd w:id="2"/>
    </w:p>
    <w:p w14:paraId="011D357D" w14:textId="1AC26080" w:rsidR="00455DCE" w:rsidRDefault="00455DCE" w:rsidP="00455DCE">
      <w:r w:rsidRPr="00455DCE">
        <w:t>MNCs can engage in natural hedging by matching their revenues and expenses in foreign currencies. For instance, if a company generates revenues in euros but has expenses in the same currency, it naturally hedges its forex exposure. Natural hedging reduces transaction costs and minimizes the need for financial derivatives. However, it requires careful planning and may not always be feasible due to the nature of business operations.</w:t>
      </w:r>
    </w:p>
    <w:p w14:paraId="2DFCCC18" w14:textId="0A2D5D01" w:rsidR="00455DCE" w:rsidRDefault="00455DCE" w:rsidP="00455DCE">
      <w:pPr>
        <w:pStyle w:val="Heading2"/>
        <w:rPr>
          <w:rFonts w:eastAsia="Times New Roman"/>
          <w:lang w:eastAsia="en-GB"/>
        </w:rPr>
      </w:pPr>
      <w:bookmarkStart w:id="3" w:name="_Toc162599362"/>
      <w:r>
        <w:rPr>
          <w:rFonts w:eastAsia="Times New Roman"/>
          <w:lang w:eastAsia="en-GB"/>
        </w:rPr>
        <w:t>Forward Contracts</w:t>
      </w:r>
      <w:bookmarkEnd w:id="3"/>
    </w:p>
    <w:p w14:paraId="5899BFC5" w14:textId="0A22B513" w:rsidR="00455DCE" w:rsidRDefault="00455DCE" w:rsidP="00455DCE">
      <w:r w:rsidRPr="00455DCE">
        <w:t>Forward contracts allow MNCs to lock in a future exchange rate for a specified amount of currency. By doing so, companies can eliminate the uncertainty associated with future cash flows denominated in foreign currencies. Empirical studies have shown that forward contracts are widely used by MNCs to manage forex risks effectively (</w:t>
      </w:r>
      <w:proofErr w:type="spellStart"/>
      <w:r w:rsidRPr="00455DCE">
        <w:t>Allayannis</w:t>
      </w:r>
      <w:proofErr w:type="spellEnd"/>
      <w:r w:rsidRPr="00455DCE">
        <w:t xml:space="preserve"> &amp; </w:t>
      </w:r>
      <w:proofErr w:type="spellStart"/>
      <w:r w:rsidRPr="00455DCE">
        <w:t>Ofek</w:t>
      </w:r>
      <w:proofErr w:type="spellEnd"/>
      <w:r w:rsidRPr="00455DCE">
        <w:t xml:space="preserve">, 2001). However, they suffer from inflexibility as the exchange rate is fixed, irrespective of market movements, and may incur opportunity costs if the market exchange rate turns out to be more </w:t>
      </w:r>
      <w:r w:rsidRPr="00455DCE">
        <w:t>favourable</w:t>
      </w:r>
      <w:r w:rsidRPr="00455DCE">
        <w:t>.</w:t>
      </w:r>
    </w:p>
    <w:p w14:paraId="7089577E" w14:textId="370934EE" w:rsidR="00455DCE" w:rsidRPr="00455DCE" w:rsidRDefault="00455DCE" w:rsidP="00455DCE">
      <w:pPr>
        <w:pStyle w:val="Heading2"/>
        <w:rPr>
          <w:rFonts w:eastAsia="Times New Roman"/>
          <w:lang w:eastAsia="en-GB"/>
        </w:rPr>
      </w:pPr>
      <w:bookmarkStart w:id="4" w:name="_Toc162599363"/>
      <w:r>
        <w:rPr>
          <w:rFonts w:eastAsia="Times New Roman"/>
          <w:lang w:eastAsia="en-GB"/>
        </w:rPr>
        <w:t>Options Contracts</w:t>
      </w:r>
      <w:bookmarkEnd w:id="4"/>
    </w:p>
    <w:p w14:paraId="1D5ECDB9" w14:textId="79F1860B" w:rsidR="00455DCE" w:rsidRDefault="00455DCE" w:rsidP="00455DCE">
      <w:r w:rsidRPr="00455DCE">
        <w:t xml:space="preserve">Options contracts give MNCs the right but not the obligation to exchange currencies at a predetermined rate within a specified timeframe. This provides flexibility and downside protection against adverse exchange rate movements while allowing participation in </w:t>
      </w:r>
      <w:r w:rsidRPr="00455DCE">
        <w:t>favourable</w:t>
      </w:r>
      <w:r w:rsidRPr="00455DCE">
        <w:t xml:space="preserve"> movements. However, options premiums can be costly, leading to higher hedging expenses compared to forward contracts. Moreover, the asymmetry of options contracts means that the MNC may not fully benefit from </w:t>
      </w:r>
      <w:r w:rsidRPr="00455DCE">
        <w:t>favourable</w:t>
      </w:r>
      <w:r w:rsidRPr="00455DCE">
        <w:t xml:space="preserve"> exchange rate movements.</w:t>
      </w:r>
    </w:p>
    <w:p w14:paraId="41B0436A" w14:textId="5BA6ABF1" w:rsidR="00455DCE" w:rsidRPr="00455DCE" w:rsidRDefault="00455DCE" w:rsidP="00455DCE">
      <w:pPr>
        <w:pStyle w:val="Heading2"/>
        <w:rPr>
          <w:rFonts w:eastAsia="Times New Roman"/>
          <w:lang w:eastAsia="en-GB"/>
        </w:rPr>
      </w:pPr>
      <w:bookmarkStart w:id="5" w:name="_Toc162599364"/>
      <w:r>
        <w:rPr>
          <w:rFonts w:eastAsia="Times New Roman"/>
          <w:lang w:eastAsia="en-GB"/>
        </w:rPr>
        <w:t>Money Market Hedging</w:t>
      </w:r>
      <w:bookmarkEnd w:id="5"/>
    </w:p>
    <w:p w14:paraId="5906F963" w14:textId="574BF044" w:rsidR="00455DCE" w:rsidRDefault="00455DCE" w:rsidP="00455DCE">
      <w:r w:rsidRPr="00455DCE">
        <w:t>MNCs can use money market instruments such as currency swaps and futures contracts to hedge forex risks. Currency swaps involve exchanging cash flows in different currencies, thereby reducing exposure to exchange rate fluctuations. Futures contracts operate similarly to forward contracts but are standardized and traded on exchanges. These instruments provide flexibility and liquidity but may involve counterparty risks and margin requirements, especially in the case of futures contracts.</w:t>
      </w:r>
    </w:p>
    <w:p w14:paraId="174D4F00" w14:textId="51EE1067" w:rsidR="00455DCE" w:rsidRPr="00455DCE" w:rsidRDefault="00455DCE" w:rsidP="00455DCE">
      <w:pPr>
        <w:pStyle w:val="Heading2"/>
        <w:rPr>
          <w:rFonts w:eastAsia="Times New Roman"/>
          <w:lang w:eastAsia="en-GB"/>
        </w:rPr>
      </w:pPr>
      <w:bookmarkStart w:id="6" w:name="_Toc162599365"/>
      <w:r>
        <w:rPr>
          <w:rFonts w:eastAsia="Times New Roman"/>
          <w:lang w:eastAsia="en-GB"/>
        </w:rPr>
        <w:t>Exposure Netting</w:t>
      </w:r>
      <w:bookmarkEnd w:id="6"/>
    </w:p>
    <w:p w14:paraId="7B9A3A3B" w14:textId="2C808F90" w:rsidR="00455DCE" w:rsidRDefault="00455DCE" w:rsidP="00455DCE">
      <w:r w:rsidRPr="00455DCE">
        <w:t>MNCs with operations in multiple countries can net out their exposures by aggregating offsetting positions. For instance, if a company has payables in one currency and receivables in another, it can reduce its overall exposure by offsetting these positions. Exposure netting reduces transaction costs and simplifies hedging strategies. However, it requires effective coordination and monitoring of cash flows across different subsidiaries.</w:t>
      </w:r>
    </w:p>
    <w:p w14:paraId="5B1063D9" w14:textId="1ED36230" w:rsidR="00455DCE" w:rsidRDefault="00455DCE" w:rsidP="00455DCE"/>
    <w:p w14:paraId="2E6A838F" w14:textId="6D6B5249" w:rsidR="00455DCE" w:rsidRPr="00455DCE" w:rsidRDefault="00455DCE" w:rsidP="00455DCE">
      <w:pPr>
        <w:pStyle w:val="Heading2"/>
        <w:rPr>
          <w:rFonts w:eastAsia="Times New Roman"/>
          <w:lang w:eastAsia="en-GB"/>
        </w:rPr>
      </w:pPr>
      <w:bookmarkStart w:id="7" w:name="_Toc162599366"/>
      <w:r>
        <w:rPr>
          <w:rFonts w:eastAsia="Times New Roman"/>
          <w:lang w:eastAsia="en-GB"/>
        </w:rPr>
        <w:t>Leading and Lagging</w:t>
      </w:r>
      <w:bookmarkEnd w:id="7"/>
    </w:p>
    <w:p w14:paraId="66B8DF85" w14:textId="4940B434" w:rsidR="00455DCE" w:rsidRDefault="00455DCE" w:rsidP="00455DCE">
      <w:r w:rsidRPr="00455DCE">
        <w:t xml:space="preserve">Leading involves accelerating payments or receipts in anticipation of adverse exchange rate movements, while lagging involves delaying payments or receipts to take advantage of </w:t>
      </w:r>
      <w:r w:rsidRPr="00455DCE">
        <w:t>favourable</w:t>
      </w:r>
      <w:r w:rsidRPr="00455DCE">
        <w:t xml:space="preserve"> movements. These strategies require forecasting exchange rate movements accurately, which is inherently challenging. Moreover, they may not be viable for all types of transactions and can disrupt business operations if not executed prudently.</w:t>
      </w:r>
    </w:p>
    <w:p w14:paraId="601DFA1D" w14:textId="79110EDC" w:rsidR="00455DCE" w:rsidRDefault="00455DCE" w:rsidP="00455DCE">
      <w:pPr>
        <w:ind w:left="720"/>
        <w:rPr>
          <w:b/>
          <w:bCs/>
          <w:bdr w:val="single" w:sz="2" w:space="0" w:color="E3E3E3" w:frame="1"/>
        </w:rPr>
      </w:pPr>
    </w:p>
    <w:p w14:paraId="1E741672" w14:textId="668DC517" w:rsidR="00455DCE" w:rsidRDefault="00455DCE" w:rsidP="00455DCE">
      <w:pPr>
        <w:ind w:left="720"/>
        <w:rPr>
          <w:b/>
          <w:bCs/>
          <w:bdr w:val="single" w:sz="2" w:space="0" w:color="E3E3E3" w:frame="1"/>
        </w:rPr>
      </w:pPr>
    </w:p>
    <w:p w14:paraId="62208272" w14:textId="25D10CB0" w:rsidR="00455DCE" w:rsidRDefault="00455DCE" w:rsidP="00455DCE">
      <w:pPr>
        <w:ind w:left="720"/>
        <w:jc w:val="both"/>
        <w:rPr>
          <w:b/>
          <w:bCs/>
          <w:bdr w:val="single" w:sz="2" w:space="0" w:color="E3E3E3" w:frame="1"/>
        </w:rPr>
      </w:pPr>
    </w:p>
    <w:p w14:paraId="306D6BFF" w14:textId="70D4F1DF" w:rsidR="00455DCE" w:rsidRDefault="00455DCE" w:rsidP="00455DCE">
      <w:pPr>
        <w:pStyle w:val="Heading1"/>
        <w:jc w:val="center"/>
        <w:rPr>
          <w:rFonts w:eastAsia="Times New Roman"/>
          <w:sz w:val="72"/>
          <w:szCs w:val="72"/>
          <w:lang w:eastAsia="en-GB"/>
        </w:rPr>
      </w:pPr>
    </w:p>
    <w:p w14:paraId="344FE8DB" w14:textId="77777777" w:rsidR="00455DCE" w:rsidRPr="00455DCE" w:rsidRDefault="00455DCE" w:rsidP="00455DCE"/>
    <w:p w14:paraId="6A182D00" w14:textId="6BF62091" w:rsidR="00455DCE" w:rsidRDefault="00455DCE" w:rsidP="00455DCE">
      <w:pPr>
        <w:pStyle w:val="Heading1"/>
        <w:jc w:val="center"/>
        <w:rPr>
          <w:rFonts w:eastAsia="Times New Roman"/>
          <w:sz w:val="72"/>
          <w:szCs w:val="72"/>
          <w:lang w:eastAsia="en-GB"/>
        </w:rPr>
      </w:pPr>
      <w:bookmarkStart w:id="8" w:name="_Toc162599367"/>
      <w:r w:rsidRPr="00455DCE">
        <w:rPr>
          <w:rFonts w:eastAsia="Times New Roman"/>
          <w:sz w:val="72"/>
          <w:szCs w:val="72"/>
          <w:lang w:eastAsia="en-GB"/>
        </w:rPr>
        <w:t>Risks</w:t>
      </w:r>
      <w:bookmarkEnd w:id="8"/>
    </w:p>
    <w:p w14:paraId="5C4C454C" w14:textId="77777777" w:rsidR="00455DCE" w:rsidRPr="00455DCE" w:rsidRDefault="00455DCE" w:rsidP="00455DCE"/>
    <w:p w14:paraId="4F2A97AC" w14:textId="10DD567D" w:rsidR="00455DCE" w:rsidRPr="00455DCE" w:rsidRDefault="00455DCE" w:rsidP="00455DCE">
      <w:r w:rsidRPr="00455DCE">
        <w:t>Foreign exchange (forex) risks, also known as currency risks or exchange rate risks, refer to the potential financial losses that arise from fluctuations in exchange rates between two currencies. These risks are prevalent for businesses and investors engaged in international trade, investment, or financing activities. Here's a more detailed exploration of foreign exchange risks:</w:t>
      </w:r>
    </w:p>
    <w:p w14:paraId="151BFBE9" w14:textId="77777777" w:rsidR="00455DCE" w:rsidRDefault="00455DCE" w:rsidP="00455DCE">
      <w:pPr>
        <w:ind w:left="720"/>
        <w:jc w:val="both"/>
      </w:pPr>
    </w:p>
    <w:p w14:paraId="10718966" w14:textId="77777777" w:rsidR="00455DCE" w:rsidRDefault="00455DCE" w:rsidP="00455DCE">
      <w:pPr>
        <w:ind w:left="720"/>
        <w:jc w:val="both"/>
      </w:pPr>
    </w:p>
    <w:p w14:paraId="0DDAD1A2" w14:textId="0657A8DF" w:rsidR="00455DCE" w:rsidRPr="00455DCE" w:rsidRDefault="00455DCE" w:rsidP="00455DCE">
      <w:pPr>
        <w:pStyle w:val="Heading2"/>
        <w:jc w:val="both"/>
        <w:rPr>
          <w:rFonts w:eastAsia="Times New Roman"/>
          <w:lang w:eastAsia="en-GB"/>
        </w:rPr>
      </w:pPr>
      <w:bookmarkStart w:id="9" w:name="_Toc162599368"/>
      <w:r w:rsidRPr="00455DCE">
        <w:rPr>
          <w:rFonts w:eastAsia="Times New Roman"/>
          <w:lang w:eastAsia="en-GB"/>
        </w:rPr>
        <w:t>Transaction Exposure</w:t>
      </w:r>
      <w:bookmarkEnd w:id="9"/>
    </w:p>
    <w:p w14:paraId="155E3020" w14:textId="77777777" w:rsidR="00455DCE" w:rsidRDefault="00455DCE" w:rsidP="00455DCE">
      <w:pPr>
        <w:snapToGrid w:val="0"/>
        <w:jc w:val="both"/>
      </w:pPr>
      <w:r w:rsidRPr="00455DCE">
        <w:t>Transaction exposure arises from contractual obligations denominated in foreign currencies. For example, a company that imports goods from abroad and needs to pay in a foreign currency faces transaction exposure. Fluctuations in exchange rates between the time the transaction is agreed upon and when payment is made can lead to gains or losses for the company.</w:t>
      </w:r>
      <w:r>
        <w:t xml:space="preserve"> </w:t>
      </w:r>
    </w:p>
    <w:p w14:paraId="0700E3BE" w14:textId="28BC9C7E" w:rsidR="00455DCE" w:rsidRPr="00455DCE" w:rsidRDefault="00455DCE" w:rsidP="00455DCE">
      <w:pPr>
        <w:snapToGrid w:val="0"/>
        <w:jc w:val="both"/>
      </w:pPr>
      <w:r>
        <w:t xml:space="preserve">   Empirical studies, such as research by </w:t>
      </w:r>
      <w:proofErr w:type="spellStart"/>
      <w:r>
        <w:t>Allayannis</w:t>
      </w:r>
      <w:proofErr w:type="spellEnd"/>
      <w:r>
        <w:t xml:space="preserve"> and </w:t>
      </w:r>
      <w:proofErr w:type="spellStart"/>
      <w:r>
        <w:t>Ofek</w:t>
      </w:r>
      <w:proofErr w:type="spellEnd"/>
      <w:r>
        <w:t xml:space="preserve"> (2001), have demonstrated prevalence of transaction exposure among multinational corporations. They found that firms actively engage in hedging transaction to manage this type of risk. </w:t>
      </w:r>
    </w:p>
    <w:p w14:paraId="372A66F5" w14:textId="77777777" w:rsidR="00455DCE" w:rsidRDefault="00455DCE" w:rsidP="00455DCE">
      <w:pPr>
        <w:ind w:left="720"/>
        <w:jc w:val="both"/>
      </w:pPr>
    </w:p>
    <w:p w14:paraId="46973FCE" w14:textId="1C6268B5" w:rsidR="00455DCE" w:rsidRPr="00455DCE" w:rsidRDefault="00455DCE" w:rsidP="00455DCE">
      <w:pPr>
        <w:pStyle w:val="Heading2"/>
        <w:jc w:val="both"/>
        <w:rPr>
          <w:rFonts w:eastAsia="Times New Roman"/>
          <w:lang w:eastAsia="en-GB"/>
        </w:rPr>
      </w:pPr>
      <w:bookmarkStart w:id="10" w:name="_Toc162599369"/>
      <w:r w:rsidRPr="00455DCE">
        <w:rPr>
          <w:rFonts w:eastAsia="Times New Roman"/>
          <w:lang w:eastAsia="en-GB"/>
        </w:rPr>
        <w:t>Translation Exposure</w:t>
      </w:r>
      <w:bookmarkEnd w:id="10"/>
    </w:p>
    <w:p w14:paraId="1CB7B6B7" w14:textId="79B0D989" w:rsidR="00455DCE" w:rsidRDefault="00455DCE" w:rsidP="00455DCE">
      <w:pPr>
        <w:jc w:val="both"/>
      </w:pPr>
      <w:r w:rsidRPr="00455DCE">
        <w:t>Translation exposure, also known as accounting exposure, affects multinational corporations with subsidiaries or operations in foreign countries. When financial statements of these subsidiaries are consolidated into the parent company's financial statements, they must be translated into the parent company's reporting currency. Fluctuations in exchange rates between the subsidiary's functional currency and the reporting currency can impact the reported financial results and net worth of the parent company.</w:t>
      </w:r>
      <w:r>
        <w:t xml:space="preserve"> </w:t>
      </w:r>
    </w:p>
    <w:p w14:paraId="10965BB4" w14:textId="17390C6D" w:rsidR="00455DCE" w:rsidRPr="00455DCE" w:rsidRDefault="00455DCE" w:rsidP="00455DCE">
      <w:pPr>
        <w:jc w:val="both"/>
      </w:pPr>
      <w:r>
        <w:t xml:space="preserve">   Research by Bodnar and Wong (2003) provides empirical evidence of the impact of translation exposure on multinational corporations. They found exchange rate movements can significantly affect the reported earnings and balance sheets of multinational firms.</w:t>
      </w:r>
    </w:p>
    <w:p w14:paraId="4EE93EEE" w14:textId="0F9BF1BD" w:rsidR="00455DCE" w:rsidRDefault="00455DCE" w:rsidP="00455DCE">
      <w:pPr>
        <w:jc w:val="both"/>
      </w:pPr>
    </w:p>
    <w:p w14:paraId="5EA6787E" w14:textId="53206228" w:rsidR="00455DCE" w:rsidRPr="00455DCE" w:rsidRDefault="00455DCE" w:rsidP="00455DCE">
      <w:pPr>
        <w:pStyle w:val="Heading2"/>
        <w:jc w:val="both"/>
        <w:rPr>
          <w:rFonts w:eastAsia="Times New Roman"/>
          <w:lang w:eastAsia="en-GB"/>
        </w:rPr>
      </w:pPr>
      <w:bookmarkStart w:id="11" w:name="_Toc162599370"/>
      <w:r w:rsidRPr="00455DCE">
        <w:rPr>
          <w:rFonts w:eastAsia="Times New Roman"/>
          <w:lang w:eastAsia="en-GB"/>
        </w:rPr>
        <w:t>Economic Exposure</w:t>
      </w:r>
      <w:bookmarkEnd w:id="11"/>
    </w:p>
    <w:p w14:paraId="109826DE" w14:textId="77777777" w:rsidR="00455DCE" w:rsidRDefault="00455DCE" w:rsidP="00455DCE">
      <w:pPr>
        <w:jc w:val="both"/>
      </w:pPr>
      <w:r w:rsidRPr="00455DCE">
        <w:t>Economic exposure, also known as operating exposure, refers to the impact of exchange rate fluctuations on a company's future cash flows, competitive position, and market value. It arises from changes in demand, pricing, and cost structures due to exchange rate movements. Economic exposure is particularly relevant for companies with long-term contracts, pricing power, or significant foreign competitors.</w:t>
      </w:r>
      <w:r>
        <w:t xml:space="preserve"> </w:t>
      </w:r>
    </w:p>
    <w:p w14:paraId="65200FFE" w14:textId="6F4B1E18" w:rsidR="00455DCE" w:rsidRDefault="00455DCE" w:rsidP="00455DCE">
      <w:pPr>
        <w:jc w:val="both"/>
      </w:pPr>
      <w:r>
        <w:t xml:space="preserve">  A study by Dominguez and </w:t>
      </w:r>
      <w:proofErr w:type="spellStart"/>
      <w:r>
        <w:t>Tesar</w:t>
      </w:r>
      <w:proofErr w:type="spellEnd"/>
      <w:r>
        <w:t xml:space="preserve"> (2006) analysed the economic exposure of multinational corporations and found evidence that exchange rate of movements </w:t>
      </w:r>
      <w:proofErr w:type="gramStart"/>
      <w:r>
        <w:t>have</w:t>
      </w:r>
      <w:proofErr w:type="gramEnd"/>
      <w:r>
        <w:t xml:space="preserve"> a significant impact of firms competitive positions and profitability particularly for firms with pricing power.</w:t>
      </w:r>
    </w:p>
    <w:p w14:paraId="5A498FD9" w14:textId="77777777" w:rsidR="00455DCE" w:rsidRPr="00455DCE" w:rsidRDefault="00455DCE" w:rsidP="00455DCE">
      <w:pPr>
        <w:jc w:val="both"/>
      </w:pPr>
    </w:p>
    <w:p w14:paraId="5AD76AE6" w14:textId="5F6310F7" w:rsidR="00455DCE" w:rsidRPr="00455DCE" w:rsidRDefault="00455DCE" w:rsidP="00455DCE">
      <w:pPr>
        <w:pStyle w:val="Heading2"/>
        <w:jc w:val="both"/>
        <w:rPr>
          <w:rFonts w:eastAsia="Times New Roman"/>
          <w:lang w:eastAsia="en-GB"/>
        </w:rPr>
      </w:pPr>
      <w:bookmarkStart w:id="12" w:name="_Toc162599371"/>
      <w:r w:rsidRPr="00455DCE">
        <w:rPr>
          <w:rFonts w:eastAsia="Times New Roman"/>
          <w:lang w:eastAsia="en-GB"/>
        </w:rPr>
        <w:t>Translation Risk</w:t>
      </w:r>
      <w:bookmarkEnd w:id="12"/>
    </w:p>
    <w:p w14:paraId="50F1EC05" w14:textId="42614BBE" w:rsidR="00455DCE" w:rsidRPr="00455DCE" w:rsidRDefault="00455DCE" w:rsidP="00455DCE">
      <w:pPr>
        <w:jc w:val="both"/>
      </w:pPr>
      <w:r w:rsidRPr="00455DCE">
        <w:t>Translation risk arises when a company's assets, liabilities, revenues, or expenses are denominated in a foreign currency and need to be translated into the company's reporting currency for financial reporting purposes. Fluctuations in exchange rates can affect the translated values, leading to gains or losses in the company's financial statements.</w:t>
      </w:r>
    </w:p>
    <w:p w14:paraId="29A39DDA" w14:textId="223FE08E" w:rsidR="00455DCE" w:rsidRDefault="00455DCE" w:rsidP="00455DCE">
      <w:pPr>
        <w:jc w:val="both"/>
      </w:pPr>
      <w:r>
        <w:t xml:space="preserve">  Research by Shapiro (2010) provides empirical evidence of translation risk by examining the impact of exchange rate movements on the financial statements of multinational corporations. The study found that translation risk can lead to significant fluctuations in reported earnings and net worth.in foreign countries can lead </w:t>
      </w:r>
    </w:p>
    <w:p w14:paraId="6BF86683" w14:textId="563025FD" w:rsidR="00455DCE" w:rsidRPr="00455DCE" w:rsidRDefault="00455DCE" w:rsidP="00455DCE">
      <w:pPr>
        <w:pStyle w:val="Heading2"/>
        <w:jc w:val="both"/>
        <w:rPr>
          <w:rFonts w:eastAsia="Times New Roman"/>
          <w:lang w:eastAsia="en-GB"/>
        </w:rPr>
      </w:pPr>
      <w:bookmarkStart w:id="13" w:name="_Toc162599372"/>
      <w:r w:rsidRPr="00455DCE">
        <w:rPr>
          <w:rFonts w:eastAsia="Times New Roman"/>
          <w:lang w:eastAsia="en-GB"/>
        </w:rPr>
        <w:lastRenderedPageBreak/>
        <w:t>Country Risk</w:t>
      </w:r>
      <w:bookmarkEnd w:id="13"/>
    </w:p>
    <w:p w14:paraId="3381A29B" w14:textId="6078B4F4" w:rsidR="00455DCE" w:rsidRDefault="00455DCE" w:rsidP="00455DCE">
      <w:pPr>
        <w:jc w:val="both"/>
      </w:pPr>
      <w:r w:rsidRPr="00455DCE">
        <w:t>Country risk, also known as sovereign risk, encompasses political, economic, and social factors that can impact exchange rates. Events such as political instability, changes in government policies, economic recessions, or geopolitical tensions can affect investor confidence and currency values. Country risk adds an additional layer of uncertainty for businesses operating in foreign markets.</w:t>
      </w:r>
    </w:p>
    <w:p w14:paraId="22F74085" w14:textId="003962F2" w:rsidR="00455DCE" w:rsidRDefault="00455DCE" w:rsidP="00455DCE">
      <w:pPr>
        <w:jc w:val="both"/>
      </w:pPr>
      <w:r>
        <w:t xml:space="preserve">   Studies by Bekaert and Harvey (2002) and </w:t>
      </w:r>
      <w:proofErr w:type="spellStart"/>
      <w:r>
        <w:t>Durnev</w:t>
      </w:r>
      <w:proofErr w:type="spellEnd"/>
      <w:r>
        <w:t xml:space="preserve"> and Kim (2005) have provided empirical evidence of the impact of country risk on exchange rate movements and investor behaviours. They found that political instability and economic uncertainties </w:t>
      </w:r>
      <w:r>
        <w:t xml:space="preserve">in foreign countries can lead </w:t>
      </w:r>
      <w:r>
        <w:t>to increased exchange rate and volatility and risk premiums.</w:t>
      </w:r>
    </w:p>
    <w:p w14:paraId="11C2F179" w14:textId="0272EACA" w:rsidR="00455DCE" w:rsidRPr="00455DCE" w:rsidRDefault="00455DCE" w:rsidP="00455DCE">
      <w:pPr>
        <w:jc w:val="both"/>
      </w:pPr>
    </w:p>
    <w:p w14:paraId="0F47E742" w14:textId="77777777" w:rsidR="00455DCE" w:rsidRPr="00455DCE" w:rsidRDefault="00455DCE" w:rsidP="00455DCE">
      <w:pPr>
        <w:jc w:val="both"/>
      </w:pPr>
    </w:p>
    <w:p w14:paraId="69A9DA26" w14:textId="547F8560" w:rsidR="00455DCE" w:rsidRPr="00455DCE" w:rsidRDefault="00455DCE" w:rsidP="00455DCE">
      <w:pPr>
        <w:jc w:val="both"/>
      </w:pPr>
      <w:r w:rsidRPr="00455DCE">
        <w:t>To manage foreign exchange risks effectively, multinational corporations often utilize hedging strategies such as forward contracts, options, swaps, and natural hedging techniques. These strategies aim to reduce the impact of exchange rate fluctuations on financial performance and mitigate potential losses. Additionally, diversification of operations across different countries and currencies can help spread risks and enhance resilience against adverse currency movements.</w:t>
      </w:r>
    </w:p>
    <w:p w14:paraId="2BE9465A" w14:textId="77777777" w:rsidR="00455DCE" w:rsidRPr="00455DCE" w:rsidRDefault="00455DCE" w:rsidP="00455DCE">
      <w:pPr>
        <w:ind w:left="720"/>
        <w:jc w:val="both"/>
      </w:pPr>
    </w:p>
    <w:p w14:paraId="68FFC9AE" w14:textId="77777777" w:rsidR="00455DCE" w:rsidRDefault="00455DCE" w:rsidP="00455DCE">
      <w:pPr>
        <w:pStyle w:val="Heading1"/>
        <w:jc w:val="center"/>
        <w:rPr>
          <w:rFonts w:eastAsia="Times New Roman"/>
          <w:sz w:val="72"/>
          <w:szCs w:val="72"/>
          <w:lang w:eastAsia="en-GB"/>
        </w:rPr>
      </w:pPr>
    </w:p>
    <w:p w14:paraId="5CBFACFA" w14:textId="13B02ECA" w:rsidR="00455DCE" w:rsidRPr="00455DCE" w:rsidRDefault="00455DCE" w:rsidP="00455DCE">
      <w:pPr>
        <w:pStyle w:val="Heading1"/>
        <w:jc w:val="center"/>
        <w:rPr>
          <w:rFonts w:eastAsia="Times New Roman"/>
          <w:sz w:val="72"/>
          <w:szCs w:val="72"/>
          <w:lang w:eastAsia="en-GB"/>
        </w:rPr>
      </w:pPr>
      <w:bookmarkStart w:id="14" w:name="_Toc162599373"/>
      <w:r w:rsidRPr="00455DCE">
        <w:rPr>
          <w:rFonts w:eastAsia="Times New Roman"/>
          <w:sz w:val="72"/>
          <w:szCs w:val="72"/>
          <w:lang w:eastAsia="en-GB"/>
        </w:rPr>
        <w:t>Conclusion</w:t>
      </w:r>
      <w:bookmarkEnd w:id="14"/>
    </w:p>
    <w:p w14:paraId="5D63D558" w14:textId="3A09B587" w:rsidR="00455DCE" w:rsidRDefault="00455DCE" w:rsidP="00455DCE">
      <w:pPr>
        <w:spacing w:before="300" w:after="300"/>
      </w:pPr>
      <w:r w:rsidRPr="00455DCE">
        <w:t>In conclusion, multinational corporations employ a combination of strategies to manage their exposure to foreign exchange risks, depending on their specific circumstances and risk appetite. While each strategy has its own merits and drawbacks, a comprehensive approach that considers the company's financial goals, market conditions, and regulatory environment is crucial for effective forex risk management.</w:t>
      </w:r>
    </w:p>
    <w:p w14:paraId="5831B705" w14:textId="064715C8" w:rsidR="00455DCE" w:rsidRPr="00455DCE" w:rsidRDefault="00455DCE" w:rsidP="00455DCE">
      <w:pPr>
        <w:spacing w:before="300" w:after="300"/>
      </w:pPr>
      <w:r w:rsidRPr="00455DCE">
        <w:t>In conclusion, the management of foreign exchange risks is a multifaceted challenge for multinational corporations operating in a globalized economy. Throughout this discussion, we've explored various types of foreign exchange risks, including transaction exposure, translation exposure, economic exposure, translation risk, and country risk. These risks can significantly impact companies' financial performance, strategic decision-making, and overall competitiveness.</w:t>
      </w:r>
    </w:p>
    <w:p w14:paraId="15F780E7" w14:textId="701B60C3" w:rsidR="00455DCE" w:rsidRPr="00455DCE" w:rsidRDefault="00455DCE" w:rsidP="00455DCE">
      <w:pPr>
        <w:spacing w:before="300" w:after="300"/>
      </w:pPr>
      <w:r w:rsidRPr="00455DCE">
        <w:t>Empirical evidence from a range of studies has demonstrated the prevalence and importance of foreign exchange risks in international financial management. Researchers have investigated the impact of exchange rate fluctuations on multinational corporations' earnings, balance sheets, competitive positions, and market values. This evidence underscores the need for effective risk management strategies to mitigate the adverse effects of currency volatility.</w:t>
      </w:r>
    </w:p>
    <w:p w14:paraId="7D8FBA0B" w14:textId="655C0123" w:rsidR="00455DCE" w:rsidRPr="00455DCE" w:rsidRDefault="00455DCE" w:rsidP="00455DCE">
      <w:pPr>
        <w:spacing w:before="300" w:after="300"/>
      </w:pPr>
      <w:r w:rsidRPr="00455DCE">
        <w:t>Key risk management strategies discussed include hedging with financial derivatives such as forward contracts, options, swaps, as well as natural hedging techniques and exposure netting. Each strategy has its own advantages and limitations, and the choice of strategy depends on factors such as the company's risk appetite, business operations, and market conditions.</w:t>
      </w:r>
    </w:p>
    <w:p w14:paraId="161E784B" w14:textId="15A495ED" w:rsidR="00455DCE" w:rsidRPr="00455DCE" w:rsidRDefault="00455DCE" w:rsidP="00455DCE">
      <w:pPr>
        <w:spacing w:before="300" w:after="300"/>
      </w:pPr>
      <w:r w:rsidRPr="00455DCE">
        <w:t>Furthermore, critical analysis has highlighted the complexities and uncertainties associated with managing foreign exchange risks. While empirical studies provide valuable insights, it's essential to recognize the inherent challenges in forecasting exchange rate movements accurately and assessing the impact of geopolitical events and macroeconomic factors on currency markets.</w:t>
      </w:r>
    </w:p>
    <w:p w14:paraId="6477D8F5" w14:textId="750B60BA" w:rsidR="00455DCE" w:rsidRPr="00455DCE" w:rsidRDefault="00455DCE" w:rsidP="00455DCE">
      <w:pPr>
        <w:spacing w:before="300" w:after="300"/>
      </w:pPr>
      <w:proofErr w:type="gramStart"/>
      <w:r w:rsidRPr="00455DCE">
        <w:t>In light of</w:t>
      </w:r>
      <w:proofErr w:type="gramEnd"/>
      <w:r w:rsidRPr="00455DCE">
        <w:t xml:space="preserve"> these considerations, multinational corporations must adopt a comprehensive approach to foreign exchange risk management. This involves integrating financial risk management practices with strategic </w:t>
      </w:r>
      <w:r w:rsidRPr="00455DCE">
        <w:lastRenderedPageBreak/>
        <w:t>decision-making processes, fostering a culture of risk awareness and agility, and leveraging technology and analytics to enhance decision-making capabilities.</w:t>
      </w:r>
    </w:p>
    <w:p w14:paraId="2185C360" w14:textId="64CB0A44" w:rsidR="00455DCE" w:rsidRDefault="00455DCE" w:rsidP="00455DCE">
      <w:pPr>
        <w:spacing w:before="300" w:after="300"/>
      </w:pPr>
      <w:r w:rsidRPr="00455DCE">
        <w:t>Overall, effective management of foreign exchange risks is crucial for multinational corporations to maintain financial stability, preserve shareholder value, and capitalize on opportunities in the global marketplace. By staying informed, proactive, and adaptive, companies can navigate the complexities of currency markets and enhance their resilience in an increasingly interconnected world economy.</w:t>
      </w:r>
    </w:p>
    <w:p w14:paraId="0E7F2A54" w14:textId="66186263" w:rsidR="00455DCE" w:rsidRDefault="00455DCE" w:rsidP="00455DCE">
      <w:pPr>
        <w:spacing w:before="300" w:after="300"/>
      </w:pPr>
    </w:p>
    <w:p w14:paraId="50836022" w14:textId="508AC3E5" w:rsidR="00455DCE" w:rsidRDefault="00455DCE" w:rsidP="00455DCE">
      <w:pPr>
        <w:spacing w:before="300" w:after="300"/>
      </w:pPr>
    </w:p>
    <w:p w14:paraId="7689F9A3" w14:textId="263ACD11" w:rsidR="00455DCE" w:rsidRDefault="00455DCE" w:rsidP="00455DCE">
      <w:pPr>
        <w:spacing w:before="300" w:after="300"/>
      </w:pPr>
    </w:p>
    <w:p w14:paraId="38D9B98D" w14:textId="77777777" w:rsidR="00455DCE" w:rsidRDefault="00455DCE" w:rsidP="00455DCE">
      <w:pPr>
        <w:spacing w:before="300" w:after="300"/>
      </w:pPr>
    </w:p>
    <w:p w14:paraId="6F0FD908" w14:textId="77777777" w:rsidR="00455DCE" w:rsidRPr="00455DCE" w:rsidRDefault="00455DCE" w:rsidP="00455DCE">
      <w:pPr>
        <w:spacing w:before="300" w:after="300"/>
      </w:pPr>
    </w:p>
    <w:p w14:paraId="59FC7D9D" w14:textId="4E05F90C" w:rsidR="00455DCE" w:rsidRPr="00455DCE" w:rsidRDefault="00455DCE" w:rsidP="00455DCE">
      <w:pPr>
        <w:pStyle w:val="Heading1"/>
        <w:jc w:val="center"/>
        <w:rPr>
          <w:rFonts w:eastAsia="Times New Roman"/>
          <w:sz w:val="72"/>
          <w:szCs w:val="72"/>
          <w:lang w:eastAsia="en-GB"/>
        </w:rPr>
      </w:pPr>
      <w:bookmarkStart w:id="15" w:name="_Toc162599374"/>
      <w:r w:rsidRPr="00455DCE">
        <w:rPr>
          <w:rFonts w:eastAsia="Times New Roman"/>
          <w:sz w:val="72"/>
          <w:szCs w:val="72"/>
          <w:lang w:eastAsia="en-GB"/>
        </w:rPr>
        <w:t>References</w:t>
      </w:r>
      <w:bookmarkEnd w:id="15"/>
    </w:p>
    <w:p w14:paraId="466BD869" w14:textId="77777777" w:rsidR="00455DCE" w:rsidRPr="00455DCE" w:rsidRDefault="00455DCE" w:rsidP="00455DCE">
      <w:pPr>
        <w:numPr>
          <w:ilvl w:val="0"/>
          <w:numId w:val="2"/>
        </w:numPr>
      </w:pPr>
      <w:proofErr w:type="spellStart"/>
      <w:r w:rsidRPr="00455DCE">
        <w:t>Allayannis</w:t>
      </w:r>
      <w:proofErr w:type="spellEnd"/>
      <w:r w:rsidRPr="00455DCE">
        <w:t xml:space="preserve">, G., &amp; </w:t>
      </w:r>
      <w:proofErr w:type="spellStart"/>
      <w:r w:rsidRPr="00455DCE">
        <w:t>Ofek</w:t>
      </w:r>
      <w:proofErr w:type="spellEnd"/>
      <w:r w:rsidRPr="00455DCE">
        <w:t>, E. (2001). Exchange rate exposure, hedging, and the use of foreign currency derivatives. Journal of International Money and Finance, 20(2), 273-296.</w:t>
      </w:r>
    </w:p>
    <w:p w14:paraId="4DA52570" w14:textId="77777777" w:rsidR="00455DCE" w:rsidRPr="00455DCE" w:rsidRDefault="00455DCE" w:rsidP="00455DCE">
      <w:pPr>
        <w:pStyle w:val="ListParagraph"/>
        <w:numPr>
          <w:ilvl w:val="0"/>
          <w:numId w:val="2"/>
        </w:numPr>
        <w:shd w:val="clear" w:color="auto" w:fill="FFFFFF"/>
        <w:rPr>
          <w:rFonts w:ascii="Source Sans Pro" w:hAnsi="Source Sans Pro"/>
          <w:noProof w:val="0"/>
          <w:color w:val="3A3A3A"/>
          <w:sz w:val="23"/>
          <w:szCs w:val="23"/>
        </w:rPr>
      </w:pPr>
      <w:r w:rsidRPr="00455DCE">
        <w:rPr>
          <w:rFonts w:ascii="Source Sans Pro" w:hAnsi="Source Sans Pro"/>
          <w:color w:val="3A3A3A"/>
          <w:sz w:val="23"/>
          <w:szCs w:val="23"/>
        </w:rPr>
        <w:t>Bekaert, G., Harvey, C.R. and Lumsdaine, R.L. (2002) “The dynamics of emerging market equity flows,” </w:t>
      </w:r>
      <w:r w:rsidRPr="00455DCE">
        <w:rPr>
          <w:rFonts w:ascii="Source Sans Pro" w:hAnsi="Source Sans Pro"/>
          <w:i/>
          <w:iCs/>
          <w:color w:val="3A3A3A"/>
          <w:sz w:val="23"/>
          <w:szCs w:val="23"/>
        </w:rPr>
        <w:t>Journal of international money and finance</w:t>
      </w:r>
      <w:r w:rsidRPr="00455DCE">
        <w:rPr>
          <w:rFonts w:ascii="Source Sans Pro" w:hAnsi="Source Sans Pro"/>
          <w:color w:val="3A3A3A"/>
          <w:sz w:val="23"/>
          <w:szCs w:val="23"/>
        </w:rPr>
        <w:t>, 21(3), pp. 295–350. Available at: https://doi.org/10.1016/S0261-5606(02)00001-3.</w:t>
      </w:r>
    </w:p>
    <w:p w14:paraId="49459F6E" w14:textId="4A9D88DE" w:rsidR="00455DCE" w:rsidRPr="00455DCE" w:rsidRDefault="00455DCE" w:rsidP="00455DCE">
      <w:pPr>
        <w:pStyle w:val="ListParagraph"/>
        <w:numPr>
          <w:ilvl w:val="0"/>
          <w:numId w:val="2"/>
        </w:numPr>
      </w:pPr>
      <w:r w:rsidRPr="00455DCE">
        <w:rPr>
          <w:rFonts w:ascii="Source Sans Pro" w:hAnsi="Source Sans Pro"/>
          <w:color w:val="3A3A3A"/>
          <w:sz w:val="23"/>
          <w:szCs w:val="23"/>
          <w:shd w:val="clear" w:color="auto" w:fill="FFFFFF"/>
        </w:rPr>
        <w:t>Bekaert, G., Harvey, C.R. and Lumsdaine, R.L. (2002) “Dating the integration of world equity markets,” </w:t>
      </w:r>
      <w:r w:rsidRPr="00455DCE">
        <w:rPr>
          <w:rFonts w:ascii="Source Sans Pro" w:hAnsi="Source Sans Pro"/>
          <w:i/>
          <w:iCs/>
          <w:color w:val="3A3A3A"/>
          <w:sz w:val="23"/>
          <w:szCs w:val="23"/>
          <w:shd w:val="clear" w:color="auto" w:fill="FFFFFF"/>
        </w:rPr>
        <w:t>Journal of financial economics</w:t>
      </w:r>
      <w:r w:rsidRPr="00455DCE">
        <w:rPr>
          <w:rFonts w:ascii="Source Sans Pro" w:hAnsi="Source Sans Pro"/>
          <w:color w:val="3A3A3A"/>
          <w:sz w:val="23"/>
          <w:szCs w:val="23"/>
          <w:shd w:val="clear" w:color="auto" w:fill="FFFFFF"/>
        </w:rPr>
        <w:t xml:space="preserve">, 65(2), pp. 203–247. Available at: </w:t>
      </w:r>
      <w:hyperlink r:id="rId8" w:history="1">
        <w:r w:rsidRPr="005F50EA">
          <w:rPr>
            <w:rStyle w:val="Hyperlink"/>
            <w:rFonts w:ascii="Source Sans Pro" w:hAnsi="Source Sans Pro"/>
            <w:sz w:val="23"/>
            <w:szCs w:val="23"/>
            <w:shd w:val="clear" w:color="auto" w:fill="FFFFFF"/>
          </w:rPr>
          <w:t>https://doi.org/10.1016/S0304-405X(02)00139-3</w:t>
        </w:r>
      </w:hyperlink>
    </w:p>
    <w:p w14:paraId="3F3FC320" w14:textId="77777777" w:rsidR="00455DCE" w:rsidRDefault="00455DCE" w:rsidP="00455DCE">
      <w:pPr>
        <w:pStyle w:val="ListParagraph"/>
        <w:numPr>
          <w:ilvl w:val="0"/>
          <w:numId w:val="2"/>
        </w:numPr>
      </w:pPr>
      <w:r w:rsidRPr="00455DCE">
        <w:rPr>
          <w:rFonts w:ascii="Source Sans Pro" w:hAnsi="Source Sans Pro"/>
          <w:color w:val="3A3A3A"/>
          <w:sz w:val="23"/>
          <w:szCs w:val="23"/>
          <w:shd w:val="clear" w:color="auto" w:fill="FFFFFF"/>
        </w:rPr>
        <w:t>Dominguez, K.M.E. and Tesar, L.L. (2006) “Exchange rate exposure,” </w:t>
      </w:r>
      <w:r w:rsidRPr="00455DCE">
        <w:rPr>
          <w:rFonts w:ascii="Source Sans Pro" w:hAnsi="Source Sans Pro"/>
          <w:i/>
          <w:iCs/>
          <w:color w:val="3A3A3A"/>
          <w:sz w:val="23"/>
          <w:szCs w:val="23"/>
          <w:shd w:val="clear" w:color="auto" w:fill="FFFFFF"/>
        </w:rPr>
        <w:t>Journal of international economics</w:t>
      </w:r>
      <w:r w:rsidRPr="00455DCE">
        <w:rPr>
          <w:rFonts w:ascii="Source Sans Pro" w:hAnsi="Source Sans Pro"/>
          <w:color w:val="3A3A3A"/>
          <w:sz w:val="23"/>
          <w:szCs w:val="23"/>
          <w:shd w:val="clear" w:color="auto" w:fill="FFFFFF"/>
        </w:rPr>
        <w:t>, 68(1), pp. 188–218. Available at: https://doi.org/10.1016/j.jinteco.2005.01.002.</w:t>
      </w:r>
    </w:p>
    <w:p w14:paraId="31861C45" w14:textId="77777777" w:rsidR="00455DCE" w:rsidRDefault="00455DCE" w:rsidP="00455DCE">
      <w:pPr>
        <w:pStyle w:val="ListParagraph"/>
        <w:numPr>
          <w:ilvl w:val="0"/>
          <w:numId w:val="2"/>
        </w:numPr>
      </w:pPr>
      <w:r w:rsidRPr="00455DCE">
        <w:rPr>
          <w:rFonts w:ascii="Source Sans Pro" w:hAnsi="Source Sans Pro"/>
          <w:color w:val="3A3A3A"/>
          <w:sz w:val="23"/>
          <w:szCs w:val="23"/>
          <w:shd w:val="clear" w:color="auto" w:fill="FFFFFF"/>
        </w:rPr>
        <w:t>DURNEV, A. and KIM, E.H. (2005) “To Steal or Not to Steal: Firm Attributes, Legal Environment, and Valuation,” </w:t>
      </w:r>
      <w:r w:rsidRPr="00455DCE">
        <w:rPr>
          <w:rFonts w:ascii="Source Sans Pro" w:hAnsi="Source Sans Pro"/>
          <w:i/>
          <w:iCs/>
          <w:color w:val="3A3A3A"/>
          <w:sz w:val="23"/>
          <w:szCs w:val="23"/>
          <w:shd w:val="clear" w:color="auto" w:fill="FFFFFF"/>
        </w:rPr>
        <w:t>The Journal of finance (New York)</w:t>
      </w:r>
      <w:r w:rsidRPr="00455DCE">
        <w:rPr>
          <w:rFonts w:ascii="Source Sans Pro" w:hAnsi="Source Sans Pro"/>
          <w:color w:val="3A3A3A"/>
          <w:sz w:val="23"/>
          <w:szCs w:val="23"/>
          <w:shd w:val="clear" w:color="auto" w:fill="FFFFFF"/>
        </w:rPr>
        <w:t>, 60(3), pp. 1461–1493. Available at: https://doi.org/10.1111/j.1540-6261.2005.00767.x.</w:t>
      </w:r>
    </w:p>
    <w:p w14:paraId="188E9558" w14:textId="77777777" w:rsidR="00455DCE" w:rsidRDefault="00455DCE" w:rsidP="00455DCE">
      <w:pPr>
        <w:pStyle w:val="ListParagraph"/>
        <w:numPr>
          <w:ilvl w:val="0"/>
          <w:numId w:val="2"/>
        </w:numPr>
      </w:pPr>
      <w:r w:rsidRPr="00455DCE">
        <w:rPr>
          <w:rFonts w:ascii="Source Sans Pro" w:hAnsi="Source Sans Pro"/>
          <w:color w:val="3A3A3A"/>
          <w:sz w:val="23"/>
          <w:szCs w:val="23"/>
          <w:shd w:val="clear" w:color="auto" w:fill="FFFFFF"/>
        </w:rPr>
        <w:t>Bodnar, G.M. and M. H. Franco Wong (2003) “Estimating Exchange Rate Exposures: Issues in Model Structure,” </w:t>
      </w:r>
      <w:r w:rsidRPr="00455DCE">
        <w:rPr>
          <w:rFonts w:ascii="Source Sans Pro" w:hAnsi="Source Sans Pro"/>
          <w:i/>
          <w:iCs/>
          <w:color w:val="3A3A3A"/>
          <w:sz w:val="23"/>
          <w:szCs w:val="23"/>
          <w:shd w:val="clear" w:color="auto" w:fill="FFFFFF"/>
        </w:rPr>
        <w:t>Financial management</w:t>
      </w:r>
      <w:r w:rsidRPr="00455DCE">
        <w:rPr>
          <w:rFonts w:ascii="Source Sans Pro" w:hAnsi="Source Sans Pro"/>
          <w:color w:val="3A3A3A"/>
          <w:sz w:val="23"/>
          <w:szCs w:val="23"/>
          <w:shd w:val="clear" w:color="auto" w:fill="FFFFFF"/>
        </w:rPr>
        <w:t>, 32(1), pp. 35–67. Available at: https://doi.org/10.2307/3666203.</w:t>
      </w:r>
    </w:p>
    <w:p w14:paraId="5D117E1A" w14:textId="77777777" w:rsidR="00455DCE" w:rsidRDefault="00455DCE" w:rsidP="00455DCE">
      <w:pPr>
        <w:pStyle w:val="ListParagraph"/>
        <w:numPr>
          <w:ilvl w:val="0"/>
          <w:numId w:val="2"/>
        </w:numPr>
      </w:pPr>
      <w:r w:rsidRPr="00455DCE">
        <w:rPr>
          <w:rFonts w:ascii="Source Sans Pro" w:hAnsi="Source Sans Pro"/>
          <w:color w:val="3A3A3A"/>
          <w:sz w:val="23"/>
          <w:szCs w:val="23"/>
          <w:shd w:val="clear" w:color="auto" w:fill="FFFFFF"/>
        </w:rPr>
        <w:t>Kostoglodov, V. </w:t>
      </w:r>
      <w:r w:rsidRPr="00455DCE">
        <w:rPr>
          <w:rFonts w:ascii="Source Sans Pro" w:hAnsi="Source Sans Pro"/>
          <w:i/>
          <w:iCs/>
          <w:color w:val="3A3A3A"/>
          <w:sz w:val="23"/>
          <w:szCs w:val="23"/>
          <w:shd w:val="clear" w:color="auto" w:fill="FFFFFF"/>
        </w:rPr>
        <w:t>et al.</w:t>
      </w:r>
      <w:r w:rsidRPr="00455DCE">
        <w:rPr>
          <w:rFonts w:ascii="Source Sans Pro" w:hAnsi="Source Sans Pro"/>
          <w:color w:val="3A3A3A"/>
          <w:sz w:val="23"/>
          <w:szCs w:val="23"/>
          <w:shd w:val="clear" w:color="auto" w:fill="FFFFFF"/>
        </w:rPr>
        <w:t> (2010) “The 2006 slow slip event and nonvolcanic tremor in the Mexican subduction zone,” </w:t>
      </w:r>
      <w:r w:rsidRPr="00455DCE">
        <w:rPr>
          <w:rFonts w:ascii="Source Sans Pro" w:hAnsi="Source Sans Pro"/>
          <w:i/>
          <w:iCs/>
          <w:color w:val="3A3A3A"/>
          <w:sz w:val="23"/>
          <w:szCs w:val="23"/>
          <w:shd w:val="clear" w:color="auto" w:fill="FFFFFF"/>
        </w:rPr>
        <w:t>Geophysical research letters</w:t>
      </w:r>
      <w:r w:rsidRPr="00455DCE">
        <w:rPr>
          <w:rFonts w:ascii="Source Sans Pro" w:hAnsi="Source Sans Pro"/>
          <w:color w:val="3A3A3A"/>
          <w:sz w:val="23"/>
          <w:szCs w:val="23"/>
          <w:shd w:val="clear" w:color="auto" w:fill="FFFFFF"/>
        </w:rPr>
        <w:t>, 37(24), p. np-n/a. Available at: https://doi.org/10.1029/2010GL04542</w:t>
      </w:r>
    </w:p>
    <w:p w14:paraId="325A0EF5" w14:textId="77777777" w:rsidR="00455DCE" w:rsidRPr="00455DCE" w:rsidRDefault="00455DCE" w:rsidP="00455DCE">
      <w:pPr>
        <w:jc w:val="center"/>
        <w:rPr>
          <w:rFonts w:ascii="Arial" w:hAnsi="Arial" w:cs="Arial"/>
          <w:vanish/>
          <w:sz w:val="16"/>
          <w:szCs w:val="16"/>
        </w:rPr>
      </w:pPr>
      <w:r w:rsidRPr="00455DCE">
        <w:rPr>
          <w:rFonts w:ascii="Arial" w:hAnsi="Arial" w:cs="Arial"/>
          <w:vanish/>
          <w:sz w:val="16"/>
          <w:szCs w:val="16"/>
        </w:rPr>
        <w:t>Top of Form</w:t>
      </w:r>
    </w:p>
    <w:p w14:paraId="43FCAC8A" w14:textId="77777777" w:rsidR="00455DCE" w:rsidRPr="00455DCE" w:rsidRDefault="00455DCE" w:rsidP="00455DCE">
      <w:pPr>
        <w:jc w:val="center"/>
        <w:rPr>
          <w:rFonts w:ascii="Arial" w:hAnsi="Arial" w:cs="Arial"/>
          <w:vanish/>
          <w:sz w:val="16"/>
          <w:szCs w:val="16"/>
        </w:rPr>
      </w:pPr>
      <w:r w:rsidRPr="00455DCE">
        <w:rPr>
          <w:rFonts w:ascii="Arial" w:hAnsi="Arial" w:cs="Arial"/>
          <w:vanish/>
          <w:sz w:val="16"/>
          <w:szCs w:val="16"/>
        </w:rPr>
        <w:t>Bottom of Form</w:t>
      </w:r>
    </w:p>
    <w:p w14:paraId="4F73F450" w14:textId="77777777" w:rsidR="00455DCE" w:rsidRPr="00455DCE" w:rsidRDefault="00455DCE" w:rsidP="00455DCE"/>
    <w:p w14:paraId="4FAC1935" w14:textId="77777777" w:rsidR="00CE77F3" w:rsidRDefault="00CE77F3" w:rsidP="00455DCE"/>
    <w:sectPr w:rsidR="00CE77F3" w:rsidSect="00455DC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02E5756"/>
    <w:multiLevelType w:val="hybridMultilevel"/>
    <w:tmpl w:val="88A6B5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7D500E"/>
    <w:multiLevelType w:val="multilevel"/>
    <w:tmpl w:val="C33C8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C92344"/>
    <w:multiLevelType w:val="multilevel"/>
    <w:tmpl w:val="3B00C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DCE"/>
    <w:rsid w:val="00455DCE"/>
    <w:rsid w:val="005E607F"/>
    <w:rsid w:val="00CE7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E374D"/>
  <w15:chartTrackingRefBased/>
  <w15:docId w15:val="{BB6CBBC3-C77D-CB49-8A52-AB7671CA9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DC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55DCE"/>
    <w:pPr>
      <w:keepNext/>
      <w:keepLines/>
      <w:spacing w:before="240"/>
      <w:outlineLvl w:val="0"/>
    </w:pPr>
    <w:rPr>
      <w:rFonts w:asciiTheme="majorHAnsi" w:eastAsiaTheme="majorEastAsia" w:hAnsiTheme="majorHAnsi" w:cstheme="majorBidi"/>
      <w:noProof/>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455DCE"/>
    <w:pPr>
      <w:keepNext/>
      <w:keepLines/>
      <w:spacing w:before="40"/>
      <w:outlineLvl w:val="1"/>
    </w:pPr>
    <w:rPr>
      <w:rFonts w:asciiTheme="majorHAnsi" w:eastAsiaTheme="majorEastAsia" w:hAnsiTheme="majorHAnsi" w:cstheme="majorBidi"/>
      <w:noProof/>
      <w:color w:val="2F5496" w:themeColor="accent1" w:themeShade="BF"/>
      <w:kern w:val="2"/>
      <w:sz w:val="26"/>
      <w:szCs w:val="26"/>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5DCE"/>
    <w:pPr>
      <w:spacing w:before="100" w:beforeAutospacing="1" w:after="100" w:afterAutospacing="1"/>
    </w:pPr>
  </w:style>
  <w:style w:type="character" w:styleId="Strong">
    <w:name w:val="Strong"/>
    <w:basedOn w:val="DefaultParagraphFont"/>
    <w:uiPriority w:val="22"/>
    <w:qFormat/>
    <w:rsid w:val="00455DCE"/>
    <w:rPr>
      <w:b/>
      <w:bCs/>
    </w:rPr>
  </w:style>
  <w:style w:type="paragraph" w:styleId="z-TopofForm">
    <w:name w:val="HTML Top of Form"/>
    <w:basedOn w:val="Normal"/>
    <w:next w:val="Normal"/>
    <w:link w:val="z-TopofFormChar"/>
    <w:hidden/>
    <w:uiPriority w:val="99"/>
    <w:semiHidden/>
    <w:unhideWhenUsed/>
    <w:rsid w:val="00455DCE"/>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55DC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455DCE"/>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55DCE"/>
    <w:rPr>
      <w:rFonts w:ascii="Arial" w:eastAsia="Times New Roman" w:hAnsi="Arial" w:cs="Arial"/>
      <w:vanish/>
      <w:kern w:val="0"/>
      <w:sz w:val="16"/>
      <w:szCs w:val="16"/>
      <w:lang w:eastAsia="en-GB"/>
      <w14:ligatures w14:val="none"/>
    </w:rPr>
  </w:style>
  <w:style w:type="character" w:customStyle="1" w:styleId="oword">
    <w:name w:val="oword"/>
    <w:basedOn w:val="DefaultParagraphFont"/>
    <w:rsid w:val="00455DCE"/>
  </w:style>
  <w:style w:type="paragraph" w:styleId="NoSpacing">
    <w:name w:val="No Spacing"/>
    <w:uiPriority w:val="1"/>
    <w:qFormat/>
    <w:rsid w:val="00455DCE"/>
    <w:rPr>
      <w:noProof/>
    </w:rPr>
  </w:style>
  <w:style w:type="character" w:customStyle="1" w:styleId="Heading1Char">
    <w:name w:val="Heading 1 Char"/>
    <w:basedOn w:val="DefaultParagraphFont"/>
    <w:link w:val="Heading1"/>
    <w:uiPriority w:val="9"/>
    <w:rsid w:val="00455DCE"/>
    <w:rPr>
      <w:rFonts w:asciiTheme="majorHAnsi" w:eastAsiaTheme="majorEastAsia" w:hAnsiTheme="majorHAnsi" w:cstheme="majorBidi"/>
      <w:noProof/>
      <w:color w:val="2F5496" w:themeColor="accent1" w:themeShade="BF"/>
      <w:sz w:val="32"/>
      <w:szCs w:val="32"/>
    </w:rPr>
  </w:style>
  <w:style w:type="paragraph" w:styleId="TOCHeading">
    <w:name w:val="TOC Heading"/>
    <w:basedOn w:val="Heading1"/>
    <w:next w:val="Normal"/>
    <w:uiPriority w:val="39"/>
    <w:unhideWhenUsed/>
    <w:qFormat/>
    <w:rsid w:val="00455DCE"/>
    <w:pPr>
      <w:spacing w:before="480" w:line="276" w:lineRule="auto"/>
      <w:outlineLvl w:val="9"/>
    </w:pPr>
    <w:rPr>
      <w:b/>
      <w:bCs/>
      <w:noProof w:val="0"/>
      <w:kern w:val="0"/>
      <w:sz w:val="28"/>
      <w:szCs w:val="28"/>
      <w:lang w:val="en-US"/>
      <w14:ligatures w14:val="none"/>
    </w:rPr>
  </w:style>
  <w:style w:type="paragraph" w:styleId="TOC1">
    <w:name w:val="toc 1"/>
    <w:basedOn w:val="Normal"/>
    <w:next w:val="Normal"/>
    <w:autoRedefine/>
    <w:uiPriority w:val="39"/>
    <w:unhideWhenUsed/>
    <w:rsid w:val="00455DCE"/>
    <w:pPr>
      <w:spacing w:before="120"/>
    </w:pPr>
    <w:rPr>
      <w:rFonts w:asciiTheme="minorHAnsi" w:eastAsiaTheme="minorHAnsi" w:hAnsiTheme="minorHAnsi" w:cstheme="minorHAnsi"/>
      <w:b/>
      <w:bCs/>
      <w:i/>
      <w:iCs/>
      <w:noProof/>
      <w:kern w:val="2"/>
      <w:lang w:eastAsia="en-US"/>
      <w14:ligatures w14:val="standardContextual"/>
    </w:rPr>
  </w:style>
  <w:style w:type="character" w:styleId="Hyperlink">
    <w:name w:val="Hyperlink"/>
    <w:basedOn w:val="DefaultParagraphFont"/>
    <w:uiPriority w:val="99"/>
    <w:unhideWhenUsed/>
    <w:rsid w:val="00455DCE"/>
    <w:rPr>
      <w:color w:val="0563C1" w:themeColor="hyperlink"/>
      <w:u w:val="single"/>
    </w:rPr>
  </w:style>
  <w:style w:type="paragraph" w:styleId="TOC2">
    <w:name w:val="toc 2"/>
    <w:basedOn w:val="Normal"/>
    <w:next w:val="Normal"/>
    <w:autoRedefine/>
    <w:uiPriority w:val="39"/>
    <w:unhideWhenUsed/>
    <w:rsid w:val="00455DCE"/>
    <w:pPr>
      <w:spacing w:before="120"/>
      <w:ind w:left="240"/>
    </w:pPr>
    <w:rPr>
      <w:rFonts w:asciiTheme="minorHAnsi" w:eastAsiaTheme="minorHAnsi" w:hAnsiTheme="minorHAnsi" w:cstheme="minorHAnsi"/>
      <w:b/>
      <w:bCs/>
      <w:noProof/>
      <w:kern w:val="2"/>
      <w:sz w:val="22"/>
      <w:szCs w:val="22"/>
      <w:lang w:eastAsia="en-US"/>
      <w14:ligatures w14:val="standardContextual"/>
    </w:rPr>
  </w:style>
  <w:style w:type="paragraph" w:styleId="TOC3">
    <w:name w:val="toc 3"/>
    <w:basedOn w:val="Normal"/>
    <w:next w:val="Normal"/>
    <w:autoRedefine/>
    <w:uiPriority w:val="39"/>
    <w:semiHidden/>
    <w:unhideWhenUsed/>
    <w:rsid w:val="00455DCE"/>
    <w:pPr>
      <w:ind w:left="480"/>
    </w:pPr>
    <w:rPr>
      <w:rFonts w:asciiTheme="minorHAnsi" w:eastAsiaTheme="minorHAnsi" w:hAnsiTheme="minorHAnsi" w:cstheme="minorHAnsi"/>
      <w:noProof/>
      <w:kern w:val="2"/>
      <w:sz w:val="20"/>
      <w:szCs w:val="20"/>
      <w:lang w:eastAsia="en-US"/>
      <w14:ligatures w14:val="standardContextual"/>
    </w:rPr>
  </w:style>
  <w:style w:type="paragraph" w:styleId="TOC4">
    <w:name w:val="toc 4"/>
    <w:basedOn w:val="Normal"/>
    <w:next w:val="Normal"/>
    <w:autoRedefine/>
    <w:uiPriority w:val="39"/>
    <w:semiHidden/>
    <w:unhideWhenUsed/>
    <w:rsid w:val="00455DCE"/>
    <w:pPr>
      <w:ind w:left="720"/>
    </w:pPr>
    <w:rPr>
      <w:rFonts w:asciiTheme="minorHAnsi" w:eastAsiaTheme="minorHAnsi" w:hAnsiTheme="minorHAnsi" w:cstheme="minorHAnsi"/>
      <w:noProof/>
      <w:kern w:val="2"/>
      <w:sz w:val="20"/>
      <w:szCs w:val="20"/>
      <w:lang w:eastAsia="en-US"/>
      <w14:ligatures w14:val="standardContextual"/>
    </w:rPr>
  </w:style>
  <w:style w:type="paragraph" w:styleId="TOC5">
    <w:name w:val="toc 5"/>
    <w:basedOn w:val="Normal"/>
    <w:next w:val="Normal"/>
    <w:autoRedefine/>
    <w:uiPriority w:val="39"/>
    <w:semiHidden/>
    <w:unhideWhenUsed/>
    <w:rsid w:val="00455DCE"/>
    <w:pPr>
      <w:ind w:left="960"/>
    </w:pPr>
    <w:rPr>
      <w:rFonts w:asciiTheme="minorHAnsi" w:eastAsiaTheme="minorHAnsi" w:hAnsiTheme="minorHAnsi" w:cstheme="minorHAnsi"/>
      <w:noProof/>
      <w:kern w:val="2"/>
      <w:sz w:val="20"/>
      <w:szCs w:val="20"/>
      <w:lang w:eastAsia="en-US"/>
      <w14:ligatures w14:val="standardContextual"/>
    </w:rPr>
  </w:style>
  <w:style w:type="paragraph" w:styleId="TOC6">
    <w:name w:val="toc 6"/>
    <w:basedOn w:val="Normal"/>
    <w:next w:val="Normal"/>
    <w:autoRedefine/>
    <w:uiPriority w:val="39"/>
    <w:semiHidden/>
    <w:unhideWhenUsed/>
    <w:rsid w:val="00455DCE"/>
    <w:pPr>
      <w:ind w:left="1200"/>
    </w:pPr>
    <w:rPr>
      <w:rFonts w:asciiTheme="minorHAnsi" w:eastAsiaTheme="minorHAnsi" w:hAnsiTheme="minorHAnsi" w:cstheme="minorHAnsi"/>
      <w:noProof/>
      <w:kern w:val="2"/>
      <w:sz w:val="20"/>
      <w:szCs w:val="20"/>
      <w:lang w:eastAsia="en-US"/>
      <w14:ligatures w14:val="standardContextual"/>
    </w:rPr>
  </w:style>
  <w:style w:type="paragraph" w:styleId="TOC7">
    <w:name w:val="toc 7"/>
    <w:basedOn w:val="Normal"/>
    <w:next w:val="Normal"/>
    <w:autoRedefine/>
    <w:uiPriority w:val="39"/>
    <w:semiHidden/>
    <w:unhideWhenUsed/>
    <w:rsid w:val="00455DCE"/>
    <w:pPr>
      <w:ind w:left="1440"/>
    </w:pPr>
    <w:rPr>
      <w:rFonts w:asciiTheme="minorHAnsi" w:eastAsiaTheme="minorHAnsi" w:hAnsiTheme="minorHAnsi" w:cstheme="minorHAnsi"/>
      <w:noProof/>
      <w:kern w:val="2"/>
      <w:sz w:val="20"/>
      <w:szCs w:val="20"/>
      <w:lang w:eastAsia="en-US"/>
      <w14:ligatures w14:val="standardContextual"/>
    </w:rPr>
  </w:style>
  <w:style w:type="paragraph" w:styleId="TOC8">
    <w:name w:val="toc 8"/>
    <w:basedOn w:val="Normal"/>
    <w:next w:val="Normal"/>
    <w:autoRedefine/>
    <w:uiPriority w:val="39"/>
    <w:semiHidden/>
    <w:unhideWhenUsed/>
    <w:rsid w:val="00455DCE"/>
    <w:pPr>
      <w:ind w:left="1680"/>
    </w:pPr>
    <w:rPr>
      <w:rFonts w:asciiTheme="minorHAnsi" w:eastAsiaTheme="minorHAnsi" w:hAnsiTheme="minorHAnsi" w:cstheme="minorHAnsi"/>
      <w:noProof/>
      <w:kern w:val="2"/>
      <w:sz w:val="20"/>
      <w:szCs w:val="20"/>
      <w:lang w:eastAsia="en-US"/>
      <w14:ligatures w14:val="standardContextual"/>
    </w:rPr>
  </w:style>
  <w:style w:type="paragraph" w:styleId="TOC9">
    <w:name w:val="toc 9"/>
    <w:basedOn w:val="Normal"/>
    <w:next w:val="Normal"/>
    <w:autoRedefine/>
    <w:uiPriority w:val="39"/>
    <w:semiHidden/>
    <w:unhideWhenUsed/>
    <w:rsid w:val="00455DCE"/>
    <w:pPr>
      <w:ind w:left="1920"/>
    </w:pPr>
    <w:rPr>
      <w:rFonts w:asciiTheme="minorHAnsi" w:eastAsiaTheme="minorHAnsi" w:hAnsiTheme="minorHAnsi" w:cstheme="minorHAnsi"/>
      <w:noProof/>
      <w:kern w:val="2"/>
      <w:sz w:val="20"/>
      <w:szCs w:val="20"/>
      <w:lang w:eastAsia="en-US"/>
      <w14:ligatures w14:val="standardContextual"/>
    </w:rPr>
  </w:style>
  <w:style w:type="character" w:customStyle="1" w:styleId="Heading2Char">
    <w:name w:val="Heading 2 Char"/>
    <w:basedOn w:val="DefaultParagraphFont"/>
    <w:link w:val="Heading2"/>
    <w:uiPriority w:val="9"/>
    <w:rsid w:val="00455DCE"/>
    <w:rPr>
      <w:rFonts w:asciiTheme="majorHAnsi" w:eastAsiaTheme="majorEastAsia" w:hAnsiTheme="majorHAnsi" w:cstheme="majorBidi"/>
      <w:noProof/>
      <w:color w:val="2F5496" w:themeColor="accent1" w:themeShade="BF"/>
      <w:sz w:val="26"/>
      <w:szCs w:val="26"/>
    </w:rPr>
  </w:style>
  <w:style w:type="paragraph" w:styleId="ListParagraph">
    <w:name w:val="List Paragraph"/>
    <w:basedOn w:val="Normal"/>
    <w:uiPriority w:val="34"/>
    <w:qFormat/>
    <w:rsid w:val="00455DCE"/>
    <w:pPr>
      <w:ind w:left="720"/>
      <w:contextualSpacing/>
    </w:pPr>
    <w:rPr>
      <w:rFonts w:asciiTheme="minorHAnsi" w:eastAsiaTheme="minorHAnsi" w:hAnsiTheme="minorHAnsi" w:cstheme="minorBidi"/>
      <w:noProof/>
      <w:kern w:val="2"/>
      <w:lang w:eastAsia="en-US"/>
      <w14:ligatures w14:val="standardContextual"/>
    </w:rPr>
  </w:style>
  <w:style w:type="character" w:styleId="UnresolvedMention">
    <w:name w:val="Unresolved Mention"/>
    <w:basedOn w:val="DefaultParagraphFont"/>
    <w:uiPriority w:val="99"/>
    <w:semiHidden/>
    <w:unhideWhenUsed/>
    <w:rsid w:val="00455D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542439">
      <w:bodyDiv w:val="1"/>
      <w:marLeft w:val="0"/>
      <w:marRight w:val="0"/>
      <w:marTop w:val="0"/>
      <w:marBottom w:val="0"/>
      <w:divBdr>
        <w:top w:val="none" w:sz="0" w:space="0" w:color="auto"/>
        <w:left w:val="none" w:sz="0" w:space="0" w:color="auto"/>
        <w:bottom w:val="none" w:sz="0" w:space="0" w:color="auto"/>
        <w:right w:val="none" w:sz="0" w:space="0" w:color="auto"/>
      </w:divBdr>
      <w:divsChild>
        <w:div w:id="250428839">
          <w:marLeft w:val="0"/>
          <w:marRight w:val="0"/>
          <w:marTop w:val="0"/>
          <w:marBottom w:val="0"/>
          <w:divBdr>
            <w:top w:val="single" w:sz="2" w:space="0" w:color="E3E3E3"/>
            <w:left w:val="single" w:sz="2" w:space="0" w:color="E3E3E3"/>
            <w:bottom w:val="single" w:sz="2" w:space="0" w:color="E3E3E3"/>
            <w:right w:val="single" w:sz="2" w:space="0" w:color="E3E3E3"/>
          </w:divBdr>
          <w:divsChild>
            <w:div w:id="76563581">
              <w:marLeft w:val="0"/>
              <w:marRight w:val="0"/>
              <w:marTop w:val="0"/>
              <w:marBottom w:val="0"/>
              <w:divBdr>
                <w:top w:val="single" w:sz="2" w:space="0" w:color="E3E3E3"/>
                <w:left w:val="single" w:sz="2" w:space="0" w:color="E3E3E3"/>
                <w:bottom w:val="single" w:sz="2" w:space="0" w:color="E3E3E3"/>
                <w:right w:val="single" w:sz="2" w:space="0" w:color="E3E3E3"/>
              </w:divBdr>
              <w:divsChild>
                <w:div w:id="260725620">
                  <w:marLeft w:val="0"/>
                  <w:marRight w:val="0"/>
                  <w:marTop w:val="0"/>
                  <w:marBottom w:val="0"/>
                  <w:divBdr>
                    <w:top w:val="single" w:sz="2" w:space="0" w:color="E3E3E3"/>
                    <w:left w:val="single" w:sz="2" w:space="0" w:color="E3E3E3"/>
                    <w:bottom w:val="single" w:sz="2" w:space="0" w:color="E3E3E3"/>
                    <w:right w:val="single" w:sz="2" w:space="0" w:color="E3E3E3"/>
                  </w:divBdr>
                  <w:divsChild>
                    <w:div w:id="1707366089">
                      <w:marLeft w:val="0"/>
                      <w:marRight w:val="0"/>
                      <w:marTop w:val="0"/>
                      <w:marBottom w:val="0"/>
                      <w:divBdr>
                        <w:top w:val="single" w:sz="2" w:space="0" w:color="E3E3E3"/>
                        <w:left w:val="single" w:sz="2" w:space="0" w:color="E3E3E3"/>
                        <w:bottom w:val="single" w:sz="2" w:space="0" w:color="E3E3E3"/>
                        <w:right w:val="single" w:sz="2" w:space="0" w:color="E3E3E3"/>
                      </w:divBdr>
                      <w:divsChild>
                        <w:div w:id="1203246835">
                          <w:marLeft w:val="0"/>
                          <w:marRight w:val="0"/>
                          <w:marTop w:val="0"/>
                          <w:marBottom w:val="0"/>
                          <w:divBdr>
                            <w:top w:val="single" w:sz="2" w:space="0" w:color="E3E3E3"/>
                            <w:left w:val="single" w:sz="2" w:space="0" w:color="E3E3E3"/>
                            <w:bottom w:val="single" w:sz="2" w:space="0" w:color="E3E3E3"/>
                            <w:right w:val="single" w:sz="2" w:space="0" w:color="E3E3E3"/>
                          </w:divBdr>
                          <w:divsChild>
                            <w:div w:id="1017347086">
                              <w:marLeft w:val="0"/>
                              <w:marRight w:val="0"/>
                              <w:marTop w:val="100"/>
                              <w:marBottom w:val="100"/>
                              <w:divBdr>
                                <w:top w:val="single" w:sz="2" w:space="0" w:color="E3E3E3"/>
                                <w:left w:val="single" w:sz="2" w:space="0" w:color="E3E3E3"/>
                                <w:bottom w:val="single" w:sz="2" w:space="0" w:color="E3E3E3"/>
                                <w:right w:val="single" w:sz="2" w:space="0" w:color="E3E3E3"/>
                              </w:divBdr>
                              <w:divsChild>
                                <w:div w:id="1977909092">
                                  <w:marLeft w:val="0"/>
                                  <w:marRight w:val="0"/>
                                  <w:marTop w:val="0"/>
                                  <w:marBottom w:val="0"/>
                                  <w:divBdr>
                                    <w:top w:val="single" w:sz="2" w:space="0" w:color="E3E3E3"/>
                                    <w:left w:val="single" w:sz="2" w:space="0" w:color="E3E3E3"/>
                                    <w:bottom w:val="single" w:sz="2" w:space="0" w:color="E3E3E3"/>
                                    <w:right w:val="single" w:sz="2" w:space="0" w:color="E3E3E3"/>
                                  </w:divBdr>
                                  <w:divsChild>
                                    <w:div w:id="289478941">
                                      <w:marLeft w:val="0"/>
                                      <w:marRight w:val="0"/>
                                      <w:marTop w:val="0"/>
                                      <w:marBottom w:val="0"/>
                                      <w:divBdr>
                                        <w:top w:val="single" w:sz="2" w:space="0" w:color="E3E3E3"/>
                                        <w:left w:val="single" w:sz="2" w:space="0" w:color="E3E3E3"/>
                                        <w:bottom w:val="single" w:sz="2" w:space="0" w:color="E3E3E3"/>
                                        <w:right w:val="single" w:sz="2" w:space="0" w:color="E3E3E3"/>
                                      </w:divBdr>
                                      <w:divsChild>
                                        <w:div w:id="1319846243">
                                          <w:marLeft w:val="0"/>
                                          <w:marRight w:val="0"/>
                                          <w:marTop w:val="0"/>
                                          <w:marBottom w:val="0"/>
                                          <w:divBdr>
                                            <w:top w:val="single" w:sz="2" w:space="0" w:color="E3E3E3"/>
                                            <w:left w:val="single" w:sz="2" w:space="0" w:color="E3E3E3"/>
                                            <w:bottom w:val="single" w:sz="2" w:space="0" w:color="E3E3E3"/>
                                            <w:right w:val="single" w:sz="2" w:space="0" w:color="E3E3E3"/>
                                          </w:divBdr>
                                          <w:divsChild>
                                            <w:div w:id="830566069">
                                              <w:marLeft w:val="0"/>
                                              <w:marRight w:val="0"/>
                                              <w:marTop w:val="0"/>
                                              <w:marBottom w:val="0"/>
                                              <w:divBdr>
                                                <w:top w:val="single" w:sz="2" w:space="0" w:color="E3E3E3"/>
                                                <w:left w:val="single" w:sz="2" w:space="0" w:color="E3E3E3"/>
                                                <w:bottom w:val="single" w:sz="2" w:space="0" w:color="E3E3E3"/>
                                                <w:right w:val="single" w:sz="2" w:space="0" w:color="E3E3E3"/>
                                              </w:divBdr>
                                              <w:divsChild>
                                                <w:div w:id="481895745">
                                                  <w:marLeft w:val="0"/>
                                                  <w:marRight w:val="0"/>
                                                  <w:marTop w:val="0"/>
                                                  <w:marBottom w:val="0"/>
                                                  <w:divBdr>
                                                    <w:top w:val="single" w:sz="2" w:space="0" w:color="E3E3E3"/>
                                                    <w:left w:val="single" w:sz="2" w:space="0" w:color="E3E3E3"/>
                                                    <w:bottom w:val="single" w:sz="2" w:space="0" w:color="E3E3E3"/>
                                                    <w:right w:val="single" w:sz="2" w:space="0" w:color="E3E3E3"/>
                                                  </w:divBdr>
                                                  <w:divsChild>
                                                    <w:div w:id="10774386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06120619">
          <w:marLeft w:val="0"/>
          <w:marRight w:val="0"/>
          <w:marTop w:val="0"/>
          <w:marBottom w:val="0"/>
          <w:divBdr>
            <w:top w:val="none" w:sz="0" w:space="0" w:color="auto"/>
            <w:left w:val="none" w:sz="0" w:space="0" w:color="auto"/>
            <w:bottom w:val="none" w:sz="0" w:space="0" w:color="auto"/>
            <w:right w:val="none" w:sz="0" w:space="0" w:color="auto"/>
          </w:divBdr>
          <w:divsChild>
            <w:div w:id="1410228806">
              <w:marLeft w:val="0"/>
              <w:marRight w:val="0"/>
              <w:marTop w:val="0"/>
              <w:marBottom w:val="0"/>
              <w:divBdr>
                <w:top w:val="single" w:sz="2" w:space="0" w:color="E3E3E3"/>
                <w:left w:val="single" w:sz="2" w:space="0" w:color="E3E3E3"/>
                <w:bottom w:val="single" w:sz="2" w:space="0" w:color="E3E3E3"/>
                <w:right w:val="single" w:sz="2" w:space="0" w:color="E3E3E3"/>
              </w:divBdr>
              <w:divsChild>
                <w:div w:id="748884595">
                  <w:marLeft w:val="0"/>
                  <w:marRight w:val="0"/>
                  <w:marTop w:val="0"/>
                  <w:marBottom w:val="0"/>
                  <w:divBdr>
                    <w:top w:val="single" w:sz="2" w:space="0" w:color="E3E3E3"/>
                    <w:left w:val="single" w:sz="2" w:space="0" w:color="E3E3E3"/>
                    <w:bottom w:val="single" w:sz="2" w:space="0" w:color="E3E3E3"/>
                    <w:right w:val="single" w:sz="2" w:space="0" w:color="E3E3E3"/>
                  </w:divBdr>
                  <w:divsChild>
                    <w:div w:id="1487161560">
                      <w:marLeft w:val="0"/>
                      <w:marRight w:val="0"/>
                      <w:marTop w:val="0"/>
                      <w:marBottom w:val="0"/>
                      <w:divBdr>
                        <w:top w:val="single" w:sz="6" w:space="0" w:color="auto"/>
                        <w:left w:val="single" w:sz="6" w:space="0" w:color="auto"/>
                        <w:bottom w:val="single" w:sz="6" w:space="0" w:color="auto"/>
                        <w:right w:val="single" w:sz="6" w:space="0" w:color="auto"/>
                      </w:divBdr>
                      <w:divsChild>
                        <w:div w:id="628826640">
                          <w:marLeft w:val="0"/>
                          <w:marRight w:val="0"/>
                          <w:marTop w:val="0"/>
                          <w:marBottom w:val="0"/>
                          <w:divBdr>
                            <w:top w:val="none" w:sz="0" w:space="0" w:color="auto"/>
                            <w:left w:val="none" w:sz="0" w:space="0" w:color="auto"/>
                            <w:bottom w:val="none" w:sz="0" w:space="0" w:color="auto"/>
                            <w:right w:val="none" w:sz="0" w:space="0" w:color="auto"/>
                          </w:divBdr>
                          <w:divsChild>
                            <w:div w:id="139033726">
                              <w:marLeft w:val="0"/>
                              <w:marRight w:val="0"/>
                              <w:marTop w:val="0"/>
                              <w:marBottom w:val="0"/>
                              <w:divBdr>
                                <w:top w:val="none" w:sz="0" w:space="0" w:color="auto"/>
                                <w:left w:val="none" w:sz="0" w:space="0" w:color="auto"/>
                                <w:bottom w:val="none" w:sz="0" w:space="0" w:color="auto"/>
                                <w:right w:val="none" w:sz="0" w:space="0" w:color="auto"/>
                              </w:divBdr>
                              <w:divsChild>
                                <w:div w:id="959263804">
                                  <w:marLeft w:val="0"/>
                                  <w:marRight w:val="0"/>
                                  <w:marTop w:val="0"/>
                                  <w:marBottom w:val="0"/>
                                  <w:divBdr>
                                    <w:top w:val="none" w:sz="0" w:space="0" w:color="auto"/>
                                    <w:left w:val="none" w:sz="0" w:space="0" w:color="auto"/>
                                    <w:bottom w:val="none" w:sz="0" w:space="0" w:color="auto"/>
                                    <w:right w:val="none" w:sz="0" w:space="0" w:color="auto"/>
                                  </w:divBdr>
                                  <w:divsChild>
                                    <w:div w:id="1425877653">
                                      <w:marLeft w:val="0"/>
                                      <w:marRight w:val="0"/>
                                      <w:marTop w:val="0"/>
                                      <w:marBottom w:val="0"/>
                                      <w:divBdr>
                                        <w:top w:val="none" w:sz="0" w:space="0" w:color="auto"/>
                                        <w:left w:val="none" w:sz="0" w:space="0" w:color="auto"/>
                                        <w:bottom w:val="none" w:sz="0" w:space="0" w:color="auto"/>
                                        <w:right w:val="none" w:sz="0" w:space="0" w:color="auto"/>
                                      </w:divBdr>
                                      <w:divsChild>
                                        <w:div w:id="310721959">
                                          <w:marLeft w:val="0"/>
                                          <w:marRight w:val="0"/>
                                          <w:marTop w:val="0"/>
                                          <w:marBottom w:val="0"/>
                                          <w:divBdr>
                                            <w:top w:val="none" w:sz="0" w:space="0" w:color="auto"/>
                                            <w:left w:val="none" w:sz="0" w:space="0" w:color="auto"/>
                                            <w:bottom w:val="none" w:sz="0" w:space="0" w:color="auto"/>
                                            <w:right w:val="none" w:sz="0" w:space="0" w:color="auto"/>
                                          </w:divBdr>
                                          <w:divsChild>
                                            <w:div w:id="1795975846">
                                              <w:marLeft w:val="0"/>
                                              <w:marRight w:val="0"/>
                                              <w:marTop w:val="0"/>
                                              <w:marBottom w:val="0"/>
                                              <w:divBdr>
                                                <w:top w:val="none" w:sz="0" w:space="0" w:color="auto"/>
                                                <w:left w:val="none" w:sz="0" w:space="0" w:color="auto"/>
                                                <w:bottom w:val="none" w:sz="0" w:space="0" w:color="auto"/>
                                                <w:right w:val="none" w:sz="0" w:space="0" w:color="auto"/>
                                              </w:divBdr>
                                              <w:divsChild>
                                                <w:div w:id="256985856">
                                                  <w:marLeft w:val="0"/>
                                                  <w:marRight w:val="0"/>
                                                  <w:marTop w:val="0"/>
                                                  <w:marBottom w:val="0"/>
                                                  <w:divBdr>
                                                    <w:top w:val="none" w:sz="0" w:space="0" w:color="auto"/>
                                                    <w:left w:val="none" w:sz="0" w:space="0" w:color="auto"/>
                                                    <w:bottom w:val="none" w:sz="0" w:space="0" w:color="auto"/>
                                                    <w:right w:val="none" w:sz="0" w:space="0" w:color="auto"/>
                                                  </w:divBdr>
                                                  <w:divsChild>
                                                    <w:div w:id="684135299">
                                                      <w:marLeft w:val="0"/>
                                                      <w:marRight w:val="0"/>
                                                      <w:marTop w:val="0"/>
                                                      <w:marBottom w:val="0"/>
                                                      <w:divBdr>
                                                        <w:top w:val="none" w:sz="0" w:space="0" w:color="auto"/>
                                                        <w:left w:val="none" w:sz="0" w:space="0" w:color="auto"/>
                                                        <w:bottom w:val="none" w:sz="0" w:space="0" w:color="auto"/>
                                                        <w:right w:val="none" w:sz="0" w:space="0" w:color="auto"/>
                                                      </w:divBdr>
                                                      <w:divsChild>
                                                        <w:div w:id="1676036165">
                                                          <w:marLeft w:val="0"/>
                                                          <w:marRight w:val="0"/>
                                                          <w:marTop w:val="0"/>
                                                          <w:marBottom w:val="0"/>
                                                          <w:divBdr>
                                                            <w:top w:val="none" w:sz="0" w:space="0" w:color="auto"/>
                                                            <w:left w:val="none" w:sz="0" w:space="0" w:color="auto"/>
                                                            <w:bottom w:val="none" w:sz="0" w:space="0" w:color="auto"/>
                                                            <w:right w:val="none" w:sz="0" w:space="0" w:color="auto"/>
                                                          </w:divBdr>
                                                          <w:divsChild>
                                                            <w:div w:id="714502628">
                                                              <w:marLeft w:val="0"/>
                                                              <w:marRight w:val="0"/>
                                                              <w:marTop w:val="0"/>
                                                              <w:marBottom w:val="0"/>
                                                              <w:divBdr>
                                                                <w:top w:val="none" w:sz="0" w:space="0" w:color="auto"/>
                                                                <w:left w:val="none" w:sz="0" w:space="0" w:color="auto"/>
                                                                <w:bottom w:val="none" w:sz="0" w:space="0" w:color="auto"/>
                                                                <w:right w:val="none" w:sz="0" w:space="0" w:color="auto"/>
                                                              </w:divBdr>
                                                              <w:divsChild>
                                                                <w:div w:id="1959679050">
                                                                  <w:marLeft w:val="0"/>
                                                                  <w:marRight w:val="0"/>
                                                                  <w:marTop w:val="0"/>
                                                                  <w:marBottom w:val="0"/>
                                                                  <w:divBdr>
                                                                    <w:top w:val="none" w:sz="0" w:space="0" w:color="auto"/>
                                                                    <w:left w:val="none" w:sz="0" w:space="0" w:color="auto"/>
                                                                    <w:bottom w:val="none" w:sz="0" w:space="0" w:color="auto"/>
                                                                    <w:right w:val="none" w:sz="0" w:space="0" w:color="auto"/>
                                                                  </w:divBdr>
                                                                  <w:divsChild>
                                                                    <w:div w:id="144180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70008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29927459">
      <w:bodyDiv w:val="1"/>
      <w:marLeft w:val="0"/>
      <w:marRight w:val="0"/>
      <w:marTop w:val="0"/>
      <w:marBottom w:val="0"/>
      <w:divBdr>
        <w:top w:val="none" w:sz="0" w:space="0" w:color="auto"/>
        <w:left w:val="none" w:sz="0" w:space="0" w:color="auto"/>
        <w:bottom w:val="none" w:sz="0" w:space="0" w:color="auto"/>
        <w:right w:val="none" w:sz="0" w:space="0" w:color="auto"/>
      </w:divBdr>
    </w:div>
    <w:div w:id="379134302">
      <w:bodyDiv w:val="1"/>
      <w:marLeft w:val="0"/>
      <w:marRight w:val="0"/>
      <w:marTop w:val="0"/>
      <w:marBottom w:val="0"/>
      <w:divBdr>
        <w:top w:val="none" w:sz="0" w:space="0" w:color="auto"/>
        <w:left w:val="none" w:sz="0" w:space="0" w:color="auto"/>
        <w:bottom w:val="none" w:sz="0" w:space="0" w:color="auto"/>
        <w:right w:val="none" w:sz="0" w:space="0" w:color="auto"/>
      </w:divBdr>
    </w:div>
    <w:div w:id="688142153">
      <w:bodyDiv w:val="1"/>
      <w:marLeft w:val="0"/>
      <w:marRight w:val="0"/>
      <w:marTop w:val="0"/>
      <w:marBottom w:val="0"/>
      <w:divBdr>
        <w:top w:val="none" w:sz="0" w:space="0" w:color="auto"/>
        <w:left w:val="none" w:sz="0" w:space="0" w:color="auto"/>
        <w:bottom w:val="none" w:sz="0" w:space="0" w:color="auto"/>
        <w:right w:val="none" w:sz="0" w:space="0" w:color="auto"/>
      </w:divBdr>
      <w:divsChild>
        <w:div w:id="259876859">
          <w:marLeft w:val="0"/>
          <w:marRight w:val="0"/>
          <w:marTop w:val="0"/>
          <w:marBottom w:val="0"/>
          <w:divBdr>
            <w:top w:val="none" w:sz="0" w:space="0" w:color="auto"/>
            <w:left w:val="none" w:sz="0" w:space="0" w:color="auto"/>
            <w:bottom w:val="none" w:sz="0" w:space="0" w:color="auto"/>
            <w:right w:val="none" w:sz="0" w:space="0" w:color="auto"/>
          </w:divBdr>
          <w:divsChild>
            <w:div w:id="1635715560">
              <w:marLeft w:val="0"/>
              <w:marRight w:val="0"/>
              <w:marTop w:val="0"/>
              <w:marBottom w:val="0"/>
              <w:divBdr>
                <w:top w:val="none" w:sz="0" w:space="0" w:color="auto"/>
                <w:left w:val="none" w:sz="0" w:space="0" w:color="auto"/>
                <w:bottom w:val="none" w:sz="0" w:space="0" w:color="auto"/>
                <w:right w:val="none" w:sz="0" w:space="0" w:color="auto"/>
              </w:divBdr>
              <w:divsChild>
                <w:div w:id="1749301788">
                  <w:marLeft w:val="0"/>
                  <w:marRight w:val="0"/>
                  <w:marTop w:val="0"/>
                  <w:marBottom w:val="0"/>
                  <w:divBdr>
                    <w:top w:val="none" w:sz="0" w:space="0" w:color="auto"/>
                    <w:left w:val="none" w:sz="0" w:space="0" w:color="auto"/>
                    <w:bottom w:val="none" w:sz="0" w:space="0" w:color="auto"/>
                    <w:right w:val="none" w:sz="0" w:space="0" w:color="auto"/>
                  </w:divBdr>
                  <w:divsChild>
                    <w:div w:id="31020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953529">
      <w:bodyDiv w:val="1"/>
      <w:marLeft w:val="0"/>
      <w:marRight w:val="0"/>
      <w:marTop w:val="0"/>
      <w:marBottom w:val="0"/>
      <w:divBdr>
        <w:top w:val="none" w:sz="0" w:space="0" w:color="auto"/>
        <w:left w:val="none" w:sz="0" w:space="0" w:color="auto"/>
        <w:bottom w:val="none" w:sz="0" w:space="0" w:color="auto"/>
        <w:right w:val="none" w:sz="0" w:space="0" w:color="auto"/>
      </w:divBdr>
      <w:divsChild>
        <w:div w:id="1395738653">
          <w:marLeft w:val="0"/>
          <w:marRight w:val="0"/>
          <w:marTop w:val="0"/>
          <w:marBottom w:val="0"/>
          <w:divBdr>
            <w:top w:val="none" w:sz="0" w:space="0" w:color="auto"/>
            <w:left w:val="none" w:sz="0" w:space="0" w:color="auto"/>
            <w:bottom w:val="none" w:sz="0" w:space="0" w:color="auto"/>
            <w:right w:val="none" w:sz="0" w:space="0" w:color="auto"/>
          </w:divBdr>
          <w:divsChild>
            <w:div w:id="1451778958">
              <w:marLeft w:val="0"/>
              <w:marRight w:val="0"/>
              <w:marTop w:val="0"/>
              <w:marBottom w:val="0"/>
              <w:divBdr>
                <w:top w:val="none" w:sz="0" w:space="0" w:color="auto"/>
                <w:left w:val="none" w:sz="0" w:space="0" w:color="auto"/>
                <w:bottom w:val="none" w:sz="0" w:space="0" w:color="auto"/>
                <w:right w:val="none" w:sz="0" w:space="0" w:color="auto"/>
              </w:divBdr>
              <w:divsChild>
                <w:div w:id="125412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00420">
      <w:bodyDiv w:val="1"/>
      <w:marLeft w:val="0"/>
      <w:marRight w:val="0"/>
      <w:marTop w:val="0"/>
      <w:marBottom w:val="0"/>
      <w:divBdr>
        <w:top w:val="none" w:sz="0" w:space="0" w:color="auto"/>
        <w:left w:val="none" w:sz="0" w:space="0" w:color="auto"/>
        <w:bottom w:val="none" w:sz="0" w:space="0" w:color="auto"/>
        <w:right w:val="none" w:sz="0" w:space="0" w:color="auto"/>
      </w:divBdr>
      <w:divsChild>
        <w:div w:id="96104844">
          <w:marLeft w:val="0"/>
          <w:marRight w:val="0"/>
          <w:marTop w:val="0"/>
          <w:marBottom w:val="0"/>
          <w:divBdr>
            <w:top w:val="none" w:sz="0" w:space="0" w:color="auto"/>
            <w:left w:val="none" w:sz="0" w:space="0" w:color="auto"/>
            <w:bottom w:val="none" w:sz="0" w:space="0" w:color="auto"/>
            <w:right w:val="none" w:sz="0" w:space="0" w:color="auto"/>
          </w:divBdr>
          <w:divsChild>
            <w:div w:id="1277638947">
              <w:marLeft w:val="0"/>
              <w:marRight w:val="0"/>
              <w:marTop w:val="0"/>
              <w:marBottom w:val="0"/>
              <w:divBdr>
                <w:top w:val="none" w:sz="0" w:space="0" w:color="auto"/>
                <w:left w:val="none" w:sz="0" w:space="0" w:color="auto"/>
                <w:bottom w:val="none" w:sz="0" w:space="0" w:color="auto"/>
                <w:right w:val="none" w:sz="0" w:space="0" w:color="auto"/>
              </w:divBdr>
              <w:divsChild>
                <w:div w:id="72279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908961">
      <w:bodyDiv w:val="1"/>
      <w:marLeft w:val="0"/>
      <w:marRight w:val="0"/>
      <w:marTop w:val="0"/>
      <w:marBottom w:val="0"/>
      <w:divBdr>
        <w:top w:val="none" w:sz="0" w:space="0" w:color="auto"/>
        <w:left w:val="none" w:sz="0" w:space="0" w:color="auto"/>
        <w:bottom w:val="none" w:sz="0" w:space="0" w:color="auto"/>
        <w:right w:val="none" w:sz="0" w:space="0" w:color="auto"/>
      </w:divBdr>
    </w:div>
    <w:div w:id="1142498261">
      <w:bodyDiv w:val="1"/>
      <w:marLeft w:val="0"/>
      <w:marRight w:val="0"/>
      <w:marTop w:val="0"/>
      <w:marBottom w:val="0"/>
      <w:divBdr>
        <w:top w:val="none" w:sz="0" w:space="0" w:color="auto"/>
        <w:left w:val="none" w:sz="0" w:space="0" w:color="auto"/>
        <w:bottom w:val="none" w:sz="0" w:space="0" w:color="auto"/>
        <w:right w:val="none" w:sz="0" w:space="0" w:color="auto"/>
      </w:divBdr>
      <w:divsChild>
        <w:div w:id="824735129">
          <w:marLeft w:val="0"/>
          <w:marRight w:val="0"/>
          <w:marTop w:val="0"/>
          <w:marBottom w:val="0"/>
          <w:divBdr>
            <w:top w:val="single" w:sz="2" w:space="0" w:color="E3E3E3"/>
            <w:left w:val="single" w:sz="2" w:space="0" w:color="E3E3E3"/>
            <w:bottom w:val="single" w:sz="2" w:space="0" w:color="E3E3E3"/>
            <w:right w:val="single" w:sz="2" w:space="0" w:color="E3E3E3"/>
          </w:divBdr>
          <w:divsChild>
            <w:div w:id="1933080866">
              <w:marLeft w:val="0"/>
              <w:marRight w:val="0"/>
              <w:marTop w:val="0"/>
              <w:marBottom w:val="0"/>
              <w:divBdr>
                <w:top w:val="single" w:sz="2" w:space="0" w:color="E3E3E3"/>
                <w:left w:val="single" w:sz="2" w:space="0" w:color="E3E3E3"/>
                <w:bottom w:val="single" w:sz="2" w:space="0" w:color="E3E3E3"/>
                <w:right w:val="single" w:sz="2" w:space="0" w:color="E3E3E3"/>
              </w:divBdr>
              <w:divsChild>
                <w:div w:id="1467698935">
                  <w:marLeft w:val="0"/>
                  <w:marRight w:val="0"/>
                  <w:marTop w:val="0"/>
                  <w:marBottom w:val="0"/>
                  <w:divBdr>
                    <w:top w:val="single" w:sz="2" w:space="0" w:color="E3E3E3"/>
                    <w:left w:val="single" w:sz="2" w:space="0" w:color="E3E3E3"/>
                    <w:bottom w:val="single" w:sz="2" w:space="0" w:color="E3E3E3"/>
                    <w:right w:val="single" w:sz="2" w:space="0" w:color="E3E3E3"/>
                  </w:divBdr>
                  <w:divsChild>
                    <w:div w:id="2024430837">
                      <w:marLeft w:val="0"/>
                      <w:marRight w:val="0"/>
                      <w:marTop w:val="0"/>
                      <w:marBottom w:val="0"/>
                      <w:divBdr>
                        <w:top w:val="single" w:sz="2" w:space="0" w:color="E3E3E3"/>
                        <w:left w:val="single" w:sz="2" w:space="0" w:color="E3E3E3"/>
                        <w:bottom w:val="single" w:sz="2" w:space="0" w:color="E3E3E3"/>
                        <w:right w:val="single" w:sz="2" w:space="0" w:color="E3E3E3"/>
                      </w:divBdr>
                      <w:divsChild>
                        <w:div w:id="1548450200">
                          <w:marLeft w:val="0"/>
                          <w:marRight w:val="0"/>
                          <w:marTop w:val="0"/>
                          <w:marBottom w:val="0"/>
                          <w:divBdr>
                            <w:top w:val="single" w:sz="2" w:space="0" w:color="E3E3E3"/>
                            <w:left w:val="single" w:sz="2" w:space="0" w:color="E3E3E3"/>
                            <w:bottom w:val="single" w:sz="2" w:space="0" w:color="E3E3E3"/>
                            <w:right w:val="single" w:sz="2" w:space="0" w:color="E3E3E3"/>
                          </w:divBdr>
                          <w:divsChild>
                            <w:div w:id="755443026">
                              <w:marLeft w:val="0"/>
                              <w:marRight w:val="0"/>
                              <w:marTop w:val="100"/>
                              <w:marBottom w:val="100"/>
                              <w:divBdr>
                                <w:top w:val="single" w:sz="2" w:space="0" w:color="E3E3E3"/>
                                <w:left w:val="single" w:sz="2" w:space="0" w:color="E3E3E3"/>
                                <w:bottom w:val="single" w:sz="2" w:space="0" w:color="E3E3E3"/>
                                <w:right w:val="single" w:sz="2" w:space="0" w:color="E3E3E3"/>
                              </w:divBdr>
                              <w:divsChild>
                                <w:div w:id="1565141096">
                                  <w:marLeft w:val="0"/>
                                  <w:marRight w:val="0"/>
                                  <w:marTop w:val="0"/>
                                  <w:marBottom w:val="0"/>
                                  <w:divBdr>
                                    <w:top w:val="single" w:sz="2" w:space="0" w:color="E3E3E3"/>
                                    <w:left w:val="single" w:sz="2" w:space="0" w:color="E3E3E3"/>
                                    <w:bottom w:val="single" w:sz="2" w:space="0" w:color="E3E3E3"/>
                                    <w:right w:val="single" w:sz="2" w:space="0" w:color="E3E3E3"/>
                                  </w:divBdr>
                                  <w:divsChild>
                                    <w:div w:id="766193803">
                                      <w:marLeft w:val="0"/>
                                      <w:marRight w:val="0"/>
                                      <w:marTop w:val="0"/>
                                      <w:marBottom w:val="0"/>
                                      <w:divBdr>
                                        <w:top w:val="single" w:sz="2" w:space="0" w:color="E3E3E3"/>
                                        <w:left w:val="single" w:sz="2" w:space="0" w:color="E3E3E3"/>
                                        <w:bottom w:val="single" w:sz="2" w:space="0" w:color="E3E3E3"/>
                                        <w:right w:val="single" w:sz="2" w:space="0" w:color="E3E3E3"/>
                                      </w:divBdr>
                                      <w:divsChild>
                                        <w:div w:id="1741906909">
                                          <w:marLeft w:val="0"/>
                                          <w:marRight w:val="0"/>
                                          <w:marTop w:val="0"/>
                                          <w:marBottom w:val="0"/>
                                          <w:divBdr>
                                            <w:top w:val="single" w:sz="2" w:space="0" w:color="E3E3E3"/>
                                            <w:left w:val="single" w:sz="2" w:space="0" w:color="E3E3E3"/>
                                            <w:bottom w:val="single" w:sz="2" w:space="0" w:color="E3E3E3"/>
                                            <w:right w:val="single" w:sz="2" w:space="0" w:color="E3E3E3"/>
                                          </w:divBdr>
                                          <w:divsChild>
                                            <w:div w:id="2009139804">
                                              <w:marLeft w:val="0"/>
                                              <w:marRight w:val="0"/>
                                              <w:marTop w:val="0"/>
                                              <w:marBottom w:val="0"/>
                                              <w:divBdr>
                                                <w:top w:val="single" w:sz="2" w:space="0" w:color="E3E3E3"/>
                                                <w:left w:val="single" w:sz="2" w:space="0" w:color="E3E3E3"/>
                                                <w:bottom w:val="single" w:sz="2" w:space="0" w:color="E3E3E3"/>
                                                <w:right w:val="single" w:sz="2" w:space="0" w:color="E3E3E3"/>
                                              </w:divBdr>
                                              <w:divsChild>
                                                <w:div w:id="231739623">
                                                  <w:marLeft w:val="0"/>
                                                  <w:marRight w:val="0"/>
                                                  <w:marTop w:val="0"/>
                                                  <w:marBottom w:val="0"/>
                                                  <w:divBdr>
                                                    <w:top w:val="single" w:sz="2" w:space="0" w:color="E3E3E3"/>
                                                    <w:left w:val="single" w:sz="2" w:space="0" w:color="E3E3E3"/>
                                                    <w:bottom w:val="single" w:sz="2" w:space="0" w:color="E3E3E3"/>
                                                    <w:right w:val="single" w:sz="2" w:space="0" w:color="E3E3E3"/>
                                                  </w:divBdr>
                                                  <w:divsChild>
                                                    <w:div w:id="6144800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13916896">
          <w:marLeft w:val="0"/>
          <w:marRight w:val="0"/>
          <w:marTop w:val="0"/>
          <w:marBottom w:val="0"/>
          <w:divBdr>
            <w:top w:val="none" w:sz="0" w:space="0" w:color="auto"/>
            <w:left w:val="none" w:sz="0" w:space="0" w:color="auto"/>
            <w:bottom w:val="none" w:sz="0" w:space="0" w:color="auto"/>
            <w:right w:val="none" w:sz="0" w:space="0" w:color="auto"/>
          </w:divBdr>
          <w:divsChild>
            <w:div w:id="829054350">
              <w:marLeft w:val="0"/>
              <w:marRight w:val="0"/>
              <w:marTop w:val="0"/>
              <w:marBottom w:val="0"/>
              <w:divBdr>
                <w:top w:val="single" w:sz="2" w:space="0" w:color="E3E3E3"/>
                <w:left w:val="single" w:sz="2" w:space="0" w:color="E3E3E3"/>
                <w:bottom w:val="single" w:sz="2" w:space="0" w:color="E3E3E3"/>
                <w:right w:val="single" w:sz="2" w:space="0" w:color="E3E3E3"/>
              </w:divBdr>
              <w:divsChild>
                <w:div w:id="1495026017">
                  <w:marLeft w:val="0"/>
                  <w:marRight w:val="0"/>
                  <w:marTop w:val="0"/>
                  <w:marBottom w:val="0"/>
                  <w:divBdr>
                    <w:top w:val="single" w:sz="2" w:space="0" w:color="E3E3E3"/>
                    <w:left w:val="single" w:sz="2" w:space="0" w:color="E3E3E3"/>
                    <w:bottom w:val="single" w:sz="2" w:space="0" w:color="E3E3E3"/>
                    <w:right w:val="single" w:sz="2" w:space="0" w:color="E3E3E3"/>
                  </w:divBdr>
                  <w:divsChild>
                    <w:div w:id="1711301805">
                      <w:marLeft w:val="0"/>
                      <w:marRight w:val="0"/>
                      <w:marTop w:val="0"/>
                      <w:marBottom w:val="0"/>
                      <w:divBdr>
                        <w:top w:val="single" w:sz="6" w:space="0" w:color="auto"/>
                        <w:left w:val="single" w:sz="6" w:space="0" w:color="auto"/>
                        <w:bottom w:val="single" w:sz="6" w:space="0" w:color="auto"/>
                        <w:right w:val="single" w:sz="6" w:space="0" w:color="auto"/>
                      </w:divBdr>
                      <w:divsChild>
                        <w:div w:id="342249073">
                          <w:marLeft w:val="0"/>
                          <w:marRight w:val="0"/>
                          <w:marTop w:val="0"/>
                          <w:marBottom w:val="0"/>
                          <w:divBdr>
                            <w:top w:val="none" w:sz="0" w:space="0" w:color="auto"/>
                            <w:left w:val="none" w:sz="0" w:space="0" w:color="auto"/>
                            <w:bottom w:val="none" w:sz="0" w:space="0" w:color="auto"/>
                            <w:right w:val="none" w:sz="0" w:space="0" w:color="auto"/>
                          </w:divBdr>
                          <w:divsChild>
                            <w:div w:id="1842306165">
                              <w:marLeft w:val="0"/>
                              <w:marRight w:val="0"/>
                              <w:marTop w:val="0"/>
                              <w:marBottom w:val="0"/>
                              <w:divBdr>
                                <w:top w:val="none" w:sz="0" w:space="0" w:color="auto"/>
                                <w:left w:val="none" w:sz="0" w:space="0" w:color="auto"/>
                                <w:bottom w:val="none" w:sz="0" w:space="0" w:color="auto"/>
                                <w:right w:val="none" w:sz="0" w:space="0" w:color="auto"/>
                              </w:divBdr>
                              <w:divsChild>
                                <w:div w:id="599684697">
                                  <w:marLeft w:val="0"/>
                                  <w:marRight w:val="0"/>
                                  <w:marTop w:val="0"/>
                                  <w:marBottom w:val="0"/>
                                  <w:divBdr>
                                    <w:top w:val="none" w:sz="0" w:space="0" w:color="auto"/>
                                    <w:left w:val="none" w:sz="0" w:space="0" w:color="auto"/>
                                    <w:bottom w:val="none" w:sz="0" w:space="0" w:color="auto"/>
                                    <w:right w:val="none" w:sz="0" w:space="0" w:color="auto"/>
                                  </w:divBdr>
                                  <w:divsChild>
                                    <w:div w:id="1370884911">
                                      <w:marLeft w:val="0"/>
                                      <w:marRight w:val="0"/>
                                      <w:marTop w:val="0"/>
                                      <w:marBottom w:val="0"/>
                                      <w:divBdr>
                                        <w:top w:val="none" w:sz="0" w:space="0" w:color="auto"/>
                                        <w:left w:val="none" w:sz="0" w:space="0" w:color="auto"/>
                                        <w:bottom w:val="none" w:sz="0" w:space="0" w:color="auto"/>
                                        <w:right w:val="none" w:sz="0" w:space="0" w:color="auto"/>
                                      </w:divBdr>
                                      <w:divsChild>
                                        <w:div w:id="1633515093">
                                          <w:marLeft w:val="0"/>
                                          <w:marRight w:val="0"/>
                                          <w:marTop w:val="0"/>
                                          <w:marBottom w:val="0"/>
                                          <w:divBdr>
                                            <w:top w:val="none" w:sz="0" w:space="0" w:color="auto"/>
                                            <w:left w:val="none" w:sz="0" w:space="0" w:color="auto"/>
                                            <w:bottom w:val="none" w:sz="0" w:space="0" w:color="auto"/>
                                            <w:right w:val="none" w:sz="0" w:space="0" w:color="auto"/>
                                          </w:divBdr>
                                          <w:divsChild>
                                            <w:div w:id="15009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5159877">
      <w:bodyDiv w:val="1"/>
      <w:marLeft w:val="0"/>
      <w:marRight w:val="0"/>
      <w:marTop w:val="0"/>
      <w:marBottom w:val="0"/>
      <w:divBdr>
        <w:top w:val="none" w:sz="0" w:space="0" w:color="auto"/>
        <w:left w:val="none" w:sz="0" w:space="0" w:color="auto"/>
        <w:bottom w:val="none" w:sz="0" w:space="0" w:color="auto"/>
        <w:right w:val="none" w:sz="0" w:space="0" w:color="auto"/>
      </w:divBdr>
    </w:div>
    <w:div w:id="1504320856">
      <w:bodyDiv w:val="1"/>
      <w:marLeft w:val="0"/>
      <w:marRight w:val="0"/>
      <w:marTop w:val="0"/>
      <w:marBottom w:val="0"/>
      <w:divBdr>
        <w:top w:val="none" w:sz="0" w:space="0" w:color="auto"/>
        <w:left w:val="none" w:sz="0" w:space="0" w:color="auto"/>
        <w:bottom w:val="none" w:sz="0" w:space="0" w:color="auto"/>
        <w:right w:val="none" w:sz="0" w:space="0" w:color="auto"/>
      </w:divBdr>
    </w:div>
    <w:div w:id="1553156601">
      <w:bodyDiv w:val="1"/>
      <w:marLeft w:val="0"/>
      <w:marRight w:val="0"/>
      <w:marTop w:val="0"/>
      <w:marBottom w:val="0"/>
      <w:divBdr>
        <w:top w:val="none" w:sz="0" w:space="0" w:color="auto"/>
        <w:left w:val="none" w:sz="0" w:space="0" w:color="auto"/>
        <w:bottom w:val="none" w:sz="0" w:space="0" w:color="auto"/>
        <w:right w:val="none" w:sz="0" w:space="0" w:color="auto"/>
      </w:divBdr>
    </w:div>
    <w:div w:id="1584217990">
      <w:bodyDiv w:val="1"/>
      <w:marLeft w:val="0"/>
      <w:marRight w:val="0"/>
      <w:marTop w:val="0"/>
      <w:marBottom w:val="0"/>
      <w:divBdr>
        <w:top w:val="none" w:sz="0" w:space="0" w:color="auto"/>
        <w:left w:val="none" w:sz="0" w:space="0" w:color="auto"/>
        <w:bottom w:val="none" w:sz="0" w:space="0" w:color="auto"/>
        <w:right w:val="none" w:sz="0" w:space="0" w:color="auto"/>
      </w:divBdr>
      <w:divsChild>
        <w:div w:id="747531362">
          <w:marLeft w:val="0"/>
          <w:marRight w:val="0"/>
          <w:marTop w:val="0"/>
          <w:marBottom w:val="0"/>
          <w:divBdr>
            <w:top w:val="single" w:sz="2" w:space="0" w:color="E3E3E3"/>
            <w:left w:val="single" w:sz="2" w:space="0" w:color="E3E3E3"/>
            <w:bottom w:val="single" w:sz="2" w:space="0" w:color="E3E3E3"/>
            <w:right w:val="single" w:sz="2" w:space="0" w:color="E3E3E3"/>
          </w:divBdr>
          <w:divsChild>
            <w:div w:id="1251740147">
              <w:marLeft w:val="0"/>
              <w:marRight w:val="0"/>
              <w:marTop w:val="0"/>
              <w:marBottom w:val="0"/>
              <w:divBdr>
                <w:top w:val="single" w:sz="2" w:space="0" w:color="E3E3E3"/>
                <w:left w:val="single" w:sz="2" w:space="0" w:color="E3E3E3"/>
                <w:bottom w:val="single" w:sz="2" w:space="0" w:color="E3E3E3"/>
                <w:right w:val="single" w:sz="2" w:space="0" w:color="E3E3E3"/>
              </w:divBdr>
              <w:divsChild>
                <w:div w:id="661396324">
                  <w:marLeft w:val="0"/>
                  <w:marRight w:val="0"/>
                  <w:marTop w:val="0"/>
                  <w:marBottom w:val="0"/>
                  <w:divBdr>
                    <w:top w:val="single" w:sz="2" w:space="0" w:color="E3E3E3"/>
                    <w:left w:val="single" w:sz="2" w:space="0" w:color="E3E3E3"/>
                    <w:bottom w:val="single" w:sz="2" w:space="0" w:color="E3E3E3"/>
                    <w:right w:val="single" w:sz="2" w:space="0" w:color="E3E3E3"/>
                  </w:divBdr>
                  <w:divsChild>
                    <w:div w:id="2145922215">
                      <w:marLeft w:val="0"/>
                      <w:marRight w:val="0"/>
                      <w:marTop w:val="0"/>
                      <w:marBottom w:val="0"/>
                      <w:divBdr>
                        <w:top w:val="single" w:sz="2" w:space="0" w:color="E3E3E3"/>
                        <w:left w:val="single" w:sz="2" w:space="0" w:color="E3E3E3"/>
                        <w:bottom w:val="single" w:sz="2" w:space="0" w:color="E3E3E3"/>
                        <w:right w:val="single" w:sz="2" w:space="0" w:color="E3E3E3"/>
                      </w:divBdr>
                      <w:divsChild>
                        <w:div w:id="807819237">
                          <w:marLeft w:val="0"/>
                          <w:marRight w:val="0"/>
                          <w:marTop w:val="0"/>
                          <w:marBottom w:val="0"/>
                          <w:divBdr>
                            <w:top w:val="single" w:sz="2" w:space="0" w:color="E3E3E3"/>
                            <w:left w:val="single" w:sz="2" w:space="0" w:color="E3E3E3"/>
                            <w:bottom w:val="single" w:sz="2" w:space="0" w:color="E3E3E3"/>
                            <w:right w:val="single" w:sz="2" w:space="0" w:color="E3E3E3"/>
                          </w:divBdr>
                          <w:divsChild>
                            <w:div w:id="1793093474">
                              <w:marLeft w:val="0"/>
                              <w:marRight w:val="0"/>
                              <w:marTop w:val="100"/>
                              <w:marBottom w:val="100"/>
                              <w:divBdr>
                                <w:top w:val="single" w:sz="2" w:space="0" w:color="E3E3E3"/>
                                <w:left w:val="single" w:sz="2" w:space="0" w:color="E3E3E3"/>
                                <w:bottom w:val="single" w:sz="2" w:space="0" w:color="E3E3E3"/>
                                <w:right w:val="single" w:sz="2" w:space="0" w:color="E3E3E3"/>
                              </w:divBdr>
                              <w:divsChild>
                                <w:div w:id="1654916055">
                                  <w:marLeft w:val="0"/>
                                  <w:marRight w:val="0"/>
                                  <w:marTop w:val="0"/>
                                  <w:marBottom w:val="0"/>
                                  <w:divBdr>
                                    <w:top w:val="single" w:sz="2" w:space="0" w:color="E3E3E3"/>
                                    <w:left w:val="single" w:sz="2" w:space="0" w:color="E3E3E3"/>
                                    <w:bottom w:val="single" w:sz="2" w:space="0" w:color="E3E3E3"/>
                                    <w:right w:val="single" w:sz="2" w:space="0" w:color="E3E3E3"/>
                                  </w:divBdr>
                                  <w:divsChild>
                                    <w:div w:id="1540707343">
                                      <w:marLeft w:val="0"/>
                                      <w:marRight w:val="0"/>
                                      <w:marTop w:val="0"/>
                                      <w:marBottom w:val="0"/>
                                      <w:divBdr>
                                        <w:top w:val="single" w:sz="2" w:space="0" w:color="E3E3E3"/>
                                        <w:left w:val="single" w:sz="2" w:space="0" w:color="E3E3E3"/>
                                        <w:bottom w:val="single" w:sz="2" w:space="0" w:color="E3E3E3"/>
                                        <w:right w:val="single" w:sz="2" w:space="0" w:color="E3E3E3"/>
                                      </w:divBdr>
                                      <w:divsChild>
                                        <w:div w:id="24793733">
                                          <w:marLeft w:val="0"/>
                                          <w:marRight w:val="0"/>
                                          <w:marTop w:val="0"/>
                                          <w:marBottom w:val="0"/>
                                          <w:divBdr>
                                            <w:top w:val="single" w:sz="2" w:space="0" w:color="E3E3E3"/>
                                            <w:left w:val="single" w:sz="2" w:space="0" w:color="E3E3E3"/>
                                            <w:bottom w:val="single" w:sz="2" w:space="0" w:color="E3E3E3"/>
                                            <w:right w:val="single" w:sz="2" w:space="0" w:color="E3E3E3"/>
                                          </w:divBdr>
                                          <w:divsChild>
                                            <w:div w:id="364528975">
                                              <w:marLeft w:val="0"/>
                                              <w:marRight w:val="0"/>
                                              <w:marTop w:val="0"/>
                                              <w:marBottom w:val="0"/>
                                              <w:divBdr>
                                                <w:top w:val="single" w:sz="2" w:space="0" w:color="E3E3E3"/>
                                                <w:left w:val="single" w:sz="2" w:space="0" w:color="E3E3E3"/>
                                                <w:bottom w:val="single" w:sz="2" w:space="0" w:color="E3E3E3"/>
                                                <w:right w:val="single" w:sz="2" w:space="0" w:color="E3E3E3"/>
                                              </w:divBdr>
                                              <w:divsChild>
                                                <w:div w:id="214508313">
                                                  <w:marLeft w:val="0"/>
                                                  <w:marRight w:val="0"/>
                                                  <w:marTop w:val="0"/>
                                                  <w:marBottom w:val="0"/>
                                                  <w:divBdr>
                                                    <w:top w:val="single" w:sz="2" w:space="0" w:color="E3E3E3"/>
                                                    <w:left w:val="single" w:sz="2" w:space="0" w:color="E3E3E3"/>
                                                    <w:bottom w:val="single" w:sz="2" w:space="0" w:color="E3E3E3"/>
                                                    <w:right w:val="single" w:sz="2" w:space="0" w:color="E3E3E3"/>
                                                  </w:divBdr>
                                                  <w:divsChild>
                                                    <w:div w:id="1193692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14017680">
          <w:marLeft w:val="0"/>
          <w:marRight w:val="0"/>
          <w:marTop w:val="0"/>
          <w:marBottom w:val="0"/>
          <w:divBdr>
            <w:top w:val="none" w:sz="0" w:space="0" w:color="auto"/>
            <w:left w:val="none" w:sz="0" w:space="0" w:color="auto"/>
            <w:bottom w:val="none" w:sz="0" w:space="0" w:color="auto"/>
            <w:right w:val="none" w:sz="0" w:space="0" w:color="auto"/>
          </w:divBdr>
        </w:div>
      </w:divsChild>
    </w:div>
    <w:div w:id="200477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304-405X(02)00139-3"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6B6AA-79CC-7F49-B08C-87A081FCA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7</Pages>
  <Words>2264</Words>
  <Characters>12906</Characters>
  <Application>Microsoft Office Word</Application>
  <DocSecurity>0</DocSecurity>
  <Lines>107</Lines>
  <Paragraphs>30</Paragraphs>
  <ScaleCrop>false</ScaleCrop>
  <Company/>
  <LinksUpToDate>false</LinksUpToDate>
  <CharactersWithSpaces>15140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 (2124861)</dc:creator>
  <cp:keywords/>
  <dc:description/>
  <cp:lastModifiedBy>Valentina Pituscanu (2124861)</cp:lastModifiedBy>
  <cp:revision>1</cp:revision>
  <dcterms:created xsi:type="dcterms:W3CDTF">2024-03-26T10:51:00Z</dcterms:created>
  <dcterms:modified xsi:type="dcterms:W3CDTF">2024-03-29T11:30:00Z</dcterms:modified>
</cp:coreProperties>
</file>