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Times New Roman" w:cs="Times New Roman" w:eastAsia="Times New Roman" w:hAnsi="Times New Roman"/>
          <w:b w:val="1"/>
          <w:bCs w:val="1"/>
          <w:sz w:val="40"/>
          <w:szCs w:val="40"/>
        </w:rPr>
      </w:pPr>
      <w:r w:rsidDel="00000000" w:rsidR="00000000" w:rsidRPr="00000000">
        <w:rPr>
          <w:rFonts w:ascii="Times New Roman" w:cs="Times New Roman" w:eastAsia="Times New Roman" w:hAnsi="Times New Roman"/>
          <w:b w:val="1"/>
          <w:bCs w:val="1"/>
          <w:sz w:val="40"/>
          <w:szCs w:val="40"/>
        </w:rPr>
        <w:drawing>
          <wp:inline distB="114300" distT="114300" distL="114300" distR="114300">
            <wp:extent cx="5745600" cy="8128000"/>
            <wp:effectExtent b="25400" l="25400" r="25400" t="25400"/>
            <wp:docPr id="3"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5745600" cy="81280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02">
      <w:pPr>
        <w:rPr>
          <w:rFonts w:ascii="Times New Roman" w:cs="Times New Roman" w:eastAsia="Times New Roman" w:hAnsi="Times New Roman"/>
          <w:b w:val="1"/>
          <w:bCs w:val="1"/>
          <w:sz w:val="40"/>
          <w:szCs w:val="40"/>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b w:val="1"/>
          <w:bCs w:val="1"/>
          <w:sz w:val="40"/>
          <w:szCs w:val="40"/>
        </w:rPr>
      </w:pPr>
      <w:r w:rsidDel="00000000" w:rsidR="00000000" w:rsidRPr="00000000">
        <w:rPr>
          <w:rtl w:val="0"/>
        </w:rPr>
      </w:r>
    </w:p>
    <w:p w:rsidR="00000000" w:rsidDel="00000000" w:rsidP="00000000" w:rsidRDefault="00000000" w:rsidRPr="00000000" w14:paraId="00000004">
      <w:pPr>
        <w:pStyle w:val="Heading2"/>
        <w:jc w:val="center"/>
        <w:rPr>
          <w:rFonts w:ascii="Times New Roman" w:cs="Times New Roman" w:eastAsia="Times New Roman" w:hAnsi="Times New Roman"/>
          <w:b w:val="1"/>
          <w:bCs w:val="1"/>
        </w:rPr>
      </w:pPr>
      <w:bookmarkStart w:colFirst="0" w:colLast="0" w:name="_u13ro4811b05" w:id="0"/>
      <w:bookmarkEnd w:id="0"/>
      <w:r w:rsidDel="00000000" w:rsidR="00000000" w:rsidRPr="00000000">
        <w:rPr>
          <w:rFonts w:ascii="Times New Roman" w:cs="Times New Roman" w:eastAsia="Times New Roman" w:hAnsi="Times New Roman"/>
          <w:b w:val="1"/>
          <w:bCs w:val="1"/>
          <w:rtl w:val="0"/>
        </w:rPr>
        <w:t xml:space="preserve">Executive</w:t>
      </w:r>
      <w:r w:rsidDel="00000000" w:rsidR="00000000" w:rsidRPr="00000000">
        <w:rPr>
          <w:rFonts w:ascii="Times New Roman" w:cs="Times New Roman" w:eastAsia="Times New Roman" w:hAnsi="Times New Roman"/>
          <w:b w:val="1"/>
          <w:bCs w:val="1"/>
          <w:rtl w:val="0"/>
        </w:rPr>
        <w:t xml:space="preserve"> summary </w:t>
      </w:r>
    </w:p>
    <w:p w:rsidR="00000000" w:rsidDel="00000000" w:rsidP="00000000" w:rsidRDefault="00000000" w:rsidRPr="00000000" w14:paraId="0000000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Attend X is a new QR-based verification system that is a simple, secure and user-friendly project specifically designed for modern university classrooms. In this era of digitalisation, universities are widely adopting digitalised solutions for operational and administrative efficiency. Attend X is a cost-effective solution for attendance management with high accuracy. (Mircea and Nguyen, 2023). The major aim is to make attendance recording quicker with high accuracy and safety through technology integration. The report briefly explains the project management journey of Attend X, clearly stating the tools and techniques in general, how the tools and techniques were applied within Attend X and communication and stakeholder management and finally, the recommendation for improvement. The project Attend X demonstrates the future potential of an innovative secured system to improve attendance efficiency, remove fraudulent practices, improve work efficiency, reduce workload and embrace digitalisation for even smaller manual tasks. It is established through project planning, stakeholder analysis, stakeholder engagement, risk analysis and mitigation, financial planning, and achieving project objectives.</w:t>
      </w:r>
    </w:p>
    <w:p w:rsidR="00000000" w:rsidDel="00000000" w:rsidP="00000000" w:rsidRDefault="00000000" w:rsidRPr="00000000" w14:paraId="0000000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Universities worldwide are incorporating digitalised solutions to improve operational efficiency and user experience (Mircea and Nguyen, 2023; Nadhan et al., 2022; Alotibe, 2024). The project also put forward recommendations for future improvement. With improved university support, effective stakeholder management, improved data security and high-end technology integration, Attend X shall be tested with comprehensive pilot testing and implemented as a full-fledged project across universities </w:t>
      </w:r>
    </w:p>
    <w:p w:rsidR="00000000" w:rsidDel="00000000" w:rsidP="00000000" w:rsidRDefault="00000000" w:rsidRPr="00000000" w14:paraId="0000000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7">
      <w:pPr>
        <w:pStyle w:val="Heading2"/>
        <w:jc w:val="center"/>
        <w:rPr>
          <w:rFonts w:ascii="Times New Roman" w:cs="Times New Roman" w:eastAsia="Times New Roman" w:hAnsi="Times New Roman"/>
        </w:rPr>
      </w:pPr>
      <w:bookmarkStart w:colFirst="0" w:colLast="0" w:name="_uukyhuoadi27" w:id="1"/>
      <w:bookmarkEnd w:id="1"/>
      <w:r w:rsidDel="00000000" w:rsidR="00000000" w:rsidRPr="00000000">
        <w:rPr>
          <w:rFonts w:ascii="Times New Roman" w:cs="Times New Roman" w:eastAsia="Times New Roman" w:hAnsi="Times New Roman"/>
          <w:rtl w:val="0"/>
        </w:rPr>
        <w:t xml:space="preserve">Table of contents </w:t>
      </w:r>
      <w:r w:rsidDel="00000000" w:rsidR="00000000" w:rsidRPr="00000000">
        <w:rPr>
          <w:rtl w:val="0"/>
        </w:rPr>
      </w:r>
    </w:p>
    <w:sdt>
      <w:sdtPr>
        <w:id w:val="2106227951"/>
        <w:docPartObj>
          <w:docPartGallery w:val="Table of Contents"/>
          <w:docPartUnique w:val="1"/>
        </w:docPartObj>
      </w:sdtPr>
      <w:sdtContent>
        <w:p w:rsidR="00000000" w:rsidDel="00000000" w:rsidP="00000000" w:rsidRDefault="00000000" w:rsidRPr="00000000" w14:paraId="00000018">
          <w:pPr>
            <w:widowControl w:val="0"/>
            <w:tabs>
              <w:tab w:val="right" w:leader="dot" w:pos="9048.188976377955"/>
            </w:tabs>
            <w:spacing w:before="60" w:line="240" w:lineRule="auto"/>
            <w:rPr>
              <w:b w:val="1"/>
              <w:bCs w:val="1"/>
              <w:u w:val="none"/>
            </w:rPr>
          </w:pPr>
          <w:r w:rsidDel="00000000" w:rsidR="00000000" w:rsidRPr="00000000">
            <w:fldChar w:fldCharType="begin"/>
            <w:instrText xml:space="preserve"> TOC \h \u \z \t "Heading 1,1,Heading 2,2,Heading 3,3,Heading 4,4,Heading 5,5,Heading 6,6,"</w:instrText>
            <w:fldChar w:fldCharType="separate"/>
          </w:r>
          <w:hyperlink w:anchor="_u13ro4811b05">
            <w:r w:rsidDel="00000000" w:rsidR="00000000" w:rsidRPr="00000000">
              <w:rPr>
                <w:b w:val="1"/>
                <w:bCs w:val="1"/>
                <w:u w:val="none"/>
                <w:rtl w:val="0"/>
              </w:rPr>
              <w:t xml:space="preserve">Executive summary</w:t>
              <w:tab/>
            </w:r>
          </w:hyperlink>
          <w:r w:rsidDel="00000000" w:rsidR="00000000" w:rsidRPr="00000000">
            <w:fldChar w:fldCharType="begin"/>
            <w:instrText xml:space="preserve"> PAGEREF _u13ro4811b05 \h </w:instrText>
            <w:fldChar w:fldCharType="separate"/>
          </w:r>
          <w:r w:rsidDel="00000000" w:rsidR="00000000" w:rsidRPr="00000000">
            <w:rPr>
              <w:b w:val="1"/>
              <w:bCs w:val="1"/>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dot" w:pos="9048.188976377955"/>
            </w:tabs>
            <w:spacing w:before="60" w:line="240" w:lineRule="auto"/>
            <w:rPr>
              <w:b w:val="1"/>
              <w:bCs w:val="1"/>
              <w:u w:val="none"/>
            </w:rPr>
          </w:pPr>
          <w:hyperlink w:anchor="_uukyhuoadi27">
            <w:r w:rsidDel="00000000" w:rsidR="00000000" w:rsidRPr="00000000">
              <w:rPr>
                <w:b w:val="1"/>
                <w:bCs w:val="1"/>
                <w:u w:val="none"/>
                <w:rtl w:val="0"/>
              </w:rPr>
              <w:t xml:space="preserve">Table of contents</w:t>
              <w:tab/>
            </w:r>
          </w:hyperlink>
          <w:r w:rsidDel="00000000" w:rsidR="00000000" w:rsidRPr="00000000">
            <w:fldChar w:fldCharType="begin"/>
            <w:instrText xml:space="preserve"> PAGEREF _uukyhuoadi27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dot" w:pos="9048.188976377955"/>
            </w:tabs>
            <w:spacing w:before="60" w:line="240" w:lineRule="auto"/>
            <w:rPr>
              <w:b w:val="1"/>
              <w:bCs w:val="1"/>
              <w:u w:val="none"/>
            </w:rPr>
          </w:pPr>
          <w:hyperlink w:anchor="_lh7bwxfh0bh6">
            <w:r w:rsidDel="00000000" w:rsidR="00000000" w:rsidRPr="00000000">
              <w:rPr>
                <w:b w:val="1"/>
                <w:bCs w:val="1"/>
                <w:u w:val="none"/>
                <w:rtl w:val="0"/>
              </w:rPr>
              <w:t xml:space="preserve">1. Introduction</w:t>
              <w:tab/>
            </w:r>
          </w:hyperlink>
          <w:r w:rsidDel="00000000" w:rsidR="00000000" w:rsidRPr="00000000">
            <w:fldChar w:fldCharType="begin"/>
            <w:instrText xml:space="preserve"> PAGEREF _lh7bwxfh0bh6 \h </w:instrText>
            <w:fldChar w:fldCharType="separate"/>
          </w:r>
          <w:r w:rsidDel="00000000" w:rsidR="00000000" w:rsidRPr="00000000">
            <w:rPr>
              <w:b w:val="1"/>
              <w:bCs w:val="1"/>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dot" w:pos="9048.188976377955"/>
            </w:tabs>
            <w:spacing w:before="60" w:line="240" w:lineRule="auto"/>
            <w:rPr>
              <w:b w:val="1"/>
              <w:bCs w:val="1"/>
              <w:u w:val="none"/>
            </w:rPr>
          </w:pPr>
          <w:hyperlink w:anchor="_mne49h49fcfm">
            <w:r w:rsidDel="00000000" w:rsidR="00000000" w:rsidRPr="00000000">
              <w:rPr>
                <w:b w:val="1"/>
                <w:bCs w:val="1"/>
                <w:u w:val="none"/>
                <w:rtl w:val="0"/>
              </w:rPr>
              <w:t xml:space="preserve">2. Findings</w:t>
              <w:tab/>
            </w:r>
          </w:hyperlink>
          <w:r w:rsidDel="00000000" w:rsidR="00000000" w:rsidRPr="00000000">
            <w:fldChar w:fldCharType="begin"/>
            <w:instrText xml:space="preserve"> PAGEREF _mne49h49fcfm \h </w:instrText>
            <w:fldChar w:fldCharType="separate"/>
          </w:r>
          <w:r w:rsidDel="00000000" w:rsidR="00000000" w:rsidRPr="00000000">
            <w:rPr>
              <w:b w:val="1"/>
              <w:bCs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C">
          <w:pPr>
            <w:widowControl w:val="0"/>
            <w:tabs>
              <w:tab w:val="right" w:leader="dot" w:pos="9048.188976377955"/>
            </w:tabs>
            <w:spacing w:before="60" w:line="240" w:lineRule="auto"/>
            <w:ind w:left="360" w:firstLine="0"/>
            <w:rPr>
              <w:u w:val="none"/>
            </w:rPr>
          </w:pPr>
          <w:hyperlink w:anchor="_wqvz55nb85ok">
            <w:r w:rsidDel="00000000" w:rsidR="00000000" w:rsidRPr="00000000">
              <w:rPr>
                <w:u w:val="none"/>
                <w:rtl w:val="0"/>
              </w:rPr>
              <w:t xml:space="preserve">2.1 Tools and techniques in general</w:t>
              <w:tab/>
            </w:r>
          </w:hyperlink>
          <w:r w:rsidDel="00000000" w:rsidR="00000000" w:rsidRPr="00000000">
            <w:fldChar w:fldCharType="begin"/>
            <w:instrText xml:space="preserve"> PAGEREF _wqvz55nb85ok \h </w:instrText>
            <w:fldChar w:fldCharType="separate"/>
          </w:r>
          <w:r w:rsidDel="00000000" w:rsidR="00000000" w:rsidRPr="00000000">
            <w:rPr>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dot" w:pos="9048.188976377955"/>
            </w:tabs>
            <w:spacing w:before="60" w:line="240" w:lineRule="auto"/>
            <w:ind w:left="360" w:firstLine="0"/>
            <w:rPr>
              <w:u w:val="none"/>
            </w:rPr>
          </w:pPr>
          <w:hyperlink w:anchor="_sx2qdhvbmjpg">
            <w:r w:rsidDel="00000000" w:rsidR="00000000" w:rsidRPr="00000000">
              <w:rPr>
                <w:u w:val="none"/>
                <w:rtl w:val="0"/>
              </w:rPr>
              <w:t xml:space="preserve">2.2 Critical analysis: How the tools were used in the project Attend X</w:t>
              <w:tab/>
            </w:r>
          </w:hyperlink>
          <w:r w:rsidDel="00000000" w:rsidR="00000000" w:rsidRPr="00000000">
            <w:fldChar w:fldCharType="begin"/>
            <w:instrText xml:space="preserve"> PAGEREF _sx2qdhvbmjpg \h </w:instrText>
            <w:fldChar w:fldCharType="separate"/>
          </w:r>
          <w:r w:rsidDel="00000000" w:rsidR="00000000" w:rsidRPr="00000000">
            <w:rPr>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E">
          <w:pPr>
            <w:widowControl w:val="0"/>
            <w:tabs>
              <w:tab w:val="right" w:leader="dot" w:pos="9048.188976377955"/>
            </w:tabs>
            <w:spacing w:before="60" w:line="240" w:lineRule="auto"/>
            <w:ind w:left="360" w:firstLine="0"/>
            <w:rPr>
              <w:u w:val="none"/>
            </w:rPr>
          </w:pPr>
          <w:hyperlink w:anchor="_njpih1iawxc6">
            <w:r w:rsidDel="00000000" w:rsidR="00000000" w:rsidRPr="00000000">
              <w:rPr>
                <w:u w:val="none"/>
                <w:rtl w:val="0"/>
              </w:rPr>
              <w:t xml:space="preserve">2.3: Stakeholder analysis and communication plan</w:t>
              <w:tab/>
            </w:r>
          </w:hyperlink>
          <w:r w:rsidDel="00000000" w:rsidR="00000000" w:rsidRPr="00000000">
            <w:fldChar w:fldCharType="begin"/>
            <w:instrText xml:space="preserve"> PAGEREF _njpih1iawxc6 \h </w:instrText>
            <w:fldChar w:fldCharType="separate"/>
          </w:r>
          <w:r w:rsidDel="00000000" w:rsidR="00000000" w:rsidRPr="00000000">
            <w:rPr>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F">
          <w:pPr>
            <w:widowControl w:val="0"/>
            <w:tabs>
              <w:tab w:val="right" w:leader="dot" w:pos="9048.188976377955"/>
            </w:tabs>
            <w:spacing w:before="60" w:line="240" w:lineRule="auto"/>
            <w:rPr>
              <w:b w:val="1"/>
              <w:bCs w:val="1"/>
              <w:u w:val="none"/>
            </w:rPr>
          </w:pPr>
          <w:hyperlink w:anchor="_rh30bi6qpsed">
            <w:r w:rsidDel="00000000" w:rsidR="00000000" w:rsidRPr="00000000">
              <w:rPr>
                <w:b w:val="1"/>
                <w:bCs w:val="1"/>
                <w:u w:val="none"/>
                <w:rtl w:val="0"/>
              </w:rPr>
              <w:t xml:space="preserve">3. Conclusion</w:t>
              <w:tab/>
            </w:r>
          </w:hyperlink>
          <w:r w:rsidDel="00000000" w:rsidR="00000000" w:rsidRPr="00000000">
            <w:fldChar w:fldCharType="begin"/>
            <w:instrText xml:space="preserve"> PAGEREF _rh30bi6qpsed \h </w:instrText>
            <w:fldChar w:fldCharType="separate"/>
          </w:r>
          <w:r w:rsidDel="00000000" w:rsidR="00000000" w:rsidRPr="00000000">
            <w:rPr>
              <w:b w:val="1"/>
              <w:bCs w:val="1"/>
              <w:rtl w:val="0"/>
            </w:rPr>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20">
          <w:pPr>
            <w:widowControl w:val="0"/>
            <w:tabs>
              <w:tab w:val="right" w:leader="dot" w:pos="9048.188976377955"/>
            </w:tabs>
            <w:spacing w:before="60" w:line="240" w:lineRule="auto"/>
            <w:rPr>
              <w:b w:val="1"/>
              <w:bCs w:val="1"/>
              <w:u w:val="none"/>
            </w:rPr>
          </w:pPr>
          <w:hyperlink w:anchor="_d92wfytvicvc">
            <w:r w:rsidDel="00000000" w:rsidR="00000000" w:rsidRPr="00000000">
              <w:rPr>
                <w:b w:val="1"/>
                <w:bCs w:val="1"/>
                <w:u w:val="none"/>
                <w:rtl w:val="0"/>
              </w:rPr>
              <w:t xml:space="preserve">4. Future Improvements</w:t>
              <w:tab/>
            </w:r>
          </w:hyperlink>
          <w:r w:rsidDel="00000000" w:rsidR="00000000" w:rsidRPr="00000000">
            <w:fldChar w:fldCharType="begin"/>
            <w:instrText xml:space="preserve"> PAGEREF _d92wfytvicvc \h </w:instrText>
            <w:fldChar w:fldCharType="separate"/>
          </w:r>
          <w:r w:rsidDel="00000000" w:rsidR="00000000" w:rsidRPr="00000000">
            <w:rPr>
              <w:b w:val="1"/>
              <w:bCs w:val="1"/>
              <w:rtl w:val="0"/>
            </w:rPr>
            <w:t xml:space="preserve">15</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0">
      <w:pPr>
        <w:pStyle w:val="Heading2"/>
        <w:numPr>
          <w:ilvl w:val="0"/>
          <w:numId w:val="2"/>
        </w:numPr>
        <w:ind w:left="720" w:hanging="360"/>
        <w:rPr>
          <w:rFonts w:ascii="Times New Roman" w:cs="Times New Roman" w:eastAsia="Times New Roman" w:hAnsi="Times New Roman"/>
          <w:b w:val="1"/>
          <w:bCs w:val="1"/>
          <w:sz w:val="48"/>
          <w:szCs w:val="48"/>
        </w:rPr>
      </w:pPr>
      <w:bookmarkStart w:colFirst="0" w:colLast="0" w:name="_lh7bwxfh0bh6" w:id="2"/>
      <w:bookmarkEnd w:id="2"/>
      <w:r w:rsidDel="00000000" w:rsidR="00000000" w:rsidRPr="00000000">
        <w:rPr>
          <w:rFonts w:ascii="Times New Roman" w:cs="Times New Roman" w:eastAsia="Times New Roman" w:hAnsi="Times New Roman"/>
          <w:b w:val="1"/>
          <w:bCs w:val="1"/>
          <w:sz w:val="48"/>
          <w:szCs w:val="48"/>
          <w:rtl w:val="0"/>
        </w:rPr>
        <w:t xml:space="preserve">Introduction</w:t>
      </w:r>
    </w:p>
    <w:p w:rsidR="00000000" w:rsidDel="00000000" w:rsidP="00000000" w:rsidRDefault="00000000" w:rsidRPr="00000000" w14:paraId="00000041">
      <w:pP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Project Attend X is a QR code-based smart attendance verification system for universities for a faster and smarter way to record attendance. </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idea has emerged as a solution for the common challenges identified with the traditional attendance system, which includes time-consuming manual attendance procedures. The major limitations associated with the traditional procedures identified are increased human errors, time consumption, manual record-keeping, proxy attendance, and inconvenience.. Through Attend -X, the team   is developing a small-scale, feasible, cost-effective QR code-based prototype for an attendance system </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7">
      <w:pPr>
        <w:spacing w:line="360" w:lineRule="auto"/>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Aim</w:t>
      </w:r>
    </w:p>
    <w:p w:rsidR="00000000" w:rsidDel="00000000" w:rsidP="00000000" w:rsidRDefault="00000000" w:rsidRPr="00000000" w14:paraId="0000004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widowControl w:val="0"/>
        <w:spacing w:line="297.59999999999997"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develop a comprehensive project plan for Attend-X, a smart attendance verification system designed to improve attendance recording and classroom efficiency within universities.</w:t>
      </w:r>
      <w:r w:rsidDel="00000000" w:rsidR="00000000" w:rsidRPr="00000000">
        <w:rPr>
          <w:rtl w:val="0"/>
        </w:rPr>
      </w:r>
    </w:p>
    <w:p w:rsidR="00000000" w:rsidDel="00000000" w:rsidP="00000000" w:rsidRDefault="00000000" w:rsidRPr="00000000" w14:paraId="0000004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Objectives </w:t>
      </w:r>
    </w:p>
    <w:p w:rsidR="00000000" w:rsidDel="00000000" w:rsidP="00000000" w:rsidRDefault="00000000" w:rsidRPr="00000000" w14:paraId="0000004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numPr>
          <w:ilvl w:val="0"/>
          <w:numId w:val="3"/>
        </w:numPr>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To identify the limitations of the current traditional  attendance system within universities</w:t>
      </w:r>
    </w:p>
    <w:p w:rsidR="00000000" w:rsidDel="00000000" w:rsidP="00000000" w:rsidRDefault="00000000" w:rsidRPr="00000000" w14:paraId="0000004E">
      <w:pPr>
        <w:numPr>
          <w:ilvl w:val="0"/>
          <w:numId w:val="3"/>
        </w:numPr>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To identify  secure and functional requirements for unique QR code attendance systems with higher efficiency </w:t>
      </w:r>
    </w:p>
    <w:p w:rsidR="00000000" w:rsidDel="00000000" w:rsidP="00000000" w:rsidRDefault="00000000" w:rsidRPr="00000000" w14:paraId="0000004F">
      <w:pPr>
        <w:numPr>
          <w:ilvl w:val="0"/>
          <w:numId w:val="3"/>
        </w:numPr>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To identify financial resources for the project, including prototype development</w:t>
      </w:r>
    </w:p>
    <w:p w:rsidR="00000000" w:rsidDel="00000000" w:rsidP="00000000" w:rsidRDefault="00000000" w:rsidRPr="00000000" w14:paraId="00000050">
      <w:pPr>
        <w:numPr>
          <w:ilvl w:val="0"/>
          <w:numId w:val="3"/>
        </w:numPr>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To conduct pilot testing and collect user feedback from students and lecturers</w:t>
      </w:r>
    </w:p>
    <w:p w:rsidR="00000000" w:rsidDel="00000000" w:rsidP="00000000" w:rsidRDefault="00000000" w:rsidRPr="00000000" w14:paraId="00000051">
      <w:pPr>
        <w:numPr>
          <w:ilvl w:val="0"/>
          <w:numId w:val="3"/>
        </w:numPr>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To recommend potential improvements for wider implementation</w:t>
      </w:r>
    </w:p>
    <w:p w:rsidR="00000000" w:rsidDel="00000000" w:rsidP="00000000" w:rsidRDefault="00000000" w:rsidRPr="00000000" w14:paraId="0000005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54">
      <w:pP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55">
      <w:pP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56">
      <w:pP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57">
      <w:pP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58">
      <w:pP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59">
      <w:pP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5A">
      <w:pPr>
        <w:pStyle w:val="Heading2"/>
        <w:numPr>
          <w:ilvl w:val="0"/>
          <w:numId w:val="2"/>
        </w:numPr>
        <w:ind w:left="566.9291338582675" w:hanging="566.9291338582675"/>
        <w:rPr>
          <w:rFonts w:ascii="Times New Roman" w:cs="Times New Roman" w:eastAsia="Times New Roman" w:hAnsi="Times New Roman"/>
          <w:b w:val="1"/>
          <w:bCs w:val="1"/>
          <w:sz w:val="48"/>
          <w:szCs w:val="48"/>
        </w:rPr>
      </w:pPr>
      <w:bookmarkStart w:colFirst="0" w:colLast="0" w:name="_mne49h49fcfm" w:id="3"/>
      <w:bookmarkEnd w:id="3"/>
      <w:r w:rsidDel="00000000" w:rsidR="00000000" w:rsidRPr="00000000">
        <w:rPr>
          <w:rFonts w:ascii="Times New Roman" w:cs="Times New Roman" w:eastAsia="Times New Roman" w:hAnsi="Times New Roman"/>
          <w:b w:val="1"/>
          <w:bCs w:val="1"/>
          <w:sz w:val="48"/>
          <w:szCs w:val="48"/>
          <w:rtl w:val="0"/>
        </w:rPr>
        <w:t xml:space="preserve">Findings </w:t>
      </w:r>
    </w:p>
    <w:p w:rsidR="00000000" w:rsidDel="00000000" w:rsidP="00000000" w:rsidRDefault="00000000" w:rsidRPr="00000000" w14:paraId="0000005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pStyle w:val="Heading3"/>
        <w:ind w:left="0" w:firstLine="0"/>
        <w:rPr>
          <w:rFonts w:ascii="Times New Roman" w:cs="Times New Roman" w:eastAsia="Times New Roman" w:hAnsi="Times New Roman"/>
          <w:b w:val="1"/>
          <w:bCs w:val="1"/>
          <w:color w:val="000000"/>
        </w:rPr>
      </w:pPr>
      <w:bookmarkStart w:colFirst="0" w:colLast="0" w:name="_wqvz55nb85ok" w:id="4"/>
      <w:bookmarkEnd w:id="4"/>
      <w:r w:rsidDel="00000000" w:rsidR="00000000" w:rsidRPr="00000000">
        <w:rPr>
          <w:rFonts w:ascii="Times New Roman" w:cs="Times New Roman" w:eastAsia="Times New Roman" w:hAnsi="Times New Roman"/>
          <w:b w:val="1"/>
          <w:bCs w:val="1"/>
          <w:color w:val="000000"/>
          <w:rtl w:val="0"/>
        </w:rPr>
        <w:t xml:space="preserve">2.1 Tools and techniques in general </w:t>
      </w:r>
    </w:p>
    <w:p w:rsidR="00000000" w:rsidDel="00000000" w:rsidP="00000000" w:rsidRDefault="00000000" w:rsidRPr="00000000" w14:paraId="0000005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ind w:left="72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2">
      <w:pPr>
        <w:ind w:left="0" w:firstLine="0"/>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Scope management</w:t>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Project scope defines what is included and what is excluded in the project (Meredith, Shafer and Mantel, 2021). Further, Scope is one of the triple constraints along with cost and time that balance the project without deviating from the project objectives and lead the team towards the common goal (Kerzner, Saladis and International Institute for Learning, 2009). Changes in the project scope are highly critical and may result in failure, scope creep or delay in the project.(Tuuli et al., 2023). Meredith and Mantel point out that agreeing to stakeholders’ extended requests without considering cost and time is a major reason for scope creep. Here, the role of the manager is to control the balance of 3 constraints: scope, cost and time throughout the project to ensure success. (Meredith, Shafer and Mantel, 2021) </w:t>
      </w:r>
    </w:p>
    <w:p w:rsidR="00000000" w:rsidDel="00000000" w:rsidP="00000000" w:rsidRDefault="00000000" w:rsidRPr="00000000" w14:paraId="00000066">
      <w:pPr>
        <w:ind w:left="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7">
      <w:pPr>
        <w:ind w:left="0" w:firstLine="0"/>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Stakeholder analysis</w:t>
      </w:r>
    </w:p>
    <w:p w:rsidR="00000000" w:rsidDel="00000000" w:rsidP="00000000" w:rsidRDefault="00000000" w:rsidRPr="00000000" w14:paraId="00000068">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Stakeholder theory was introduced by Edward Freeman in 1984. Stakeholder analysis is the process of identifying and categorising the internal and external stakeholders based on their level of interest and the influence on the project outcomes, and designing strategic plans to retain support, control resistance, and improve project success. (Project Management Institute, 2024). Freeman argues that business success relies on the value creation for all its stakeholders. Stakeholders are the individuals, groups or organisations who can directly or indirectly create an impact on the business outcome (Freeman and McVea, 2001). </w:t>
      </w:r>
    </w:p>
    <w:p w:rsidR="00000000" w:rsidDel="00000000" w:rsidP="00000000" w:rsidRDefault="00000000" w:rsidRPr="00000000" w14:paraId="0000006A">
      <w:pPr>
        <w:ind w:left="0" w:firstLine="0"/>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Communication planning</w:t>
      </w:r>
    </w:p>
    <w:p w:rsidR="00000000" w:rsidDel="00000000" w:rsidP="00000000" w:rsidRDefault="00000000" w:rsidRPr="00000000" w14:paraId="0000006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communication plan is a critical tool with a specific communication strategy identified for specific targeted individual/ group of people, as major factors such as stakeholder engagement, team collaboration and project success are directly linked to the communication plan. Therefore, effective management of the communication plan across the project is inevitable. The major elements of communication include what, who, where, when and how. (Baugh, 2015) </w:t>
      </w:r>
    </w:p>
    <w:p w:rsidR="00000000" w:rsidDel="00000000" w:rsidP="00000000" w:rsidRDefault="00000000" w:rsidRPr="00000000" w14:paraId="0000006D">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E">
      <w:pPr>
        <w:ind w:left="0" w:firstLine="0"/>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Work Breakdown Structure </w:t>
      </w:r>
    </w:p>
    <w:p w:rsidR="00000000" w:rsidDel="00000000" w:rsidP="00000000" w:rsidRDefault="00000000" w:rsidRPr="00000000" w14:paraId="0000006F">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PMBOK 7th edition, Work Breakdown Structure is the framework of work to be executed, and Kerzner describes the WBS  framework as allowing cost, schedule and time can be compared against budget. (Kerzner, Saladis and International Institute for Learning, 2009)  Haughen,2002  also see it as a tool for the project manager to compare the progress of the project against budget. (Haughen 2002 cited in Norman, Brotherton and Fried, 2008) </w:t>
      </w:r>
    </w:p>
    <w:p w:rsidR="00000000" w:rsidDel="00000000" w:rsidP="00000000" w:rsidRDefault="00000000" w:rsidRPr="00000000" w14:paraId="00000071">
      <w:pPr>
        <w:ind w:left="0" w:firstLine="0"/>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Gantt Chart</w:t>
      </w:r>
    </w:p>
    <w:p w:rsidR="00000000" w:rsidDel="00000000" w:rsidP="00000000" w:rsidRDefault="00000000" w:rsidRPr="00000000" w14:paraId="00000072">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3">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Gantt chart is the most common tool to display a project schedule with tasks and timeline. The major advantage of this framework is clarity of work breakdown and enables the team to monitor regular progress. There are arguments that gantt chart does not prioratise the task that need priority due to its rigid structure(Peren and Neifer, 2025) </w:t>
      </w:r>
    </w:p>
    <w:p w:rsidR="00000000" w:rsidDel="00000000" w:rsidP="00000000" w:rsidRDefault="00000000" w:rsidRPr="00000000" w14:paraId="00000074">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5">
      <w:pPr>
        <w:ind w:left="0" w:firstLine="0"/>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Risk analysis</w:t>
      </w:r>
    </w:p>
    <w:p w:rsidR="00000000" w:rsidDel="00000000" w:rsidP="00000000" w:rsidRDefault="00000000" w:rsidRPr="00000000" w14:paraId="00000076">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risk analysis is a process through which a project identifies its potential risks/threats. The process enables the team to design mitigation strategies to address the risks proactively and track the task throughout the project cycle. Kerzner et al. argued that it is important to discuss and approve real risks before moving to the mitigation plan to avoid resource wastage.  (Kerzner, Saladis and International Institute for Learning, 2009) </w:t>
      </w:r>
    </w:p>
    <w:p w:rsidR="00000000" w:rsidDel="00000000" w:rsidP="00000000" w:rsidRDefault="00000000" w:rsidRPr="00000000" w14:paraId="00000078">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ind w:left="0" w:firstLine="0"/>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Iron Triangle</w:t>
      </w:r>
    </w:p>
    <w:p w:rsidR="00000000" w:rsidDel="00000000" w:rsidP="00000000" w:rsidRDefault="00000000" w:rsidRPr="00000000" w14:paraId="0000007A">
      <w:pPr>
        <w:ind w:left="0" w:firstLine="0"/>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7B">
      <w:pPr>
        <w:ind w:left="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7C">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Iron triangle is a framework that shows 3 constraints of project management: scope, time and cost. It is critical to balance these 3 interdependent variables to avoid imbalance in the project, and changes in any of the constraints will subsequently affect the others. (Atkinson 1999) . In modern project management, there is an argument that stakeholder satisfaction and long-term value creation are also determinants of project success. </w:t>
      </w:r>
    </w:p>
    <w:p w:rsidR="00000000" w:rsidDel="00000000" w:rsidP="00000000" w:rsidRDefault="00000000" w:rsidRPr="00000000" w14:paraId="0000007D">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ind w:left="72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0">
      <w:pPr>
        <w:pStyle w:val="Heading3"/>
        <w:ind w:left="0" w:firstLine="0"/>
        <w:rPr>
          <w:rFonts w:ascii="Times New Roman" w:cs="Times New Roman" w:eastAsia="Times New Roman" w:hAnsi="Times New Roman"/>
          <w:b w:val="1"/>
          <w:bCs w:val="1"/>
          <w:color w:val="000000"/>
        </w:rPr>
      </w:pPr>
      <w:bookmarkStart w:colFirst="0" w:colLast="0" w:name="_sx2qdhvbmjpg" w:id="5"/>
      <w:bookmarkEnd w:id="5"/>
      <w:r w:rsidDel="00000000" w:rsidR="00000000" w:rsidRPr="00000000">
        <w:rPr>
          <w:rFonts w:ascii="Times New Roman" w:cs="Times New Roman" w:eastAsia="Times New Roman" w:hAnsi="Times New Roman"/>
          <w:b w:val="1"/>
          <w:bCs w:val="1"/>
          <w:color w:val="000000"/>
          <w:rtl w:val="0"/>
        </w:rPr>
        <w:t xml:space="preserve">2.2 Critical analysis: How the tools were used in the project Attend X</w:t>
      </w:r>
    </w:p>
    <w:p w:rsidR="00000000" w:rsidDel="00000000" w:rsidP="00000000" w:rsidRDefault="00000000" w:rsidRPr="00000000" w14:paraId="00000081">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range of project management tools were used during the Attend X prototype planning to improve efficiency, accuracy and systematic analysis across project stages, starting from planning to evaluation. </w:t>
      </w:r>
    </w:p>
    <w:p w:rsidR="00000000" w:rsidDel="00000000" w:rsidP="00000000" w:rsidRDefault="00000000" w:rsidRPr="00000000" w14:paraId="00000083">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primary step, Belbin’s team role questionnaire was administered to identify the roles within the team and assign the roles according to the role strengths. The roles are attached below for reference (Belbin,2009) </w:t>
      </w:r>
    </w:p>
    <w:p w:rsidR="00000000" w:rsidDel="00000000" w:rsidP="00000000" w:rsidRDefault="00000000" w:rsidRPr="00000000" w14:paraId="00000084">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3594100"/>
            <wp:effectExtent b="0" l="0" r="0" t="0"/>
            <wp:docPr id="2" name="image9.png"/>
            <a:graphic>
              <a:graphicData uri="http://schemas.openxmlformats.org/drawingml/2006/picture">
                <pic:pic>
                  <pic:nvPicPr>
                    <pic:cNvPr id="0" name="image9.png"/>
                    <pic:cNvPicPr preferRelativeResize="0"/>
                  </pic:nvPicPr>
                  <pic:blipFill>
                    <a:blip r:embed="rId7"/>
                    <a:srcRect b="0" l="0" r="0" t="0"/>
                    <a:stretch>
                      <a:fillRect/>
                    </a:stretch>
                  </pic:blipFill>
                  <pic:spPr>
                    <a:xfrm>
                      <a:off x="0" y="0"/>
                      <a:ext cx="5731200" cy="3594100"/>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8">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Scope management</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B">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C">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scope defines what is included and what is excluded.(Meredith, Shafer and Mantel, 2021).</w:t>
      </w:r>
      <w:r w:rsidDel="00000000" w:rsidR="00000000" w:rsidRPr="00000000">
        <w:rPr>
          <w:rtl w:val="0"/>
        </w:rPr>
      </w:r>
    </w:p>
    <w:p w:rsidR="00000000" w:rsidDel="00000000" w:rsidP="00000000" w:rsidRDefault="00000000" w:rsidRPr="00000000" w14:paraId="0000008D">
      <w:pPr>
        <w:widowControl w:val="0"/>
        <w:spacing w:line="292.8"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E">
      <w:pPr>
        <w:widowControl w:val="0"/>
        <w:spacing w:line="292.8"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scope statement </w:t>
      </w:r>
    </w:p>
    <w:p w:rsidR="00000000" w:rsidDel="00000000" w:rsidP="00000000" w:rsidRDefault="00000000" w:rsidRPr="00000000" w14:paraId="0000008F">
      <w:pPr>
        <w:widowControl w:val="0"/>
        <w:spacing w:line="292.8"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0">
      <w:pPr>
        <w:widowControl w:val="0"/>
        <w:spacing w:line="292.8" w:lineRule="auto"/>
        <w:ind w:left="566.9291338582675" w:firstLine="0"/>
        <w:rPr>
          <w:rFonts w:ascii="Times New Roman" w:cs="Times New Roman" w:eastAsia="Times New Roman" w:hAnsi="Times New Roman"/>
          <w:i w:val="1"/>
          <w:iCs w:val="1"/>
          <w:sz w:val="24"/>
          <w:szCs w:val="24"/>
        </w:rPr>
      </w:pPr>
      <w:r w:rsidDel="00000000" w:rsidR="00000000" w:rsidRPr="00000000">
        <w:rPr>
          <w:rFonts w:ascii="Times New Roman" w:cs="Times New Roman" w:eastAsia="Times New Roman" w:hAnsi="Times New Roman"/>
          <w:i w:val="1"/>
          <w:iCs w:val="1"/>
          <w:sz w:val="24"/>
          <w:szCs w:val="24"/>
          <w:rtl w:val="0"/>
        </w:rPr>
        <w:t xml:space="preserve">This project focuses on developing a smart attendance system for university students and lecturers by producing a complete proposal that includes a QR-code sign-in process, security measures, fraud prevention strategies, implementation planning, questionnaires, and presentation materials within an eight-week project timeline.</w:t>
      </w:r>
    </w:p>
    <w:p w:rsidR="00000000" w:rsidDel="00000000" w:rsidP="00000000" w:rsidRDefault="00000000" w:rsidRPr="00000000" w14:paraId="00000091">
      <w:pPr>
        <w:spacing w:line="360" w:lineRule="auto"/>
        <w:ind w:left="566.9291338582675"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2">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scope excludes full-scale software development, high-end security features, operational staff training, and implementation at the university. Thus, the scope clearly set the boundaries to keep the project realistic and manageable, and therefore the team was aware to keep the cost, scope, and time realistic and manageable to avoid scope creep (Meredith, Shafer and Mantel, 2021). Scope management helped to identify the stakeholder preferences and how dynamic interests affect scope management. It will help to stay competent as Universities worldwide are incorporating digitalised solutions to improve operational efficiency and user experience (Mircea and Nguyen, 2023; Nadhan et al., 2022; Alotibe, 2024) </w:t>
      </w:r>
    </w:p>
    <w:p w:rsidR="00000000" w:rsidDel="00000000" w:rsidP="00000000" w:rsidRDefault="00000000" w:rsidRPr="00000000" w14:paraId="00000093">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4">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Work-breakdown  structure (WBS) </w:t>
      </w:r>
    </w:p>
    <w:p w:rsidR="00000000" w:rsidDel="00000000" w:rsidP="00000000" w:rsidRDefault="00000000" w:rsidRPr="00000000" w14:paraId="00000095">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 Breakdown Structure divides the project into phases and manageable tasks (Burghate, 2018) and streamlines all the tasks involved in the Attend X project, sharing a common understanding for each team member regarding the task flow to reach the common goal. The framework helped with better team allocation and teamwork. However, the tool doesn’t have a schedule (Burghate, 2018) but allows team members to compare cost, scope and time. By aligning the WBS with the Gantt chart, it shared an overall picture of how 3 major constraints must be balanced with each other. (Kerzner, Saladis and International Institute for Learning, 2009) </w:t>
      </w:r>
    </w:p>
    <w:p w:rsidR="00000000" w:rsidDel="00000000" w:rsidP="00000000" w:rsidRDefault="00000000" w:rsidRPr="00000000" w14:paraId="00000096">
      <w:pPr>
        <w:ind w:left="141.73228346456688"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Pr>
        <w:drawing>
          <wp:inline distB="114300" distT="114300" distL="114300" distR="114300">
            <wp:extent cx="5731200" cy="2616200"/>
            <wp:effectExtent b="0" l="0" r="0" t="0"/>
            <wp:docPr id="7"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731200" cy="2616200"/>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ind w:left="141.73228346456688"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98">
      <w:pPr>
        <w:ind w:left="141.73228346456688"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99">
      <w:pPr>
        <w:ind w:left="141.73228346456688"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9A">
      <w:pPr>
        <w:ind w:left="141.73228346456688"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Gantt chart </w:t>
      </w:r>
    </w:p>
    <w:p w:rsidR="00000000" w:rsidDel="00000000" w:rsidP="00000000" w:rsidRDefault="00000000" w:rsidRPr="00000000" w14:paraId="0000009B">
      <w:pPr>
        <w:ind w:left="141.73228346456688"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ind w:left="141.73228346456688"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524500" cy="2800350"/>
            <wp:effectExtent b="0" l="0" r="0" t="0"/>
            <wp:docPr id="1"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524500" cy="2800350"/>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spacing w:line="360" w:lineRule="auto"/>
        <w:ind w:left="141.73228346456688"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E">
      <w:pPr>
        <w:spacing w:line="360" w:lineRule="auto"/>
        <w:ind w:left="141.73228346456688"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Gantt chart was used to schedule project activities with a timeline and milestones to complete each task. (Wadhwa, 2024) It helped the team members to track progress, monitor and meet the deadlines. A flexible schedule is recommended to meet contingencies  (Wadhwa, 2024). Hence, this tool is highly effective only with continuous updating, considering the changes</w:t>
      </w:r>
      <w:r w:rsidDel="00000000" w:rsidR="00000000" w:rsidRPr="00000000">
        <w:rPr>
          <w:rtl w:val="0"/>
        </w:rPr>
      </w:r>
    </w:p>
    <w:p w:rsidR="00000000" w:rsidDel="00000000" w:rsidP="00000000" w:rsidRDefault="00000000" w:rsidRPr="00000000" w14:paraId="0000009F">
      <w:pPr>
        <w:spacing w:line="360" w:lineRule="auto"/>
        <w:ind w:left="141.73228346456688"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0">
      <w:pPr>
        <w:ind w:left="141.73228346456688"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ind w:left="141.73228346456688"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A2">
      <w:pPr>
        <w:ind w:left="141.73228346456688"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Risk analysis </w:t>
      </w:r>
    </w:p>
    <w:p w:rsidR="00000000" w:rsidDel="00000000" w:rsidP="00000000" w:rsidRDefault="00000000" w:rsidRPr="00000000" w14:paraId="000000A3">
      <w:pPr>
        <w:ind w:left="141.73228346456688"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A4">
      <w:pPr>
        <w:spacing w:line="360" w:lineRule="auto"/>
        <w:ind w:left="141.73228346456688"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Risk analysis is an effective method to spot potential risks anticipated across the project cycle. (Vaezi, Jones and Asgary, 2023) The process helped the team to map risks into Critical- Medium - high categeries by a risk matrix where the risks are mapped based on their likelihood of occurrence and possible impact across the project cycle. Further, a mitigation plan was developed to respond proactively to each type of risk. (Vaezi, Jones and Asgary, 2023) University acceptance and time constraints are considered most critical, as both will have a high impact on the smooth delivery of the project. Attendance fraud is categorised under medium likelihood and medium impact. Since immense cooperation is required from both stakeholders for the smooth running of the project within the limited time, Resistance to change by students and lecturers is considered to have high impact. It is argued that early response and intention towards change is crucial (Bayiz Ahmad et al., 2020). Data security issues are less likely to happen, but treated with high priority given the serious consequences. Overall, analysing risk  is not a one-time activity but needs continuous monitoring(Vaezi, Jones and Asgary, 2023) </w:t>
      </w:r>
    </w:p>
    <w:p w:rsidR="00000000" w:rsidDel="00000000" w:rsidP="00000000" w:rsidRDefault="00000000" w:rsidRPr="00000000" w14:paraId="000000A5">
      <w:pPr>
        <w:spacing w:line="360" w:lineRule="auto"/>
        <w:ind w:left="141.73228346456688"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6">
      <w:pPr>
        <w:spacing w:line="360" w:lineRule="auto"/>
        <w:ind w:left="141.73228346456688"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Iron triangle</w:t>
      </w:r>
    </w:p>
    <w:p w:rsidR="00000000" w:rsidDel="00000000" w:rsidP="00000000" w:rsidRDefault="00000000" w:rsidRPr="00000000" w14:paraId="000000A7">
      <w:pPr>
        <w:spacing w:line="360" w:lineRule="auto"/>
        <w:ind w:left="141.73228346456688"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8">
      <w:pPr>
        <w:spacing w:line="360" w:lineRule="auto"/>
        <w:ind w:left="141.73228346456688"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iron triangle is another tool used to analyse the 3 constraints of project scope, time and cost. Since Attend X is a low-scale academic project that aims for a prototype and demonstration of a QR code-based attendance system with limited time and budget, it is highly important to monitor the 3 constraints to avoid project creep. (Atkinson 1999). Therefore, Iron Triangle components are managed closely along with effective stakeholder management for high-quality project delivery. Romero Torres state complete project success assessment must consider stakeholder satisfaction and long-term value creation as well. (Romero-Torres et al., 2026) </w:t>
      </w:r>
    </w:p>
    <w:p w:rsidR="00000000" w:rsidDel="00000000" w:rsidP="00000000" w:rsidRDefault="00000000" w:rsidRPr="00000000" w14:paraId="000000A9">
      <w:pPr>
        <w:spacing w:line="360" w:lineRule="auto"/>
        <w:ind w:left="141.73228346456688"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A">
      <w:pPr>
        <w:spacing w:line="360" w:lineRule="auto"/>
        <w:ind w:left="141.73228346456688" w:firstLine="0"/>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Budgeting </w:t>
      </w:r>
    </w:p>
    <w:p w:rsidR="00000000" w:rsidDel="00000000" w:rsidP="00000000" w:rsidRDefault="00000000" w:rsidRPr="00000000" w14:paraId="000000AB">
      <w:pPr>
        <w:spacing w:line="360" w:lineRule="auto"/>
        <w:ind w:left="141.73228346456688"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total initial budget of 3600 GBP is set for the simple QR code functional prototype and pilot testing. The cost involves software development and QR code integration, pilot testing, and project management. The stakeholders who sponsor the project will benefit from high brand visibility in education and innovation, and future potential during full-fledged implementation across various universities. In return, the team offers marketing, promotion and brand recognition</w:t>
      </w:r>
    </w:p>
    <w:p w:rsidR="00000000" w:rsidDel="00000000" w:rsidP="00000000" w:rsidRDefault="00000000" w:rsidRPr="00000000" w14:paraId="000000AC">
      <w:pPr>
        <w:spacing w:line="360" w:lineRule="auto"/>
        <w:ind w:left="141.73228346456688"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pStyle w:val="Heading3"/>
        <w:ind w:left="0" w:firstLine="0"/>
        <w:rPr>
          <w:rFonts w:ascii="Times New Roman" w:cs="Times New Roman" w:eastAsia="Times New Roman" w:hAnsi="Times New Roman"/>
          <w:b w:val="1"/>
          <w:bCs w:val="1"/>
          <w:color w:val="000000"/>
        </w:rPr>
      </w:pPr>
      <w:bookmarkStart w:colFirst="0" w:colLast="0" w:name="_njpih1iawxc6" w:id="6"/>
      <w:bookmarkEnd w:id="6"/>
      <w:r w:rsidDel="00000000" w:rsidR="00000000" w:rsidRPr="00000000">
        <w:rPr>
          <w:rFonts w:ascii="Times New Roman" w:cs="Times New Roman" w:eastAsia="Times New Roman" w:hAnsi="Times New Roman"/>
          <w:b w:val="1"/>
          <w:bCs w:val="1"/>
          <w:color w:val="000000"/>
          <w:rtl w:val="0"/>
        </w:rPr>
        <w:t xml:space="preserve">2.3: Stakeholder analysis and communication plan </w:t>
      </w:r>
    </w:p>
    <w:p w:rsidR="00000000" w:rsidDel="00000000" w:rsidP="00000000" w:rsidRDefault="00000000" w:rsidRPr="00000000" w14:paraId="000000B2">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3">
      <w:pPr>
        <w:spacing w:line="360" w:lineRule="auto"/>
        <w:ind w:left="0" w:firstLine="0"/>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Stakeholder analysis </w:t>
      </w:r>
    </w:p>
    <w:p w:rsidR="00000000" w:rsidDel="00000000" w:rsidP="00000000" w:rsidRDefault="00000000" w:rsidRPr="00000000" w14:paraId="000000B4">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5">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6">
      <w:pPr>
        <w:spacing w:line="360" w:lineRule="auto"/>
        <w:ind w:left="0" w:firstLine="0"/>
        <w:rPr>
          <w:rFonts w:ascii="Times New Roman" w:cs="Times New Roman" w:eastAsia="Times New Roman" w:hAnsi="Times New Roman"/>
          <w:sz w:val="24"/>
          <w:szCs w:val="24"/>
        </w:rPr>
      </w:pPr>
      <w:r w:rsidDel="00000000" w:rsidR="00000000" w:rsidRPr="00000000">
        <w:rPr/>
        <w:drawing>
          <wp:inline distB="114300" distT="114300" distL="114300" distR="114300">
            <wp:extent cx="5362575" cy="4709647"/>
            <wp:effectExtent b="0" l="0" r="0" t="0"/>
            <wp:docPr id="4"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5362575" cy="4709647"/>
                    </a:xfrm>
                    <a:prstGeom prst="rect"/>
                    <a:ln/>
                  </pic:spPr>
                </pic:pic>
              </a:graphicData>
            </a:graphic>
          </wp:inline>
        </w:drawing>
      </w:r>
      <w:r w:rsidDel="00000000" w:rsidR="00000000" w:rsidRPr="00000000">
        <w:rPr>
          <w:rtl w:val="0"/>
        </w:rPr>
      </w:r>
    </w:p>
    <w:p w:rsidR="00000000" w:rsidDel="00000000" w:rsidP="00000000" w:rsidRDefault="00000000" w:rsidRPr="00000000" w14:paraId="000000B7">
      <w:pPr>
        <w:spacing w:line="360" w:lineRule="auto"/>
        <w:ind w:left="0" w:firstLine="0"/>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Power interest grid </w:t>
      </w:r>
    </w:p>
    <w:p w:rsidR="00000000" w:rsidDel="00000000" w:rsidP="00000000" w:rsidRDefault="00000000" w:rsidRPr="00000000" w14:paraId="000000B8">
      <w:pPr>
        <w:spacing w:line="360" w:lineRule="auto"/>
        <w:ind w:left="0" w:firstLine="0"/>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B9">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295900" cy="2523523"/>
            <wp:effectExtent b="0" l="0" r="0" t="0"/>
            <wp:docPr id="8" name="image8.png"/>
            <a:graphic>
              <a:graphicData uri="http://schemas.openxmlformats.org/drawingml/2006/picture">
                <pic:pic>
                  <pic:nvPicPr>
                    <pic:cNvPr id="0" name="image8.png"/>
                    <pic:cNvPicPr preferRelativeResize="0"/>
                  </pic:nvPicPr>
                  <pic:blipFill>
                    <a:blip r:embed="rId11"/>
                    <a:srcRect b="2518" l="5980" r="1661" t="23871"/>
                    <a:stretch>
                      <a:fillRect/>
                    </a:stretch>
                  </pic:blipFill>
                  <pic:spPr>
                    <a:xfrm>
                      <a:off x="0" y="0"/>
                      <a:ext cx="5295900" cy="2523523"/>
                    </a:xfrm>
                    <a:prstGeom prst="rect"/>
                    <a:ln/>
                  </pic:spPr>
                </pic:pic>
              </a:graphicData>
            </a:graphic>
          </wp:inline>
        </w:drawing>
      </w:r>
      <w:r w:rsidDel="00000000" w:rsidR="00000000" w:rsidRPr="00000000">
        <w:rPr>
          <w:rtl w:val="0"/>
        </w:rPr>
      </w:r>
    </w:p>
    <w:p w:rsidR="00000000" w:rsidDel="00000000" w:rsidP="00000000" w:rsidRDefault="00000000" w:rsidRPr="00000000" w14:paraId="000000B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t>
      </w:r>
      <w:r w:rsidDel="00000000" w:rsidR="00000000" w:rsidRPr="00000000">
        <w:rPr>
          <w:rFonts w:ascii="Times New Roman" w:cs="Times New Roman" w:eastAsia="Times New Roman" w:hAnsi="Times New Roman"/>
          <w:sz w:val="24"/>
          <w:szCs w:val="24"/>
          <w:rtl w:val="0"/>
        </w:rPr>
        <w:t xml:space="preserve">project team, University administration, IT specialists, and sponsors are internal stakeholders with high interest but possess strong influence, as they are directly involved in project delivery, decision-making, approvals, feasibility, and financial arrangements, which will be closely managed. University, data protection, and management teams are low-interest category but have direct influence on strategic decision-making and prototype compliance, which makes their role critical. The team will keep them satisfied with regular emails. Students, lecturers and university unions are potential users and mapped as external stakeholders. They possess high interest but have low influence on the project output requires only relevant updates. Similarly, a low-interest-low-influence group will need monitoring only</w:t>
      </w:r>
      <w:r w:rsidDel="00000000" w:rsidR="00000000" w:rsidRPr="00000000">
        <w:rPr>
          <w:rFonts w:ascii="Times New Roman" w:cs="Times New Roman" w:eastAsia="Times New Roman" w:hAnsi="Times New Roman"/>
          <w:sz w:val="24"/>
          <w:szCs w:val="24"/>
          <w:rtl w:val="0"/>
        </w:rPr>
        <w:t xml:space="preserve">. A power-interest matrix categorised stakeholders into 4 categories: high interest- high power, high interest-low power, low interest-high power and low interest-low power based on their level of interest and their level of influence on project outcomes </w:t>
      </w:r>
      <w:r w:rsidDel="00000000" w:rsidR="00000000" w:rsidRPr="00000000">
        <w:rPr>
          <w:rFonts w:ascii="Times New Roman" w:cs="Times New Roman" w:eastAsia="Times New Roman" w:hAnsi="Times New Roman"/>
          <w:sz w:val="24"/>
          <w:szCs w:val="24"/>
          <w:rtl w:val="0"/>
        </w:rPr>
        <w:t xml:space="preserve">(Petrescu-Mag et al., 2025) </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stakeholder analysis with a communication plan should be flexible according to the level of power and influence of the stakeholders  (Cornelissen, 2020). Additionally, identifying resource dependencies at the group level improves stakeholder identification and accuracy (Rodriguez Serna, Nakandala and Bowyer, 2022). The major difficulty was identifying the stakeholders' interests and level of influence. It is argued that overlooking  a powerful stakeholder is a critical loss(Rodriguez Serna, Nakandala and Bowyer, 2022)</w:t>
      </w:r>
    </w:p>
    <w:p w:rsidR="00000000" w:rsidDel="00000000" w:rsidP="00000000" w:rsidRDefault="00000000" w:rsidRPr="00000000" w14:paraId="000000B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E">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Communication plan </w:t>
      </w:r>
    </w:p>
    <w:p w:rsidR="00000000" w:rsidDel="00000000" w:rsidP="00000000" w:rsidRDefault="00000000" w:rsidRPr="00000000" w14:paraId="000000BF">
      <w:pPr>
        <w:spacing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C0">
      <w:pPr>
        <w:spacing w:line="360" w:lineRule="auto"/>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4"/>
          <w:szCs w:val="24"/>
          <w:rtl w:val="0"/>
        </w:rPr>
        <w:t xml:space="preserve">A detailed communication plan was developed for each set of stakeholders based on the type of information, channel of communication and frequency for effective information flow that clearly meets the stakeholder interests (Project Management Institute, 2000). The project team ensured strong internal and external communication coordination, with appropriate methods, but it is evident that stakeholders have varied interests which cannot be limited to their roles. It is learnt that frequency and channels of communication shall be flexible as per the specific requirements to ensure the effective utilisation of potential stakeholders (Project Management Institute, 2000). However, regular communication will not guarantee communication effectiveness; delays can happen, and it depends on the stakeholder’s responsiveness as well. </w:t>
      </w:r>
      <w:r w:rsidDel="00000000" w:rsidR="00000000" w:rsidRPr="00000000">
        <w:rPr>
          <w:rtl w:val="0"/>
        </w:rPr>
      </w:r>
    </w:p>
    <w:p w:rsidR="00000000" w:rsidDel="00000000" w:rsidP="00000000" w:rsidRDefault="00000000" w:rsidRPr="00000000" w14:paraId="000000C1">
      <w:pPr>
        <w:spacing w:line="360" w:lineRule="auto"/>
        <w:rPr>
          <w:rFonts w:ascii="Times New Roman" w:cs="Times New Roman" w:eastAsia="Times New Roman" w:hAnsi="Times New Roman"/>
          <w:sz w:val="24"/>
          <w:szCs w:val="24"/>
        </w:rPr>
      </w:pPr>
      <w:r w:rsidDel="00000000" w:rsidR="00000000" w:rsidRPr="00000000">
        <w:rPr/>
        <w:drawing>
          <wp:inline distB="114300" distT="114300" distL="114300" distR="114300">
            <wp:extent cx="6343763" cy="3009900"/>
            <wp:effectExtent b="0" l="0" r="0" t="0"/>
            <wp:docPr id="5" name="image3.png"/>
            <a:graphic>
              <a:graphicData uri="http://schemas.openxmlformats.org/drawingml/2006/picture">
                <pic:pic>
                  <pic:nvPicPr>
                    <pic:cNvPr id="0" name="image3.png"/>
                    <pic:cNvPicPr preferRelativeResize="0"/>
                  </pic:nvPicPr>
                  <pic:blipFill>
                    <a:blip r:embed="rId12"/>
                    <a:srcRect b="0" l="0" r="3155" t="0"/>
                    <a:stretch>
                      <a:fillRect/>
                    </a:stretch>
                  </pic:blipFill>
                  <pic:spPr>
                    <a:xfrm>
                      <a:off x="0" y="0"/>
                      <a:ext cx="6343763" cy="3009900"/>
                    </a:xfrm>
                    <a:prstGeom prst="rect"/>
                    <a:ln/>
                  </pic:spPr>
                </pic:pic>
              </a:graphicData>
            </a:graphic>
          </wp:inline>
        </w:drawing>
      </w:r>
      <w:r w:rsidDel="00000000" w:rsidR="00000000" w:rsidRPr="00000000">
        <w:rPr>
          <w:rtl w:val="0"/>
        </w:rPr>
      </w:r>
    </w:p>
    <w:p w:rsidR="00000000" w:rsidDel="00000000" w:rsidP="00000000" w:rsidRDefault="00000000" w:rsidRPr="00000000" w14:paraId="000000C2">
      <w:pPr>
        <w:ind w:left="72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C3">
      <w:pPr>
        <w:ind w:left="72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C4">
      <w:pPr>
        <w:ind w:left="72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C5">
      <w:pPr>
        <w:pStyle w:val="Heading2"/>
        <w:numPr>
          <w:ilvl w:val="0"/>
          <w:numId w:val="2"/>
        </w:numPr>
        <w:spacing w:line="360" w:lineRule="auto"/>
        <w:ind w:left="720" w:hanging="360"/>
        <w:jc w:val="both"/>
        <w:rPr>
          <w:b w:val="1"/>
          <w:bCs w:val="1"/>
          <w:sz w:val="48"/>
          <w:szCs w:val="48"/>
        </w:rPr>
      </w:pPr>
      <w:bookmarkStart w:colFirst="0" w:colLast="0" w:name="_rh30bi6qpsed" w:id="7"/>
      <w:bookmarkEnd w:id="7"/>
      <w:r w:rsidDel="00000000" w:rsidR="00000000" w:rsidRPr="00000000">
        <w:rPr>
          <w:b w:val="1"/>
          <w:bCs w:val="1"/>
          <w:sz w:val="48"/>
          <w:szCs w:val="48"/>
          <w:rtl w:val="0"/>
        </w:rPr>
        <w:t xml:space="preserve">Conclusion</w:t>
      </w:r>
    </w:p>
    <w:p w:rsidR="00000000" w:rsidDel="00000000" w:rsidP="00000000" w:rsidRDefault="00000000" w:rsidRPr="00000000" w14:paraId="000000C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project Attend X provided an opportunity to understand how theoretical knowledge can be applied on a practical level. Scope management was the most vital area to be kept under control throughout the project. Any change in any of the three variables can result in project failure. To conclude, Attend X is the need of the hour for many organisations with high potential to be tested, evaluated and can be widely implemented in universities</w:t>
      </w:r>
    </w:p>
    <w:p w:rsidR="00000000" w:rsidDel="00000000" w:rsidP="00000000" w:rsidRDefault="00000000" w:rsidRPr="00000000" w14:paraId="000000C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project demonstrated how it progresses across stages to achieve the common aim and objectives. Attend X successfully applied various project management tools and techniques starting from the planning stage. The Belbin role application established the roles and improved team efficiency. The scope, objectives, budget and time were realistic, and the activities clearly identified the potential stakeholders, risks, timeline, and work breakdown structure. Tools helped to identify potential stakeholders, create a realistic budget, analyse risk factors through risk matrix analysis and prepare risk mitigation strategies, Iron Triangle to balance constraints, a Gantt chart for a realistic time scale, and a WBS for structured activities and helped to implement the project successfully</w:t>
      </w:r>
    </w:p>
    <w:p w:rsidR="00000000" w:rsidDel="00000000" w:rsidP="00000000" w:rsidRDefault="00000000" w:rsidRPr="00000000" w14:paraId="000000C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A">
      <w:pPr>
        <w:pStyle w:val="Heading2"/>
        <w:numPr>
          <w:ilvl w:val="0"/>
          <w:numId w:val="2"/>
        </w:numPr>
        <w:ind w:left="720" w:hanging="360"/>
        <w:rPr>
          <w:rFonts w:ascii="Times New Roman" w:cs="Times New Roman" w:eastAsia="Times New Roman" w:hAnsi="Times New Roman"/>
          <w:b w:val="1"/>
          <w:bCs w:val="1"/>
          <w:sz w:val="48"/>
          <w:szCs w:val="48"/>
        </w:rPr>
      </w:pPr>
      <w:bookmarkStart w:colFirst="0" w:colLast="0" w:name="_d92wfytvicvc" w:id="8"/>
      <w:bookmarkEnd w:id="8"/>
      <w:r w:rsidDel="00000000" w:rsidR="00000000" w:rsidRPr="00000000">
        <w:rPr>
          <w:rFonts w:ascii="Times New Roman" w:cs="Times New Roman" w:eastAsia="Times New Roman" w:hAnsi="Times New Roman"/>
          <w:b w:val="1"/>
          <w:bCs w:val="1"/>
          <w:sz w:val="48"/>
          <w:szCs w:val="48"/>
          <w:rtl w:val="0"/>
        </w:rPr>
        <w:t xml:space="preserve">Future Improvements </w:t>
      </w:r>
    </w:p>
    <w:p w:rsidR="00000000" w:rsidDel="00000000" w:rsidP="00000000" w:rsidRDefault="00000000" w:rsidRPr="00000000" w14:paraId="000000C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C">
      <w:pPr>
        <w:ind w:left="0" w:firstLine="0"/>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C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Attend X is identified as a simple concept with huge potential in the future. The idea was extremely simple and relevant, and easily communicated among team members. The project team could effectively implement theoretical knowledge into practical application. </w:t>
      </w:r>
    </w:p>
    <w:p w:rsidR="00000000" w:rsidDel="00000000" w:rsidP="00000000" w:rsidRDefault="00000000" w:rsidRPr="00000000" w14:paraId="000000C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major limitations was delivering a project within an insufficient time frame of 8 weeks. Wider implementation requires resource support and infrastructure.</w:t>
      </w:r>
    </w:p>
    <w:p w:rsidR="00000000" w:rsidDel="00000000" w:rsidP="00000000" w:rsidRDefault="00000000" w:rsidRPr="00000000" w14:paraId="000000D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1">
      <w:pPr>
        <w:spacing w:line="36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2">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project was a great learning experience as a team and a professional. The project enhanced personal and professional skills, specifically in the area of project management. The project applied a wide range of project management tools that helped with structured planning and implementation to achieve the objectives. </w:t>
      </w:r>
    </w:p>
    <w:p w:rsidR="00000000" w:rsidDel="00000000" w:rsidP="00000000" w:rsidRDefault="00000000" w:rsidRPr="00000000" w14:paraId="000000D3">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experience enhanced informed decision-making, proactiveness, and preparedness, which need to be improved with more experience. Identifying the right stakeholders earlier would have saved cost and time. Another learning is that assessment of stakeholders must be need-based and must be kept within scope to avoid scope creep. </w:t>
      </w:r>
    </w:p>
    <w:p w:rsidR="00000000" w:rsidDel="00000000" w:rsidP="00000000" w:rsidRDefault="00000000" w:rsidRPr="00000000" w14:paraId="000000D4">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5">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6">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7">
      <w:pPr>
        <w:ind w:left="0" w:firstLine="0"/>
        <w:jc w:val="both"/>
        <w:rPr>
          <w:rFonts w:ascii="Times New Roman" w:cs="Times New Roman" w:eastAsia="Times New Roman" w:hAnsi="Times New Roman"/>
          <w:sz w:val="48"/>
          <w:szCs w:val="48"/>
        </w:rPr>
      </w:pPr>
      <w:r w:rsidDel="00000000" w:rsidR="00000000" w:rsidRPr="00000000">
        <w:rPr>
          <w:rFonts w:ascii="Times New Roman" w:cs="Times New Roman" w:eastAsia="Times New Roman" w:hAnsi="Times New Roman"/>
          <w:sz w:val="48"/>
          <w:szCs w:val="48"/>
          <w:rtl w:val="0"/>
        </w:rPr>
        <w:t xml:space="preserve">Bibliography </w:t>
      </w:r>
    </w:p>
    <w:p w:rsidR="00000000" w:rsidDel="00000000" w:rsidP="00000000" w:rsidRDefault="00000000" w:rsidRPr="00000000" w14:paraId="000000D8">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9">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A">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Alotibe, M. (2024). Managing Scope Creep in Project Management. </w:t>
      </w:r>
      <w:r w:rsidDel="00000000" w:rsidR="00000000" w:rsidRPr="00000000">
        <w:rPr>
          <w:rFonts w:ascii="Times New Roman" w:cs="Times New Roman" w:eastAsia="Times New Roman" w:hAnsi="Times New Roman"/>
          <w:i w:val="1"/>
          <w:iCs w:val="1"/>
          <w:sz w:val="24"/>
          <w:szCs w:val="24"/>
          <w:rtl w:val="0"/>
        </w:rPr>
        <w:t xml:space="preserve">International Journal of Management and Commerce Innovations</w:t>
      </w:r>
      <w:r w:rsidDel="00000000" w:rsidR="00000000" w:rsidRPr="00000000">
        <w:rPr>
          <w:rFonts w:ascii="Times New Roman" w:cs="Times New Roman" w:eastAsia="Times New Roman" w:hAnsi="Times New Roman"/>
          <w:sz w:val="24"/>
          <w:szCs w:val="24"/>
          <w:rtl w:val="0"/>
        </w:rPr>
        <w:t xml:space="preserve">, [online] 12(2), pp.82–86. doi:10.5281/zenodo.14281964   </w:t>
      </w:r>
    </w:p>
    <w:p w:rsidR="00000000" w:rsidDel="00000000" w:rsidP="00000000" w:rsidRDefault="00000000" w:rsidRPr="00000000" w14:paraId="000000DB">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Baugh, A. (2015). </w:t>
      </w:r>
      <w:r w:rsidDel="00000000" w:rsidR="00000000" w:rsidRPr="00000000">
        <w:rPr>
          <w:rFonts w:ascii="Times New Roman" w:cs="Times New Roman" w:eastAsia="Times New Roman" w:hAnsi="Times New Roman"/>
          <w:i w:val="1"/>
          <w:iCs w:val="1"/>
          <w:sz w:val="24"/>
          <w:szCs w:val="24"/>
          <w:rtl w:val="0"/>
        </w:rPr>
        <w:t xml:space="preserve">Stakeholder Engagement</w:t>
      </w:r>
      <w:r w:rsidDel="00000000" w:rsidR="00000000" w:rsidRPr="00000000">
        <w:rPr>
          <w:rFonts w:ascii="Times New Roman" w:cs="Times New Roman" w:eastAsia="Times New Roman" w:hAnsi="Times New Roman"/>
          <w:sz w:val="24"/>
          <w:szCs w:val="24"/>
          <w:rtl w:val="0"/>
        </w:rPr>
        <w:t xml:space="preserve">. [online] CRC Press. Available at: </w:t>
      </w:r>
      <w:hyperlink r:id="rId13">
        <w:r w:rsidDel="00000000" w:rsidR="00000000" w:rsidRPr="00000000">
          <w:rPr>
            <w:rFonts w:ascii="Times New Roman" w:cs="Times New Roman" w:eastAsia="Times New Roman" w:hAnsi="Times New Roman"/>
            <w:sz w:val="24"/>
            <w:szCs w:val="24"/>
            <w:u w:val="single"/>
            <w:rtl w:val="0"/>
          </w:rPr>
          <w:t xml:space="preserve">https://www.google.co.in/books/edition/Stakeholder_Engagement/gY_2EAAAQBAJ?hl=en&amp;gbpv=1&amp;dq=stakeholder+communication+plan&amp;pg=PT48&amp;printsec=frontcover</w:t>
        </w:r>
      </w:hyperlink>
      <w:r w:rsidDel="00000000" w:rsidR="00000000" w:rsidRPr="00000000">
        <w:rPr>
          <w:rFonts w:ascii="Times New Roman" w:cs="Times New Roman" w:eastAsia="Times New Roman" w:hAnsi="Times New Roman"/>
          <w:sz w:val="24"/>
          <w:szCs w:val="24"/>
          <w:rtl w:val="0"/>
        </w:rPr>
        <w:t xml:space="preserve">  [Accessed 6 July 2026].</w:t>
      </w:r>
    </w:p>
    <w:p w:rsidR="00000000" w:rsidDel="00000000" w:rsidP="00000000" w:rsidRDefault="00000000" w:rsidRPr="00000000" w14:paraId="000000DC">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Bayiz Ahmad, A., Liu, B. and Saleem Butt, A. (2019). Predictors and Outcomes of Change Recipient Proactivity in Public Organizations of the Kurdistan Region of IRAQ. </w:t>
      </w:r>
      <w:r w:rsidDel="00000000" w:rsidR="00000000" w:rsidRPr="00000000">
        <w:rPr>
          <w:rFonts w:ascii="Times New Roman" w:cs="Times New Roman" w:eastAsia="Times New Roman" w:hAnsi="Times New Roman"/>
          <w:i w:val="1"/>
          <w:iCs w:val="1"/>
          <w:sz w:val="24"/>
          <w:szCs w:val="24"/>
          <w:rtl w:val="0"/>
        </w:rPr>
        <w:t xml:space="preserve">International Public Management Journal</w:t>
      </w:r>
      <w:r w:rsidDel="00000000" w:rsidR="00000000" w:rsidRPr="00000000">
        <w:rPr>
          <w:rFonts w:ascii="Times New Roman" w:cs="Times New Roman" w:eastAsia="Times New Roman" w:hAnsi="Times New Roman"/>
          <w:sz w:val="24"/>
          <w:szCs w:val="24"/>
          <w:rtl w:val="0"/>
        </w:rPr>
        <w:t xml:space="preserve">, 23(6), pp.823–851. doi:10.1080/10967494.2019.1588812.   </w:t>
      </w:r>
    </w:p>
    <w:p w:rsidR="00000000" w:rsidDel="00000000" w:rsidP="00000000" w:rsidRDefault="00000000" w:rsidRPr="00000000" w14:paraId="000000DD">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Burghate, M. (2018). </w:t>
      </w:r>
      <w:r w:rsidDel="00000000" w:rsidR="00000000" w:rsidRPr="00000000">
        <w:rPr>
          <w:rFonts w:ascii="Times New Roman" w:cs="Times New Roman" w:eastAsia="Times New Roman" w:hAnsi="Times New Roman"/>
          <w:i w:val="1"/>
          <w:iCs w:val="1"/>
          <w:sz w:val="24"/>
          <w:szCs w:val="24"/>
          <w:rtl w:val="0"/>
        </w:rPr>
        <w:t xml:space="preserve">Work Breakdown Structure: Simplifying Project Management</w:t>
      </w:r>
      <w:r w:rsidDel="00000000" w:rsidR="00000000" w:rsidRPr="00000000">
        <w:rPr>
          <w:rFonts w:ascii="Times New Roman" w:cs="Times New Roman" w:eastAsia="Times New Roman" w:hAnsi="Times New Roman"/>
          <w:sz w:val="24"/>
          <w:szCs w:val="24"/>
          <w:rtl w:val="0"/>
        </w:rPr>
        <w:t xml:space="preserve">. [online] International Journal of Commerce and Management Studies. Available at: </w:t>
      </w:r>
      <w:hyperlink r:id="rId14">
        <w:r w:rsidDel="00000000" w:rsidR="00000000" w:rsidRPr="00000000">
          <w:rPr>
            <w:rFonts w:ascii="Times New Roman" w:cs="Times New Roman" w:eastAsia="Times New Roman" w:hAnsi="Times New Roman"/>
            <w:sz w:val="24"/>
            <w:szCs w:val="24"/>
            <w:u w:val="single"/>
            <w:rtl w:val="0"/>
          </w:rPr>
          <w:t xml:space="preserve">https://www.researchgate.net/publication/345762461_Work_Breakdown_Structure_Simplifying_Project_Management</w:t>
        </w:r>
      </w:hyperlink>
      <w:r w:rsidDel="00000000" w:rsidR="00000000" w:rsidRPr="00000000">
        <w:rPr>
          <w:rFonts w:ascii="Times New Roman" w:cs="Times New Roman" w:eastAsia="Times New Roman" w:hAnsi="Times New Roman"/>
          <w:sz w:val="24"/>
          <w:szCs w:val="24"/>
          <w:rtl w:val="0"/>
        </w:rPr>
        <w:t xml:space="preserve">  [Accessed 8 July 2026].</w:t>
      </w:r>
    </w:p>
    <w:p w:rsidR="00000000" w:rsidDel="00000000" w:rsidP="00000000" w:rsidRDefault="00000000" w:rsidRPr="00000000" w14:paraId="000000DE">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Cornelissen, J. (2020).  Corporate Communication A Guide to Theory and Practice By Joep Cornelissen · 2023. [online] SAGE. Available at: </w:t>
      </w:r>
      <w:hyperlink r:id="rId15">
        <w:r w:rsidDel="00000000" w:rsidR="00000000" w:rsidRPr="00000000">
          <w:rPr>
            <w:rFonts w:ascii="Times New Roman" w:cs="Times New Roman" w:eastAsia="Times New Roman" w:hAnsi="Times New Roman"/>
            <w:sz w:val="24"/>
            <w:szCs w:val="24"/>
            <w:u w:val="single"/>
            <w:rtl w:val="0"/>
          </w:rPr>
          <w:t xml:space="preserve">https://www.google.co.in/books/edition/Corporate_Communication/UMe8EAAAQBAJ?hl=en</w:t>
        </w:r>
      </w:hyperlink>
      <w:r w:rsidDel="00000000" w:rsidR="00000000" w:rsidRPr="00000000">
        <w:rPr>
          <w:rFonts w:ascii="Times New Roman" w:cs="Times New Roman" w:eastAsia="Times New Roman" w:hAnsi="Times New Roman"/>
          <w:sz w:val="24"/>
          <w:szCs w:val="24"/>
          <w:rtl w:val="0"/>
        </w:rPr>
        <w:t xml:space="preserve">  [Accessed 8 July 2026].</w:t>
      </w:r>
    </w:p>
    <w:p w:rsidR="00000000" w:rsidDel="00000000" w:rsidP="00000000" w:rsidRDefault="00000000" w:rsidRPr="00000000" w14:paraId="000000DF">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Freeman, E. and Mcvea, J. (2001). </w:t>
      </w:r>
      <w:r w:rsidDel="00000000" w:rsidR="00000000" w:rsidRPr="00000000">
        <w:rPr>
          <w:rFonts w:ascii="Times New Roman" w:cs="Times New Roman" w:eastAsia="Times New Roman" w:hAnsi="Times New Roman"/>
          <w:i w:val="1"/>
          <w:iCs w:val="1"/>
          <w:sz w:val="24"/>
          <w:szCs w:val="24"/>
          <w:rtl w:val="0"/>
        </w:rPr>
        <w:t xml:space="preserve">A Stakeholder Approach to Strategic Management</w:t>
      </w:r>
      <w:r w:rsidDel="00000000" w:rsidR="00000000" w:rsidRPr="00000000">
        <w:rPr>
          <w:rFonts w:ascii="Times New Roman" w:cs="Times New Roman" w:eastAsia="Times New Roman" w:hAnsi="Times New Roman"/>
          <w:sz w:val="24"/>
          <w:szCs w:val="24"/>
          <w:rtl w:val="0"/>
        </w:rPr>
        <w:t xml:space="preserve">. [online] ResearchGate. Available at: </w:t>
      </w:r>
      <w:hyperlink r:id="rId16">
        <w:r w:rsidDel="00000000" w:rsidR="00000000" w:rsidRPr="00000000">
          <w:rPr>
            <w:rFonts w:ascii="Times New Roman" w:cs="Times New Roman" w:eastAsia="Times New Roman" w:hAnsi="Times New Roman"/>
            <w:sz w:val="24"/>
            <w:szCs w:val="24"/>
            <w:u w:val="single"/>
            <w:rtl w:val="0"/>
          </w:rPr>
          <w:t xml:space="preserve">https://www.researchgate.net/publication/228320877_A_Stakeholder_Approach_to_Strategic_Management</w:t>
        </w:r>
      </w:hyperlink>
      <w:r w:rsidDel="00000000" w:rsidR="00000000" w:rsidRPr="00000000">
        <w:rPr>
          <w:rFonts w:ascii="Times New Roman" w:cs="Times New Roman" w:eastAsia="Times New Roman" w:hAnsi="Times New Roman"/>
          <w:sz w:val="24"/>
          <w:szCs w:val="24"/>
          <w:rtl w:val="0"/>
        </w:rPr>
        <w:t xml:space="preserve">  [Accessed 6 July 2026].</w:t>
      </w:r>
    </w:p>
    <w:p w:rsidR="00000000" w:rsidDel="00000000" w:rsidP="00000000" w:rsidRDefault="00000000" w:rsidRPr="00000000" w14:paraId="000000E0">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Kerzner, H., Saladis, F.P. and International Institute for Learning (2009). </w:t>
      </w:r>
      <w:r w:rsidDel="00000000" w:rsidR="00000000" w:rsidRPr="00000000">
        <w:rPr>
          <w:rFonts w:ascii="Times New Roman" w:cs="Times New Roman" w:eastAsia="Times New Roman" w:hAnsi="Times New Roman"/>
          <w:i w:val="1"/>
          <w:iCs w:val="1"/>
          <w:sz w:val="24"/>
          <w:szCs w:val="24"/>
          <w:rtl w:val="0"/>
        </w:rPr>
        <w:t xml:space="preserve">Value-Driven Project Management</w:t>
      </w:r>
      <w:r w:rsidDel="00000000" w:rsidR="00000000" w:rsidRPr="00000000">
        <w:rPr>
          <w:rFonts w:ascii="Times New Roman" w:cs="Times New Roman" w:eastAsia="Times New Roman" w:hAnsi="Times New Roman"/>
          <w:sz w:val="24"/>
          <w:szCs w:val="24"/>
          <w:rtl w:val="0"/>
        </w:rPr>
        <w:t xml:space="preserve">. Wiley.</w:t>
      </w:r>
    </w:p>
    <w:p w:rsidR="00000000" w:rsidDel="00000000" w:rsidP="00000000" w:rsidRDefault="00000000" w:rsidRPr="00000000" w14:paraId="000000E1">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Meredith, J.R., Shafer, S.M. and Mantel, S.J.J. (2021). </w:t>
      </w:r>
      <w:r w:rsidDel="00000000" w:rsidR="00000000" w:rsidRPr="00000000">
        <w:rPr>
          <w:rFonts w:ascii="Times New Roman" w:cs="Times New Roman" w:eastAsia="Times New Roman" w:hAnsi="Times New Roman"/>
          <w:i w:val="1"/>
          <w:iCs w:val="1"/>
          <w:sz w:val="24"/>
          <w:szCs w:val="24"/>
          <w:rtl w:val="0"/>
        </w:rPr>
        <w:t xml:space="preserve">Project Management</w:t>
      </w:r>
      <w:r w:rsidDel="00000000" w:rsidR="00000000" w:rsidRPr="00000000">
        <w:rPr>
          <w:rFonts w:ascii="Times New Roman" w:cs="Times New Roman" w:eastAsia="Times New Roman" w:hAnsi="Times New Roman"/>
          <w:sz w:val="24"/>
          <w:szCs w:val="24"/>
          <w:rtl w:val="0"/>
        </w:rPr>
        <w:t xml:space="preserve">. [online] Wiley Global Education. Available at: </w:t>
      </w:r>
      <w:hyperlink r:id="rId17">
        <w:r w:rsidDel="00000000" w:rsidR="00000000" w:rsidRPr="00000000">
          <w:rPr>
            <w:rFonts w:ascii="Times New Roman" w:cs="Times New Roman" w:eastAsia="Times New Roman" w:hAnsi="Times New Roman"/>
            <w:sz w:val="24"/>
            <w:szCs w:val="24"/>
            <w:u w:val="single"/>
            <w:rtl w:val="0"/>
          </w:rPr>
          <w:t xml:space="preserve">https://www.google.co.in/books/edition/Project_Management/xGRtQetWjNsC?hl=en&amp;gbpv=1&amp;dq=meredith+project+management&amp;printsec=frontcover</w:t>
        </w:r>
      </w:hyperlink>
      <w:r w:rsidDel="00000000" w:rsidR="00000000" w:rsidRPr="00000000">
        <w:rPr>
          <w:rFonts w:ascii="Times New Roman" w:cs="Times New Roman" w:eastAsia="Times New Roman" w:hAnsi="Times New Roman"/>
          <w:sz w:val="24"/>
          <w:szCs w:val="24"/>
          <w:rtl w:val="0"/>
        </w:rPr>
        <w:t xml:space="preserve">  [Accessed 6 July 2026].</w:t>
      </w:r>
    </w:p>
    <w:p w:rsidR="00000000" w:rsidDel="00000000" w:rsidP="00000000" w:rsidRDefault="00000000" w:rsidRPr="00000000" w14:paraId="000000E2">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Nadhan, A.S., Tukkoji, C., Shyamala, B., Dayanand Lal, N., Sanjeev Kumar, A.N., Mohan Gowda, V., Adhoni, Z.A. and Endaweke, M. (2022). Smart Attendance Monitoring Technology for Industry 4.0. </w:t>
      </w:r>
      <w:r w:rsidDel="00000000" w:rsidR="00000000" w:rsidRPr="00000000">
        <w:rPr>
          <w:rFonts w:ascii="Times New Roman" w:cs="Times New Roman" w:eastAsia="Times New Roman" w:hAnsi="Times New Roman"/>
          <w:i w:val="1"/>
          <w:iCs w:val="1"/>
          <w:sz w:val="24"/>
          <w:szCs w:val="24"/>
          <w:rtl w:val="0"/>
        </w:rPr>
        <w:t xml:space="preserve">Journal of Nanomaterials</w:t>
      </w:r>
      <w:r w:rsidDel="00000000" w:rsidR="00000000" w:rsidRPr="00000000">
        <w:rPr>
          <w:rFonts w:ascii="Times New Roman" w:cs="Times New Roman" w:eastAsia="Times New Roman" w:hAnsi="Times New Roman"/>
          <w:sz w:val="24"/>
          <w:szCs w:val="24"/>
          <w:rtl w:val="0"/>
        </w:rPr>
        <w:t xml:space="preserve">, 2022, pp.1–9. doi:10.1155/2022/4899768. </w:t>
      </w:r>
    </w:p>
    <w:p w:rsidR="00000000" w:rsidDel="00000000" w:rsidP="00000000" w:rsidRDefault="00000000" w:rsidRPr="00000000" w14:paraId="000000E3">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Norman, E.S., Brotherton, S.A. and Fried, R.T. (2008). </w:t>
      </w:r>
      <w:r w:rsidDel="00000000" w:rsidR="00000000" w:rsidRPr="00000000">
        <w:rPr>
          <w:rFonts w:ascii="Times New Roman" w:cs="Times New Roman" w:eastAsia="Times New Roman" w:hAnsi="Times New Roman"/>
          <w:i w:val="1"/>
          <w:iCs w:val="1"/>
          <w:sz w:val="24"/>
          <w:szCs w:val="24"/>
          <w:rtl w:val="0"/>
        </w:rPr>
        <w:t xml:space="preserve">Work Breakdown Structures</w:t>
      </w:r>
      <w:r w:rsidDel="00000000" w:rsidR="00000000" w:rsidRPr="00000000">
        <w:rPr>
          <w:rFonts w:ascii="Times New Roman" w:cs="Times New Roman" w:eastAsia="Times New Roman" w:hAnsi="Times New Roman"/>
          <w:sz w:val="24"/>
          <w:szCs w:val="24"/>
          <w:rtl w:val="0"/>
        </w:rPr>
        <w:t xml:space="preserve">. [online] John Wiley &amp; Sons. Available at: </w:t>
      </w:r>
      <w:hyperlink r:id="rId18">
        <w:r w:rsidDel="00000000" w:rsidR="00000000" w:rsidRPr="00000000">
          <w:rPr>
            <w:rFonts w:ascii="Times New Roman" w:cs="Times New Roman" w:eastAsia="Times New Roman" w:hAnsi="Times New Roman"/>
            <w:sz w:val="24"/>
            <w:szCs w:val="24"/>
            <w:u w:val="single"/>
            <w:rtl w:val="0"/>
          </w:rPr>
          <w:t xml:space="preserve">https://www.google.co.in/books/edition/Work_Breakdown_Structures/FbDqjIeiqdsC?hl=en&amp;gbpv=1&amp;dq=work+breakdown+structure&amp;printsec=frontcover</w:t>
        </w:r>
      </w:hyperlink>
      <w:r w:rsidDel="00000000" w:rsidR="00000000" w:rsidRPr="00000000">
        <w:rPr>
          <w:rFonts w:ascii="Times New Roman" w:cs="Times New Roman" w:eastAsia="Times New Roman" w:hAnsi="Times New Roman"/>
          <w:sz w:val="24"/>
          <w:szCs w:val="24"/>
          <w:rtl w:val="0"/>
        </w:rPr>
        <w:t xml:space="preserve">  [Accessed 6 July 2026].</w:t>
      </w:r>
    </w:p>
    <w:p w:rsidR="00000000" w:rsidDel="00000000" w:rsidP="00000000" w:rsidRDefault="00000000" w:rsidRPr="00000000" w14:paraId="000000E4">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Peren, F.W. and Neifer, T. (2025). </w:t>
      </w:r>
      <w:r w:rsidDel="00000000" w:rsidR="00000000" w:rsidRPr="00000000">
        <w:rPr>
          <w:rFonts w:ascii="Times New Roman" w:cs="Times New Roman" w:eastAsia="Times New Roman" w:hAnsi="Times New Roman"/>
          <w:i w:val="1"/>
          <w:iCs w:val="1"/>
          <w:sz w:val="24"/>
          <w:szCs w:val="24"/>
          <w:rtl w:val="0"/>
        </w:rPr>
        <w:t xml:space="preserve">Operations Research and Management</w:t>
      </w:r>
      <w:r w:rsidDel="00000000" w:rsidR="00000000" w:rsidRPr="00000000">
        <w:rPr>
          <w:rFonts w:ascii="Times New Roman" w:cs="Times New Roman" w:eastAsia="Times New Roman" w:hAnsi="Times New Roman"/>
          <w:sz w:val="24"/>
          <w:szCs w:val="24"/>
          <w:rtl w:val="0"/>
        </w:rPr>
        <w:t xml:space="preserve">. [online] Springer. Available at: </w:t>
      </w:r>
      <w:hyperlink r:id="rId19">
        <w:r w:rsidDel="00000000" w:rsidR="00000000" w:rsidRPr="00000000">
          <w:rPr>
            <w:rFonts w:ascii="Times New Roman" w:cs="Times New Roman" w:eastAsia="Times New Roman" w:hAnsi="Times New Roman"/>
            <w:sz w:val="24"/>
            <w:szCs w:val="24"/>
            <w:u w:val="single"/>
            <w:rtl w:val="0"/>
          </w:rPr>
          <w:t xml:space="preserve">https://www.google.co.in/books/edition/Operations_Research_and_Management/YPOZEQAAQBAJ?hl=en&amp;gbpv=1&amp;dq=gantt+disadvantage&amp;pg=PA239&amp;printsec=frontcover</w:t>
        </w:r>
      </w:hyperlink>
      <w:r w:rsidDel="00000000" w:rsidR="00000000" w:rsidRPr="00000000">
        <w:rPr>
          <w:rFonts w:ascii="Times New Roman" w:cs="Times New Roman" w:eastAsia="Times New Roman" w:hAnsi="Times New Roman"/>
          <w:sz w:val="24"/>
          <w:szCs w:val="24"/>
          <w:rtl w:val="0"/>
        </w:rPr>
        <w:t xml:space="preserve">  [Accessed 6 July 2026].</w:t>
      </w:r>
    </w:p>
    <w:p w:rsidR="00000000" w:rsidDel="00000000" w:rsidP="00000000" w:rsidRDefault="00000000" w:rsidRPr="00000000" w14:paraId="000000E5">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Petrescu-Mag, R.M., Reti, K.O., Hartel, T., Bădărău, A.S., Măcicăşan, V. and Petrescu, D.C. (2025). A stakeholder analysis based on project managers’ perceptions: Unlocking transformative potential in Natura 2000 projects. </w:t>
      </w:r>
      <w:r w:rsidDel="00000000" w:rsidR="00000000" w:rsidRPr="00000000">
        <w:rPr>
          <w:rFonts w:ascii="Times New Roman" w:cs="Times New Roman" w:eastAsia="Times New Roman" w:hAnsi="Times New Roman"/>
          <w:i w:val="1"/>
          <w:iCs w:val="1"/>
          <w:sz w:val="24"/>
          <w:szCs w:val="24"/>
          <w:rtl w:val="0"/>
        </w:rPr>
        <w:t xml:space="preserve">Environmental Science &amp; Policy</w:t>
      </w:r>
      <w:r w:rsidDel="00000000" w:rsidR="00000000" w:rsidRPr="00000000">
        <w:rPr>
          <w:rFonts w:ascii="Times New Roman" w:cs="Times New Roman" w:eastAsia="Times New Roman" w:hAnsi="Times New Roman"/>
          <w:sz w:val="24"/>
          <w:szCs w:val="24"/>
          <w:rtl w:val="0"/>
        </w:rPr>
        <w:t xml:space="preserve">, [online] 164, p.104011. doi:10.1016/j.envsci.2025.104011. </w:t>
      </w:r>
    </w:p>
    <w:p w:rsidR="00000000" w:rsidDel="00000000" w:rsidP="00000000" w:rsidRDefault="00000000" w:rsidRPr="00000000" w14:paraId="000000E6">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Project Management Institute (2000). </w:t>
      </w:r>
      <w:r w:rsidDel="00000000" w:rsidR="00000000" w:rsidRPr="00000000">
        <w:rPr>
          <w:rFonts w:ascii="Times New Roman" w:cs="Times New Roman" w:eastAsia="Times New Roman" w:hAnsi="Times New Roman"/>
          <w:i w:val="1"/>
          <w:iCs w:val="1"/>
          <w:sz w:val="24"/>
          <w:szCs w:val="24"/>
          <w:rtl w:val="0"/>
        </w:rPr>
        <w:t xml:space="preserve">A guide to the project management body of knowledge (PMBOK Guide)</w:t>
      </w:r>
      <w:r w:rsidDel="00000000" w:rsidR="00000000" w:rsidRPr="00000000">
        <w:rPr>
          <w:rFonts w:ascii="Times New Roman" w:cs="Times New Roman" w:eastAsia="Times New Roman" w:hAnsi="Times New Roman"/>
          <w:sz w:val="24"/>
          <w:szCs w:val="24"/>
          <w:rtl w:val="0"/>
        </w:rPr>
        <w:t xml:space="preserve">. Project Management Institute.</w:t>
      </w:r>
    </w:p>
    <w:p w:rsidR="00000000" w:rsidDel="00000000" w:rsidP="00000000" w:rsidRDefault="00000000" w:rsidRPr="00000000" w14:paraId="000000E7">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Project Management Institute (2024). </w:t>
      </w:r>
      <w:r w:rsidDel="00000000" w:rsidR="00000000" w:rsidRPr="00000000">
        <w:rPr>
          <w:rFonts w:ascii="Times New Roman" w:cs="Times New Roman" w:eastAsia="Times New Roman" w:hAnsi="Times New Roman"/>
          <w:i w:val="1"/>
          <w:iCs w:val="1"/>
          <w:sz w:val="24"/>
          <w:szCs w:val="24"/>
          <w:rtl w:val="0"/>
        </w:rPr>
        <w:t xml:space="preserve">What Is Project Management, Approaches, and PMI</w:t>
      </w:r>
      <w:r w:rsidDel="00000000" w:rsidR="00000000" w:rsidRPr="00000000">
        <w:rPr>
          <w:rFonts w:ascii="Times New Roman" w:cs="Times New Roman" w:eastAsia="Times New Roman" w:hAnsi="Times New Roman"/>
          <w:sz w:val="24"/>
          <w:szCs w:val="24"/>
          <w:rtl w:val="0"/>
        </w:rPr>
        <w:t xml:space="preserve">. [online] Pmi.org. Available at: </w:t>
      </w:r>
      <w:hyperlink r:id="rId20">
        <w:r w:rsidDel="00000000" w:rsidR="00000000" w:rsidRPr="00000000">
          <w:rPr>
            <w:rFonts w:ascii="Times New Roman" w:cs="Times New Roman" w:eastAsia="Times New Roman" w:hAnsi="Times New Roman"/>
            <w:sz w:val="24"/>
            <w:szCs w:val="24"/>
            <w:u w:val="single"/>
            <w:rtl w:val="0"/>
          </w:rPr>
          <w:t xml:space="preserve">https://www.pmi.org/about/what-is-project-management</w:t>
        </w:r>
      </w:hyperlink>
      <w:r w:rsidDel="00000000" w:rsidR="00000000" w:rsidRPr="00000000">
        <w:rPr>
          <w:rFonts w:ascii="Times New Roman" w:cs="Times New Roman" w:eastAsia="Times New Roman" w:hAnsi="Times New Roman"/>
          <w:sz w:val="24"/>
          <w:szCs w:val="24"/>
          <w:rtl w:val="0"/>
        </w:rPr>
        <w:t xml:space="preserve">  [Accessed 6 July 2026].</w:t>
      </w:r>
    </w:p>
    <w:p w:rsidR="00000000" w:rsidDel="00000000" w:rsidP="00000000" w:rsidRDefault="00000000" w:rsidRPr="00000000" w14:paraId="000000E8">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Rodriguez Serna, L., Nakandala, D. and Bowyer, D. (2022). Stakeholder identification and prioritization: The attribute of dependency. </w:t>
      </w:r>
      <w:r w:rsidDel="00000000" w:rsidR="00000000" w:rsidRPr="00000000">
        <w:rPr>
          <w:rFonts w:ascii="Times New Roman" w:cs="Times New Roman" w:eastAsia="Times New Roman" w:hAnsi="Times New Roman"/>
          <w:i w:val="1"/>
          <w:iCs w:val="1"/>
          <w:sz w:val="24"/>
          <w:szCs w:val="24"/>
          <w:rtl w:val="0"/>
        </w:rPr>
        <w:t xml:space="preserve">Journal of Business Research</w:t>
      </w:r>
      <w:r w:rsidDel="00000000" w:rsidR="00000000" w:rsidRPr="00000000">
        <w:rPr>
          <w:rFonts w:ascii="Times New Roman" w:cs="Times New Roman" w:eastAsia="Times New Roman" w:hAnsi="Times New Roman"/>
          <w:sz w:val="24"/>
          <w:szCs w:val="24"/>
          <w:rtl w:val="0"/>
        </w:rPr>
        <w:t xml:space="preserve">, [online] 148, pp.444–455. doi:10.1016/j.jbusres.2022.04.062 . </w:t>
      </w:r>
    </w:p>
    <w:p w:rsidR="00000000" w:rsidDel="00000000" w:rsidP="00000000" w:rsidRDefault="00000000" w:rsidRPr="00000000" w14:paraId="000000E9">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Romero-Torres, A., Brunet, M., Lalonde, B. and Aubry, M. (2026). </w:t>
      </w:r>
      <w:r w:rsidDel="00000000" w:rsidR="00000000" w:rsidRPr="00000000">
        <w:rPr>
          <w:rFonts w:ascii="Times New Roman" w:cs="Times New Roman" w:eastAsia="Times New Roman" w:hAnsi="Times New Roman"/>
          <w:i w:val="1"/>
          <w:iCs w:val="1"/>
          <w:sz w:val="24"/>
          <w:szCs w:val="24"/>
          <w:rtl w:val="0"/>
        </w:rPr>
        <w:t xml:space="preserve">Project Management Maturity</w:t>
      </w:r>
      <w:r w:rsidDel="00000000" w:rsidR="00000000" w:rsidRPr="00000000">
        <w:rPr>
          <w:rFonts w:ascii="Times New Roman" w:cs="Times New Roman" w:eastAsia="Times New Roman" w:hAnsi="Times New Roman"/>
          <w:sz w:val="24"/>
          <w:szCs w:val="24"/>
          <w:rtl w:val="0"/>
        </w:rPr>
        <w:t xml:space="preserve">. [online] CRC Press. Available at: </w:t>
      </w:r>
      <w:hyperlink r:id="rId21">
        <w:r w:rsidDel="00000000" w:rsidR="00000000" w:rsidRPr="00000000">
          <w:rPr>
            <w:rFonts w:ascii="Times New Roman" w:cs="Times New Roman" w:eastAsia="Times New Roman" w:hAnsi="Times New Roman"/>
            <w:sz w:val="24"/>
            <w:szCs w:val="24"/>
            <w:u w:val="single"/>
            <w:rtl w:val="0"/>
          </w:rPr>
          <w:t xml:space="preserve">https://www.google.co.in/books/edition/Project_Management_Maturity/BwnSEQAAQBAJ?hl=en&amp;gbpv=1&amp;dq=3+constraints+of+project+with+additional+value+creations+stakeholder+satisfaction&amp;pg=PT19&amp;printsec=frontcover</w:t>
        </w:r>
      </w:hyperlink>
      <w:r w:rsidDel="00000000" w:rsidR="00000000" w:rsidRPr="00000000">
        <w:rPr>
          <w:rFonts w:ascii="Times New Roman" w:cs="Times New Roman" w:eastAsia="Times New Roman" w:hAnsi="Times New Roman"/>
          <w:sz w:val="24"/>
          <w:szCs w:val="24"/>
          <w:rtl w:val="0"/>
        </w:rPr>
        <w:t xml:space="preserve">  [Accessed 8 July 2026].</w:t>
      </w:r>
    </w:p>
    <w:p w:rsidR="00000000" w:rsidDel="00000000" w:rsidP="00000000" w:rsidRDefault="00000000" w:rsidRPr="00000000" w14:paraId="000000EA">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Smith, L.W. (2020). </w:t>
      </w:r>
      <w:r w:rsidDel="00000000" w:rsidR="00000000" w:rsidRPr="00000000">
        <w:rPr>
          <w:rFonts w:ascii="Times New Roman" w:cs="Times New Roman" w:eastAsia="Times New Roman" w:hAnsi="Times New Roman"/>
          <w:i w:val="1"/>
          <w:iCs w:val="1"/>
          <w:sz w:val="24"/>
          <w:szCs w:val="24"/>
          <w:rtl w:val="0"/>
        </w:rPr>
        <w:t xml:space="preserve">Stakeholder Analysis</w:t>
      </w:r>
      <w:r w:rsidDel="00000000" w:rsidR="00000000" w:rsidRPr="00000000">
        <w:rPr>
          <w:rFonts w:ascii="Times New Roman" w:cs="Times New Roman" w:eastAsia="Times New Roman" w:hAnsi="Times New Roman"/>
          <w:sz w:val="24"/>
          <w:szCs w:val="24"/>
          <w:rtl w:val="0"/>
        </w:rPr>
        <w:t xml:space="preserve">. [online] Project Management Institute. Available at: </w:t>
      </w:r>
      <w:hyperlink r:id="rId22">
        <w:r w:rsidDel="00000000" w:rsidR="00000000" w:rsidRPr="00000000">
          <w:rPr>
            <w:rFonts w:ascii="Times New Roman" w:cs="Times New Roman" w:eastAsia="Times New Roman" w:hAnsi="Times New Roman"/>
            <w:sz w:val="24"/>
            <w:szCs w:val="24"/>
            <w:u w:val="single"/>
            <w:rtl w:val="0"/>
          </w:rPr>
          <w:t xml:space="preserve">https://www.pmi.org/learning/library/stakeholder-analysis-pivotal-practice-projects-8905</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EB">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Tuuli, M.M., Adaku, E., Banye, E.Z. and Tettey, A.S. (2023). Project Scope Management in Developing Countries. </w:t>
      </w:r>
      <w:r w:rsidDel="00000000" w:rsidR="00000000" w:rsidRPr="00000000">
        <w:rPr>
          <w:rFonts w:ascii="Times New Roman" w:cs="Times New Roman" w:eastAsia="Times New Roman" w:hAnsi="Times New Roman"/>
          <w:i w:val="1"/>
          <w:iCs w:val="1"/>
          <w:sz w:val="24"/>
          <w:szCs w:val="24"/>
          <w:rtl w:val="0"/>
        </w:rPr>
        <w:t xml:space="preserve">WORLD SCIENTIFIC eBooks</w:t>
      </w:r>
      <w:r w:rsidDel="00000000" w:rsidR="00000000" w:rsidRPr="00000000">
        <w:rPr>
          <w:rFonts w:ascii="Times New Roman" w:cs="Times New Roman" w:eastAsia="Times New Roman" w:hAnsi="Times New Roman"/>
          <w:sz w:val="24"/>
          <w:szCs w:val="24"/>
          <w:rtl w:val="0"/>
        </w:rPr>
        <w:t xml:space="preserve">, [online] pp.141–178. doi:10.1142/9789811224720_0005. </w:t>
      </w:r>
    </w:p>
    <w:p w:rsidR="00000000" w:rsidDel="00000000" w:rsidP="00000000" w:rsidRDefault="00000000" w:rsidRPr="00000000" w14:paraId="000000EC">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Vaezi, A., Jones, S. and Asgary, A. (2023). Integrating Resilience into Risk Matrices: A Practical Approach to Risk Assessment with Empirical Analysis. </w:t>
      </w:r>
      <w:r w:rsidDel="00000000" w:rsidR="00000000" w:rsidRPr="00000000">
        <w:rPr>
          <w:rFonts w:ascii="Times New Roman" w:cs="Times New Roman" w:eastAsia="Times New Roman" w:hAnsi="Times New Roman"/>
          <w:i w:val="1"/>
          <w:iCs w:val="1"/>
          <w:sz w:val="24"/>
          <w:szCs w:val="24"/>
          <w:rtl w:val="0"/>
        </w:rPr>
        <w:t xml:space="preserve">Journal of Risk Analysis and Crisis Response</w:t>
      </w:r>
      <w:r w:rsidDel="00000000" w:rsidR="00000000" w:rsidRPr="00000000">
        <w:rPr>
          <w:rFonts w:ascii="Times New Roman" w:cs="Times New Roman" w:eastAsia="Times New Roman" w:hAnsi="Times New Roman"/>
          <w:sz w:val="24"/>
          <w:szCs w:val="24"/>
          <w:rtl w:val="0"/>
        </w:rPr>
        <w:t xml:space="preserve">, [online] 13(4). doi:10.54560/jracr.v13i4.411. </w:t>
      </w:r>
    </w:p>
    <w:p w:rsidR="00000000" w:rsidDel="00000000" w:rsidP="00000000" w:rsidRDefault="00000000" w:rsidRPr="00000000" w14:paraId="000000ED">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Wadhwa, K. (2024). The Role of Gantt Chart in the Project Management. </w:t>
      </w:r>
      <w:r w:rsidDel="00000000" w:rsidR="00000000" w:rsidRPr="00000000">
        <w:rPr>
          <w:rFonts w:ascii="Times New Roman" w:cs="Times New Roman" w:eastAsia="Times New Roman" w:hAnsi="Times New Roman"/>
          <w:i w:val="1"/>
          <w:iCs w:val="1"/>
          <w:sz w:val="24"/>
          <w:szCs w:val="24"/>
          <w:rtl w:val="0"/>
        </w:rPr>
        <w:t xml:space="preserve">Theseus.fi</w:t>
      </w:r>
      <w:r w:rsidDel="00000000" w:rsidR="00000000" w:rsidRPr="00000000">
        <w:rPr>
          <w:rFonts w:ascii="Times New Roman" w:cs="Times New Roman" w:eastAsia="Times New Roman" w:hAnsi="Times New Roman"/>
          <w:sz w:val="24"/>
          <w:szCs w:val="24"/>
          <w:rtl w:val="0"/>
        </w:rPr>
        <w:t xml:space="preserve">, [online] 1(1). Available at: </w:t>
      </w:r>
      <w:hyperlink r:id="rId23">
        <w:r w:rsidDel="00000000" w:rsidR="00000000" w:rsidRPr="00000000">
          <w:rPr>
            <w:rFonts w:ascii="Times New Roman" w:cs="Times New Roman" w:eastAsia="Times New Roman" w:hAnsi="Times New Roman"/>
            <w:sz w:val="24"/>
            <w:szCs w:val="24"/>
            <w:u w:val="single"/>
            <w:rtl w:val="0"/>
          </w:rPr>
          <w:t xml:space="preserve">https://www.theseus.fi/handle/10024/865913</w:t>
        </w:r>
      </w:hyperlink>
      <w:r w:rsidDel="00000000" w:rsidR="00000000" w:rsidRPr="00000000">
        <w:rPr>
          <w:rFonts w:ascii="Times New Roman" w:cs="Times New Roman" w:eastAsia="Times New Roman" w:hAnsi="Times New Roman"/>
          <w:sz w:val="24"/>
          <w:szCs w:val="24"/>
          <w:rtl w:val="0"/>
        </w:rPr>
        <w:t xml:space="preserve">  [Accessed 8 July 2026].</w:t>
      </w:r>
    </w:p>
    <w:p w:rsidR="00000000" w:rsidDel="00000000" w:rsidP="00000000" w:rsidRDefault="00000000" w:rsidRPr="00000000" w14:paraId="000000EE">
      <w:pPr>
        <w:numPr>
          <w:ilvl w:val="0"/>
          <w:numId w:val="1"/>
        </w:numPr>
        <w:spacing w:after="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Zhao, M., Zhao, G. and Qu, M. (2022). A college smart classroom attendance management system based on internet of Things. </w:t>
      </w:r>
      <w:r w:rsidDel="00000000" w:rsidR="00000000" w:rsidRPr="00000000">
        <w:rPr>
          <w:rFonts w:ascii="Times New Roman" w:cs="Times New Roman" w:eastAsia="Times New Roman" w:hAnsi="Times New Roman"/>
          <w:i w:val="1"/>
          <w:iCs w:val="1"/>
          <w:sz w:val="24"/>
          <w:szCs w:val="24"/>
          <w:rtl w:val="0"/>
        </w:rPr>
        <w:t xml:space="preserve">Computational Intelligence and Neuroscience</w:t>
      </w:r>
      <w:r w:rsidDel="00000000" w:rsidR="00000000" w:rsidRPr="00000000">
        <w:rPr>
          <w:rFonts w:ascii="Times New Roman" w:cs="Times New Roman" w:eastAsia="Times New Roman" w:hAnsi="Times New Roman"/>
          <w:sz w:val="24"/>
          <w:szCs w:val="24"/>
          <w:rtl w:val="0"/>
        </w:rPr>
        <w:t xml:space="preserve">, 2022(1), p.4953721.</w:t>
      </w:r>
    </w:p>
    <w:p w:rsidR="00000000" w:rsidDel="00000000" w:rsidP="00000000" w:rsidRDefault="00000000" w:rsidRPr="00000000" w14:paraId="000000EF">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0">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1">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2">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3">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4">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5">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6">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7">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8">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9">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A">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B">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C">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D">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E">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F">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0">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1">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2">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3">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4">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5">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6">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7">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8">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Appendix 1</w:t>
      </w:r>
    </w:p>
    <w:p w:rsidR="00000000" w:rsidDel="00000000" w:rsidP="00000000" w:rsidRDefault="00000000" w:rsidRPr="00000000" w14:paraId="00000109">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A">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Budget </w:t>
      </w:r>
    </w:p>
    <w:p w:rsidR="00000000" w:rsidDel="00000000" w:rsidP="00000000" w:rsidRDefault="00000000" w:rsidRPr="00000000" w14:paraId="0000010B">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C">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D">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E">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67463" cy="3136159"/>
            <wp:effectExtent b="0" l="0" r="0" t="0"/>
            <wp:docPr id="9" name="image7.png"/>
            <a:graphic>
              <a:graphicData uri="http://schemas.openxmlformats.org/drawingml/2006/picture">
                <pic:pic>
                  <pic:nvPicPr>
                    <pic:cNvPr id="0" name="image7.png"/>
                    <pic:cNvPicPr preferRelativeResize="0"/>
                  </pic:nvPicPr>
                  <pic:blipFill>
                    <a:blip r:embed="rId24"/>
                    <a:srcRect b="0" l="0" r="0" t="0"/>
                    <a:stretch>
                      <a:fillRect/>
                    </a:stretch>
                  </pic:blipFill>
                  <pic:spPr>
                    <a:xfrm>
                      <a:off x="0" y="0"/>
                      <a:ext cx="5467463" cy="3136159"/>
                    </a:xfrm>
                    <a:prstGeom prst="rect"/>
                    <a:ln/>
                  </pic:spPr>
                </pic:pic>
              </a:graphicData>
            </a:graphic>
          </wp:inline>
        </w:drawing>
      </w:r>
      <w:r w:rsidDel="00000000" w:rsidR="00000000" w:rsidRPr="00000000">
        <w:rPr>
          <w:rtl w:val="0"/>
        </w:rPr>
      </w:r>
    </w:p>
    <w:p w:rsidR="00000000" w:rsidDel="00000000" w:rsidP="00000000" w:rsidRDefault="00000000" w:rsidRPr="00000000" w14:paraId="0000010F">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924425" cy="2790825"/>
            <wp:effectExtent b="0" l="0" r="0" t="0"/>
            <wp:docPr id="6" name="image1.png"/>
            <a:graphic>
              <a:graphicData uri="http://schemas.openxmlformats.org/drawingml/2006/picture">
                <pic:pic>
                  <pic:nvPicPr>
                    <pic:cNvPr id="0" name="image1.png"/>
                    <pic:cNvPicPr preferRelativeResize="0"/>
                  </pic:nvPicPr>
                  <pic:blipFill>
                    <a:blip r:embed="rId25"/>
                    <a:srcRect b="0" l="0" r="0" t="0"/>
                    <a:stretch>
                      <a:fillRect/>
                    </a:stretch>
                  </pic:blipFill>
                  <pic:spPr>
                    <a:xfrm>
                      <a:off x="0" y="0"/>
                      <a:ext cx="4924425" cy="2790825"/>
                    </a:xfrm>
                    <a:prstGeom prst="rect"/>
                    <a:ln/>
                  </pic:spPr>
                </pic:pic>
              </a:graphicData>
            </a:graphic>
          </wp:inline>
        </w:drawing>
      </w:r>
      <w:r w:rsidDel="00000000" w:rsidR="00000000" w:rsidRPr="00000000">
        <w:rPr>
          <w:rtl w:val="0"/>
        </w:rPr>
      </w:r>
    </w:p>
    <w:sectPr>
      <w:headerReference r:id="rId26" w:type="default"/>
      <w:footerReference r:id="rId27" w:type="default"/>
      <w:pgSz w:h="16834" w:w="11909" w:orient="portrait"/>
      <w:pgMar w:bottom="1440" w:top="1440" w:left="1417.3228346456694"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color w:val="0c8c96"/>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pmi.org/about/what-is-project-management" TargetMode="External"/><Relationship Id="rId22" Type="http://schemas.openxmlformats.org/officeDocument/2006/relationships/hyperlink" Target="https://www.pmi.org/learning/library/stakeholder-analysis-pivotal-practice-projects-8905" TargetMode="External"/><Relationship Id="rId21" Type="http://schemas.openxmlformats.org/officeDocument/2006/relationships/hyperlink" Target="https://www.google.co.in/books/edition/Project_Management_Maturity/BwnSEQAAQBAJ?hl=en&amp;gbpv=1&amp;dq=3+constraints+of+project+with+additional+value+creations+stakeholder+satisfaction&amp;pg=PT19&amp;printsec=frontcover" TargetMode="External"/><Relationship Id="rId24" Type="http://schemas.openxmlformats.org/officeDocument/2006/relationships/image" Target="media/image7.png"/><Relationship Id="rId23" Type="http://schemas.openxmlformats.org/officeDocument/2006/relationships/hyperlink" Target="https://www.theseus.fi/handle/10024/86591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header" Target="header1.xml"/><Relationship Id="rId25" Type="http://schemas.openxmlformats.org/officeDocument/2006/relationships/image" Target="media/image1.png"/><Relationship Id="rId27"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9.png"/><Relationship Id="rId8" Type="http://schemas.openxmlformats.org/officeDocument/2006/relationships/image" Target="media/image4.png"/><Relationship Id="rId11" Type="http://schemas.openxmlformats.org/officeDocument/2006/relationships/image" Target="media/image8.png"/><Relationship Id="rId10" Type="http://schemas.openxmlformats.org/officeDocument/2006/relationships/image" Target="media/image6.png"/><Relationship Id="rId13" Type="http://schemas.openxmlformats.org/officeDocument/2006/relationships/hyperlink" Target="https://www.google.co.in/books/edition/Stakeholder_Engagement/gY_2EAAAQBAJ?hl=en&amp;gbpv=1&amp;dq=stakeholder+communication+plan&amp;pg=PT48&amp;printsec=frontcover" TargetMode="External"/><Relationship Id="rId12" Type="http://schemas.openxmlformats.org/officeDocument/2006/relationships/image" Target="media/image3.png"/><Relationship Id="rId15" Type="http://schemas.openxmlformats.org/officeDocument/2006/relationships/hyperlink" Target="https://www.google.co.in/books/edition/Corporate_Communication/UMe8EAAAQBAJ?hl=en" TargetMode="External"/><Relationship Id="rId14" Type="http://schemas.openxmlformats.org/officeDocument/2006/relationships/hyperlink" Target="https://www.researchgate.net/publication/345762461_Work_Breakdown_Structure_Simplifying_Project_Management" TargetMode="External"/><Relationship Id="rId17" Type="http://schemas.openxmlformats.org/officeDocument/2006/relationships/hyperlink" Target="https://www.google.co.in/books/edition/Project_Management/xGRtQetWjNsC?hl=en&amp;gbpv=1&amp;dq=meredith+project+management&amp;printsec=frontcover" TargetMode="External"/><Relationship Id="rId16" Type="http://schemas.openxmlformats.org/officeDocument/2006/relationships/hyperlink" Target="https://www.researchgate.net/publication/228320877_A_Stakeholder_Approach_to_Strategic_Management" TargetMode="External"/><Relationship Id="rId19" Type="http://schemas.openxmlformats.org/officeDocument/2006/relationships/hyperlink" Target="https://www.google.co.in/books/edition/Operations_Research_and_Management/YPOZEQAAQBAJ?hl=en&amp;gbpv=1&amp;dq=gantt+disadvantage&amp;pg=PA239&amp;printsec=frontcover" TargetMode="External"/><Relationship Id="rId18" Type="http://schemas.openxmlformats.org/officeDocument/2006/relationships/hyperlink" Target="https://www.google.co.in/books/edition/Work_Breakdown_Structures/FbDqjIeiqdsC?hl=en&amp;gbpv=1&amp;dq=work+breakdown+structure&amp;printsec=frontc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