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6DB71" w14:textId="77777777" w:rsidR="0051302F" w:rsidRPr="0051302F" w:rsidRDefault="0051302F" w:rsidP="0051302F">
      <w:pPr>
        <w:spacing w:after="0" w:line="240" w:lineRule="auto"/>
        <w:ind w:left="-180" w:right="-334"/>
        <w:rPr>
          <w:rFonts w:ascii="Georgia" w:eastAsia="SimSun" w:hAnsi="Georgia" w:cs="Times New Roman"/>
          <w:color w:val="000000"/>
          <w:sz w:val="21"/>
          <w:szCs w:val="21"/>
          <w:lang w:eastAsia="zh-CN"/>
        </w:rPr>
      </w:pPr>
      <w:r w:rsidRPr="0051302F">
        <w:rPr>
          <w:rFonts w:ascii="Georgia" w:eastAsia="SimSun" w:hAnsi="Georgia" w:cs="Times New Roman"/>
          <w:noProof/>
          <w:color w:val="000000"/>
          <w:sz w:val="21"/>
          <w:szCs w:val="21"/>
          <w:lang w:eastAsia="zh-CN"/>
        </w:rPr>
        <w:drawing>
          <wp:inline distT="0" distB="0" distL="0" distR="0" wp14:anchorId="478520DE" wp14:editId="594AB844">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30D6A07" w14:textId="77777777" w:rsidR="0051302F" w:rsidRPr="0051302F" w:rsidRDefault="0051302F" w:rsidP="0051302F">
      <w:pPr>
        <w:spacing w:after="0" w:line="240" w:lineRule="auto"/>
        <w:ind w:left="-180" w:right="-334"/>
        <w:rPr>
          <w:rFonts w:ascii="Georgia" w:eastAsia="SimSun" w:hAnsi="Georgia" w:cs="Times New Roman"/>
          <w:color w:val="000000"/>
          <w:sz w:val="21"/>
          <w:szCs w:val="21"/>
          <w:lang w:eastAsia="zh-CN"/>
        </w:rPr>
      </w:pPr>
    </w:p>
    <w:p w14:paraId="04A93835" w14:textId="77777777" w:rsidR="0051302F" w:rsidRPr="0051302F" w:rsidRDefault="0051302F" w:rsidP="0051302F">
      <w:pPr>
        <w:spacing w:after="0" w:line="240" w:lineRule="auto"/>
        <w:ind w:left="-180" w:right="-334"/>
        <w:rPr>
          <w:rFonts w:ascii="Georgia" w:eastAsia="SimSun" w:hAnsi="Georgia" w:cs="Times New Roman"/>
          <w:color w:val="000000"/>
          <w:sz w:val="21"/>
          <w:szCs w:val="21"/>
          <w:lang w:eastAsia="zh-CN"/>
        </w:rPr>
      </w:pPr>
    </w:p>
    <w:p w14:paraId="6ADDFC6D" w14:textId="77777777" w:rsidR="0051302F" w:rsidRPr="0051302F" w:rsidRDefault="0051302F" w:rsidP="0051302F">
      <w:pPr>
        <w:spacing w:after="0" w:line="240" w:lineRule="auto"/>
        <w:ind w:left="-180" w:right="-334"/>
        <w:jc w:val="center"/>
        <w:rPr>
          <w:rFonts w:ascii="Arial" w:eastAsia="SimSun" w:hAnsi="Arial" w:cs="Arial"/>
          <w:b/>
          <w:color w:val="000000"/>
          <w:sz w:val="28"/>
          <w:szCs w:val="28"/>
          <w:lang w:val="cy-GB" w:eastAsia="zh-CN"/>
        </w:rPr>
      </w:pPr>
      <w:r w:rsidRPr="0051302F">
        <w:rPr>
          <w:rFonts w:ascii="Arial" w:eastAsia="SimSun" w:hAnsi="Arial" w:cs="Arial"/>
          <w:b/>
          <w:color w:val="000000"/>
          <w:sz w:val="28"/>
          <w:szCs w:val="28"/>
          <w:lang w:val="cy-GB" w:eastAsia="zh-CN"/>
        </w:rPr>
        <w:t xml:space="preserve">Postgraduate/Distance Learning </w:t>
      </w:r>
    </w:p>
    <w:p w14:paraId="6129E41F" w14:textId="77777777" w:rsidR="0051302F" w:rsidRPr="0051302F" w:rsidRDefault="0051302F" w:rsidP="0051302F">
      <w:pPr>
        <w:spacing w:after="0" w:line="240" w:lineRule="auto"/>
        <w:ind w:left="-180" w:right="-334"/>
        <w:jc w:val="center"/>
        <w:rPr>
          <w:rFonts w:ascii="Arial" w:eastAsia="SimSun" w:hAnsi="Arial" w:cs="Arial"/>
          <w:b/>
          <w:color w:val="000000"/>
          <w:sz w:val="28"/>
          <w:szCs w:val="28"/>
          <w:lang w:eastAsia="zh-CN"/>
        </w:rPr>
      </w:pPr>
      <w:r w:rsidRPr="0051302F">
        <w:rPr>
          <w:rFonts w:ascii="Arial" w:eastAsia="SimSun" w:hAnsi="Arial" w:cs="Arial"/>
          <w:b/>
          <w:color w:val="000000"/>
          <w:sz w:val="28"/>
          <w:szCs w:val="28"/>
          <w:lang w:val="cy-GB" w:eastAsia="zh-CN"/>
        </w:rPr>
        <w:t>Assignment coversheet &amp; feedback form</w:t>
      </w:r>
    </w:p>
    <w:p w14:paraId="1F21634A" w14:textId="77777777" w:rsidR="0051302F" w:rsidRPr="0051302F" w:rsidRDefault="0051302F" w:rsidP="0051302F">
      <w:pPr>
        <w:rPr>
          <w:rFonts w:ascii="Arial" w:hAnsi="Arial" w:cs="Arial"/>
          <w:sz w:val="28"/>
          <w:szCs w:val="28"/>
          <w:lang w:val="cy-GB"/>
        </w:rPr>
      </w:pPr>
    </w:p>
    <w:p w14:paraId="5EEAC22E" w14:textId="77777777" w:rsidR="0051302F" w:rsidRPr="0051302F" w:rsidRDefault="0051302F" w:rsidP="0051302F">
      <w:pPr>
        <w:keepNext/>
        <w:spacing w:after="0" w:line="240" w:lineRule="auto"/>
        <w:ind w:left="720"/>
        <w:jc w:val="center"/>
        <w:outlineLvl w:val="2"/>
        <w:rPr>
          <w:rFonts w:ascii="Tahoma" w:eastAsia="SimSun" w:hAnsi="Tahoma" w:cs="Tahoma"/>
          <w:b/>
          <w:bCs/>
          <w:sz w:val="20"/>
          <w:szCs w:val="20"/>
          <w:lang w:val="cy-GB" w:eastAsia="zh-CN"/>
        </w:rPr>
      </w:pPr>
      <w:r w:rsidRPr="0051302F">
        <w:rPr>
          <w:rFonts w:ascii="Tahoma" w:eastAsia="SimSun" w:hAnsi="Tahoma" w:cs="Tahoma"/>
          <w:b/>
          <w:bCs/>
          <w:sz w:val="20"/>
          <w:szCs w:val="20"/>
          <w:lang w:val="cy-GB" w:eastAsia="zh-CN"/>
        </w:rPr>
        <w:t>THIS SHEET MUST BE THE FIRST PAGE OF THE ASSIGNMENT YOU ARE SUBMITTING  (DO NOT SEND AS A SEPARATE FILE)</w:t>
      </w:r>
    </w:p>
    <w:p w14:paraId="6F2856AB" w14:textId="77777777" w:rsidR="0051302F" w:rsidRPr="0051302F" w:rsidRDefault="0051302F" w:rsidP="0051302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1302F" w:rsidRPr="0051302F" w14:paraId="6AEE54A0" w14:textId="77777777" w:rsidTr="0086227F">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991D6E7"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b/>
                <w:color w:val="000000"/>
                <w:lang w:eastAsia="zh-CN"/>
              </w:rPr>
              <w:t>For completion by the student</w:t>
            </w:r>
            <w:r w:rsidRPr="0051302F">
              <w:rPr>
                <w:rFonts w:ascii="Arial" w:eastAsia="SimSun" w:hAnsi="Arial" w:cs="Arial"/>
                <w:color w:val="000000"/>
                <w:lang w:eastAsia="zh-CN"/>
              </w:rPr>
              <w:t>:</w:t>
            </w:r>
          </w:p>
        </w:tc>
      </w:tr>
      <w:tr w:rsidR="0051302F" w:rsidRPr="0051302F" w14:paraId="2AD435B1" w14:textId="77777777" w:rsidTr="0086227F">
        <w:trPr>
          <w:trHeight w:val="718"/>
        </w:trPr>
        <w:tc>
          <w:tcPr>
            <w:tcW w:w="8856" w:type="dxa"/>
            <w:gridSpan w:val="5"/>
            <w:tcBorders>
              <w:top w:val="single" w:sz="4" w:space="0" w:color="000000"/>
              <w:left w:val="single" w:sz="4" w:space="0" w:color="000000"/>
              <w:bottom w:val="single" w:sz="4" w:space="0" w:color="000000"/>
              <w:right w:val="single" w:sz="4" w:space="0" w:color="000000"/>
            </w:tcBorders>
            <w:hideMark/>
          </w:tcPr>
          <w:p w14:paraId="54316FF1"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Student Name:</w:t>
            </w:r>
          </w:p>
          <w:p w14:paraId="07A04719"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Victoria Mildenhall</w:t>
            </w:r>
          </w:p>
        </w:tc>
      </w:tr>
      <w:tr w:rsidR="0051302F" w:rsidRPr="0051302F" w14:paraId="5D6DCBB4" w14:textId="77777777" w:rsidTr="0086227F">
        <w:trPr>
          <w:trHeight w:val="849"/>
        </w:trPr>
        <w:tc>
          <w:tcPr>
            <w:tcW w:w="4788" w:type="dxa"/>
            <w:tcBorders>
              <w:top w:val="single" w:sz="4" w:space="0" w:color="000000"/>
              <w:left w:val="single" w:sz="4" w:space="0" w:color="000000"/>
              <w:bottom w:val="single" w:sz="4" w:space="0" w:color="000000"/>
              <w:right w:val="single" w:sz="4" w:space="0" w:color="000000"/>
            </w:tcBorders>
          </w:tcPr>
          <w:p w14:paraId="2A1C9634" w14:textId="32F98729"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 xml:space="preserve">Module code: </w:t>
            </w:r>
            <w:r>
              <w:rPr>
                <w:rFonts w:ascii="Arial" w:eastAsia="SimSun" w:hAnsi="Arial" w:cs="Arial"/>
                <w:color w:val="000000"/>
                <w:lang w:eastAsia="zh-CN"/>
              </w:rPr>
              <w:t>AHAN7011</w:t>
            </w:r>
          </w:p>
          <w:p w14:paraId="25BB06A2" w14:textId="77777777" w:rsidR="0051302F" w:rsidRPr="0051302F" w:rsidRDefault="0051302F" w:rsidP="0051302F">
            <w:pPr>
              <w:spacing w:after="0" w:line="240" w:lineRule="auto"/>
              <w:ind w:right="34"/>
              <w:rPr>
                <w:rFonts w:ascii="Arial" w:eastAsia="SimSun" w:hAnsi="Arial" w:cs="Arial"/>
                <w:color w:val="000000"/>
                <w:lang w:eastAsia="zh-CN"/>
              </w:rPr>
            </w:pPr>
          </w:p>
          <w:p w14:paraId="12FA421B" w14:textId="277ACE43"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 xml:space="preserve">Module title: </w:t>
            </w:r>
            <w:r>
              <w:rPr>
                <w:rFonts w:ascii="Arial" w:eastAsia="SimSun" w:hAnsi="Arial" w:cs="Arial"/>
                <w:color w:val="000000"/>
                <w:lang w:eastAsia="zh-CN"/>
              </w:rPr>
              <w:t>Cosmology, Magic and Divination</w:t>
            </w:r>
          </w:p>
          <w:p w14:paraId="25C6C3B4" w14:textId="77777777" w:rsidR="0051302F" w:rsidRPr="0051302F" w:rsidRDefault="0051302F" w:rsidP="0051302F">
            <w:pPr>
              <w:spacing w:after="0" w:line="240" w:lineRule="auto"/>
              <w:ind w:right="34"/>
              <w:rPr>
                <w:rFonts w:ascii="Arial" w:eastAsia="SimSun" w:hAnsi="Arial" w:cs="Arial"/>
                <w:color w:val="000000"/>
                <w:lang w:eastAsia="zh-CN"/>
              </w:rPr>
            </w:pPr>
          </w:p>
          <w:p w14:paraId="554E8537" w14:textId="77777777" w:rsidR="0051302F" w:rsidRPr="0051302F" w:rsidRDefault="0051302F" w:rsidP="0051302F">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tcPr>
          <w:p w14:paraId="40596AFE"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Student ID number:</w:t>
            </w:r>
          </w:p>
          <w:p w14:paraId="416A6E36" w14:textId="77777777" w:rsidR="0051302F" w:rsidRPr="0051302F" w:rsidRDefault="0051302F" w:rsidP="0051302F">
            <w:pPr>
              <w:spacing w:after="0" w:line="240" w:lineRule="auto"/>
              <w:ind w:right="34"/>
              <w:rPr>
                <w:rFonts w:ascii="Arial" w:eastAsia="SimSun" w:hAnsi="Arial" w:cs="Arial"/>
                <w:color w:val="000000"/>
                <w:lang w:eastAsia="zh-CN"/>
              </w:rPr>
            </w:pPr>
          </w:p>
          <w:p w14:paraId="2B12E296"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1501585</w:t>
            </w:r>
          </w:p>
        </w:tc>
        <w:tc>
          <w:tcPr>
            <w:tcW w:w="1802" w:type="dxa"/>
            <w:tcBorders>
              <w:top w:val="single" w:sz="4" w:space="0" w:color="000000"/>
              <w:left w:val="single" w:sz="4" w:space="0" w:color="000000"/>
              <w:bottom w:val="single" w:sz="4" w:space="0" w:color="000000"/>
              <w:right w:val="single" w:sz="4" w:space="0" w:color="000000"/>
            </w:tcBorders>
            <w:hideMark/>
          </w:tcPr>
          <w:p w14:paraId="0E8B6D96"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Educational support needs:</w:t>
            </w:r>
          </w:p>
          <w:p w14:paraId="15F7C5D9"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No</w:t>
            </w:r>
          </w:p>
        </w:tc>
      </w:tr>
      <w:tr w:rsidR="0051302F" w:rsidRPr="0051302F" w14:paraId="6B4FB438" w14:textId="77777777" w:rsidTr="0086227F">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82CA93B"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Module tutor:</w:t>
            </w:r>
          </w:p>
          <w:p w14:paraId="44652B67" w14:textId="3389C052"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 xml:space="preserve">Dr </w:t>
            </w:r>
            <w:r>
              <w:rPr>
                <w:rFonts w:ascii="Arial" w:eastAsia="SimSun" w:hAnsi="Arial" w:cs="Arial"/>
                <w:color w:val="000000"/>
                <w:lang w:eastAsia="zh-CN"/>
              </w:rPr>
              <w:t>C Addey</w:t>
            </w:r>
          </w:p>
          <w:p w14:paraId="783EE8A1" w14:textId="77777777" w:rsidR="0051302F" w:rsidRPr="0051302F" w:rsidRDefault="0051302F" w:rsidP="0051302F">
            <w:pPr>
              <w:spacing w:after="0" w:line="240" w:lineRule="auto"/>
              <w:ind w:right="34"/>
              <w:rPr>
                <w:rFonts w:ascii="Arial" w:eastAsia="SimSun" w:hAnsi="Arial" w:cs="Arial"/>
                <w:color w:val="000000"/>
                <w:lang w:eastAsia="zh-CN"/>
              </w:rPr>
            </w:pPr>
          </w:p>
          <w:p w14:paraId="206F5D01" w14:textId="7A52333F"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 xml:space="preserve">Assignment due date: </w:t>
            </w:r>
            <w:r>
              <w:rPr>
                <w:rFonts w:ascii="Arial" w:eastAsia="SimSun" w:hAnsi="Arial" w:cs="Arial"/>
                <w:color w:val="000000"/>
                <w:lang w:eastAsia="zh-CN"/>
              </w:rPr>
              <w:t>9</w:t>
            </w:r>
            <w:r w:rsidRPr="0051302F">
              <w:rPr>
                <w:rFonts w:ascii="Arial" w:eastAsia="SimSun" w:hAnsi="Arial" w:cs="Arial"/>
                <w:color w:val="000000"/>
                <w:vertAlign w:val="superscript"/>
                <w:lang w:eastAsia="zh-CN"/>
              </w:rPr>
              <w:t>th</w:t>
            </w:r>
            <w:r>
              <w:rPr>
                <w:rFonts w:ascii="Arial" w:eastAsia="SimSun" w:hAnsi="Arial" w:cs="Arial"/>
                <w:color w:val="000000"/>
                <w:lang w:eastAsia="zh-CN"/>
              </w:rPr>
              <w:t xml:space="preserve"> July 2018</w:t>
            </w:r>
          </w:p>
        </w:tc>
      </w:tr>
      <w:tr w:rsidR="0051302F" w:rsidRPr="0051302F" w14:paraId="138FA27D" w14:textId="77777777" w:rsidTr="0086227F">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6BC1C5C5" w14:textId="46E33A27" w:rsidR="0051302F" w:rsidRPr="0051302F" w:rsidRDefault="0051302F" w:rsidP="0051302F">
            <w:pPr>
              <w:rPr>
                <w:rFonts w:ascii="Arial" w:hAnsi="Arial" w:cs="Arial"/>
              </w:rPr>
            </w:pPr>
            <w:r w:rsidRPr="0051302F">
              <w:rPr>
                <w:rFonts w:ascii="Arial" w:hAnsi="Arial" w:cs="Arial"/>
              </w:rPr>
              <w:t xml:space="preserve">If your module has multiple </w:t>
            </w:r>
            <w:r w:rsidR="009F5BDD" w:rsidRPr="0051302F">
              <w:rPr>
                <w:rFonts w:ascii="Arial" w:hAnsi="Arial" w:cs="Arial"/>
              </w:rPr>
              <w:t>submissions,</w:t>
            </w:r>
            <w:r w:rsidRPr="0051302F">
              <w:rPr>
                <w:rFonts w:ascii="Arial" w:hAnsi="Arial" w:cs="Arial"/>
              </w:rPr>
              <w:t xml:space="preserve"> please indicate which piece of work this is.</w:t>
            </w:r>
          </w:p>
          <w:p w14:paraId="03CD1978" w14:textId="77777777" w:rsidR="0051302F" w:rsidRPr="0051302F" w:rsidRDefault="0051302F" w:rsidP="0051302F">
            <w:pPr>
              <w:rPr>
                <w:rFonts w:ascii="Arial" w:hAnsi="Arial" w:cs="Arial"/>
              </w:rPr>
            </w:pPr>
          </w:p>
          <w:p w14:paraId="6E56D0A8" w14:textId="77777777" w:rsidR="0051302F" w:rsidRPr="0051302F" w:rsidRDefault="0051302F" w:rsidP="0051302F">
            <w:pPr>
              <w:rPr>
                <w:rFonts w:ascii="Arial" w:hAnsi="Arial" w:cs="Arial"/>
              </w:rPr>
            </w:pPr>
            <w:r w:rsidRPr="0051302F">
              <w:rPr>
                <w:rFonts w:ascii="Arial" w:hAnsi="Arial" w:cs="Arial"/>
              </w:rPr>
              <w:t>1</w:t>
            </w:r>
            <w:r w:rsidRPr="0051302F">
              <w:rPr>
                <w:rFonts w:ascii="Arial" w:hAnsi="Arial" w:cs="Arial"/>
                <w:vertAlign w:val="superscript"/>
              </w:rPr>
              <w:t xml:space="preserve">st </w:t>
            </w:r>
            <w:r w:rsidRPr="0051302F">
              <w:rPr>
                <w:rFonts w:ascii="Arial" w:hAnsi="Arial" w:cs="Arial"/>
              </w:rPr>
              <w:fldChar w:fldCharType="begin">
                <w:ffData>
                  <w:name w:val="Check13"/>
                  <w:enabled/>
                  <w:calcOnExit w:val="0"/>
                  <w:checkBox>
                    <w:sizeAuto/>
                    <w:default w:val="0"/>
                  </w:checkBox>
                </w:ffData>
              </w:fldChar>
            </w:r>
            <w:bookmarkStart w:id="0" w:name="Check13"/>
            <w:r w:rsidRPr="0051302F">
              <w:rPr>
                <w:rFonts w:ascii="Arial" w:hAnsi="Arial" w:cs="Arial"/>
              </w:rPr>
              <w:instrText xml:space="preserve"> FORMCHECKBOX </w:instrText>
            </w:r>
            <w:r w:rsidRPr="0051302F">
              <w:rPr>
                <w:rFonts w:ascii="Arial" w:hAnsi="Arial" w:cs="Arial"/>
              </w:rPr>
            </w:r>
            <w:r w:rsidRPr="0051302F">
              <w:rPr>
                <w:rFonts w:ascii="Arial" w:hAnsi="Arial" w:cs="Arial"/>
              </w:rPr>
              <w:fldChar w:fldCharType="separate"/>
            </w:r>
            <w:r w:rsidRPr="0051302F">
              <w:rPr>
                <w:rFonts w:ascii="Times New Roman" w:hAnsi="Times New Roman" w:cs="Times New Roman"/>
                <w:sz w:val="24"/>
                <w:szCs w:val="24"/>
              </w:rPr>
              <w:fldChar w:fldCharType="end"/>
            </w:r>
            <w:bookmarkEnd w:id="0"/>
            <w:r w:rsidRPr="0051302F">
              <w:rPr>
                <w:rFonts w:ascii="Arial" w:hAnsi="Arial" w:cs="Arial"/>
              </w:rPr>
              <w:t xml:space="preserve">    2</w:t>
            </w:r>
            <w:r w:rsidRPr="0051302F">
              <w:rPr>
                <w:rFonts w:ascii="Arial" w:hAnsi="Arial" w:cs="Arial"/>
                <w:vertAlign w:val="superscript"/>
              </w:rPr>
              <w:t>nd</w:t>
            </w:r>
            <w:r w:rsidRPr="0051302F">
              <w:rPr>
                <w:rFonts w:ascii="Arial" w:hAnsi="Arial" w:cs="Arial"/>
              </w:rPr>
              <w:t xml:space="preserve">  </w:t>
            </w:r>
            <w:r w:rsidRPr="0051302F">
              <w:rPr>
                <w:rFonts w:ascii="Arial" w:hAnsi="Arial" w:cs="Arial"/>
              </w:rPr>
              <w:fldChar w:fldCharType="begin">
                <w:ffData>
                  <w:name w:val="Check14"/>
                  <w:enabled/>
                  <w:calcOnExit w:val="0"/>
                  <w:checkBox>
                    <w:sizeAuto/>
                    <w:default w:val="0"/>
                  </w:checkBox>
                </w:ffData>
              </w:fldChar>
            </w:r>
            <w:bookmarkStart w:id="1" w:name="Check14"/>
            <w:r w:rsidRPr="0051302F">
              <w:rPr>
                <w:rFonts w:ascii="Arial" w:hAnsi="Arial" w:cs="Arial"/>
              </w:rPr>
              <w:instrText xml:space="preserve"> FORMCHECKBOX </w:instrText>
            </w:r>
            <w:r w:rsidRPr="0051302F">
              <w:rPr>
                <w:rFonts w:ascii="Arial" w:hAnsi="Arial" w:cs="Arial"/>
              </w:rPr>
            </w:r>
            <w:r w:rsidRPr="0051302F">
              <w:rPr>
                <w:rFonts w:ascii="Arial" w:hAnsi="Arial" w:cs="Arial"/>
              </w:rPr>
              <w:fldChar w:fldCharType="separate"/>
            </w:r>
            <w:r w:rsidRPr="0051302F">
              <w:rPr>
                <w:rFonts w:ascii="Times New Roman" w:hAnsi="Times New Roman" w:cs="Times New Roman"/>
                <w:sz w:val="24"/>
                <w:szCs w:val="24"/>
              </w:rPr>
              <w:fldChar w:fldCharType="end"/>
            </w:r>
            <w:bookmarkEnd w:id="1"/>
            <w:r w:rsidRPr="0051302F">
              <w:rPr>
                <w:rFonts w:ascii="Arial" w:hAnsi="Arial" w:cs="Arial"/>
              </w:rPr>
              <w:t xml:space="preserve">     3</w:t>
            </w:r>
            <w:r w:rsidRPr="0051302F">
              <w:rPr>
                <w:rFonts w:ascii="Arial" w:hAnsi="Arial" w:cs="Arial"/>
                <w:vertAlign w:val="superscript"/>
              </w:rPr>
              <w:t>rd</w:t>
            </w:r>
            <w:r w:rsidRPr="0051302F">
              <w:rPr>
                <w:rFonts w:ascii="Arial" w:hAnsi="Arial" w:cs="Arial"/>
              </w:rPr>
              <w:t xml:space="preserve">  </w:t>
            </w:r>
            <w:r w:rsidRPr="0051302F">
              <w:rPr>
                <w:rFonts w:ascii="Arial" w:hAnsi="Arial" w:cs="Arial"/>
              </w:rPr>
              <w:fldChar w:fldCharType="begin">
                <w:ffData>
                  <w:name w:val="Check15"/>
                  <w:enabled/>
                  <w:calcOnExit w:val="0"/>
                  <w:checkBox>
                    <w:sizeAuto/>
                    <w:default w:val="0"/>
                  </w:checkBox>
                </w:ffData>
              </w:fldChar>
            </w:r>
            <w:bookmarkStart w:id="2" w:name="Check15"/>
            <w:r w:rsidRPr="0051302F">
              <w:rPr>
                <w:rFonts w:ascii="Arial" w:hAnsi="Arial" w:cs="Arial"/>
              </w:rPr>
              <w:instrText xml:space="preserve"> FORMCHECKBOX </w:instrText>
            </w:r>
            <w:r w:rsidRPr="0051302F">
              <w:rPr>
                <w:rFonts w:ascii="Arial" w:hAnsi="Arial" w:cs="Arial"/>
              </w:rPr>
            </w:r>
            <w:r w:rsidRPr="0051302F">
              <w:rPr>
                <w:rFonts w:ascii="Arial" w:hAnsi="Arial" w:cs="Arial"/>
              </w:rPr>
              <w:fldChar w:fldCharType="separate"/>
            </w:r>
            <w:r w:rsidRPr="0051302F">
              <w:rPr>
                <w:rFonts w:ascii="Times New Roman" w:hAnsi="Times New Roman" w:cs="Times New Roman"/>
                <w:sz w:val="24"/>
                <w:szCs w:val="24"/>
              </w:rPr>
              <w:fldChar w:fldCharType="end"/>
            </w:r>
            <w:bookmarkEnd w:id="2"/>
            <w:r w:rsidRPr="0051302F">
              <w:rPr>
                <w:rFonts w:ascii="Arial" w:hAnsi="Arial" w:cs="Arial"/>
              </w:rPr>
              <w:t xml:space="preserve">      4</w:t>
            </w:r>
            <w:r w:rsidRPr="0051302F">
              <w:rPr>
                <w:rFonts w:ascii="Arial" w:hAnsi="Arial" w:cs="Arial"/>
                <w:vertAlign w:val="superscript"/>
              </w:rPr>
              <w:t>th</w:t>
            </w:r>
            <w:r w:rsidRPr="0051302F">
              <w:rPr>
                <w:rFonts w:ascii="Arial" w:hAnsi="Arial" w:cs="Arial"/>
              </w:rPr>
              <w:t xml:space="preserve"> </w:t>
            </w:r>
            <w:r w:rsidRPr="0051302F">
              <w:rPr>
                <w:rFonts w:ascii="Arial" w:hAnsi="Arial" w:cs="Arial"/>
              </w:rPr>
              <w:fldChar w:fldCharType="begin">
                <w:ffData>
                  <w:name w:val="Check16"/>
                  <w:enabled/>
                  <w:calcOnExit w:val="0"/>
                  <w:checkBox>
                    <w:sizeAuto/>
                    <w:default w:val="0"/>
                  </w:checkBox>
                </w:ffData>
              </w:fldChar>
            </w:r>
            <w:bookmarkStart w:id="3" w:name="Check16"/>
            <w:r w:rsidRPr="0051302F">
              <w:rPr>
                <w:rFonts w:ascii="Arial" w:hAnsi="Arial" w:cs="Arial"/>
              </w:rPr>
              <w:instrText xml:space="preserve"> FORMCHECKBOX </w:instrText>
            </w:r>
            <w:r w:rsidRPr="0051302F">
              <w:rPr>
                <w:rFonts w:ascii="Arial" w:hAnsi="Arial" w:cs="Arial"/>
              </w:rPr>
            </w:r>
            <w:r w:rsidRPr="0051302F">
              <w:rPr>
                <w:rFonts w:ascii="Arial" w:hAnsi="Arial" w:cs="Arial"/>
              </w:rPr>
              <w:fldChar w:fldCharType="separate"/>
            </w:r>
            <w:r w:rsidRPr="0051302F">
              <w:rPr>
                <w:rFonts w:ascii="Times New Roman" w:hAnsi="Times New Roman" w:cs="Times New Roman"/>
                <w:sz w:val="24"/>
                <w:szCs w:val="24"/>
              </w:rPr>
              <w:fldChar w:fldCharType="end"/>
            </w:r>
            <w:bookmarkEnd w:id="3"/>
            <w:r w:rsidRPr="0051302F">
              <w:rPr>
                <w:rFonts w:ascii="Arial" w:hAnsi="Arial" w:cs="Arial"/>
              </w:rPr>
              <w:t xml:space="preserve">      5</w:t>
            </w:r>
            <w:r w:rsidRPr="0051302F">
              <w:rPr>
                <w:rFonts w:ascii="Arial" w:hAnsi="Arial" w:cs="Arial"/>
                <w:vertAlign w:val="superscript"/>
              </w:rPr>
              <w:t>th</w:t>
            </w:r>
            <w:r w:rsidRPr="0051302F">
              <w:rPr>
                <w:rFonts w:ascii="Arial" w:hAnsi="Arial" w:cs="Arial"/>
              </w:rPr>
              <w:t xml:space="preserve"> </w:t>
            </w:r>
            <w:r w:rsidRPr="0051302F">
              <w:rPr>
                <w:rFonts w:ascii="Arial" w:hAnsi="Arial" w:cs="Arial"/>
              </w:rPr>
              <w:fldChar w:fldCharType="begin">
                <w:ffData>
                  <w:name w:val="Check17"/>
                  <w:enabled/>
                  <w:calcOnExit w:val="0"/>
                  <w:checkBox>
                    <w:sizeAuto/>
                    <w:default w:val="0"/>
                  </w:checkBox>
                </w:ffData>
              </w:fldChar>
            </w:r>
            <w:bookmarkStart w:id="4" w:name="Check17"/>
            <w:r w:rsidRPr="0051302F">
              <w:rPr>
                <w:rFonts w:ascii="Arial" w:hAnsi="Arial" w:cs="Arial"/>
              </w:rPr>
              <w:instrText xml:space="preserve"> FORMCHECKBOX </w:instrText>
            </w:r>
            <w:r w:rsidRPr="0051302F">
              <w:rPr>
                <w:rFonts w:ascii="Arial" w:hAnsi="Arial" w:cs="Arial"/>
              </w:rPr>
            </w:r>
            <w:r w:rsidRPr="0051302F">
              <w:rPr>
                <w:rFonts w:ascii="Arial" w:hAnsi="Arial" w:cs="Arial"/>
              </w:rPr>
              <w:fldChar w:fldCharType="separate"/>
            </w:r>
            <w:r w:rsidRPr="0051302F">
              <w:rPr>
                <w:rFonts w:ascii="Times New Roman" w:hAnsi="Times New Roman" w:cs="Times New Roman"/>
                <w:sz w:val="24"/>
                <w:szCs w:val="24"/>
              </w:rPr>
              <w:fldChar w:fldCharType="end"/>
            </w:r>
            <w:bookmarkEnd w:id="4"/>
            <w:r w:rsidRPr="0051302F">
              <w:rPr>
                <w:rFonts w:ascii="Arial" w:hAnsi="Arial" w:cs="Arial"/>
              </w:rPr>
              <w:t xml:space="preserve">      6</w:t>
            </w:r>
            <w:r w:rsidRPr="0051302F">
              <w:rPr>
                <w:rFonts w:ascii="Arial" w:hAnsi="Arial" w:cs="Arial"/>
                <w:vertAlign w:val="superscript"/>
              </w:rPr>
              <w:t>th</w:t>
            </w:r>
            <w:r w:rsidRPr="0051302F">
              <w:rPr>
                <w:rFonts w:ascii="Arial" w:hAnsi="Arial" w:cs="Arial"/>
              </w:rPr>
              <w:t xml:space="preserve"> </w:t>
            </w:r>
            <w:r w:rsidRPr="0051302F">
              <w:rPr>
                <w:rFonts w:ascii="Arial" w:hAnsi="Arial" w:cs="Arial"/>
              </w:rPr>
              <w:fldChar w:fldCharType="begin">
                <w:ffData>
                  <w:name w:val="Check18"/>
                  <w:enabled/>
                  <w:calcOnExit w:val="0"/>
                  <w:checkBox>
                    <w:sizeAuto/>
                    <w:default w:val="0"/>
                  </w:checkBox>
                </w:ffData>
              </w:fldChar>
            </w:r>
            <w:bookmarkStart w:id="5" w:name="Check18"/>
            <w:r w:rsidRPr="0051302F">
              <w:rPr>
                <w:rFonts w:ascii="Arial" w:hAnsi="Arial" w:cs="Arial"/>
              </w:rPr>
              <w:instrText xml:space="preserve"> FORMCHECKBOX </w:instrText>
            </w:r>
            <w:r w:rsidRPr="0051302F">
              <w:rPr>
                <w:rFonts w:ascii="Arial" w:hAnsi="Arial" w:cs="Arial"/>
              </w:rPr>
            </w:r>
            <w:r w:rsidRPr="0051302F">
              <w:rPr>
                <w:rFonts w:ascii="Arial" w:hAnsi="Arial" w:cs="Arial"/>
              </w:rPr>
              <w:fldChar w:fldCharType="separate"/>
            </w:r>
            <w:r w:rsidRPr="0051302F">
              <w:rPr>
                <w:rFonts w:ascii="Times New Roman" w:hAnsi="Times New Roman" w:cs="Times New Roman"/>
                <w:sz w:val="24"/>
                <w:szCs w:val="24"/>
              </w:rPr>
              <w:fldChar w:fldCharType="end"/>
            </w:r>
            <w:bookmarkEnd w:id="5"/>
          </w:p>
        </w:tc>
      </w:tr>
      <w:tr w:rsidR="0051302F" w:rsidRPr="0051302F" w14:paraId="79D496B0" w14:textId="77777777" w:rsidTr="0086227F">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85946CB"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I confirm that this is my original work and that I have adhered to the University policy on plagiarism.</w:t>
            </w:r>
          </w:p>
          <w:p w14:paraId="63FD81C2"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Arial" w:eastAsia="SimSun" w:hAnsi="Arial" w:cs="Arial"/>
                <w:color w:val="000000"/>
                <w:lang w:eastAsia="zh-CN"/>
              </w:rPr>
              <w:t>Signed ……………………Victoria Mildenhall………………………</w:t>
            </w:r>
          </w:p>
          <w:p w14:paraId="0F67C92B" w14:textId="77777777" w:rsidR="0051302F" w:rsidRPr="0051302F" w:rsidRDefault="0051302F" w:rsidP="0051302F">
            <w:pPr>
              <w:spacing w:after="0" w:line="240" w:lineRule="auto"/>
              <w:ind w:right="34"/>
              <w:rPr>
                <w:rFonts w:ascii="Calibri" w:eastAsia="SimSun" w:hAnsi="Calibri" w:cs="Calibri"/>
                <w:b/>
                <w:color w:val="000000"/>
                <w:sz w:val="44"/>
                <w:szCs w:val="44"/>
                <w:lang w:eastAsia="zh-CN"/>
              </w:rPr>
            </w:pPr>
            <w:r w:rsidRPr="0051302F">
              <w:rPr>
                <w:rFonts w:ascii="Calibri" w:eastAsia="SimSun" w:hAnsi="Calibri" w:cs="Tahoma"/>
                <w:b/>
                <w:color w:val="000000"/>
                <w:sz w:val="24"/>
                <w:szCs w:val="24"/>
                <w:lang w:eastAsia="zh-CN"/>
              </w:rPr>
              <w:t xml:space="preserve">Email submission: if you are submitting this form via email, please tick this box </w:t>
            </w:r>
            <w:r w:rsidRPr="0051302F">
              <w:rPr>
                <w:rFonts w:ascii="Calibri" w:eastAsia="SimSun" w:hAnsi="Calibri" w:cs="Calibri"/>
                <w:b/>
                <w:color w:val="000000"/>
                <w:sz w:val="44"/>
                <w:szCs w:val="44"/>
                <w:lang w:eastAsia="zh-CN"/>
              </w:rPr>
              <w:t>X</w:t>
            </w:r>
          </w:p>
          <w:p w14:paraId="1B9D3A5C" w14:textId="77777777" w:rsidR="0051302F" w:rsidRPr="0051302F" w:rsidRDefault="0051302F" w:rsidP="0051302F">
            <w:pPr>
              <w:spacing w:after="0" w:line="240" w:lineRule="auto"/>
              <w:ind w:right="34"/>
              <w:rPr>
                <w:rFonts w:ascii="Arial" w:eastAsia="SimSun" w:hAnsi="Arial" w:cs="Arial"/>
                <w:color w:val="000000"/>
                <w:lang w:eastAsia="zh-CN"/>
              </w:rPr>
            </w:pPr>
            <w:r w:rsidRPr="0051302F">
              <w:rPr>
                <w:rFonts w:ascii="Calibri" w:eastAsia="SimSun" w:hAnsi="Calibri" w:cs="Tahoma"/>
                <w:b/>
                <w:color w:val="000000"/>
                <w:sz w:val="24"/>
                <w:szCs w:val="24"/>
                <w:lang w:eastAsia="zh-CN"/>
              </w:rPr>
              <w:t>(as a substitute for your signature) to confirm that you agree to the above declaration.</w:t>
            </w:r>
          </w:p>
        </w:tc>
      </w:tr>
      <w:tr w:rsidR="0051302F" w:rsidRPr="0051302F" w14:paraId="2314616A" w14:textId="77777777" w:rsidTr="0086227F">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BA5D1C6" w14:textId="77777777" w:rsidR="0051302F" w:rsidRPr="0051302F" w:rsidRDefault="0051302F" w:rsidP="0051302F">
            <w:pPr>
              <w:rPr>
                <w:rFonts w:ascii="Arial" w:hAnsi="Arial" w:cs="Times New Roman"/>
                <w:b/>
                <w:sz w:val="24"/>
                <w:szCs w:val="24"/>
              </w:rPr>
            </w:pPr>
          </w:p>
          <w:p w14:paraId="536D923D" w14:textId="77777777" w:rsidR="0051302F" w:rsidRPr="0051302F" w:rsidRDefault="0051302F" w:rsidP="0051302F">
            <w:pPr>
              <w:rPr>
                <w:rFonts w:ascii="Arial" w:hAnsi="Arial"/>
              </w:rPr>
            </w:pPr>
            <w:r w:rsidRPr="0051302F">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1302F" w:rsidRPr="0051302F" w14:paraId="5C29EBB6" w14:textId="77777777" w:rsidTr="0086227F">
              <w:tc>
                <w:tcPr>
                  <w:tcW w:w="6970" w:type="dxa"/>
                  <w:tcBorders>
                    <w:top w:val="single" w:sz="4" w:space="0" w:color="auto"/>
                    <w:left w:val="single" w:sz="4" w:space="0" w:color="auto"/>
                    <w:bottom w:val="single" w:sz="4" w:space="0" w:color="auto"/>
                    <w:right w:val="single" w:sz="4" w:space="0" w:color="auto"/>
                  </w:tcBorders>
                </w:tcPr>
                <w:p w14:paraId="2D900AFF" w14:textId="77777777" w:rsidR="0051302F" w:rsidRPr="0051302F" w:rsidRDefault="0051302F" w:rsidP="0051302F">
                  <w:pPr>
                    <w:rPr>
                      <w:rFonts w:ascii="Arial" w:hAnsi="Arial"/>
                      <w:sz w:val="20"/>
                      <w:szCs w:val="20"/>
                    </w:rPr>
                  </w:pPr>
                </w:p>
                <w:p w14:paraId="0A02B481" w14:textId="77777777" w:rsidR="0051302F" w:rsidRPr="0051302F" w:rsidRDefault="0051302F" w:rsidP="0051302F">
                  <w:pPr>
                    <w:rPr>
                      <w:rFonts w:ascii="Arial" w:hAnsi="Arial"/>
                      <w:sz w:val="20"/>
                      <w:szCs w:val="20"/>
                    </w:rPr>
                  </w:pPr>
                  <w:r w:rsidRPr="0051302F">
                    <w:rPr>
                      <w:rFonts w:ascii="Arial" w:hAnsi="Arial"/>
                      <w:sz w:val="20"/>
                      <w:szCs w:val="20"/>
                    </w:rPr>
                    <w:t>1</w:t>
                  </w:r>
                  <w:r w:rsidRPr="0051302F">
                    <w:rPr>
                      <w:rFonts w:ascii="Arial" w:hAnsi="Arial"/>
                      <w:sz w:val="20"/>
                      <w:szCs w:val="20"/>
                      <w:vertAlign w:val="superscript"/>
                    </w:rPr>
                    <w:t>st</w:t>
                  </w:r>
                  <w:r w:rsidRPr="0051302F">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24D36081" w14:textId="77777777" w:rsidR="0051302F" w:rsidRPr="0051302F" w:rsidRDefault="0051302F" w:rsidP="0051302F">
                  <w:pPr>
                    <w:rPr>
                      <w:rFonts w:ascii="Arial" w:hAnsi="Arial"/>
                      <w:sz w:val="20"/>
                      <w:szCs w:val="20"/>
                    </w:rPr>
                  </w:pPr>
                </w:p>
              </w:tc>
            </w:tr>
            <w:tr w:rsidR="0051302F" w:rsidRPr="0051302F" w14:paraId="43ABDA54" w14:textId="77777777" w:rsidTr="0086227F">
              <w:tc>
                <w:tcPr>
                  <w:tcW w:w="6970" w:type="dxa"/>
                  <w:tcBorders>
                    <w:top w:val="single" w:sz="4" w:space="0" w:color="auto"/>
                    <w:left w:val="single" w:sz="4" w:space="0" w:color="auto"/>
                    <w:bottom w:val="single" w:sz="4" w:space="0" w:color="auto"/>
                    <w:right w:val="single" w:sz="4" w:space="0" w:color="auto"/>
                  </w:tcBorders>
                </w:tcPr>
                <w:p w14:paraId="4F447D75" w14:textId="77777777" w:rsidR="0051302F" w:rsidRPr="0051302F" w:rsidRDefault="0051302F" w:rsidP="0051302F">
                  <w:pPr>
                    <w:rPr>
                      <w:rFonts w:ascii="Arial" w:hAnsi="Arial"/>
                      <w:sz w:val="20"/>
                      <w:szCs w:val="20"/>
                    </w:rPr>
                  </w:pPr>
                </w:p>
                <w:p w14:paraId="118DD144" w14:textId="77777777" w:rsidR="0051302F" w:rsidRPr="0051302F" w:rsidRDefault="0051302F" w:rsidP="0051302F">
                  <w:pPr>
                    <w:rPr>
                      <w:rFonts w:ascii="Arial" w:hAnsi="Arial"/>
                      <w:sz w:val="20"/>
                      <w:szCs w:val="20"/>
                    </w:rPr>
                  </w:pPr>
                  <w:r w:rsidRPr="0051302F">
                    <w:rPr>
                      <w:rFonts w:ascii="Arial" w:hAnsi="Arial"/>
                      <w:sz w:val="20"/>
                      <w:szCs w:val="20"/>
                    </w:rPr>
                    <w:t>2</w:t>
                  </w:r>
                  <w:r w:rsidRPr="0051302F">
                    <w:rPr>
                      <w:rFonts w:ascii="Arial" w:hAnsi="Arial"/>
                      <w:sz w:val="20"/>
                      <w:szCs w:val="20"/>
                      <w:vertAlign w:val="superscript"/>
                    </w:rPr>
                    <w:t>nd</w:t>
                  </w:r>
                  <w:r w:rsidRPr="0051302F">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08A1D66D" w14:textId="77777777" w:rsidR="0051302F" w:rsidRPr="0051302F" w:rsidRDefault="0051302F" w:rsidP="0051302F">
                  <w:pPr>
                    <w:rPr>
                      <w:rFonts w:ascii="Arial" w:hAnsi="Arial"/>
                      <w:sz w:val="20"/>
                      <w:szCs w:val="20"/>
                    </w:rPr>
                  </w:pPr>
                </w:p>
              </w:tc>
            </w:tr>
            <w:tr w:rsidR="0051302F" w:rsidRPr="0051302F" w14:paraId="5802B00A" w14:textId="77777777" w:rsidTr="0086227F">
              <w:tc>
                <w:tcPr>
                  <w:tcW w:w="6970" w:type="dxa"/>
                  <w:tcBorders>
                    <w:top w:val="single" w:sz="4" w:space="0" w:color="auto"/>
                    <w:left w:val="single" w:sz="4" w:space="0" w:color="auto"/>
                    <w:bottom w:val="single" w:sz="4" w:space="0" w:color="auto"/>
                    <w:right w:val="single" w:sz="4" w:space="0" w:color="auto"/>
                  </w:tcBorders>
                </w:tcPr>
                <w:p w14:paraId="32E3B457" w14:textId="77777777" w:rsidR="0051302F" w:rsidRPr="0051302F" w:rsidRDefault="0051302F" w:rsidP="0051302F">
                  <w:pPr>
                    <w:rPr>
                      <w:rFonts w:ascii="Arial" w:hAnsi="Arial"/>
                      <w:color w:val="000000"/>
                      <w:sz w:val="20"/>
                      <w:szCs w:val="20"/>
                    </w:rPr>
                  </w:pPr>
                  <w:r w:rsidRPr="0051302F">
                    <w:rPr>
                      <w:rFonts w:ascii="Arial" w:hAnsi="Arial"/>
                      <w:color w:val="000000"/>
                      <w:sz w:val="20"/>
                      <w:szCs w:val="20"/>
                    </w:rPr>
                    <w:t xml:space="preserve">Agreed Internal Mark: </w:t>
                  </w:r>
                </w:p>
                <w:p w14:paraId="648A2FB1" w14:textId="77777777" w:rsidR="0051302F" w:rsidRPr="0051302F" w:rsidRDefault="0051302F" w:rsidP="0051302F">
                  <w:pPr>
                    <w:rPr>
                      <w:rFonts w:ascii="Arial" w:hAnsi="Arial"/>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14:paraId="24547B16" w14:textId="77777777" w:rsidR="0051302F" w:rsidRPr="0051302F" w:rsidRDefault="0051302F" w:rsidP="0051302F">
                  <w:pPr>
                    <w:rPr>
                      <w:rFonts w:ascii="Arial" w:hAnsi="Arial"/>
                      <w:sz w:val="20"/>
                      <w:szCs w:val="20"/>
                      <w:highlight w:val="yellow"/>
                    </w:rPr>
                  </w:pPr>
                </w:p>
              </w:tc>
            </w:tr>
            <w:tr w:rsidR="0051302F" w:rsidRPr="0051302F" w14:paraId="64EE713B" w14:textId="77777777" w:rsidTr="0086227F">
              <w:tc>
                <w:tcPr>
                  <w:tcW w:w="6970" w:type="dxa"/>
                  <w:tcBorders>
                    <w:top w:val="single" w:sz="4" w:space="0" w:color="auto"/>
                    <w:left w:val="single" w:sz="4" w:space="0" w:color="auto"/>
                    <w:bottom w:val="single" w:sz="4" w:space="0" w:color="auto"/>
                    <w:right w:val="single" w:sz="4" w:space="0" w:color="auto"/>
                  </w:tcBorders>
                </w:tcPr>
                <w:p w14:paraId="7A28608C" w14:textId="77777777" w:rsidR="0051302F" w:rsidRPr="0051302F" w:rsidRDefault="0051302F" w:rsidP="0051302F">
                  <w:pPr>
                    <w:rPr>
                      <w:rFonts w:ascii="Arial" w:hAnsi="Arial"/>
                      <w:sz w:val="20"/>
                      <w:szCs w:val="20"/>
                    </w:rPr>
                  </w:pPr>
                </w:p>
                <w:p w14:paraId="7A0CD0CB" w14:textId="77777777" w:rsidR="0051302F" w:rsidRPr="0051302F" w:rsidRDefault="0051302F" w:rsidP="0051302F">
                  <w:pPr>
                    <w:rPr>
                      <w:rFonts w:ascii="Arial" w:hAnsi="Arial"/>
                      <w:sz w:val="20"/>
                      <w:szCs w:val="20"/>
                    </w:rPr>
                  </w:pPr>
                  <w:r w:rsidRPr="0051302F">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58B2F85A" w14:textId="77777777" w:rsidR="0051302F" w:rsidRPr="0051302F" w:rsidRDefault="0051302F" w:rsidP="0051302F">
                  <w:pPr>
                    <w:rPr>
                      <w:rFonts w:ascii="Arial" w:hAnsi="Arial"/>
                      <w:sz w:val="20"/>
                      <w:szCs w:val="20"/>
                    </w:rPr>
                  </w:pPr>
                </w:p>
              </w:tc>
            </w:tr>
            <w:tr w:rsidR="0051302F" w:rsidRPr="0051302F" w14:paraId="7FC44E77" w14:textId="77777777" w:rsidTr="0086227F">
              <w:tc>
                <w:tcPr>
                  <w:tcW w:w="6970" w:type="dxa"/>
                  <w:tcBorders>
                    <w:top w:val="single" w:sz="4" w:space="0" w:color="auto"/>
                    <w:left w:val="single" w:sz="4" w:space="0" w:color="auto"/>
                    <w:bottom w:val="single" w:sz="4" w:space="0" w:color="auto"/>
                    <w:right w:val="single" w:sz="4" w:space="0" w:color="auto"/>
                  </w:tcBorders>
                </w:tcPr>
                <w:p w14:paraId="2A7ACACA" w14:textId="77777777" w:rsidR="0051302F" w:rsidRPr="0051302F" w:rsidRDefault="0051302F" w:rsidP="0051302F">
                  <w:pPr>
                    <w:rPr>
                      <w:rFonts w:ascii="Arial" w:hAnsi="Arial"/>
                      <w:sz w:val="20"/>
                      <w:szCs w:val="20"/>
                    </w:rPr>
                  </w:pPr>
                </w:p>
                <w:p w14:paraId="43C25F81" w14:textId="77777777" w:rsidR="0051302F" w:rsidRPr="0051302F" w:rsidRDefault="0051302F" w:rsidP="0051302F">
                  <w:pPr>
                    <w:rPr>
                      <w:rFonts w:ascii="Arial" w:hAnsi="Arial"/>
                      <w:b/>
                      <w:sz w:val="20"/>
                      <w:szCs w:val="20"/>
                    </w:rPr>
                  </w:pPr>
                  <w:r w:rsidRPr="0051302F">
                    <w:rPr>
                      <w:rFonts w:ascii="Arial" w:hAnsi="Arial"/>
                      <w:b/>
                      <w:sz w:val="20"/>
                      <w:szCs w:val="20"/>
                    </w:rPr>
                    <w:t>Final Mark</w:t>
                  </w:r>
                </w:p>
                <w:p w14:paraId="12D6B394" w14:textId="77777777" w:rsidR="0051302F" w:rsidRPr="0051302F" w:rsidRDefault="0051302F" w:rsidP="0051302F">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51B3F4D4" w14:textId="77777777" w:rsidR="0051302F" w:rsidRPr="0051302F" w:rsidRDefault="0051302F" w:rsidP="0051302F">
                  <w:pPr>
                    <w:rPr>
                      <w:rFonts w:ascii="Arial" w:hAnsi="Arial"/>
                      <w:sz w:val="20"/>
                      <w:szCs w:val="20"/>
                    </w:rPr>
                  </w:pPr>
                </w:p>
              </w:tc>
            </w:tr>
          </w:tbl>
          <w:p w14:paraId="29032930" w14:textId="77777777" w:rsidR="0051302F" w:rsidRPr="0051302F" w:rsidRDefault="0051302F" w:rsidP="0051302F">
            <w:pPr>
              <w:spacing w:after="0" w:line="240" w:lineRule="auto"/>
              <w:ind w:left="142" w:right="34"/>
              <w:rPr>
                <w:rFonts w:ascii="Arial" w:eastAsia="SimSun" w:hAnsi="Arial" w:cs="Arial"/>
                <w:b/>
                <w:color w:val="000000"/>
                <w:lang w:eastAsia="zh-CN"/>
              </w:rPr>
            </w:pPr>
          </w:p>
          <w:p w14:paraId="794FD6F3" w14:textId="77777777" w:rsidR="0051302F" w:rsidRPr="0051302F" w:rsidRDefault="0051302F" w:rsidP="0051302F">
            <w:pPr>
              <w:spacing w:after="0" w:line="240" w:lineRule="auto"/>
              <w:ind w:left="142" w:right="34"/>
              <w:rPr>
                <w:rFonts w:ascii="Arial" w:eastAsia="SimSun" w:hAnsi="Arial" w:cs="Arial"/>
                <w:color w:val="000000"/>
                <w:lang w:eastAsia="zh-CN"/>
              </w:rPr>
            </w:pPr>
            <w:r w:rsidRPr="0051302F">
              <w:rPr>
                <w:rFonts w:ascii="Arial" w:eastAsia="SimSun" w:hAnsi="Arial" w:cs="Arial"/>
                <w:b/>
                <w:color w:val="000000"/>
                <w:lang w:eastAsia="zh-CN"/>
              </w:rPr>
              <w:t>NB.</w:t>
            </w:r>
            <w:r w:rsidRPr="0051302F">
              <w:rPr>
                <w:rFonts w:ascii="Arial" w:eastAsia="SimSun" w:hAnsi="Arial" w:cs="Arial"/>
                <w:color w:val="000000"/>
                <w:lang w:eastAsia="zh-CN"/>
              </w:rPr>
              <w:t xml:space="preserve">  All marks are provisional until confirmed by the Final Examination Board.</w:t>
            </w:r>
          </w:p>
          <w:p w14:paraId="06F6112E" w14:textId="77777777" w:rsidR="0051302F" w:rsidRPr="0051302F" w:rsidRDefault="0051302F" w:rsidP="0051302F">
            <w:pPr>
              <w:spacing w:after="0" w:line="240" w:lineRule="auto"/>
              <w:rPr>
                <w:rFonts w:ascii="Arial" w:eastAsia="SimSun" w:hAnsi="Arial" w:cs="Arial"/>
                <w:b/>
                <w:color w:val="000000"/>
                <w:lang w:eastAsia="zh-CN"/>
              </w:rPr>
            </w:pPr>
          </w:p>
          <w:p w14:paraId="28FDD094" w14:textId="77777777" w:rsidR="0051302F" w:rsidRPr="0051302F" w:rsidRDefault="0051302F" w:rsidP="0051302F">
            <w:pPr>
              <w:spacing w:after="0" w:line="240" w:lineRule="auto"/>
              <w:rPr>
                <w:rFonts w:ascii="Arial" w:eastAsia="SimSun" w:hAnsi="Arial" w:cs="Arial"/>
                <w:b/>
                <w:color w:val="000000"/>
                <w:lang w:eastAsia="zh-CN"/>
              </w:rPr>
            </w:pPr>
          </w:p>
          <w:p w14:paraId="2C378074" w14:textId="77777777" w:rsidR="0051302F" w:rsidRPr="0051302F" w:rsidRDefault="0051302F" w:rsidP="0051302F">
            <w:pPr>
              <w:spacing w:after="0" w:line="240" w:lineRule="auto"/>
              <w:rPr>
                <w:rFonts w:ascii="Arial" w:eastAsia="SimSun" w:hAnsi="Arial" w:cs="Arial"/>
                <w:b/>
                <w:color w:val="000000"/>
                <w:lang w:eastAsia="zh-CN"/>
              </w:rPr>
            </w:pPr>
          </w:p>
          <w:p w14:paraId="6847AEF1" w14:textId="77777777" w:rsidR="0051302F" w:rsidRPr="0051302F" w:rsidRDefault="0051302F" w:rsidP="0051302F">
            <w:pPr>
              <w:spacing w:after="0" w:line="240" w:lineRule="auto"/>
              <w:rPr>
                <w:rFonts w:ascii="Arial" w:eastAsia="SimSun" w:hAnsi="Arial" w:cs="Arial"/>
                <w:b/>
                <w:color w:val="000000"/>
                <w:lang w:eastAsia="zh-CN"/>
              </w:rPr>
            </w:pPr>
          </w:p>
          <w:p w14:paraId="210F345C" w14:textId="65D205AA" w:rsidR="0051302F" w:rsidRPr="0051302F" w:rsidRDefault="0051302F" w:rsidP="0051302F">
            <w:pPr>
              <w:spacing w:after="0" w:line="240" w:lineRule="auto"/>
              <w:rPr>
                <w:rFonts w:ascii="Arial" w:eastAsia="SimSun" w:hAnsi="Arial" w:cs="Arial"/>
                <w:b/>
                <w:color w:val="000000"/>
                <w:lang w:eastAsia="zh-CN"/>
              </w:rPr>
            </w:pPr>
            <w:r w:rsidRPr="0051302F">
              <w:rPr>
                <w:rFonts w:ascii="Arial" w:eastAsia="SimSun" w:hAnsi="Arial" w:cs="Arial"/>
                <w:b/>
                <w:color w:val="000000"/>
                <w:lang w:eastAsia="zh-CN"/>
              </w:rPr>
              <w:t xml:space="preserve">For completion by Marker </w:t>
            </w:r>
            <w:r w:rsidR="009F5BDD" w:rsidRPr="0051302F">
              <w:rPr>
                <w:rFonts w:ascii="Arial" w:eastAsia="SimSun" w:hAnsi="Arial" w:cs="Arial"/>
                <w:b/>
                <w:color w:val="000000"/>
                <w:lang w:eastAsia="zh-CN"/>
              </w:rPr>
              <w:t>1:</w:t>
            </w:r>
          </w:p>
          <w:p w14:paraId="5F587AF9" w14:textId="77777777" w:rsidR="0051302F" w:rsidRPr="0051302F" w:rsidRDefault="0051302F" w:rsidP="0051302F">
            <w:pPr>
              <w:spacing w:before="100" w:beforeAutospacing="1" w:after="100" w:afterAutospacing="1" w:line="240" w:lineRule="auto"/>
              <w:rPr>
                <w:rFonts w:ascii="Arial" w:eastAsia="SimSun" w:hAnsi="Arial" w:cs="Arial"/>
                <w:color w:val="000000"/>
                <w:lang w:eastAsia="zh-CN"/>
              </w:rPr>
            </w:pPr>
            <w:r w:rsidRPr="0051302F">
              <w:rPr>
                <w:rFonts w:ascii="Arial" w:eastAsia="SimSun" w:hAnsi="Arial" w:cs="Arial"/>
                <w:color w:val="000000"/>
                <w:lang w:eastAsia="zh-CN"/>
              </w:rPr>
              <w:t>Comments:</w:t>
            </w:r>
          </w:p>
          <w:p w14:paraId="60727C38" w14:textId="77777777" w:rsidR="0051302F" w:rsidRPr="0051302F" w:rsidRDefault="0051302F" w:rsidP="0051302F">
            <w:pPr>
              <w:spacing w:before="100" w:beforeAutospacing="1" w:after="100" w:afterAutospacing="1" w:line="240" w:lineRule="auto"/>
              <w:rPr>
                <w:rFonts w:ascii="Arial" w:eastAsia="SimSun" w:hAnsi="Arial" w:cs="Arial"/>
                <w:color w:val="000000"/>
                <w:lang w:eastAsia="zh-CN"/>
              </w:rPr>
            </w:pPr>
          </w:p>
        </w:tc>
      </w:tr>
      <w:tr w:rsidR="0051302F" w:rsidRPr="0051302F" w14:paraId="36AD8560" w14:textId="77777777" w:rsidTr="0086227F">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FE9D6A7" w14:textId="77777777" w:rsidR="0051302F" w:rsidRPr="0051302F" w:rsidRDefault="0051302F" w:rsidP="0051302F">
            <w:pPr>
              <w:spacing w:before="100" w:after="100" w:line="240" w:lineRule="auto"/>
              <w:ind w:left="142" w:right="34"/>
              <w:rPr>
                <w:rFonts w:ascii="Arial" w:eastAsia="SimSun" w:hAnsi="Arial" w:cs="Arial"/>
                <w:color w:val="000000"/>
                <w:lang w:eastAsia="zh-CN"/>
              </w:rPr>
            </w:pPr>
            <w:r w:rsidRPr="0051302F">
              <w:rPr>
                <w:rFonts w:ascii="Arial" w:eastAsia="SimSun" w:hAnsi="Arial" w:cs="Arial"/>
                <w:color w:val="000000"/>
                <w:lang w:eastAsia="zh-CN"/>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8DCB8E2" w14:textId="77777777" w:rsidR="0051302F" w:rsidRPr="0051302F" w:rsidRDefault="0051302F" w:rsidP="0051302F">
            <w:pPr>
              <w:spacing w:before="100" w:after="0" w:line="240" w:lineRule="auto"/>
              <w:ind w:left="142" w:right="34"/>
              <w:rPr>
                <w:rFonts w:ascii="Arial" w:eastAsia="SimSun" w:hAnsi="Arial" w:cs="Arial"/>
                <w:color w:val="000000"/>
                <w:lang w:eastAsia="zh-CN"/>
              </w:rPr>
            </w:pPr>
            <w:r w:rsidRPr="0051302F">
              <w:rPr>
                <w:rFonts w:ascii="Arial" w:eastAsia="SimSun" w:hAnsi="Arial" w:cs="Arial"/>
                <w:color w:val="000000"/>
                <w:lang w:eastAsia="zh-CN"/>
              </w:rPr>
              <w:t>Date:</w:t>
            </w:r>
          </w:p>
        </w:tc>
      </w:tr>
      <w:tr w:rsidR="0051302F" w:rsidRPr="0051302F" w14:paraId="12FD4DA6" w14:textId="77777777" w:rsidTr="0086227F">
        <w:tc>
          <w:tcPr>
            <w:tcW w:w="8856" w:type="dxa"/>
            <w:gridSpan w:val="5"/>
            <w:tcBorders>
              <w:top w:val="single" w:sz="4" w:space="0" w:color="000000"/>
              <w:left w:val="single" w:sz="4" w:space="0" w:color="000000"/>
              <w:bottom w:val="single" w:sz="4" w:space="0" w:color="000000"/>
              <w:right w:val="single" w:sz="4" w:space="0" w:color="000000"/>
            </w:tcBorders>
          </w:tcPr>
          <w:p w14:paraId="39E29475" w14:textId="77777777" w:rsidR="0051302F" w:rsidRPr="0051302F" w:rsidRDefault="0051302F" w:rsidP="0051302F">
            <w:pPr>
              <w:spacing w:after="0" w:line="240" w:lineRule="auto"/>
              <w:ind w:right="-334"/>
              <w:rPr>
                <w:rFonts w:ascii="Arial" w:eastAsia="SimSun" w:hAnsi="Arial" w:cs="Arial"/>
                <w:bCs/>
                <w:i/>
                <w:color w:val="000000"/>
                <w:lang w:eastAsia="zh-CN"/>
              </w:rPr>
            </w:pPr>
          </w:p>
          <w:p w14:paraId="44662B83" w14:textId="77777777" w:rsidR="0051302F" w:rsidRPr="0051302F" w:rsidRDefault="0051302F" w:rsidP="0051302F">
            <w:pPr>
              <w:spacing w:after="0" w:line="240" w:lineRule="auto"/>
              <w:ind w:right="-334"/>
              <w:rPr>
                <w:rFonts w:ascii="Arial" w:eastAsia="SimSun" w:hAnsi="Arial" w:cs="Arial"/>
                <w:b/>
                <w:bCs/>
                <w:color w:val="000000"/>
                <w:lang w:eastAsia="zh-CN"/>
              </w:rPr>
            </w:pPr>
            <w:r w:rsidRPr="0051302F">
              <w:rPr>
                <w:rFonts w:ascii="Arial" w:eastAsia="SimSun" w:hAnsi="Arial" w:cs="Arial"/>
                <w:b/>
                <w:bCs/>
                <w:color w:val="000000"/>
                <w:lang w:eastAsia="zh-CN"/>
              </w:rPr>
              <w:t>For completion by Marker 2/Moderator:</w:t>
            </w:r>
          </w:p>
          <w:p w14:paraId="1EA026B8" w14:textId="77777777" w:rsidR="0051302F" w:rsidRPr="0051302F" w:rsidRDefault="0051302F" w:rsidP="0051302F">
            <w:pPr>
              <w:spacing w:after="0" w:line="240" w:lineRule="auto"/>
              <w:ind w:right="-334"/>
              <w:rPr>
                <w:rFonts w:ascii="Arial" w:eastAsia="SimSun" w:hAnsi="Arial" w:cs="Arial"/>
                <w:b/>
                <w:bCs/>
                <w:color w:val="000000"/>
                <w:lang w:eastAsia="zh-CN"/>
              </w:rPr>
            </w:pPr>
          </w:p>
          <w:p w14:paraId="00FA2A6D" w14:textId="77777777" w:rsidR="0051302F" w:rsidRPr="0051302F" w:rsidRDefault="0051302F" w:rsidP="0051302F">
            <w:pPr>
              <w:spacing w:after="0" w:line="240" w:lineRule="auto"/>
              <w:ind w:right="-334"/>
              <w:rPr>
                <w:rFonts w:ascii="Arial" w:eastAsia="SimSun" w:hAnsi="Arial" w:cs="Arial"/>
                <w:bCs/>
                <w:color w:val="000000"/>
                <w:lang w:eastAsia="zh-CN"/>
              </w:rPr>
            </w:pPr>
            <w:r w:rsidRPr="0051302F">
              <w:rPr>
                <w:rFonts w:ascii="Arial" w:eastAsia="SimSun" w:hAnsi="Arial" w:cs="Arial"/>
                <w:bCs/>
                <w:color w:val="000000"/>
                <w:lang w:eastAsia="zh-CN"/>
              </w:rPr>
              <w:t>Comments:</w:t>
            </w:r>
          </w:p>
          <w:p w14:paraId="183A5950" w14:textId="77777777" w:rsidR="0051302F" w:rsidRPr="0051302F" w:rsidRDefault="0051302F" w:rsidP="0051302F">
            <w:pPr>
              <w:spacing w:after="0" w:line="240" w:lineRule="auto"/>
              <w:ind w:right="-334"/>
              <w:rPr>
                <w:rFonts w:ascii="Arial" w:eastAsia="SimSun" w:hAnsi="Arial" w:cs="Arial"/>
                <w:bCs/>
                <w:color w:val="000000"/>
                <w:lang w:eastAsia="zh-CN"/>
              </w:rPr>
            </w:pPr>
          </w:p>
          <w:p w14:paraId="11811102" w14:textId="77777777" w:rsidR="0051302F" w:rsidRPr="0051302F" w:rsidRDefault="0051302F" w:rsidP="0051302F">
            <w:pPr>
              <w:spacing w:after="0" w:line="240" w:lineRule="auto"/>
              <w:ind w:right="-334"/>
              <w:rPr>
                <w:rFonts w:ascii="Arial" w:eastAsia="SimSun" w:hAnsi="Arial" w:cs="Arial"/>
                <w:bCs/>
                <w:color w:val="000000"/>
                <w:lang w:eastAsia="zh-CN"/>
              </w:rPr>
            </w:pPr>
          </w:p>
          <w:p w14:paraId="1F762886" w14:textId="77777777" w:rsidR="0051302F" w:rsidRPr="0051302F" w:rsidRDefault="0051302F" w:rsidP="0051302F">
            <w:pPr>
              <w:spacing w:after="0" w:line="240" w:lineRule="auto"/>
              <w:ind w:right="-334"/>
              <w:rPr>
                <w:rFonts w:ascii="Arial" w:eastAsia="SimSun" w:hAnsi="Arial" w:cs="Arial"/>
                <w:bCs/>
                <w:color w:val="000000"/>
                <w:lang w:eastAsia="zh-CN"/>
              </w:rPr>
            </w:pPr>
          </w:p>
        </w:tc>
      </w:tr>
      <w:tr w:rsidR="0051302F" w:rsidRPr="0051302F" w14:paraId="5E3A8D96" w14:textId="77777777" w:rsidTr="0086227F">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A98948A" w14:textId="77777777" w:rsidR="0051302F" w:rsidRPr="0051302F" w:rsidRDefault="0051302F" w:rsidP="0051302F">
            <w:pPr>
              <w:spacing w:after="0" w:line="240" w:lineRule="auto"/>
              <w:ind w:right="-334"/>
              <w:rPr>
                <w:rFonts w:ascii="Arial" w:eastAsia="SimSun" w:hAnsi="Arial" w:cs="Arial"/>
                <w:bCs/>
                <w:color w:val="000000"/>
                <w:lang w:eastAsia="zh-CN"/>
              </w:rPr>
            </w:pPr>
            <w:r w:rsidRPr="0051302F">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A8728F1" w14:textId="77777777" w:rsidR="0051302F" w:rsidRPr="0051302F" w:rsidRDefault="0051302F" w:rsidP="0051302F">
            <w:pPr>
              <w:spacing w:after="0" w:line="240" w:lineRule="auto"/>
              <w:ind w:right="-334"/>
              <w:rPr>
                <w:rFonts w:ascii="Arial" w:eastAsia="SimSun" w:hAnsi="Arial" w:cs="Arial"/>
                <w:bCs/>
                <w:color w:val="000000"/>
                <w:lang w:eastAsia="zh-CN"/>
              </w:rPr>
            </w:pPr>
            <w:r w:rsidRPr="0051302F">
              <w:rPr>
                <w:rFonts w:ascii="Arial" w:eastAsia="SimSun" w:hAnsi="Arial" w:cs="Arial"/>
                <w:bCs/>
                <w:color w:val="000000"/>
                <w:lang w:eastAsia="zh-CN"/>
              </w:rPr>
              <w:t>Date:</w:t>
            </w:r>
          </w:p>
        </w:tc>
      </w:tr>
      <w:tr w:rsidR="0051302F" w:rsidRPr="0051302F" w14:paraId="2EFBFABB" w14:textId="77777777" w:rsidTr="0086227F">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0756A889" w14:textId="77777777" w:rsidR="0051302F" w:rsidRPr="0051302F" w:rsidRDefault="0051302F" w:rsidP="0051302F">
            <w:pPr>
              <w:rPr>
                <w:rFonts w:ascii="Arial" w:hAnsi="Arial" w:cs="Arial"/>
                <w:b/>
              </w:rPr>
            </w:pPr>
            <w:r w:rsidRPr="0051302F">
              <w:rPr>
                <w:rFonts w:ascii="Arial" w:hAnsi="Arial" w:cs="Arial"/>
                <w:b/>
              </w:rPr>
              <w:t>AGREED INTERNAL MARK (where necessary):</w:t>
            </w:r>
          </w:p>
          <w:p w14:paraId="228C389C" w14:textId="77777777" w:rsidR="0051302F" w:rsidRPr="0051302F" w:rsidRDefault="0051302F" w:rsidP="0051302F">
            <w:pPr>
              <w:rPr>
                <w:rFonts w:ascii="Arial" w:hAnsi="Arial" w:cs="Arial"/>
                <w:b/>
              </w:rPr>
            </w:pPr>
          </w:p>
          <w:p w14:paraId="78646BEB" w14:textId="77777777" w:rsidR="0051302F" w:rsidRPr="0051302F" w:rsidRDefault="0051302F" w:rsidP="0051302F">
            <w:pPr>
              <w:rPr>
                <w:rFonts w:ascii="Arial" w:hAnsi="Arial" w:cs="Arial"/>
                <w:b/>
              </w:rPr>
            </w:pPr>
            <w:r w:rsidRPr="0051302F">
              <w:rPr>
                <w:rFonts w:ascii="Arial" w:hAnsi="Arial" w:cs="Arial"/>
                <w:b/>
              </w:rPr>
              <w:t>Comment on process of arriving at agreed mark:</w:t>
            </w:r>
          </w:p>
          <w:p w14:paraId="3F8D1FDD" w14:textId="77777777" w:rsidR="0051302F" w:rsidRPr="0051302F" w:rsidRDefault="0051302F" w:rsidP="0051302F">
            <w:pPr>
              <w:rPr>
                <w:rFonts w:ascii="Arial" w:hAnsi="Arial" w:cs="Arial"/>
                <w:b/>
              </w:rPr>
            </w:pPr>
          </w:p>
          <w:p w14:paraId="240C471D" w14:textId="77777777" w:rsidR="0051302F" w:rsidRPr="0051302F" w:rsidRDefault="0051302F" w:rsidP="0051302F">
            <w:pPr>
              <w:rPr>
                <w:rFonts w:ascii="Arial" w:hAnsi="Arial" w:cs="Arial"/>
                <w:b/>
              </w:rPr>
            </w:pPr>
          </w:p>
          <w:p w14:paraId="0610F79C" w14:textId="77777777" w:rsidR="0051302F" w:rsidRPr="0051302F" w:rsidRDefault="0051302F" w:rsidP="0051302F">
            <w:pPr>
              <w:rPr>
                <w:rFonts w:ascii="Arial" w:hAnsi="Arial" w:cs="Arial"/>
                <w:b/>
              </w:rPr>
            </w:pPr>
          </w:p>
          <w:p w14:paraId="53F7C781" w14:textId="77777777" w:rsidR="0051302F" w:rsidRPr="0051302F" w:rsidRDefault="0051302F" w:rsidP="0051302F">
            <w:pPr>
              <w:rPr>
                <w:rFonts w:ascii="Arial" w:hAnsi="Arial" w:cs="Arial"/>
                <w:b/>
              </w:rPr>
            </w:pPr>
          </w:p>
          <w:p w14:paraId="63AD83AA" w14:textId="77777777" w:rsidR="0051302F" w:rsidRPr="0051302F" w:rsidRDefault="0051302F" w:rsidP="0051302F">
            <w:pPr>
              <w:rPr>
                <w:rFonts w:ascii="Arial" w:hAnsi="Arial" w:cs="Arial"/>
                <w:b/>
              </w:rPr>
            </w:pPr>
          </w:p>
          <w:p w14:paraId="12A10EDD" w14:textId="77777777" w:rsidR="0051302F" w:rsidRPr="0051302F" w:rsidRDefault="0051302F" w:rsidP="0051302F">
            <w:pPr>
              <w:rPr>
                <w:rFonts w:ascii="Arial" w:hAnsi="Arial" w:cs="Arial"/>
                <w:b/>
              </w:rPr>
            </w:pPr>
          </w:p>
          <w:p w14:paraId="47C402A9" w14:textId="77777777" w:rsidR="0051302F" w:rsidRPr="0051302F" w:rsidRDefault="0051302F" w:rsidP="0051302F">
            <w:pPr>
              <w:rPr>
                <w:rFonts w:ascii="Arial" w:hAnsi="Arial" w:cs="Arial"/>
                <w:b/>
              </w:rPr>
            </w:pPr>
          </w:p>
          <w:p w14:paraId="45A6E715" w14:textId="77777777" w:rsidR="0051302F" w:rsidRPr="0051302F" w:rsidRDefault="0051302F" w:rsidP="0051302F">
            <w:pPr>
              <w:rPr>
                <w:rFonts w:ascii="Arial" w:hAnsi="Arial" w:cs="Arial"/>
                <w:b/>
              </w:rPr>
            </w:pPr>
          </w:p>
        </w:tc>
      </w:tr>
      <w:tr w:rsidR="0051302F" w:rsidRPr="0051302F" w14:paraId="0535A758" w14:textId="77777777" w:rsidTr="0086227F">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3CE9334" w14:textId="77777777" w:rsidR="0051302F" w:rsidRPr="0051302F" w:rsidRDefault="0051302F" w:rsidP="0051302F">
            <w:pPr>
              <w:rPr>
                <w:rFonts w:ascii="Arial" w:hAnsi="Arial" w:cs="Arial"/>
                <w:b/>
              </w:rPr>
            </w:pPr>
            <w:r w:rsidRPr="0051302F">
              <w:rPr>
                <w:rFonts w:ascii="Arial" w:hAnsi="Arial" w:cs="Arial"/>
                <w:b/>
              </w:rPr>
              <w:lastRenderedPageBreak/>
              <w:t>External Examiner’s comments (if relevant)</w:t>
            </w:r>
          </w:p>
          <w:p w14:paraId="76F1FF5D" w14:textId="77777777" w:rsidR="0051302F" w:rsidRPr="0051302F" w:rsidRDefault="0051302F" w:rsidP="0051302F">
            <w:pPr>
              <w:spacing w:after="0" w:line="240" w:lineRule="auto"/>
              <w:ind w:right="-334"/>
              <w:rPr>
                <w:rFonts w:ascii="Arial" w:eastAsia="SimSun" w:hAnsi="Arial" w:cs="Arial"/>
                <w:bCs/>
                <w:color w:val="000000"/>
                <w:lang w:eastAsia="zh-CN"/>
              </w:rPr>
            </w:pPr>
          </w:p>
          <w:p w14:paraId="3CDE8BF2" w14:textId="77777777" w:rsidR="0051302F" w:rsidRPr="0051302F" w:rsidRDefault="0051302F" w:rsidP="0051302F">
            <w:pPr>
              <w:spacing w:after="0" w:line="240" w:lineRule="auto"/>
              <w:ind w:right="-334"/>
              <w:rPr>
                <w:rFonts w:ascii="Arial" w:eastAsia="SimSun" w:hAnsi="Arial" w:cs="Arial"/>
                <w:bCs/>
                <w:color w:val="000000"/>
                <w:lang w:eastAsia="zh-CN"/>
              </w:rPr>
            </w:pPr>
          </w:p>
          <w:p w14:paraId="40AB91D0" w14:textId="77777777" w:rsidR="0051302F" w:rsidRPr="0051302F" w:rsidRDefault="0051302F" w:rsidP="0051302F">
            <w:pPr>
              <w:spacing w:after="0" w:line="240" w:lineRule="auto"/>
              <w:ind w:right="-334"/>
              <w:rPr>
                <w:rFonts w:ascii="Arial" w:eastAsia="SimSun" w:hAnsi="Arial" w:cs="Arial"/>
                <w:bCs/>
                <w:color w:val="000000"/>
                <w:lang w:eastAsia="zh-CN"/>
              </w:rPr>
            </w:pPr>
          </w:p>
          <w:p w14:paraId="1105BCAB" w14:textId="77777777" w:rsidR="0051302F" w:rsidRPr="0051302F" w:rsidRDefault="0051302F" w:rsidP="0051302F">
            <w:pPr>
              <w:spacing w:after="0" w:line="240" w:lineRule="auto"/>
              <w:ind w:right="-334"/>
              <w:rPr>
                <w:rFonts w:ascii="Arial" w:eastAsia="SimSun" w:hAnsi="Arial" w:cs="Arial"/>
                <w:bCs/>
                <w:color w:val="000000"/>
                <w:lang w:eastAsia="zh-CN"/>
              </w:rPr>
            </w:pPr>
          </w:p>
          <w:p w14:paraId="2423B960" w14:textId="77777777" w:rsidR="0051302F" w:rsidRPr="0051302F" w:rsidRDefault="0051302F" w:rsidP="0051302F">
            <w:pPr>
              <w:spacing w:after="0" w:line="240" w:lineRule="auto"/>
              <w:ind w:right="-334"/>
              <w:rPr>
                <w:rFonts w:ascii="Arial" w:eastAsia="SimSun" w:hAnsi="Arial" w:cs="Arial"/>
                <w:bCs/>
                <w:color w:val="000000"/>
                <w:lang w:eastAsia="zh-CN"/>
              </w:rPr>
            </w:pPr>
          </w:p>
          <w:p w14:paraId="098B55C5" w14:textId="77777777" w:rsidR="0051302F" w:rsidRPr="0051302F" w:rsidRDefault="0051302F" w:rsidP="0051302F">
            <w:pPr>
              <w:spacing w:after="0" w:line="240" w:lineRule="auto"/>
              <w:ind w:right="-334"/>
              <w:rPr>
                <w:rFonts w:ascii="Arial" w:eastAsia="SimSun" w:hAnsi="Arial" w:cs="Arial"/>
                <w:bCs/>
                <w:color w:val="000000"/>
                <w:lang w:eastAsia="zh-CN"/>
              </w:rPr>
            </w:pPr>
          </w:p>
          <w:p w14:paraId="41661B64" w14:textId="77777777" w:rsidR="0051302F" w:rsidRPr="0051302F" w:rsidRDefault="0051302F" w:rsidP="0051302F">
            <w:pPr>
              <w:spacing w:after="0" w:line="240" w:lineRule="auto"/>
              <w:ind w:right="-334"/>
              <w:rPr>
                <w:rFonts w:ascii="Arial" w:eastAsia="SimSun" w:hAnsi="Arial" w:cs="Arial"/>
                <w:bCs/>
                <w:color w:val="000000"/>
                <w:lang w:eastAsia="zh-CN"/>
              </w:rPr>
            </w:pPr>
          </w:p>
        </w:tc>
      </w:tr>
      <w:tr w:rsidR="0051302F" w:rsidRPr="0051302F" w14:paraId="5F592378" w14:textId="77777777" w:rsidTr="0086227F">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661908A" w14:textId="77777777" w:rsidR="0051302F" w:rsidRPr="0051302F" w:rsidRDefault="0051302F" w:rsidP="0051302F">
            <w:pPr>
              <w:rPr>
                <w:rFonts w:ascii="Arial" w:hAnsi="Arial" w:cs="Arial"/>
              </w:rPr>
            </w:pPr>
            <w:r w:rsidRPr="0051302F">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7F2F978" w14:textId="77777777" w:rsidR="0051302F" w:rsidRPr="0051302F" w:rsidRDefault="0051302F" w:rsidP="0051302F">
            <w:pPr>
              <w:rPr>
                <w:rFonts w:ascii="Arial" w:hAnsi="Arial" w:cs="Arial"/>
              </w:rPr>
            </w:pPr>
            <w:r w:rsidRPr="0051302F">
              <w:rPr>
                <w:rFonts w:ascii="Arial" w:hAnsi="Arial" w:cs="Arial"/>
              </w:rPr>
              <w:t>Date:</w:t>
            </w:r>
          </w:p>
        </w:tc>
      </w:tr>
    </w:tbl>
    <w:p w14:paraId="79B2993E" w14:textId="77777777" w:rsidR="0051302F" w:rsidRPr="0051302F" w:rsidRDefault="0051302F" w:rsidP="0051302F">
      <w:pPr>
        <w:spacing w:after="0" w:line="240" w:lineRule="auto"/>
        <w:ind w:right="-334"/>
        <w:rPr>
          <w:rFonts w:ascii="Trebuchet MS" w:eastAsia="SimSun" w:hAnsi="Trebuchet MS" w:cs="Tahoma"/>
          <w:bCs/>
          <w:color w:val="000000"/>
          <w:sz w:val="24"/>
          <w:szCs w:val="24"/>
          <w:lang w:eastAsia="zh-CN"/>
        </w:rPr>
      </w:pPr>
    </w:p>
    <w:p w14:paraId="53ADD9E1" w14:textId="77777777" w:rsidR="0051302F" w:rsidRPr="0051302F" w:rsidRDefault="0051302F" w:rsidP="0051302F">
      <w:pPr>
        <w:spacing w:after="0" w:line="240" w:lineRule="auto"/>
        <w:ind w:right="-334"/>
        <w:rPr>
          <w:rFonts w:ascii="Trebuchet MS" w:eastAsia="SimSun" w:hAnsi="Trebuchet MS" w:cs="Tahoma"/>
          <w:bCs/>
          <w:color w:val="000000"/>
          <w:sz w:val="24"/>
          <w:szCs w:val="24"/>
          <w:lang w:eastAsia="zh-CN"/>
        </w:rPr>
      </w:pPr>
    </w:p>
    <w:p w14:paraId="4F8C7E67" w14:textId="3E84FD7C"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0EFD52CB" w14:textId="275DF9EF"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5B4A048A" w14:textId="419CFD3F"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3EAC2EEE" w14:textId="6E914084"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556502E9" w14:textId="1F2D8155"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2FC767CE" w14:textId="0FE62015"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0A697BBB" w14:textId="0BBC6DF5"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56D30C3F" w14:textId="7989A839"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31077CA8" w14:textId="07460CE1"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2568D108" w14:textId="4127E9B6"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333DC1BC" w14:textId="633E223C"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61B448F0" w14:textId="5C5F03AA"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441C80DA" w14:textId="1487FAD9"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3FAF0D88" w14:textId="39A6E4D0"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52A4C133" w14:textId="15949FDD"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01C5AF11" w14:textId="17D9C11F"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17D2809B" w14:textId="019C8996"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6D56F9B6" w14:textId="3CB69A21"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4443AF4B" w14:textId="73A898C6"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25F9DD8A" w14:textId="7DB4C97A"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1BA23F10" w14:textId="3A5A1876"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2D6943EE" w14:textId="3A5FCBDE"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081CC54A" w14:textId="52C95FDA"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126F2256" w14:textId="4C85058C"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2632B091" w14:textId="01AC62F3" w:rsidR="0051302F" w:rsidRDefault="0051302F" w:rsidP="0051302F">
      <w:pPr>
        <w:spacing w:after="0" w:line="240" w:lineRule="auto"/>
        <w:ind w:right="-334"/>
        <w:rPr>
          <w:rFonts w:ascii="Trebuchet MS" w:eastAsia="SimSun" w:hAnsi="Trebuchet MS" w:cs="Tahoma"/>
          <w:bCs/>
          <w:color w:val="000000"/>
          <w:sz w:val="24"/>
          <w:szCs w:val="24"/>
          <w:lang w:eastAsia="zh-CN"/>
        </w:rPr>
      </w:pPr>
    </w:p>
    <w:p w14:paraId="4D5CC790" w14:textId="77777777" w:rsidR="0051302F" w:rsidRPr="0051302F" w:rsidRDefault="0051302F" w:rsidP="0051302F">
      <w:pPr>
        <w:spacing w:after="0" w:line="240" w:lineRule="auto"/>
        <w:ind w:right="-334"/>
        <w:rPr>
          <w:rFonts w:ascii="Trebuchet MS" w:eastAsia="SimSun" w:hAnsi="Trebuchet MS" w:cs="Tahoma"/>
          <w:bCs/>
          <w:color w:val="000000"/>
          <w:sz w:val="24"/>
          <w:szCs w:val="24"/>
          <w:lang w:eastAsia="zh-CN"/>
        </w:rPr>
      </w:pPr>
    </w:p>
    <w:p w14:paraId="5BDA244F" w14:textId="77777777" w:rsidR="0051302F" w:rsidRPr="0051302F" w:rsidRDefault="0051302F" w:rsidP="0051302F">
      <w:pPr>
        <w:spacing w:after="0" w:line="240" w:lineRule="auto"/>
        <w:ind w:right="-334"/>
        <w:rPr>
          <w:rFonts w:ascii="Trebuchet MS" w:eastAsia="SimSun" w:hAnsi="Trebuchet MS" w:cs="Tahoma"/>
          <w:bCs/>
          <w:color w:val="000000"/>
          <w:sz w:val="24"/>
          <w:szCs w:val="24"/>
          <w:lang w:eastAsia="zh-CN"/>
        </w:rPr>
      </w:pPr>
    </w:p>
    <w:p w14:paraId="5AAFE44E" w14:textId="77777777" w:rsidR="0051302F" w:rsidRPr="0051302F" w:rsidRDefault="0051302F" w:rsidP="0051302F">
      <w:pPr>
        <w:spacing w:after="0" w:line="240" w:lineRule="auto"/>
        <w:ind w:right="-334"/>
        <w:rPr>
          <w:rFonts w:ascii="Trebuchet MS" w:eastAsia="SimSun" w:hAnsi="Trebuchet MS" w:cs="Tahoma"/>
          <w:bCs/>
          <w:color w:val="000000"/>
          <w:sz w:val="24"/>
          <w:szCs w:val="24"/>
          <w:lang w:eastAsia="zh-CN"/>
        </w:rPr>
      </w:pPr>
    </w:p>
    <w:p w14:paraId="28D67CF9" w14:textId="77777777" w:rsidR="0051302F" w:rsidRPr="0051302F" w:rsidRDefault="0051302F" w:rsidP="0051302F">
      <w:pPr>
        <w:spacing w:after="0" w:line="240" w:lineRule="auto"/>
        <w:ind w:right="-334"/>
        <w:rPr>
          <w:rFonts w:ascii="Trebuchet MS" w:eastAsia="SimSun" w:hAnsi="Trebuchet MS" w:cs="Tahoma"/>
          <w:bCs/>
          <w:color w:val="000000"/>
          <w:sz w:val="24"/>
          <w:szCs w:val="24"/>
          <w:lang w:eastAsia="zh-CN"/>
        </w:rPr>
      </w:pPr>
    </w:p>
    <w:p w14:paraId="6F5BA4BE" w14:textId="6CC46E71" w:rsidR="008B1A20" w:rsidRPr="00331FEF" w:rsidRDefault="00446FEE" w:rsidP="00331FEF">
      <w:pPr>
        <w:spacing w:line="480" w:lineRule="auto"/>
        <w:jc w:val="center"/>
        <w:rPr>
          <w:rFonts w:ascii="Times New Roman" w:hAnsi="Times New Roman" w:cs="Times New Roman"/>
          <w:sz w:val="24"/>
          <w:szCs w:val="24"/>
          <w:u w:val="single"/>
        </w:rPr>
      </w:pPr>
      <w:r w:rsidRPr="00331FEF">
        <w:rPr>
          <w:rFonts w:ascii="Times New Roman" w:hAnsi="Times New Roman" w:cs="Times New Roman"/>
          <w:sz w:val="24"/>
          <w:szCs w:val="24"/>
          <w:u w:val="single"/>
        </w:rPr>
        <w:lastRenderedPageBreak/>
        <w:t xml:space="preserve">Critical Analysis of </w:t>
      </w:r>
      <w:r w:rsidR="0051302F" w:rsidRPr="00331FEF">
        <w:rPr>
          <w:rFonts w:ascii="Times New Roman" w:hAnsi="Times New Roman" w:cs="Times New Roman"/>
          <w:sz w:val="24"/>
          <w:szCs w:val="24"/>
          <w:u w:val="single"/>
        </w:rPr>
        <w:t xml:space="preserve">Divination in </w:t>
      </w:r>
      <w:r w:rsidRPr="00331FEF">
        <w:rPr>
          <w:rFonts w:ascii="Times New Roman" w:hAnsi="Times New Roman" w:cs="Times New Roman"/>
          <w:sz w:val="24"/>
          <w:szCs w:val="24"/>
          <w:u w:val="single"/>
        </w:rPr>
        <w:t>Iamblichus</w:t>
      </w:r>
      <w:r w:rsidR="0051302F" w:rsidRPr="00331FEF">
        <w:rPr>
          <w:rFonts w:ascii="Times New Roman" w:hAnsi="Times New Roman" w:cs="Times New Roman"/>
          <w:sz w:val="24"/>
          <w:szCs w:val="24"/>
          <w:u w:val="single"/>
        </w:rPr>
        <w:t xml:space="preserve">’ </w:t>
      </w:r>
      <w:r w:rsidR="0051302F" w:rsidRPr="00331FEF">
        <w:rPr>
          <w:rFonts w:ascii="Times New Roman" w:hAnsi="Times New Roman" w:cs="Times New Roman"/>
          <w:i/>
          <w:sz w:val="24"/>
          <w:szCs w:val="24"/>
          <w:u w:val="single"/>
        </w:rPr>
        <w:t>On the Mysteries</w:t>
      </w:r>
    </w:p>
    <w:p w14:paraId="588D7FA0" w14:textId="33E14BDB" w:rsidR="0008552D" w:rsidRPr="00331FEF" w:rsidRDefault="0008552D" w:rsidP="00331FEF">
      <w:pPr>
        <w:spacing w:line="480" w:lineRule="auto"/>
        <w:rPr>
          <w:rFonts w:ascii="Times New Roman" w:hAnsi="Times New Roman" w:cs="Times New Roman"/>
          <w:sz w:val="24"/>
          <w:szCs w:val="24"/>
          <w:u w:val="single"/>
        </w:rPr>
      </w:pPr>
      <w:r w:rsidRPr="00331FEF">
        <w:rPr>
          <w:rFonts w:ascii="Times New Roman" w:hAnsi="Times New Roman" w:cs="Times New Roman"/>
          <w:sz w:val="24"/>
          <w:szCs w:val="24"/>
          <w:u w:val="single"/>
        </w:rPr>
        <w:t>Introduction</w:t>
      </w:r>
      <w:r w:rsidR="00DE14F2" w:rsidRPr="00331FEF">
        <w:rPr>
          <w:rFonts w:ascii="Times New Roman" w:hAnsi="Times New Roman" w:cs="Times New Roman"/>
          <w:sz w:val="24"/>
          <w:szCs w:val="24"/>
          <w:u w:val="single"/>
        </w:rPr>
        <w:t xml:space="preserve"> </w:t>
      </w:r>
    </w:p>
    <w:p w14:paraId="054B0ACB" w14:textId="0B8DE7C3" w:rsidR="008E271F" w:rsidRPr="00331FEF" w:rsidRDefault="00EF5F8D"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This essay is a critical review of the </w:t>
      </w:r>
      <w:r w:rsidR="00756EC5" w:rsidRPr="00331FEF">
        <w:rPr>
          <w:rFonts w:ascii="Times New Roman" w:hAnsi="Times New Roman" w:cs="Times New Roman"/>
          <w:sz w:val="24"/>
          <w:szCs w:val="24"/>
        </w:rPr>
        <w:t xml:space="preserve">arguments in support of divination in a primary </w:t>
      </w:r>
      <w:r w:rsidRPr="00331FEF">
        <w:rPr>
          <w:rFonts w:ascii="Times New Roman" w:hAnsi="Times New Roman" w:cs="Times New Roman"/>
          <w:sz w:val="24"/>
          <w:szCs w:val="24"/>
        </w:rPr>
        <w:t xml:space="preserve">source known as </w:t>
      </w:r>
      <w:r w:rsidR="00756EC5" w:rsidRPr="00331FEF">
        <w:rPr>
          <w:rFonts w:ascii="Times New Roman" w:hAnsi="Times New Roman" w:cs="Times New Roman"/>
          <w:sz w:val="24"/>
          <w:szCs w:val="24"/>
        </w:rPr>
        <w:t xml:space="preserve">On the Mysteries.  </w:t>
      </w:r>
      <w:r w:rsidR="00446FEE" w:rsidRPr="00331FEF">
        <w:rPr>
          <w:rFonts w:ascii="Times New Roman" w:hAnsi="Times New Roman" w:cs="Times New Roman"/>
          <w:sz w:val="24"/>
          <w:szCs w:val="24"/>
        </w:rPr>
        <w:t xml:space="preserve">The source is </w:t>
      </w:r>
      <w:r w:rsidR="00372112" w:rsidRPr="00331FEF">
        <w:rPr>
          <w:rFonts w:ascii="Times New Roman" w:hAnsi="Times New Roman" w:cs="Times New Roman"/>
          <w:sz w:val="24"/>
          <w:szCs w:val="24"/>
        </w:rPr>
        <w:t xml:space="preserve">a response </w:t>
      </w:r>
      <w:r w:rsidR="00483988" w:rsidRPr="00331FEF">
        <w:rPr>
          <w:rFonts w:ascii="Times New Roman" w:hAnsi="Times New Roman" w:cs="Times New Roman"/>
          <w:sz w:val="24"/>
          <w:szCs w:val="24"/>
        </w:rPr>
        <w:t>from</w:t>
      </w:r>
      <w:r w:rsidR="00372112" w:rsidRPr="00331FEF">
        <w:rPr>
          <w:rFonts w:ascii="Times New Roman" w:hAnsi="Times New Roman" w:cs="Times New Roman"/>
          <w:sz w:val="24"/>
          <w:szCs w:val="24"/>
        </w:rPr>
        <w:t xml:space="preserve"> the teacher known as </w:t>
      </w:r>
      <w:r w:rsidR="00756EC5" w:rsidRPr="00331FEF">
        <w:rPr>
          <w:rFonts w:ascii="Times New Roman" w:hAnsi="Times New Roman" w:cs="Times New Roman"/>
          <w:sz w:val="24"/>
          <w:szCs w:val="24"/>
        </w:rPr>
        <w:t>‘</w:t>
      </w:r>
      <w:r w:rsidR="00372112" w:rsidRPr="00331FEF">
        <w:rPr>
          <w:rFonts w:ascii="Times New Roman" w:hAnsi="Times New Roman" w:cs="Times New Roman"/>
          <w:sz w:val="24"/>
          <w:szCs w:val="24"/>
        </w:rPr>
        <w:t>Abam</w:t>
      </w:r>
      <w:r w:rsidR="00E63997" w:rsidRPr="00331FEF">
        <w:rPr>
          <w:rFonts w:ascii="Times New Roman" w:hAnsi="Times New Roman" w:cs="Times New Roman"/>
          <w:sz w:val="24"/>
          <w:szCs w:val="24"/>
        </w:rPr>
        <w:t>m</w:t>
      </w:r>
      <w:r w:rsidR="00372112" w:rsidRPr="00331FEF">
        <w:rPr>
          <w:rFonts w:ascii="Times New Roman" w:hAnsi="Times New Roman" w:cs="Times New Roman"/>
          <w:sz w:val="24"/>
          <w:szCs w:val="24"/>
        </w:rPr>
        <w:t>on</w:t>
      </w:r>
      <w:r w:rsidR="00756EC5" w:rsidRPr="00331FEF">
        <w:rPr>
          <w:rFonts w:ascii="Times New Roman" w:hAnsi="Times New Roman" w:cs="Times New Roman"/>
          <w:sz w:val="24"/>
          <w:szCs w:val="24"/>
        </w:rPr>
        <w:t>’</w:t>
      </w:r>
      <w:r w:rsidR="00372112" w:rsidRPr="00331FEF">
        <w:rPr>
          <w:rFonts w:ascii="Times New Roman" w:hAnsi="Times New Roman" w:cs="Times New Roman"/>
          <w:sz w:val="24"/>
          <w:szCs w:val="24"/>
        </w:rPr>
        <w:t xml:space="preserve"> to a letter written by Porphyry to Anebo</w:t>
      </w:r>
      <w:r w:rsidR="00084E53" w:rsidRPr="00331FEF">
        <w:rPr>
          <w:rFonts w:ascii="Times New Roman" w:hAnsi="Times New Roman" w:cs="Times New Roman"/>
          <w:sz w:val="24"/>
          <w:szCs w:val="24"/>
        </w:rPr>
        <w:t>, a pupil of Iamblichus</w:t>
      </w:r>
      <w:r w:rsidR="00372112" w:rsidRPr="00331FEF">
        <w:rPr>
          <w:rFonts w:ascii="Times New Roman" w:hAnsi="Times New Roman" w:cs="Times New Roman"/>
          <w:sz w:val="24"/>
          <w:szCs w:val="24"/>
        </w:rPr>
        <w:t>.  It seeks to answer some of the questions that Porphyry</w:t>
      </w:r>
      <w:r w:rsidR="00483988" w:rsidRPr="00331FEF">
        <w:rPr>
          <w:rFonts w:ascii="Times New Roman" w:hAnsi="Times New Roman" w:cs="Times New Roman"/>
          <w:sz w:val="24"/>
          <w:szCs w:val="24"/>
        </w:rPr>
        <w:t>, a Greek Philosopher,</w:t>
      </w:r>
      <w:r w:rsidR="00372112" w:rsidRPr="00331FEF">
        <w:rPr>
          <w:rFonts w:ascii="Times New Roman" w:hAnsi="Times New Roman" w:cs="Times New Roman"/>
          <w:sz w:val="24"/>
          <w:szCs w:val="24"/>
        </w:rPr>
        <w:t xml:space="preserve"> raises regarding the matter of divination.</w:t>
      </w:r>
      <w:r w:rsidR="001A53EB" w:rsidRPr="00331FEF">
        <w:rPr>
          <w:rFonts w:ascii="Times New Roman" w:hAnsi="Times New Roman" w:cs="Times New Roman"/>
          <w:sz w:val="24"/>
          <w:szCs w:val="24"/>
        </w:rPr>
        <w:t xml:space="preserve">  </w:t>
      </w:r>
    </w:p>
    <w:p w14:paraId="785060F5" w14:textId="77777777" w:rsidR="004627C2" w:rsidRPr="00331FEF" w:rsidRDefault="001A53EB"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Iamblichus assumes the role of Abammon, an Egyptian prophet, which implies that Iamblichus had reverence or respect for the Egyptian cosmology and religious systems that he defends, whether overtly or covertly.  </w:t>
      </w:r>
      <w:r w:rsidR="00191E30" w:rsidRPr="00331FEF">
        <w:rPr>
          <w:rFonts w:ascii="Times New Roman" w:hAnsi="Times New Roman" w:cs="Times New Roman"/>
          <w:sz w:val="24"/>
          <w:szCs w:val="24"/>
        </w:rPr>
        <w:t>Addey</w:t>
      </w:r>
      <w:r w:rsidR="00756EC5" w:rsidRPr="00331FEF">
        <w:rPr>
          <w:rStyle w:val="FootnoteReference"/>
          <w:rFonts w:ascii="Times New Roman" w:hAnsi="Times New Roman" w:cs="Times New Roman"/>
          <w:sz w:val="24"/>
          <w:szCs w:val="24"/>
        </w:rPr>
        <w:footnoteReference w:id="1"/>
      </w:r>
      <w:r w:rsidR="00191E30" w:rsidRPr="00331FEF">
        <w:rPr>
          <w:rFonts w:ascii="Times New Roman" w:hAnsi="Times New Roman" w:cs="Times New Roman"/>
          <w:sz w:val="24"/>
          <w:szCs w:val="24"/>
        </w:rPr>
        <w:t xml:space="preserve"> notes that for some researchers, the unusual mix of Egyptian cosmology and beliefs alongside late Greek philosophical ideas presents a challenge in understanding how all of the pieces fit together to produce </w:t>
      </w:r>
      <w:r w:rsidR="00756EC5" w:rsidRPr="00331FEF">
        <w:rPr>
          <w:rFonts w:ascii="Times New Roman" w:hAnsi="Times New Roman" w:cs="Times New Roman"/>
          <w:sz w:val="24"/>
          <w:szCs w:val="24"/>
        </w:rPr>
        <w:t>the kind of</w:t>
      </w:r>
      <w:r w:rsidR="00191E30" w:rsidRPr="00331FEF">
        <w:rPr>
          <w:rFonts w:ascii="Times New Roman" w:hAnsi="Times New Roman" w:cs="Times New Roman"/>
          <w:sz w:val="24"/>
          <w:szCs w:val="24"/>
        </w:rPr>
        <w:t xml:space="preserve"> understanding</w:t>
      </w:r>
      <w:r w:rsidR="00756EC5" w:rsidRPr="00331FEF">
        <w:rPr>
          <w:rFonts w:ascii="Times New Roman" w:hAnsi="Times New Roman" w:cs="Times New Roman"/>
          <w:sz w:val="24"/>
          <w:szCs w:val="24"/>
        </w:rPr>
        <w:t xml:space="preserve"> that Iamblichus was seeking</w:t>
      </w:r>
      <w:r w:rsidR="00191E30" w:rsidRPr="00331FEF">
        <w:rPr>
          <w:rFonts w:ascii="Times New Roman" w:hAnsi="Times New Roman" w:cs="Times New Roman"/>
          <w:sz w:val="24"/>
          <w:szCs w:val="24"/>
        </w:rPr>
        <w:t xml:space="preserve">. </w:t>
      </w:r>
    </w:p>
    <w:p w14:paraId="624018A0" w14:textId="7FE58839" w:rsidR="001A53EB" w:rsidRPr="00331FEF" w:rsidRDefault="004627C2"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In terms of essay structure, the first section will consider the context and background of the exchange, noting in particular how </w:t>
      </w:r>
      <w:r w:rsidRPr="00331FEF">
        <w:rPr>
          <w:rFonts w:ascii="Times New Roman" w:hAnsi="Times New Roman" w:cs="Times New Roman"/>
          <w:i/>
          <w:sz w:val="24"/>
          <w:szCs w:val="24"/>
        </w:rPr>
        <w:t>On the Mysteries</w:t>
      </w:r>
      <w:r w:rsidRPr="00331FEF">
        <w:rPr>
          <w:rFonts w:ascii="Times New Roman" w:hAnsi="Times New Roman" w:cs="Times New Roman"/>
          <w:sz w:val="24"/>
          <w:szCs w:val="24"/>
        </w:rPr>
        <w:t xml:space="preserve"> includes both Greek and Egyptian influences</w:t>
      </w:r>
      <w:r w:rsidR="0008552D" w:rsidRPr="00331FEF">
        <w:rPr>
          <w:rFonts w:ascii="Times New Roman" w:hAnsi="Times New Roman" w:cs="Times New Roman"/>
          <w:sz w:val="24"/>
          <w:szCs w:val="24"/>
        </w:rPr>
        <w:t xml:space="preserve"> and that Iamblichus is taking up a stance in the opposite corner of Porphyry.  Whilst Porphyry is looking to prove </w:t>
      </w:r>
      <w:r w:rsidR="00483988" w:rsidRPr="00331FEF">
        <w:rPr>
          <w:rFonts w:ascii="Times New Roman" w:hAnsi="Times New Roman" w:cs="Times New Roman"/>
          <w:sz w:val="24"/>
          <w:szCs w:val="24"/>
        </w:rPr>
        <w:t xml:space="preserve">the use of </w:t>
      </w:r>
      <w:r w:rsidR="0008552D" w:rsidRPr="00331FEF">
        <w:rPr>
          <w:rFonts w:ascii="Times New Roman" w:hAnsi="Times New Roman" w:cs="Times New Roman"/>
          <w:sz w:val="24"/>
          <w:szCs w:val="24"/>
        </w:rPr>
        <w:t xml:space="preserve">divination practices wrong using a rational approach, Iamblichus is writing from the perspective of one who believes knowledge of the divine is one of the tools of philosophers. </w:t>
      </w:r>
      <w:r w:rsidR="00191E30" w:rsidRPr="00331FEF">
        <w:rPr>
          <w:rFonts w:ascii="Times New Roman" w:hAnsi="Times New Roman" w:cs="Times New Roman"/>
          <w:sz w:val="24"/>
          <w:szCs w:val="24"/>
        </w:rPr>
        <w:t xml:space="preserve"> </w:t>
      </w:r>
      <w:r w:rsidR="0051302F" w:rsidRPr="00331FEF">
        <w:rPr>
          <w:rFonts w:ascii="Times New Roman" w:hAnsi="Times New Roman" w:cs="Times New Roman"/>
          <w:sz w:val="24"/>
          <w:szCs w:val="24"/>
        </w:rPr>
        <w:t>The conclusion will note that Iamblichus operates from an approach that sees divination as coming from the gods and uncontrolled by humans</w:t>
      </w:r>
      <w:r w:rsidR="00526BE6" w:rsidRPr="00331FEF">
        <w:rPr>
          <w:rFonts w:ascii="Times New Roman" w:hAnsi="Times New Roman" w:cs="Times New Roman"/>
          <w:sz w:val="24"/>
          <w:szCs w:val="24"/>
        </w:rPr>
        <w:t>, and that divination is to be taken seriously as a gift from the gods</w:t>
      </w:r>
      <w:r w:rsidR="0051302F" w:rsidRPr="00331FEF">
        <w:rPr>
          <w:rFonts w:ascii="Times New Roman" w:hAnsi="Times New Roman" w:cs="Times New Roman"/>
          <w:sz w:val="24"/>
          <w:szCs w:val="24"/>
        </w:rPr>
        <w:t xml:space="preserve">.  </w:t>
      </w:r>
    </w:p>
    <w:p w14:paraId="3EFA1138" w14:textId="2470AF78" w:rsidR="0008552D" w:rsidRPr="00331FEF" w:rsidRDefault="0008552D" w:rsidP="00331FEF">
      <w:pPr>
        <w:spacing w:line="480" w:lineRule="auto"/>
        <w:rPr>
          <w:rFonts w:ascii="Times New Roman" w:hAnsi="Times New Roman" w:cs="Times New Roman"/>
          <w:sz w:val="24"/>
          <w:szCs w:val="24"/>
          <w:u w:val="single"/>
        </w:rPr>
      </w:pPr>
      <w:r w:rsidRPr="00331FEF">
        <w:rPr>
          <w:rFonts w:ascii="Times New Roman" w:hAnsi="Times New Roman" w:cs="Times New Roman"/>
          <w:sz w:val="24"/>
          <w:szCs w:val="24"/>
          <w:u w:val="single"/>
        </w:rPr>
        <w:t>Background to On the Mysteries</w:t>
      </w:r>
      <w:r w:rsidR="00DE14F2" w:rsidRPr="00331FEF">
        <w:rPr>
          <w:rFonts w:ascii="Times New Roman" w:hAnsi="Times New Roman" w:cs="Times New Roman"/>
          <w:sz w:val="24"/>
          <w:szCs w:val="24"/>
          <w:u w:val="single"/>
        </w:rPr>
        <w:t xml:space="preserve"> </w:t>
      </w:r>
    </w:p>
    <w:p w14:paraId="35A92EE8" w14:textId="747CC07F" w:rsidR="00446FEE" w:rsidRPr="00331FEF" w:rsidRDefault="008E271F"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lastRenderedPageBreak/>
        <w:t xml:space="preserve">Iamblichus’s response to Porphyry is a combination of purely Neoplatonic thought drawn from the philosophical system that he was no doubt schooled in, but also includes </w:t>
      </w:r>
      <w:r w:rsidR="001A53EB" w:rsidRPr="00331FEF">
        <w:rPr>
          <w:rFonts w:ascii="Times New Roman" w:hAnsi="Times New Roman" w:cs="Times New Roman"/>
          <w:sz w:val="24"/>
          <w:szCs w:val="24"/>
        </w:rPr>
        <w:t>influences from Egyptian cosmology</w:t>
      </w:r>
      <w:r w:rsidR="004627C2" w:rsidRPr="00331FEF">
        <w:rPr>
          <w:rStyle w:val="FootnoteReference"/>
          <w:rFonts w:ascii="Times New Roman" w:hAnsi="Times New Roman" w:cs="Times New Roman"/>
          <w:sz w:val="24"/>
          <w:szCs w:val="24"/>
        </w:rPr>
        <w:footnoteReference w:id="2"/>
      </w:r>
      <w:r w:rsidR="001A53EB" w:rsidRPr="00331FEF">
        <w:rPr>
          <w:rFonts w:ascii="Times New Roman" w:hAnsi="Times New Roman" w:cs="Times New Roman"/>
          <w:sz w:val="24"/>
          <w:szCs w:val="24"/>
        </w:rPr>
        <w:t xml:space="preserve">.  </w:t>
      </w:r>
      <w:r w:rsidR="00372112" w:rsidRPr="00331FEF">
        <w:rPr>
          <w:rFonts w:ascii="Times New Roman" w:hAnsi="Times New Roman" w:cs="Times New Roman"/>
          <w:sz w:val="24"/>
          <w:szCs w:val="24"/>
        </w:rPr>
        <w:t xml:space="preserve">  </w:t>
      </w:r>
      <w:r w:rsidR="001A53EB" w:rsidRPr="00331FEF">
        <w:rPr>
          <w:rFonts w:ascii="Times New Roman" w:hAnsi="Times New Roman" w:cs="Times New Roman"/>
          <w:sz w:val="24"/>
          <w:szCs w:val="24"/>
        </w:rPr>
        <w:t xml:space="preserve">This would also correlate with theory that the name Abammon was chosen by Iamblichus as a tribute to the Hermetic wisdom of Egypt.  Some scholars argue that the name is simply Egyptian sounding, whilst others argue that the use of ‘ab’ at the beginning of his name suggests a priest with ‘Ammon’ </w:t>
      </w:r>
      <w:r w:rsidR="00191E30" w:rsidRPr="00331FEF">
        <w:rPr>
          <w:rFonts w:ascii="Times New Roman" w:hAnsi="Times New Roman" w:cs="Times New Roman"/>
          <w:sz w:val="24"/>
          <w:szCs w:val="24"/>
        </w:rPr>
        <w:t>(or Amun) being the deity to which the priest ministers</w:t>
      </w:r>
      <w:r w:rsidR="004627C2" w:rsidRPr="00331FEF">
        <w:rPr>
          <w:rStyle w:val="FootnoteReference"/>
          <w:rFonts w:ascii="Times New Roman" w:hAnsi="Times New Roman" w:cs="Times New Roman"/>
          <w:sz w:val="24"/>
          <w:szCs w:val="24"/>
        </w:rPr>
        <w:footnoteReference w:id="3"/>
      </w:r>
      <w:r w:rsidR="00191E30" w:rsidRPr="00331FEF">
        <w:rPr>
          <w:rFonts w:ascii="Times New Roman" w:hAnsi="Times New Roman" w:cs="Times New Roman"/>
          <w:sz w:val="24"/>
          <w:szCs w:val="24"/>
        </w:rPr>
        <w:t>.</w:t>
      </w:r>
      <w:r w:rsidR="00483988" w:rsidRPr="00331FEF">
        <w:rPr>
          <w:rFonts w:ascii="Times New Roman" w:hAnsi="Times New Roman" w:cs="Times New Roman"/>
          <w:sz w:val="24"/>
          <w:szCs w:val="24"/>
        </w:rPr>
        <w:t xml:space="preserve">  If this was Iamblichus’ intention, then it would suggest that his Egyptian influences were even greater than initially thought.</w:t>
      </w:r>
    </w:p>
    <w:p w14:paraId="60F0F4F1" w14:textId="674D946E" w:rsidR="00084E53" w:rsidRPr="00331FEF" w:rsidRDefault="008E2919"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A contrast between two opposing perspectives can be observed: the rational and contemplative approach taken by the earlier philosophers such as Plotinus and Porphyry compared to Proclus or Iamblichus who felt more religiously inspired in their philosophies.  </w:t>
      </w:r>
      <w:r w:rsidR="00D94978" w:rsidRPr="00331FEF">
        <w:rPr>
          <w:rFonts w:ascii="Times New Roman" w:hAnsi="Times New Roman" w:cs="Times New Roman"/>
          <w:sz w:val="24"/>
          <w:szCs w:val="24"/>
        </w:rPr>
        <w:t>Addey</w:t>
      </w:r>
      <w:r w:rsidR="004627C2" w:rsidRPr="00331FEF">
        <w:rPr>
          <w:rStyle w:val="FootnoteReference"/>
          <w:rFonts w:ascii="Times New Roman" w:hAnsi="Times New Roman" w:cs="Times New Roman"/>
          <w:sz w:val="24"/>
          <w:szCs w:val="24"/>
        </w:rPr>
        <w:footnoteReference w:id="4"/>
      </w:r>
      <w:r w:rsidR="00667BEB" w:rsidRPr="00331FEF">
        <w:rPr>
          <w:rFonts w:ascii="Times New Roman" w:hAnsi="Times New Roman" w:cs="Times New Roman"/>
          <w:sz w:val="24"/>
          <w:szCs w:val="24"/>
        </w:rPr>
        <w:t xml:space="preserve"> writes that Porphyry’s Letter to Anebo is </w:t>
      </w:r>
      <w:r w:rsidR="00F041BE" w:rsidRPr="00331FEF">
        <w:rPr>
          <w:rFonts w:ascii="Times New Roman" w:hAnsi="Times New Roman" w:cs="Times New Roman"/>
          <w:sz w:val="24"/>
          <w:szCs w:val="24"/>
        </w:rPr>
        <w:t xml:space="preserve">interpreted across a spectrum by scholars, from </w:t>
      </w:r>
      <w:r w:rsidR="00667BEB" w:rsidRPr="00331FEF">
        <w:rPr>
          <w:rFonts w:ascii="Times New Roman" w:hAnsi="Times New Roman" w:cs="Times New Roman"/>
          <w:sz w:val="24"/>
          <w:szCs w:val="24"/>
        </w:rPr>
        <w:t xml:space="preserve">a scathing attack on divination and religious </w:t>
      </w:r>
      <w:r w:rsidR="00F041BE" w:rsidRPr="00331FEF">
        <w:rPr>
          <w:rFonts w:ascii="Times New Roman" w:hAnsi="Times New Roman" w:cs="Times New Roman"/>
          <w:sz w:val="24"/>
          <w:szCs w:val="24"/>
        </w:rPr>
        <w:t xml:space="preserve">practices to </w:t>
      </w:r>
      <w:r w:rsidR="00DC46FC" w:rsidRPr="00331FEF">
        <w:rPr>
          <w:rFonts w:ascii="Times New Roman" w:hAnsi="Times New Roman" w:cs="Times New Roman"/>
          <w:sz w:val="24"/>
          <w:szCs w:val="24"/>
        </w:rPr>
        <w:t xml:space="preserve">an intellectual who was raising pertinent questions.  </w:t>
      </w:r>
      <w:r w:rsidR="00856518" w:rsidRPr="00331FEF">
        <w:rPr>
          <w:rFonts w:ascii="Times New Roman" w:hAnsi="Times New Roman" w:cs="Times New Roman"/>
          <w:sz w:val="24"/>
          <w:szCs w:val="24"/>
        </w:rPr>
        <w:t>For example, whilst</w:t>
      </w:r>
      <w:r w:rsidR="00DC46FC" w:rsidRPr="00331FEF">
        <w:rPr>
          <w:rFonts w:ascii="Times New Roman" w:hAnsi="Times New Roman" w:cs="Times New Roman"/>
          <w:sz w:val="24"/>
          <w:szCs w:val="24"/>
        </w:rPr>
        <w:t xml:space="preserve"> Athanassaidi</w:t>
      </w:r>
      <w:r w:rsidR="004627C2" w:rsidRPr="00331FEF">
        <w:rPr>
          <w:rStyle w:val="FootnoteReference"/>
          <w:rFonts w:ascii="Times New Roman" w:hAnsi="Times New Roman" w:cs="Times New Roman"/>
          <w:sz w:val="24"/>
          <w:szCs w:val="24"/>
        </w:rPr>
        <w:footnoteReference w:id="5"/>
      </w:r>
      <w:r w:rsidR="00DC46FC" w:rsidRPr="00331FEF">
        <w:rPr>
          <w:rFonts w:ascii="Times New Roman" w:hAnsi="Times New Roman" w:cs="Times New Roman"/>
          <w:sz w:val="24"/>
          <w:szCs w:val="24"/>
        </w:rPr>
        <w:t xml:space="preserve"> views the exchange as a pleasant discourse </w:t>
      </w:r>
      <w:r w:rsidR="00856518" w:rsidRPr="00331FEF">
        <w:rPr>
          <w:rFonts w:ascii="Times New Roman" w:hAnsi="Times New Roman" w:cs="Times New Roman"/>
          <w:sz w:val="24"/>
          <w:szCs w:val="24"/>
        </w:rPr>
        <w:t xml:space="preserve">and fails to see any anger in Iamblichus’ answers, it does seem to be the case that there is tension between the response and the original.  </w:t>
      </w:r>
    </w:p>
    <w:p w14:paraId="2EBAE5C6" w14:textId="77777777" w:rsidR="00A613A4" w:rsidRPr="00331FEF" w:rsidRDefault="00846EC7"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Early Greek philosophers from the </w:t>
      </w:r>
      <w:r w:rsidR="00E83253" w:rsidRPr="00331FEF">
        <w:rPr>
          <w:rFonts w:ascii="Times New Roman" w:hAnsi="Times New Roman" w:cs="Times New Roman"/>
          <w:sz w:val="24"/>
          <w:szCs w:val="24"/>
        </w:rPr>
        <w:t>life</w:t>
      </w:r>
      <w:r w:rsidRPr="00331FEF">
        <w:rPr>
          <w:rFonts w:ascii="Times New Roman" w:hAnsi="Times New Roman" w:cs="Times New Roman"/>
          <w:sz w:val="24"/>
          <w:szCs w:val="24"/>
        </w:rPr>
        <w:t xml:space="preserve"> of Plato, or perhaps even Pythagoras, saw themselves as gathering information and arguments that qualified them to operate within the social and political arenas of the time, including how to identify and establish an ideal society.  From the third century, philosophers such as Iamblichus, Porphyry and Origen sought to include an additional facet into the toolkit of such advisors, namely </w:t>
      </w:r>
      <w:r w:rsidR="00B068BB" w:rsidRPr="00331FEF">
        <w:rPr>
          <w:rFonts w:ascii="Times New Roman" w:hAnsi="Times New Roman" w:cs="Times New Roman"/>
          <w:sz w:val="24"/>
          <w:szCs w:val="24"/>
        </w:rPr>
        <w:t xml:space="preserve">that these philosophers were an </w:t>
      </w:r>
      <w:r w:rsidR="00B068BB" w:rsidRPr="00331FEF">
        <w:rPr>
          <w:rFonts w:ascii="Times New Roman" w:hAnsi="Times New Roman" w:cs="Times New Roman"/>
          <w:sz w:val="24"/>
          <w:szCs w:val="24"/>
        </w:rPr>
        <w:lastRenderedPageBreak/>
        <w:t>authority</w:t>
      </w:r>
      <w:r w:rsidRPr="00331FEF">
        <w:rPr>
          <w:rFonts w:ascii="Times New Roman" w:hAnsi="Times New Roman" w:cs="Times New Roman"/>
          <w:sz w:val="24"/>
          <w:szCs w:val="24"/>
        </w:rPr>
        <w:t xml:space="preserve"> on ritual and the concomitant expertise on communication with the divine sphere and how that would interact with an ideal society.  </w:t>
      </w:r>
    </w:p>
    <w:p w14:paraId="4E9458E7" w14:textId="623085EA" w:rsidR="00846EC7" w:rsidRPr="00331FEF" w:rsidRDefault="00846EC7"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This was important in the third century as scholars have demonstrated that for emperors of the time, it was crucial that they align themselves with specific deities </w:t>
      </w:r>
      <w:r w:rsidR="00B068BB" w:rsidRPr="00331FEF">
        <w:rPr>
          <w:rFonts w:ascii="Times New Roman" w:hAnsi="Times New Roman" w:cs="Times New Roman"/>
          <w:sz w:val="24"/>
          <w:szCs w:val="24"/>
        </w:rPr>
        <w:t>as they sought to achieve legitimate rule in countries outside of their own.  Non-Christian Platonists such as Porphyry and Iamblichus were among the leading authors on the subject of spirit and their associated realms during this period</w:t>
      </w:r>
      <w:r w:rsidR="004627C2" w:rsidRPr="00331FEF">
        <w:rPr>
          <w:rStyle w:val="FootnoteReference"/>
          <w:rFonts w:ascii="Times New Roman" w:hAnsi="Times New Roman" w:cs="Times New Roman"/>
          <w:sz w:val="24"/>
          <w:szCs w:val="24"/>
        </w:rPr>
        <w:footnoteReference w:id="6"/>
      </w:r>
      <w:r w:rsidR="00B068BB" w:rsidRPr="00331FEF">
        <w:rPr>
          <w:rFonts w:ascii="Times New Roman" w:hAnsi="Times New Roman" w:cs="Times New Roman"/>
          <w:sz w:val="24"/>
          <w:szCs w:val="24"/>
        </w:rPr>
        <w:t>.</w:t>
      </w:r>
      <w:r w:rsidRPr="00331FEF">
        <w:rPr>
          <w:rFonts w:ascii="Times New Roman" w:hAnsi="Times New Roman" w:cs="Times New Roman"/>
          <w:sz w:val="24"/>
          <w:szCs w:val="24"/>
        </w:rPr>
        <w:t xml:space="preserve"> </w:t>
      </w:r>
      <w:r w:rsidR="00A613A4" w:rsidRPr="00331FEF">
        <w:rPr>
          <w:rFonts w:ascii="Times New Roman" w:hAnsi="Times New Roman" w:cs="Times New Roman"/>
          <w:sz w:val="24"/>
          <w:szCs w:val="24"/>
        </w:rPr>
        <w:t xml:space="preserve">  Whilst Porphyry can be considered a non-Christian Platonist, Fraser</w:t>
      </w:r>
      <w:r w:rsidR="009D7246" w:rsidRPr="00331FEF">
        <w:rPr>
          <w:rStyle w:val="FootnoteReference"/>
          <w:rFonts w:ascii="Times New Roman" w:hAnsi="Times New Roman" w:cs="Times New Roman"/>
          <w:sz w:val="24"/>
          <w:szCs w:val="24"/>
        </w:rPr>
        <w:footnoteReference w:id="7"/>
      </w:r>
      <w:r w:rsidR="00A613A4" w:rsidRPr="00331FEF">
        <w:rPr>
          <w:rFonts w:ascii="Times New Roman" w:hAnsi="Times New Roman" w:cs="Times New Roman"/>
          <w:sz w:val="24"/>
          <w:szCs w:val="24"/>
        </w:rPr>
        <w:t xml:space="preserve"> writes that his views on divination are strikingly similar to the modern Christian church</w:t>
      </w:r>
      <w:r w:rsidR="009D7246" w:rsidRPr="00331FEF">
        <w:rPr>
          <w:rFonts w:ascii="Times New Roman" w:hAnsi="Times New Roman" w:cs="Times New Roman"/>
          <w:sz w:val="24"/>
          <w:szCs w:val="24"/>
        </w:rPr>
        <w:t>, and the idea of a demonic race seeking to tempt and sabotage man also closely mirrors the Enochian demonologies of Hellenistic Judaism.  Porphyry believed that ‘daemons’, or the spirits who worked with humans in order to divine the future or the will of the gods, could be good or bad, and those that sought to confuse mankind with bad intent could masquerade as helpful spirits.</w:t>
      </w:r>
      <w:bookmarkStart w:id="6" w:name="_GoBack"/>
      <w:bookmarkEnd w:id="6"/>
    </w:p>
    <w:p w14:paraId="7A8E3D31" w14:textId="40CDC85A" w:rsidR="00383614" w:rsidRPr="00331FEF" w:rsidRDefault="00383614"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The structure, form and context of Iamblichus’ apologetic discourse on divination </w:t>
      </w:r>
      <w:r w:rsidR="00A21B6B" w:rsidRPr="00331FEF">
        <w:rPr>
          <w:rFonts w:ascii="Times New Roman" w:hAnsi="Times New Roman" w:cs="Times New Roman"/>
          <w:sz w:val="24"/>
          <w:szCs w:val="24"/>
        </w:rPr>
        <w:t xml:space="preserve">could be discussed at </w:t>
      </w:r>
      <w:r w:rsidR="009F5BDD" w:rsidRPr="00331FEF">
        <w:rPr>
          <w:rFonts w:ascii="Times New Roman" w:hAnsi="Times New Roman" w:cs="Times New Roman"/>
          <w:sz w:val="24"/>
          <w:szCs w:val="24"/>
        </w:rPr>
        <w:t>length but</w:t>
      </w:r>
      <w:r w:rsidR="00A21B6B" w:rsidRPr="00331FEF">
        <w:rPr>
          <w:rFonts w:ascii="Times New Roman" w:hAnsi="Times New Roman" w:cs="Times New Roman"/>
          <w:sz w:val="24"/>
          <w:szCs w:val="24"/>
        </w:rPr>
        <w:t xml:space="preserve"> having noted that the context of </w:t>
      </w:r>
      <w:r w:rsidR="00A21B6B" w:rsidRPr="00331FEF">
        <w:rPr>
          <w:rFonts w:ascii="Times New Roman" w:hAnsi="Times New Roman" w:cs="Times New Roman"/>
          <w:i/>
          <w:sz w:val="24"/>
          <w:szCs w:val="24"/>
        </w:rPr>
        <w:t>On the Mysteries</w:t>
      </w:r>
      <w:r w:rsidR="00A21B6B" w:rsidRPr="00331FEF">
        <w:rPr>
          <w:rFonts w:ascii="Times New Roman" w:hAnsi="Times New Roman" w:cs="Times New Roman"/>
          <w:sz w:val="24"/>
          <w:szCs w:val="24"/>
        </w:rPr>
        <w:t xml:space="preserve"> is a response to </w:t>
      </w:r>
      <w:r w:rsidR="009F5BDD" w:rsidRPr="00331FEF">
        <w:rPr>
          <w:rFonts w:ascii="Times New Roman" w:hAnsi="Times New Roman" w:cs="Times New Roman"/>
          <w:sz w:val="24"/>
          <w:szCs w:val="24"/>
        </w:rPr>
        <w:t>Porphyry’s</w:t>
      </w:r>
      <w:r w:rsidR="00A21B6B" w:rsidRPr="00331FEF">
        <w:rPr>
          <w:rFonts w:ascii="Times New Roman" w:hAnsi="Times New Roman" w:cs="Times New Roman"/>
          <w:sz w:val="24"/>
          <w:szCs w:val="24"/>
        </w:rPr>
        <w:t xml:space="preserve"> letter to Anebo, it is sufficient to observe that the structure of the treatise falls within the category of ‘question and answer’ which has come to be associated with Greek philosophical texts</w:t>
      </w:r>
      <w:r w:rsidR="00FE33EA" w:rsidRPr="00331FEF">
        <w:rPr>
          <w:rFonts w:ascii="Times New Roman" w:hAnsi="Times New Roman" w:cs="Times New Roman"/>
          <w:sz w:val="24"/>
          <w:szCs w:val="24"/>
        </w:rPr>
        <w:t>.  In each section, Iamblichus sums up the question or the perspective undertaken by Porphyry and then responds accordingly, often including questions of his own as part of the response</w:t>
      </w:r>
      <w:r w:rsidR="00A21B6B" w:rsidRPr="00331FEF">
        <w:rPr>
          <w:rFonts w:ascii="Times New Roman" w:hAnsi="Times New Roman" w:cs="Times New Roman"/>
          <w:sz w:val="24"/>
          <w:szCs w:val="24"/>
        </w:rPr>
        <w:t xml:space="preserve">.  Plato utilised the method extensively, for example in </w:t>
      </w:r>
      <w:r w:rsidR="00A21B6B" w:rsidRPr="00331FEF">
        <w:rPr>
          <w:rFonts w:ascii="Times New Roman" w:hAnsi="Times New Roman" w:cs="Times New Roman"/>
          <w:i/>
          <w:sz w:val="24"/>
          <w:szCs w:val="24"/>
        </w:rPr>
        <w:t>Phaedrus</w:t>
      </w:r>
      <w:r w:rsidR="00A21B6B" w:rsidRPr="00331FEF">
        <w:rPr>
          <w:rFonts w:ascii="Times New Roman" w:hAnsi="Times New Roman" w:cs="Times New Roman"/>
          <w:sz w:val="24"/>
          <w:szCs w:val="24"/>
        </w:rPr>
        <w:t xml:space="preserve">.  In fact, Felix believes that Plato was the inspiration for much of Iamblichus’ work, “[This] notion of philosophy as an active route to the freedom and transformation of the soul is </w:t>
      </w:r>
      <w:r w:rsidR="00A21B6B" w:rsidRPr="00331FEF">
        <w:rPr>
          <w:rFonts w:ascii="Times New Roman" w:hAnsi="Times New Roman" w:cs="Times New Roman"/>
          <w:sz w:val="24"/>
          <w:szCs w:val="24"/>
        </w:rPr>
        <w:lastRenderedPageBreak/>
        <w:t>shared by Iamblichus at all times…Each of the main themes in his understanding of philosophy starts from the work of Plato and is inspired by it”.</w:t>
      </w:r>
      <w:r w:rsidR="00A21B6B" w:rsidRPr="00331FEF">
        <w:rPr>
          <w:rStyle w:val="FootnoteReference"/>
          <w:rFonts w:ascii="Times New Roman" w:hAnsi="Times New Roman" w:cs="Times New Roman"/>
          <w:sz w:val="24"/>
          <w:szCs w:val="24"/>
        </w:rPr>
        <w:footnoteReference w:id="8"/>
      </w:r>
      <w:r w:rsidR="00A32C97" w:rsidRPr="00331FEF">
        <w:rPr>
          <w:rFonts w:ascii="Times New Roman" w:hAnsi="Times New Roman" w:cs="Times New Roman"/>
          <w:sz w:val="24"/>
          <w:szCs w:val="24"/>
        </w:rPr>
        <w:t xml:space="preserve">  </w:t>
      </w:r>
    </w:p>
    <w:p w14:paraId="473D5458" w14:textId="2D8523CD" w:rsidR="00A32C97" w:rsidRPr="00331FEF" w:rsidRDefault="00A32C97"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In terms of the suitability of the question and answer method, Iamblichus utilises it to full capacity in a logical and sequential manner; he began by identifying the statement or criticism made by Porphyry, often quoting it in full, before offering his response and then moving on to the next part of the argument until summarising his response at the end.  As a result, the method is entirely fitting to the type of apologia that Iamblichus was seeking to write, and it also left little room for further argument from Porphyry and his peers.  </w:t>
      </w:r>
    </w:p>
    <w:p w14:paraId="3B948737" w14:textId="03D467C6" w:rsidR="00B2393E" w:rsidRPr="00331FEF" w:rsidRDefault="00A613A4" w:rsidP="00331FEF">
      <w:pPr>
        <w:spacing w:line="480" w:lineRule="auto"/>
        <w:rPr>
          <w:rFonts w:ascii="Times New Roman" w:hAnsi="Times New Roman" w:cs="Times New Roman"/>
          <w:sz w:val="24"/>
          <w:szCs w:val="24"/>
          <w:u w:val="single"/>
        </w:rPr>
      </w:pPr>
      <w:r w:rsidRPr="00331FEF">
        <w:rPr>
          <w:rFonts w:ascii="Times New Roman" w:hAnsi="Times New Roman" w:cs="Times New Roman"/>
          <w:sz w:val="24"/>
          <w:szCs w:val="24"/>
          <w:u w:val="single"/>
        </w:rPr>
        <w:t>Divination in On the Mysteries</w:t>
      </w:r>
    </w:p>
    <w:p w14:paraId="069DDBF1" w14:textId="712F11CB" w:rsidR="00A613A4" w:rsidRPr="00331FEF" w:rsidRDefault="00A613A4"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I</w:t>
      </w:r>
      <w:r w:rsidR="00397D95" w:rsidRPr="00331FEF">
        <w:rPr>
          <w:rFonts w:ascii="Times New Roman" w:hAnsi="Times New Roman" w:cs="Times New Roman"/>
          <w:sz w:val="24"/>
          <w:szCs w:val="24"/>
        </w:rPr>
        <w:t xml:space="preserve">n a discussion of how music </w:t>
      </w:r>
      <w:r w:rsidR="00DE14F2" w:rsidRPr="00331FEF">
        <w:rPr>
          <w:rFonts w:ascii="Times New Roman" w:hAnsi="Times New Roman" w:cs="Times New Roman"/>
          <w:sz w:val="24"/>
          <w:szCs w:val="24"/>
        </w:rPr>
        <w:t>has a significant place in the history of</w:t>
      </w:r>
      <w:r w:rsidR="00397D95" w:rsidRPr="00331FEF">
        <w:rPr>
          <w:rFonts w:ascii="Times New Roman" w:hAnsi="Times New Roman" w:cs="Times New Roman"/>
          <w:sz w:val="24"/>
          <w:szCs w:val="24"/>
        </w:rPr>
        <w:t xml:space="preserve"> magic, Tomlinson</w:t>
      </w:r>
      <w:r w:rsidR="00DE14F2" w:rsidRPr="00331FEF">
        <w:rPr>
          <w:rStyle w:val="FootnoteReference"/>
          <w:rFonts w:ascii="Times New Roman" w:hAnsi="Times New Roman" w:cs="Times New Roman"/>
          <w:sz w:val="24"/>
          <w:szCs w:val="24"/>
        </w:rPr>
        <w:footnoteReference w:id="9"/>
      </w:r>
      <w:r w:rsidR="00397D95" w:rsidRPr="00331FEF">
        <w:rPr>
          <w:rFonts w:ascii="Times New Roman" w:hAnsi="Times New Roman" w:cs="Times New Roman"/>
          <w:sz w:val="24"/>
          <w:szCs w:val="24"/>
        </w:rPr>
        <w:t xml:space="preserve"> writes that Iamblichus applied music to his two distinct</w:t>
      </w:r>
      <w:r w:rsidR="00DB12B6" w:rsidRPr="00331FEF">
        <w:rPr>
          <w:rFonts w:ascii="Times New Roman" w:hAnsi="Times New Roman" w:cs="Times New Roman"/>
          <w:sz w:val="24"/>
          <w:szCs w:val="24"/>
        </w:rPr>
        <w:t>ive categories</w:t>
      </w:r>
      <w:r w:rsidR="00397D95" w:rsidRPr="00331FEF">
        <w:rPr>
          <w:rFonts w:ascii="Times New Roman" w:hAnsi="Times New Roman" w:cs="Times New Roman"/>
          <w:sz w:val="24"/>
          <w:szCs w:val="24"/>
        </w:rPr>
        <w:t xml:space="preserve"> of divination.  The first type is of a less pure and less divinely inspired, where humans trained themselves to read signs and sympathies in order to discern the future or </w:t>
      </w:r>
      <w:r w:rsidR="002C632F" w:rsidRPr="00331FEF">
        <w:rPr>
          <w:rFonts w:ascii="Times New Roman" w:hAnsi="Times New Roman" w:cs="Times New Roman"/>
          <w:sz w:val="24"/>
          <w:szCs w:val="24"/>
        </w:rPr>
        <w:t>effect particular outcomes; the second was a transcendent and ecstatic union of human and divinity.  During the Renaissance and being inspired by Iamblichus’ use of music in his apologia, Ficino in the 1480s applied a sense of tapping – of humans tapping hidden forces and connections whilst the higher union or revealing of divine mysteries operates in a sphere where music is ‘moving and sensuous’</w:t>
      </w:r>
      <w:r w:rsidR="00DE14F2" w:rsidRPr="00331FEF">
        <w:rPr>
          <w:rFonts w:ascii="Times New Roman" w:hAnsi="Times New Roman" w:cs="Times New Roman"/>
          <w:sz w:val="24"/>
          <w:szCs w:val="24"/>
        </w:rPr>
        <w:t>, and that the music which mirrors the motions of the universe causes the gods themselves to appear</w:t>
      </w:r>
      <w:r w:rsidR="00DE14F2" w:rsidRPr="00331FEF">
        <w:rPr>
          <w:rStyle w:val="FootnoteReference"/>
          <w:rFonts w:ascii="Times New Roman" w:hAnsi="Times New Roman" w:cs="Times New Roman"/>
          <w:sz w:val="24"/>
          <w:szCs w:val="24"/>
        </w:rPr>
        <w:footnoteReference w:id="10"/>
      </w:r>
      <w:r w:rsidR="00DE14F2" w:rsidRPr="00331FEF">
        <w:rPr>
          <w:rFonts w:ascii="Times New Roman" w:hAnsi="Times New Roman" w:cs="Times New Roman"/>
          <w:sz w:val="24"/>
          <w:szCs w:val="24"/>
        </w:rPr>
        <w:t xml:space="preserve">.  </w:t>
      </w:r>
      <w:r w:rsidR="00C82389" w:rsidRPr="00331FEF">
        <w:rPr>
          <w:rFonts w:ascii="Times New Roman" w:hAnsi="Times New Roman" w:cs="Times New Roman"/>
          <w:sz w:val="24"/>
          <w:szCs w:val="24"/>
        </w:rPr>
        <w:t>Additionally, Iamblichus defends the place of music in divination, arguing that before the soul was known in the physical or material realm, it consisted of rhythm and harmony that is recognised by, and itself recognises divine inspiration</w:t>
      </w:r>
      <w:r w:rsidR="00C82389" w:rsidRPr="00331FEF">
        <w:rPr>
          <w:rStyle w:val="FootnoteReference"/>
          <w:rFonts w:ascii="Times New Roman" w:hAnsi="Times New Roman" w:cs="Times New Roman"/>
          <w:sz w:val="24"/>
          <w:szCs w:val="24"/>
        </w:rPr>
        <w:footnoteReference w:id="11"/>
      </w:r>
      <w:r w:rsidR="00C82389" w:rsidRPr="00331FEF">
        <w:rPr>
          <w:rFonts w:ascii="Times New Roman" w:hAnsi="Times New Roman" w:cs="Times New Roman"/>
          <w:sz w:val="24"/>
          <w:szCs w:val="24"/>
        </w:rPr>
        <w:t>.</w:t>
      </w:r>
    </w:p>
    <w:p w14:paraId="7853EC09" w14:textId="77777777" w:rsidR="002836C6" w:rsidRPr="00331FEF" w:rsidRDefault="00C82389"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lastRenderedPageBreak/>
        <w:t xml:space="preserve">Music is </w:t>
      </w:r>
      <w:r w:rsidR="00A21B6B" w:rsidRPr="00331FEF">
        <w:rPr>
          <w:rFonts w:ascii="Times New Roman" w:hAnsi="Times New Roman" w:cs="Times New Roman"/>
          <w:sz w:val="24"/>
          <w:szCs w:val="24"/>
        </w:rPr>
        <w:t xml:space="preserve">only one aspect that Iamblichus defends in On the Mysteries.  </w:t>
      </w:r>
      <w:r w:rsidR="00FE33EA" w:rsidRPr="00331FEF">
        <w:rPr>
          <w:rFonts w:ascii="Times New Roman" w:hAnsi="Times New Roman" w:cs="Times New Roman"/>
          <w:sz w:val="24"/>
          <w:szCs w:val="24"/>
        </w:rPr>
        <w:t>In Book 3</w:t>
      </w:r>
      <w:r w:rsidR="00FE33EA" w:rsidRPr="00331FEF">
        <w:rPr>
          <w:rStyle w:val="FootnoteReference"/>
          <w:rFonts w:ascii="Times New Roman" w:hAnsi="Times New Roman" w:cs="Times New Roman"/>
          <w:sz w:val="24"/>
          <w:szCs w:val="24"/>
        </w:rPr>
        <w:footnoteReference w:id="12"/>
      </w:r>
      <w:r w:rsidR="00FE33EA" w:rsidRPr="00331FEF">
        <w:rPr>
          <w:rFonts w:ascii="Times New Roman" w:hAnsi="Times New Roman" w:cs="Times New Roman"/>
          <w:sz w:val="24"/>
          <w:szCs w:val="24"/>
        </w:rPr>
        <w:t xml:space="preserve">, Iamblichus sums up </w:t>
      </w:r>
      <w:r w:rsidR="00412362" w:rsidRPr="00331FEF">
        <w:rPr>
          <w:rFonts w:ascii="Times New Roman" w:hAnsi="Times New Roman" w:cs="Times New Roman"/>
          <w:sz w:val="24"/>
          <w:szCs w:val="24"/>
        </w:rPr>
        <w:t>his definition of</w:t>
      </w:r>
      <w:r w:rsidR="00FE33EA" w:rsidRPr="00331FEF">
        <w:rPr>
          <w:rFonts w:ascii="Times New Roman" w:hAnsi="Times New Roman" w:cs="Times New Roman"/>
          <w:sz w:val="24"/>
          <w:szCs w:val="24"/>
        </w:rPr>
        <w:t xml:space="preserve"> divination </w:t>
      </w:r>
      <w:r w:rsidR="00412362" w:rsidRPr="00331FEF">
        <w:rPr>
          <w:rFonts w:ascii="Times New Roman" w:hAnsi="Times New Roman" w:cs="Times New Roman"/>
          <w:sz w:val="24"/>
          <w:szCs w:val="24"/>
        </w:rPr>
        <w:t>a</w:t>
      </w:r>
      <w:r w:rsidR="00FE33EA" w:rsidRPr="00331FEF">
        <w:rPr>
          <w:rFonts w:ascii="Times New Roman" w:hAnsi="Times New Roman" w:cs="Times New Roman"/>
          <w:sz w:val="24"/>
          <w:szCs w:val="24"/>
        </w:rPr>
        <w:t>s a natural phenomenon that emanates from the gods, “…the gods, through the use of many intermediate instruments, send forth signs to human beings, not only using the services of daemons but also those of souls and of nature and all things in the cosmos which obey these”.</w:t>
      </w:r>
      <w:r w:rsidR="00412362" w:rsidRPr="00331FEF">
        <w:rPr>
          <w:rFonts w:ascii="Times New Roman" w:hAnsi="Times New Roman" w:cs="Times New Roman"/>
          <w:sz w:val="24"/>
          <w:szCs w:val="24"/>
        </w:rPr>
        <w:t xml:space="preserve">  </w:t>
      </w:r>
    </w:p>
    <w:p w14:paraId="0EA4D613" w14:textId="15B4CD67" w:rsidR="00C82389" w:rsidRPr="00331FEF" w:rsidRDefault="00412362"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This demonstrates how Iamblichus viewed the nature of divination, and additionally, he opens Book 3 with an important statement that underpins and drives his defence, namely </w:t>
      </w:r>
      <w:r w:rsidR="009F5BDD" w:rsidRPr="00331FEF">
        <w:rPr>
          <w:rFonts w:ascii="Times New Roman" w:hAnsi="Times New Roman" w:cs="Times New Roman"/>
          <w:sz w:val="24"/>
          <w:szCs w:val="24"/>
        </w:rPr>
        <w:t>that man</w:t>
      </w:r>
      <w:r w:rsidRPr="00331FEF">
        <w:rPr>
          <w:rFonts w:ascii="Times New Roman" w:hAnsi="Times New Roman" w:cs="Times New Roman"/>
          <w:sz w:val="24"/>
          <w:szCs w:val="24"/>
        </w:rPr>
        <w:t xml:space="preserve"> has no control over divination.  Logical progression of this argument would then mean that there would be usefulness in debating the nature of divination, or the methodology, or the uses, but arguments that seek to decide whether or not divination exists or whether or not it should be used are rendered pointless.  </w:t>
      </w:r>
      <w:r w:rsidR="002836C6" w:rsidRPr="00331FEF">
        <w:rPr>
          <w:rFonts w:ascii="Times New Roman" w:hAnsi="Times New Roman" w:cs="Times New Roman"/>
          <w:sz w:val="24"/>
          <w:szCs w:val="24"/>
        </w:rPr>
        <w:t>This point then, summed up as Iamblichus believing that man had no control over divination may go some way to explaining why Iamblichus comes across as exasperated or frustrated at times.</w:t>
      </w:r>
    </w:p>
    <w:p w14:paraId="370C2CB8" w14:textId="45C6FD81" w:rsidR="002836C6" w:rsidRPr="00331FEF" w:rsidRDefault="002836C6"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Iamblichus makes the point that divination is a gift bestowed by the gods, it is supernatural, divine, unbegotten and eternal, and therefore it cannot be set in motion by people or controlled by them.  Divinatory practices include divine acts and signs, visions and scientific insights</w:t>
      </w:r>
      <w:r w:rsidR="00BB2F56" w:rsidRPr="00331FEF">
        <w:rPr>
          <w:rStyle w:val="FootnoteReference"/>
          <w:rFonts w:ascii="Times New Roman" w:hAnsi="Times New Roman" w:cs="Times New Roman"/>
          <w:sz w:val="24"/>
          <w:szCs w:val="24"/>
        </w:rPr>
        <w:footnoteReference w:id="13"/>
      </w:r>
      <w:r w:rsidR="00BB2F56" w:rsidRPr="00331FEF">
        <w:rPr>
          <w:rFonts w:ascii="Times New Roman" w:hAnsi="Times New Roman" w:cs="Times New Roman"/>
          <w:sz w:val="24"/>
          <w:szCs w:val="24"/>
        </w:rPr>
        <w:t>.  Dreams also provide an additional element, and Iamblichus responds to Porphyry’s suggestion that divination is unreliable when taking place in dreams.  Iamblichus points out that guidance given by the gods through dreams usually takes the form of communication when in a hypnogogic or hypnopompic state, which is a different state to sleep itself</w:t>
      </w:r>
      <w:r w:rsidR="00BB2F56" w:rsidRPr="00331FEF">
        <w:rPr>
          <w:rStyle w:val="FootnoteReference"/>
          <w:rFonts w:ascii="Times New Roman" w:hAnsi="Times New Roman" w:cs="Times New Roman"/>
          <w:sz w:val="24"/>
          <w:szCs w:val="24"/>
        </w:rPr>
        <w:footnoteReference w:id="14"/>
      </w:r>
      <w:r w:rsidR="00BB2F56" w:rsidRPr="00331FEF">
        <w:rPr>
          <w:rFonts w:ascii="Times New Roman" w:hAnsi="Times New Roman" w:cs="Times New Roman"/>
          <w:sz w:val="24"/>
          <w:szCs w:val="24"/>
        </w:rPr>
        <w:t>.</w:t>
      </w:r>
    </w:p>
    <w:p w14:paraId="7DF829C2" w14:textId="46CDD61E" w:rsidR="00C41EAF" w:rsidRPr="00331FEF" w:rsidRDefault="007D3835"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lastRenderedPageBreak/>
        <w:t>Dreams were of particular interest to ancient Greek philosophers, Aristotle wrote a short essay called ‘</w:t>
      </w:r>
      <w:r w:rsidRPr="00331FEF">
        <w:rPr>
          <w:rFonts w:ascii="Times New Roman" w:hAnsi="Times New Roman" w:cs="Times New Roman"/>
          <w:i/>
          <w:sz w:val="24"/>
          <w:szCs w:val="24"/>
        </w:rPr>
        <w:t>Divination through Sleep’</w:t>
      </w:r>
      <w:r w:rsidRPr="00331FEF">
        <w:rPr>
          <w:rFonts w:ascii="Times New Roman" w:hAnsi="Times New Roman" w:cs="Times New Roman"/>
          <w:sz w:val="24"/>
          <w:szCs w:val="24"/>
        </w:rPr>
        <w:t xml:space="preserve"> where he rejected the possibility of divination through sleep due to its haphazard nature, in particular the way in which divinatory dreams occurred indiscriminately, including to people who are not thoughtful, and additionally made the point that animals also dream.  As a result, Aristotle believed that dreams were ‘daemonic’</w:t>
      </w:r>
      <w:r w:rsidR="0003522D" w:rsidRPr="00331FEF">
        <w:rPr>
          <w:rFonts w:ascii="Times New Roman" w:hAnsi="Times New Roman" w:cs="Times New Roman"/>
          <w:sz w:val="24"/>
          <w:szCs w:val="24"/>
        </w:rPr>
        <w:t xml:space="preserve">, and disagreed with Socrates and Plato on the three crucial points relating to divination: </w:t>
      </w:r>
      <w:bookmarkStart w:id="7" w:name="_Hlk518930302"/>
      <w:r w:rsidR="0003522D" w:rsidRPr="00331FEF">
        <w:rPr>
          <w:rFonts w:ascii="Times New Roman" w:hAnsi="Times New Roman" w:cs="Times New Roman"/>
          <w:sz w:val="24"/>
          <w:szCs w:val="24"/>
        </w:rPr>
        <w:t>some dreams are sent by gods; contain gods’ instruction; and gods give indications about the future through their use</w:t>
      </w:r>
      <w:bookmarkEnd w:id="7"/>
      <w:r w:rsidR="0003522D" w:rsidRPr="00331FEF">
        <w:rPr>
          <w:rStyle w:val="FootnoteReference"/>
          <w:rFonts w:ascii="Times New Roman" w:hAnsi="Times New Roman" w:cs="Times New Roman"/>
          <w:sz w:val="24"/>
          <w:szCs w:val="24"/>
        </w:rPr>
        <w:footnoteReference w:id="15"/>
      </w:r>
      <w:r w:rsidR="0003522D" w:rsidRPr="00331FEF">
        <w:rPr>
          <w:rFonts w:ascii="Times New Roman" w:hAnsi="Times New Roman" w:cs="Times New Roman"/>
          <w:sz w:val="24"/>
          <w:szCs w:val="24"/>
        </w:rPr>
        <w:t xml:space="preserve">.  Porphyry sounds as though he is taking up a similar position to Aristotle on the matter, which is what led to Iamblichus to note that divine communication is more likely to take place during the hypnopompic or hypnogogic stages rather than </w:t>
      </w:r>
      <w:r w:rsidR="0051302F" w:rsidRPr="00331FEF">
        <w:rPr>
          <w:rFonts w:ascii="Times New Roman" w:hAnsi="Times New Roman" w:cs="Times New Roman"/>
          <w:sz w:val="24"/>
          <w:szCs w:val="24"/>
        </w:rPr>
        <w:t xml:space="preserve">sleep phases.  </w:t>
      </w:r>
    </w:p>
    <w:p w14:paraId="619C1A7B" w14:textId="2E5FC5E4" w:rsidR="0051302F" w:rsidRPr="00331FEF" w:rsidRDefault="0051302F" w:rsidP="00331FEF">
      <w:pPr>
        <w:spacing w:line="480" w:lineRule="auto"/>
        <w:rPr>
          <w:rFonts w:ascii="Times New Roman" w:hAnsi="Times New Roman" w:cs="Times New Roman"/>
          <w:sz w:val="24"/>
          <w:szCs w:val="24"/>
          <w:u w:val="single"/>
        </w:rPr>
      </w:pPr>
      <w:r w:rsidRPr="00331FEF">
        <w:rPr>
          <w:rFonts w:ascii="Times New Roman" w:hAnsi="Times New Roman" w:cs="Times New Roman"/>
          <w:sz w:val="24"/>
          <w:szCs w:val="24"/>
          <w:u w:val="single"/>
        </w:rPr>
        <w:t>Conclusion</w:t>
      </w:r>
    </w:p>
    <w:p w14:paraId="1C79AA9E" w14:textId="5844F895" w:rsidR="00383614" w:rsidRPr="00331FEF" w:rsidRDefault="002C31D5"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Iamblichus’ </w:t>
      </w:r>
      <w:r w:rsidRPr="00331FEF">
        <w:rPr>
          <w:rFonts w:ascii="Times New Roman" w:hAnsi="Times New Roman" w:cs="Times New Roman"/>
          <w:i/>
          <w:sz w:val="24"/>
          <w:szCs w:val="24"/>
        </w:rPr>
        <w:t>On the Mysteries</w:t>
      </w:r>
      <w:r w:rsidRPr="00331FEF">
        <w:rPr>
          <w:rFonts w:ascii="Times New Roman" w:hAnsi="Times New Roman" w:cs="Times New Roman"/>
          <w:sz w:val="24"/>
          <w:szCs w:val="24"/>
        </w:rPr>
        <w:t xml:space="preserve"> demonstrates the thinking of a group of </w:t>
      </w:r>
      <w:r w:rsidR="00526BE6" w:rsidRPr="00331FEF">
        <w:rPr>
          <w:rFonts w:ascii="Times New Roman" w:hAnsi="Times New Roman" w:cs="Times New Roman"/>
          <w:sz w:val="24"/>
          <w:szCs w:val="24"/>
        </w:rPr>
        <w:t xml:space="preserve">Greek </w:t>
      </w:r>
      <w:r w:rsidRPr="00331FEF">
        <w:rPr>
          <w:rFonts w:ascii="Times New Roman" w:hAnsi="Times New Roman" w:cs="Times New Roman"/>
          <w:sz w:val="24"/>
          <w:szCs w:val="24"/>
        </w:rPr>
        <w:t xml:space="preserve">philosophers </w:t>
      </w:r>
      <w:r w:rsidR="00526BE6" w:rsidRPr="00331FEF">
        <w:rPr>
          <w:rFonts w:ascii="Times New Roman" w:hAnsi="Times New Roman" w:cs="Times New Roman"/>
          <w:sz w:val="24"/>
          <w:szCs w:val="24"/>
        </w:rPr>
        <w:t xml:space="preserve">that included Socrates, </w:t>
      </w:r>
      <w:r w:rsidRPr="00331FEF">
        <w:rPr>
          <w:rFonts w:ascii="Times New Roman" w:hAnsi="Times New Roman" w:cs="Times New Roman"/>
          <w:sz w:val="24"/>
          <w:szCs w:val="24"/>
        </w:rPr>
        <w:t xml:space="preserve">who sought to include divinity in their philosophies, which was </w:t>
      </w:r>
      <w:r w:rsidR="00526BE6" w:rsidRPr="00331FEF">
        <w:rPr>
          <w:rFonts w:ascii="Times New Roman" w:hAnsi="Times New Roman" w:cs="Times New Roman"/>
          <w:sz w:val="24"/>
          <w:szCs w:val="24"/>
        </w:rPr>
        <w:t xml:space="preserve">in opposition to the rationalists that only saw science and nature.  </w:t>
      </w:r>
      <w:r w:rsidR="00526BE6" w:rsidRPr="00331FEF">
        <w:rPr>
          <w:rFonts w:ascii="Times New Roman" w:hAnsi="Times New Roman" w:cs="Times New Roman"/>
          <w:i/>
          <w:sz w:val="24"/>
          <w:szCs w:val="24"/>
        </w:rPr>
        <w:t>On the Mysteries</w:t>
      </w:r>
      <w:r w:rsidR="00526BE6" w:rsidRPr="00331FEF">
        <w:rPr>
          <w:rFonts w:ascii="Times New Roman" w:hAnsi="Times New Roman" w:cs="Times New Roman"/>
          <w:sz w:val="24"/>
          <w:szCs w:val="24"/>
        </w:rPr>
        <w:t xml:space="preserve"> is a defence against criticisms and questions levelled against divination in the letter from Porphyry and is a perfect example of the two schools of thought.</w:t>
      </w:r>
      <w:r w:rsidR="00A32C97" w:rsidRPr="00331FEF">
        <w:rPr>
          <w:rFonts w:ascii="Times New Roman" w:hAnsi="Times New Roman" w:cs="Times New Roman"/>
          <w:sz w:val="24"/>
          <w:szCs w:val="24"/>
        </w:rPr>
        <w:t xml:space="preserve">  It is presented in a way that is typical of Greek philosophical discourse in that Iamblichus divided the text into sections, and at the start of each section summarised the question or criticism of Porphyry before then going on to respond.  Each point or criticism from the </w:t>
      </w:r>
      <w:r w:rsidR="00A32C97" w:rsidRPr="00331FEF">
        <w:rPr>
          <w:rFonts w:ascii="Times New Roman" w:hAnsi="Times New Roman" w:cs="Times New Roman"/>
          <w:i/>
          <w:sz w:val="24"/>
          <w:szCs w:val="24"/>
        </w:rPr>
        <w:t>Letter to Anebo</w:t>
      </w:r>
      <w:r w:rsidR="00A32C97" w:rsidRPr="00331FEF">
        <w:rPr>
          <w:rFonts w:ascii="Times New Roman" w:hAnsi="Times New Roman" w:cs="Times New Roman"/>
          <w:sz w:val="24"/>
          <w:szCs w:val="24"/>
        </w:rPr>
        <w:t xml:space="preserve"> is laid out, and responded to thoroughly, often with Hellenistic or Hermetic wisdom attached; and it is a method that is entirely suited to Iamblichus’ form of argument.  </w:t>
      </w:r>
    </w:p>
    <w:p w14:paraId="3A249EE1" w14:textId="7E74EB07" w:rsidR="00526BE6" w:rsidRPr="00331FEF" w:rsidRDefault="00526BE6"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lastRenderedPageBreak/>
        <w:t xml:space="preserve">Despite some scholars feeling otherwise, there are places where Iamblichus demonstrates a tension, or a kind of frustration with Porphyry.  This makes sense when his stance on divination in dreams is summarised and shown to be aligned with Plato and Socrates: some dreams are sent by gods; contain gods’ instruction; and gods give indications about the future through their use.  Similarly, Iamblichus’ sees divination as a gift from the gods that cannot be affected from outside of the divine, and therefore, man has no control on the bestowing </w:t>
      </w:r>
      <w:r w:rsidR="00A32C97" w:rsidRPr="00331FEF">
        <w:rPr>
          <w:rFonts w:ascii="Times New Roman" w:hAnsi="Times New Roman" w:cs="Times New Roman"/>
          <w:sz w:val="24"/>
          <w:szCs w:val="24"/>
        </w:rPr>
        <w:t xml:space="preserve">of the ability to read divination – it is entirely at the gods’ discretion.  </w:t>
      </w:r>
    </w:p>
    <w:p w14:paraId="1D7463F7" w14:textId="77777777" w:rsidR="008E271F" w:rsidRPr="00331FEF" w:rsidRDefault="008E271F" w:rsidP="00331FEF">
      <w:pPr>
        <w:spacing w:line="480" w:lineRule="auto"/>
        <w:rPr>
          <w:rFonts w:ascii="Times New Roman" w:hAnsi="Times New Roman" w:cs="Times New Roman"/>
          <w:sz w:val="24"/>
          <w:szCs w:val="24"/>
        </w:rPr>
      </w:pPr>
    </w:p>
    <w:p w14:paraId="10DEF9EE" w14:textId="77777777" w:rsidR="00846EC7" w:rsidRPr="00331FEF" w:rsidRDefault="00846EC7" w:rsidP="00331FEF">
      <w:pPr>
        <w:spacing w:line="480" w:lineRule="auto"/>
        <w:rPr>
          <w:rFonts w:ascii="Times New Roman" w:hAnsi="Times New Roman" w:cs="Times New Roman"/>
          <w:sz w:val="24"/>
          <w:szCs w:val="24"/>
        </w:rPr>
      </w:pPr>
    </w:p>
    <w:p w14:paraId="4D4E3CE2" w14:textId="4D828A3C" w:rsidR="00667BEB" w:rsidRPr="00331FEF" w:rsidRDefault="00667BEB" w:rsidP="00331FEF">
      <w:pPr>
        <w:spacing w:line="480" w:lineRule="auto"/>
        <w:rPr>
          <w:rFonts w:ascii="Times New Roman" w:hAnsi="Times New Roman" w:cs="Times New Roman"/>
          <w:sz w:val="24"/>
          <w:szCs w:val="24"/>
        </w:rPr>
      </w:pPr>
    </w:p>
    <w:p w14:paraId="23FDFB5C" w14:textId="556A8C21" w:rsidR="00667BEB" w:rsidRPr="00331FEF" w:rsidRDefault="00667BEB" w:rsidP="00331FEF">
      <w:pPr>
        <w:spacing w:line="480" w:lineRule="auto"/>
        <w:rPr>
          <w:rFonts w:ascii="Times New Roman" w:hAnsi="Times New Roman" w:cs="Times New Roman"/>
          <w:sz w:val="24"/>
          <w:szCs w:val="24"/>
          <w:u w:val="single"/>
        </w:rPr>
      </w:pPr>
      <w:r w:rsidRPr="00331FEF">
        <w:rPr>
          <w:rFonts w:ascii="Times New Roman" w:hAnsi="Times New Roman" w:cs="Times New Roman"/>
          <w:sz w:val="24"/>
          <w:szCs w:val="24"/>
          <w:u w:val="single"/>
        </w:rPr>
        <w:t>References</w:t>
      </w:r>
    </w:p>
    <w:p w14:paraId="738EAE1E" w14:textId="152BAB36" w:rsidR="00667BEB" w:rsidRPr="00331FEF" w:rsidRDefault="00667BEB"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Addey, C. </w:t>
      </w:r>
      <w:r w:rsidRPr="00331FEF">
        <w:rPr>
          <w:rFonts w:ascii="Times New Roman" w:hAnsi="Times New Roman" w:cs="Times New Roman"/>
          <w:i/>
          <w:sz w:val="24"/>
          <w:szCs w:val="24"/>
        </w:rPr>
        <w:t>Divination and Theurgy in Neoplatonism: Oracles of the Gods</w:t>
      </w:r>
      <w:r w:rsidRPr="00331FEF">
        <w:rPr>
          <w:rFonts w:ascii="Times New Roman" w:hAnsi="Times New Roman" w:cs="Times New Roman"/>
          <w:sz w:val="24"/>
          <w:szCs w:val="24"/>
        </w:rPr>
        <w:t>.  Farnham, Ashgate, 2014.</w:t>
      </w:r>
    </w:p>
    <w:p w14:paraId="4753FE19" w14:textId="5BDA93B9" w:rsidR="008E271F" w:rsidRPr="00331FEF" w:rsidRDefault="008E271F"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Clark, D. Iamblichus’ Egyptian Neoplatonic Theology in De Mysteriis.  </w:t>
      </w:r>
      <w:r w:rsidRPr="00331FEF">
        <w:rPr>
          <w:rFonts w:ascii="Times New Roman" w:hAnsi="Times New Roman" w:cs="Times New Roman"/>
          <w:i/>
          <w:sz w:val="24"/>
          <w:szCs w:val="24"/>
        </w:rPr>
        <w:t>The International Journal of the Platonic</w:t>
      </w:r>
      <w:r w:rsidRPr="00331FEF">
        <w:rPr>
          <w:rFonts w:ascii="Times New Roman" w:hAnsi="Times New Roman" w:cs="Times New Roman"/>
          <w:sz w:val="24"/>
          <w:szCs w:val="24"/>
        </w:rPr>
        <w:t xml:space="preserve"> Tradition 2, 2008, 164-205.  </w:t>
      </w:r>
    </w:p>
    <w:p w14:paraId="6B621804" w14:textId="38319BBD" w:rsidR="00383614" w:rsidRPr="00331FEF" w:rsidRDefault="00383614"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Felix, M.J.H. Philosophy and Theurgy in the Thought of Iamblichus: Symbol and Beauty, in Martin-Velasco, M., and Garcia Blanco, M. (eds.) </w:t>
      </w:r>
      <w:r w:rsidRPr="00331FEF">
        <w:rPr>
          <w:rFonts w:ascii="Times New Roman" w:hAnsi="Times New Roman" w:cs="Times New Roman"/>
          <w:i/>
          <w:sz w:val="24"/>
          <w:szCs w:val="24"/>
        </w:rPr>
        <w:t>Greek Philosophy and Mystery Cults</w:t>
      </w:r>
      <w:r w:rsidRPr="00331FEF">
        <w:rPr>
          <w:rFonts w:ascii="Times New Roman" w:hAnsi="Times New Roman" w:cs="Times New Roman"/>
          <w:sz w:val="24"/>
          <w:szCs w:val="24"/>
        </w:rPr>
        <w:t xml:space="preserve">.  Cambridge, Cambridge Scholars Society, 2016. </w:t>
      </w:r>
    </w:p>
    <w:p w14:paraId="0422E6D5" w14:textId="07E134F8" w:rsidR="009D7246" w:rsidRPr="00331FEF" w:rsidRDefault="009D7246"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Fraser, K. The Contested Boundaries of Magic and Religion in Late Pagan Monotheism. </w:t>
      </w:r>
      <w:r w:rsidRPr="00331FEF">
        <w:rPr>
          <w:rFonts w:ascii="Times New Roman" w:hAnsi="Times New Roman" w:cs="Times New Roman"/>
          <w:i/>
          <w:sz w:val="24"/>
          <w:szCs w:val="24"/>
        </w:rPr>
        <w:t>Magic, Ritual and Witchcraft</w:t>
      </w:r>
      <w:r w:rsidRPr="00331FEF">
        <w:rPr>
          <w:rFonts w:ascii="Times New Roman" w:hAnsi="Times New Roman" w:cs="Times New Roman"/>
          <w:sz w:val="24"/>
          <w:szCs w:val="24"/>
        </w:rPr>
        <w:t>, vol 4 (2), 2009, 131-151.</w:t>
      </w:r>
    </w:p>
    <w:p w14:paraId="4F06A0E2" w14:textId="285DDA8F" w:rsidR="00846EC7" w:rsidRPr="00331FEF" w:rsidRDefault="00846EC7"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Marx-Wolf, H. Third Century Platonists as Ritual Experts</w:t>
      </w:r>
      <w:r w:rsidRPr="00331FEF">
        <w:rPr>
          <w:rFonts w:ascii="Times New Roman" w:hAnsi="Times New Roman" w:cs="Times New Roman"/>
          <w:i/>
          <w:sz w:val="24"/>
          <w:szCs w:val="24"/>
        </w:rPr>
        <w:t>.  Journal of Early Christian Studies,</w:t>
      </w:r>
      <w:r w:rsidRPr="00331FEF">
        <w:rPr>
          <w:rFonts w:ascii="Times New Roman" w:hAnsi="Times New Roman" w:cs="Times New Roman"/>
          <w:sz w:val="24"/>
          <w:szCs w:val="24"/>
        </w:rPr>
        <w:t xml:space="preserve"> vol 18 (4) 2010, 481-513.</w:t>
      </w:r>
    </w:p>
    <w:p w14:paraId="339676B8" w14:textId="2AFA9A18" w:rsidR="007D3835" w:rsidRPr="00331FEF" w:rsidRDefault="007D3835"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lastRenderedPageBreak/>
        <w:t xml:space="preserve">Mikalson, J. </w:t>
      </w:r>
      <w:r w:rsidRPr="00331FEF">
        <w:rPr>
          <w:rFonts w:ascii="Times New Roman" w:hAnsi="Times New Roman" w:cs="Times New Roman"/>
          <w:i/>
          <w:sz w:val="24"/>
          <w:szCs w:val="24"/>
        </w:rPr>
        <w:t>Greek popular Religion in Greek Philosophy</w:t>
      </w:r>
      <w:r w:rsidRPr="00331FEF">
        <w:rPr>
          <w:rFonts w:ascii="Times New Roman" w:hAnsi="Times New Roman" w:cs="Times New Roman"/>
          <w:sz w:val="24"/>
          <w:szCs w:val="24"/>
        </w:rPr>
        <w:t xml:space="preserve">.  Oxford, Oxford University Press, 2010. </w:t>
      </w:r>
    </w:p>
    <w:p w14:paraId="57BABCD0" w14:textId="450A93B7" w:rsidR="002C632F" w:rsidRPr="00331FEF" w:rsidRDefault="002C632F" w:rsidP="00331FEF">
      <w:pPr>
        <w:spacing w:line="480" w:lineRule="auto"/>
        <w:rPr>
          <w:rFonts w:ascii="Times New Roman" w:hAnsi="Times New Roman" w:cs="Times New Roman"/>
          <w:sz w:val="24"/>
          <w:szCs w:val="24"/>
        </w:rPr>
      </w:pPr>
      <w:r w:rsidRPr="00331FEF">
        <w:rPr>
          <w:rFonts w:ascii="Times New Roman" w:hAnsi="Times New Roman" w:cs="Times New Roman"/>
          <w:sz w:val="24"/>
          <w:szCs w:val="24"/>
        </w:rPr>
        <w:t xml:space="preserve">Tomlinson, G. </w:t>
      </w:r>
      <w:r w:rsidRPr="00331FEF">
        <w:rPr>
          <w:rFonts w:ascii="Times New Roman" w:hAnsi="Times New Roman" w:cs="Times New Roman"/>
          <w:i/>
          <w:sz w:val="24"/>
          <w:szCs w:val="24"/>
        </w:rPr>
        <w:t>Music in Renaissance Magic:  Towards a Historiography of Others</w:t>
      </w:r>
      <w:r w:rsidRPr="00331FEF">
        <w:rPr>
          <w:rFonts w:ascii="Times New Roman" w:hAnsi="Times New Roman" w:cs="Times New Roman"/>
          <w:sz w:val="24"/>
          <w:szCs w:val="24"/>
        </w:rPr>
        <w:t>.  Chicago, University of Chicago</w:t>
      </w:r>
      <w:r w:rsidR="00DE14F2" w:rsidRPr="00331FEF">
        <w:rPr>
          <w:rFonts w:ascii="Times New Roman" w:hAnsi="Times New Roman" w:cs="Times New Roman"/>
          <w:sz w:val="24"/>
          <w:szCs w:val="24"/>
        </w:rPr>
        <w:t>, 1993.</w:t>
      </w:r>
    </w:p>
    <w:p w14:paraId="41D1A587" w14:textId="528FE258" w:rsidR="00DE14F2" w:rsidRPr="00331FEF" w:rsidRDefault="00DE14F2" w:rsidP="00331FEF">
      <w:pPr>
        <w:spacing w:line="480" w:lineRule="auto"/>
        <w:rPr>
          <w:rFonts w:ascii="Times New Roman" w:hAnsi="Times New Roman" w:cs="Times New Roman"/>
          <w:sz w:val="24"/>
          <w:szCs w:val="24"/>
        </w:rPr>
      </w:pPr>
      <w:r w:rsidRPr="00331FEF">
        <w:rPr>
          <w:rFonts w:ascii="Times New Roman" w:hAnsi="Times New Roman" w:cs="Times New Roman"/>
          <w:i/>
          <w:sz w:val="24"/>
          <w:szCs w:val="24"/>
        </w:rPr>
        <w:t>Iamblichus, On the Mysteries (De Mysteriis)</w:t>
      </w:r>
      <w:r w:rsidR="00FE33EA" w:rsidRPr="00331FEF">
        <w:rPr>
          <w:rFonts w:ascii="Times New Roman" w:hAnsi="Times New Roman" w:cs="Times New Roman"/>
          <w:i/>
          <w:sz w:val="24"/>
          <w:szCs w:val="24"/>
        </w:rPr>
        <w:t xml:space="preserve">.  </w:t>
      </w:r>
      <w:r w:rsidRPr="00331FEF">
        <w:rPr>
          <w:rFonts w:ascii="Times New Roman" w:hAnsi="Times New Roman" w:cs="Times New Roman"/>
          <w:sz w:val="24"/>
          <w:szCs w:val="24"/>
        </w:rPr>
        <w:t>Emma C. Clarke, John M. Dillon and J.P. Hershbell (eds.), Iamblichus: On the Mysteries, Atlanta: Society of Biblical Literature, 2003.</w:t>
      </w:r>
    </w:p>
    <w:p w14:paraId="44D1E21D" w14:textId="77777777" w:rsidR="00667BEB" w:rsidRPr="00331FEF" w:rsidRDefault="00667BEB" w:rsidP="00331FEF">
      <w:pPr>
        <w:spacing w:line="480" w:lineRule="auto"/>
        <w:rPr>
          <w:rFonts w:ascii="Times New Roman" w:hAnsi="Times New Roman" w:cs="Times New Roman"/>
          <w:sz w:val="24"/>
          <w:szCs w:val="24"/>
        </w:rPr>
      </w:pPr>
    </w:p>
    <w:sectPr w:rsidR="00667BEB" w:rsidRPr="00331FE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4E707" w14:textId="77777777" w:rsidR="00D8411E" w:rsidRDefault="00D8411E" w:rsidP="00756EC5">
      <w:pPr>
        <w:spacing w:after="0" w:line="240" w:lineRule="auto"/>
      </w:pPr>
      <w:r>
        <w:separator/>
      </w:r>
    </w:p>
  </w:endnote>
  <w:endnote w:type="continuationSeparator" w:id="0">
    <w:p w14:paraId="0A20D0A6" w14:textId="77777777" w:rsidR="00D8411E" w:rsidRDefault="00D8411E" w:rsidP="00756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1020562"/>
      <w:docPartObj>
        <w:docPartGallery w:val="Page Numbers (Bottom of Page)"/>
        <w:docPartUnique/>
      </w:docPartObj>
    </w:sdtPr>
    <w:sdtEndPr>
      <w:rPr>
        <w:noProof/>
      </w:rPr>
    </w:sdtEndPr>
    <w:sdtContent>
      <w:p w14:paraId="76DF7FBF" w14:textId="3B70B6B8" w:rsidR="00A32C97" w:rsidRDefault="00A32C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5A850E" w14:textId="77777777" w:rsidR="00A32C97" w:rsidRDefault="00A32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06D4C" w14:textId="77777777" w:rsidR="00D8411E" w:rsidRDefault="00D8411E" w:rsidP="00756EC5">
      <w:pPr>
        <w:spacing w:after="0" w:line="240" w:lineRule="auto"/>
      </w:pPr>
      <w:r>
        <w:separator/>
      </w:r>
    </w:p>
  </w:footnote>
  <w:footnote w:type="continuationSeparator" w:id="0">
    <w:p w14:paraId="0698597A" w14:textId="77777777" w:rsidR="00D8411E" w:rsidRDefault="00D8411E" w:rsidP="00756EC5">
      <w:pPr>
        <w:spacing w:after="0" w:line="240" w:lineRule="auto"/>
      </w:pPr>
      <w:r>
        <w:continuationSeparator/>
      </w:r>
    </w:p>
  </w:footnote>
  <w:footnote w:id="1">
    <w:p w14:paraId="36602C57" w14:textId="4FBEE1E7" w:rsidR="00756EC5" w:rsidRDefault="00756EC5">
      <w:pPr>
        <w:pStyle w:val="FootnoteText"/>
      </w:pPr>
      <w:r>
        <w:rPr>
          <w:rStyle w:val="FootnoteReference"/>
        </w:rPr>
        <w:footnoteRef/>
      </w:r>
      <w:r>
        <w:t xml:space="preserve"> Addey, 2014: 167</w:t>
      </w:r>
    </w:p>
  </w:footnote>
  <w:footnote w:id="2">
    <w:p w14:paraId="31660B46" w14:textId="001A09E3" w:rsidR="004627C2" w:rsidRDefault="004627C2">
      <w:pPr>
        <w:pStyle w:val="FootnoteText"/>
      </w:pPr>
      <w:r>
        <w:rPr>
          <w:rStyle w:val="FootnoteReference"/>
        </w:rPr>
        <w:footnoteRef/>
      </w:r>
      <w:r>
        <w:t xml:space="preserve"> Clarke 2008: 164</w:t>
      </w:r>
    </w:p>
  </w:footnote>
  <w:footnote w:id="3">
    <w:p w14:paraId="2E922684" w14:textId="7EDEA4EB" w:rsidR="004627C2" w:rsidRDefault="004627C2">
      <w:pPr>
        <w:pStyle w:val="FootnoteText"/>
      </w:pPr>
      <w:r>
        <w:rPr>
          <w:rStyle w:val="FootnoteReference"/>
        </w:rPr>
        <w:footnoteRef/>
      </w:r>
      <w:r>
        <w:t xml:space="preserve"> Addey 2014: 158</w:t>
      </w:r>
    </w:p>
  </w:footnote>
  <w:footnote w:id="4">
    <w:p w14:paraId="6B3035DA" w14:textId="289D673D" w:rsidR="004627C2" w:rsidRDefault="004627C2">
      <w:pPr>
        <w:pStyle w:val="FootnoteText"/>
      </w:pPr>
      <w:r>
        <w:rPr>
          <w:rStyle w:val="FootnoteReference"/>
        </w:rPr>
        <w:footnoteRef/>
      </w:r>
      <w:r>
        <w:t xml:space="preserve"> Addey 2014: 129</w:t>
      </w:r>
    </w:p>
  </w:footnote>
  <w:footnote w:id="5">
    <w:p w14:paraId="084AAD02" w14:textId="109F90CF" w:rsidR="004627C2" w:rsidRDefault="004627C2">
      <w:pPr>
        <w:pStyle w:val="FootnoteText"/>
      </w:pPr>
      <w:r>
        <w:rPr>
          <w:rStyle w:val="FootnoteReference"/>
        </w:rPr>
        <w:footnoteRef/>
      </w:r>
      <w:r>
        <w:t xml:space="preserve"> Quoted in Addey 2014: 130</w:t>
      </w:r>
    </w:p>
  </w:footnote>
  <w:footnote w:id="6">
    <w:p w14:paraId="20E8D941" w14:textId="33C66F0E" w:rsidR="004627C2" w:rsidRDefault="004627C2">
      <w:pPr>
        <w:pStyle w:val="FootnoteText"/>
      </w:pPr>
      <w:r>
        <w:rPr>
          <w:rStyle w:val="FootnoteReference"/>
        </w:rPr>
        <w:footnoteRef/>
      </w:r>
      <w:r>
        <w:t xml:space="preserve"> Marx-Wolf 2010: 482-3</w:t>
      </w:r>
    </w:p>
  </w:footnote>
  <w:footnote w:id="7">
    <w:p w14:paraId="7303C6F2" w14:textId="203703EB" w:rsidR="009D7246" w:rsidRDefault="009D7246">
      <w:pPr>
        <w:pStyle w:val="FootnoteText"/>
      </w:pPr>
      <w:r>
        <w:rPr>
          <w:rStyle w:val="FootnoteReference"/>
        </w:rPr>
        <w:footnoteRef/>
      </w:r>
      <w:r>
        <w:t xml:space="preserve"> Fraser</w:t>
      </w:r>
      <w:r w:rsidR="00397D95">
        <w:t xml:space="preserve"> 2009:</w:t>
      </w:r>
      <w:r>
        <w:t xml:space="preserve"> 142</w:t>
      </w:r>
    </w:p>
  </w:footnote>
  <w:footnote w:id="8">
    <w:p w14:paraId="77E933C3" w14:textId="4C953DE0" w:rsidR="00A21B6B" w:rsidRDefault="00A21B6B">
      <w:pPr>
        <w:pStyle w:val="FootnoteText"/>
      </w:pPr>
      <w:r>
        <w:rPr>
          <w:rStyle w:val="FootnoteReference"/>
        </w:rPr>
        <w:footnoteRef/>
      </w:r>
      <w:r>
        <w:t xml:space="preserve"> Felix 2016: 174</w:t>
      </w:r>
    </w:p>
  </w:footnote>
  <w:footnote w:id="9">
    <w:p w14:paraId="5E150A1B" w14:textId="111AF7EF" w:rsidR="00DE14F2" w:rsidRDefault="00DE14F2">
      <w:pPr>
        <w:pStyle w:val="FootnoteText"/>
      </w:pPr>
      <w:r>
        <w:rPr>
          <w:rStyle w:val="FootnoteReference"/>
        </w:rPr>
        <w:footnoteRef/>
      </w:r>
      <w:r>
        <w:t xml:space="preserve"> Tomlinson 1993: 146</w:t>
      </w:r>
    </w:p>
  </w:footnote>
  <w:footnote w:id="10">
    <w:p w14:paraId="4EF0D59C" w14:textId="3CED3A60" w:rsidR="00DE14F2" w:rsidRDefault="00DE14F2">
      <w:pPr>
        <w:pStyle w:val="FootnoteText"/>
      </w:pPr>
      <w:r>
        <w:rPr>
          <w:rStyle w:val="FootnoteReference"/>
        </w:rPr>
        <w:footnoteRef/>
      </w:r>
      <w:r>
        <w:t xml:space="preserve"> Iamblichus, </w:t>
      </w:r>
      <w:r w:rsidRPr="00DE14F2">
        <w:rPr>
          <w:i/>
        </w:rPr>
        <w:t>On the Mysteries</w:t>
      </w:r>
      <w:r>
        <w:t xml:space="preserve">, III.9, trans </w:t>
      </w:r>
      <w:r w:rsidRPr="00DE14F2">
        <w:t>Emma C. Clarke, John M. Dillon and J.P. Hershbell (eds.),</w:t>
      </w:r>
      <w:r>
        <w:t xml:space="preserve"> Atlanta, Society of Biblical Literature, 2003.  </w:t>
      </w:r>
    </w:p>
  </w:footnote>
  <w:footnote w:id="11">
    <w:p w14:paraId="3A6C603E" w14:textId="3F966DD1" w:rsidR="00C82389" w:rsidRDefault="00C82389">
      <w:pPr>
        <w:pStyle w:val="FootnoteText"/>
      </w:pPr>
      <w:r>
        <w:rPr>
          <w:rStyle w:val="FootnoteReference"/>
        </w:rPr>
        <w:footnoteRef/>
      </w:r>
      <w:r>
        <w:t xml:space="preserve"> Iamblichus, </w:t>
      </w:r>
      <w:r w:rsidRPr="00C82389">
        <w:rPr>
          <w:i/>
        </w:rPr>
        <w:t>On the Mysteries</w:t>
      </w:r>
      <w:r>
        <w:t>, III.9</w:t>
      </w:r>
    </w:p>
  </w:footnote>
  <w:footnote w:id="12">
    <w:p w14:paraId="3E5AC722" w14:textId="2C74E73F" w:rsidR="00FE33EA" w:rsidRDefault="00FE33EA">
      <w:pPr>
        <w:pStyle w:val="FootnoteText"/>
      </w:pPr>
      <w:r>
        <w:rPr>
          <w:rStyle w:val="FootnoteReference"/>
        </w:rPr>
        <w:footnoteRef/>
      </w:r>
      <w:r>
        <w:t xml:space="preserve"> Iamblichus, </w:t>
      </w:r>
      <w:r w:rsidRPr="00FE33EA">
        <w:rPr>
          <w:i/>
        </w:rPr>
        <w:t>On the Mysteries</w:t>
      </w:r>
      <w:r>
        <w:t>, III.16</w:t>
      </w:r>
    </w:p>
  </w:footnote>
  <w:footnote w:id="13">
    <w:p w14:paraId="0C1746C5" w14:textId="2189EDAA" w:rsidR="00BB2F56" w:rsidRDefault="00BB2F56">
      <w:pPr>
        <w:pStyle w:val="FootnoteText"/>
      </w:pPr>
      <w:r>
        <w:rPr>
          <w:rStyle w:val="FootnoteReference"/>
        </w:rPr>
        <w:footnoteRef/>
      </w:r>
      <w:r>
        <w:t xml:space="preserve"> Iamblichus, On the Mysteries, III.1</w:t>
      </w:r>
    </w:p>
  </w:footnote>
  <w:footnote w:id="14">
    <w:p w14:paraId="75310617" w14:textId="3FEF5E10" w:rsidR="00BB2F56" w:rsidRDefault="00BB2F56">
      <w:pPr>
        <w:pStyle w:val="FootnoteText"/>
      </w:pPr>
      <w:r>
        <w:rPr>
          <w:rStyle w:val="FootnoteReference"/>
        </w:rPr>
        <w:footnoteRef/>
      </w:r>
      <w:r>
        <w:t xml:space="preserve"> Iamblichus, On the Mysteries, III.2</w:t>
      </w:r>
    </w:p>
  </w:footnote>
  <w:footnote w:id="15">
    <w:p w14:paraId="0834036F" w14:textId="39D7AF63" w:rsidR="0003522D" w:rsidRDefault="0003522D">
      <w:pPr>
        <w:pStyle w:val="FootnoteText"/>
      </w:pPr>
      <w:r>
        <w:rPr>
          <w:rStyle w:val="FootnoteReference"/>
        </w:rPr>
        <w:footnoteRef/>
      </w:r>
      <w:r>
        <w:t xml:space="preserve"> Mikalson 2010: 123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FEE"/>
    <w:rsid w:val="0003522D"/>
    <w:rsid w:val="00084E53"/>
    <w:rsid w:val="0008552D"/>
    <w:rsid w:val="000F14C9"/>
    <w:rsid w:val="000F2069"/>
    <w:rsid w:val="00191E30"/>
    <w:rsid w:val="001A53EB"/>
    <w:rsid w:val="002836C6"/>
    <w:rsid w:val="002C31D5"/>
    <w:rsid w:val="002C632F"/>
    <w:rsid w:val="00331FEF"/>
    <w:rsid w:val="00372112"/>
    <w:rsid w:val="00383614"/>
    <w:rsid w:val="00397D95"/>
    <w:rsid w:val="00412362"/>
    <w:rsid w:val="00446FEE"/>
    <w:rsid w:val="004627C2"/>
    <w:rsid w:val="00483988"/>
    <w:rsid w:val="004F192A"/>
    <w:rsid w:val="0051302F"/>
    <w:rsid w:val="00526BE6"/>
    <w:rsid w:val="00664332"/>
    <w:rsid w:val="00667BEB"/>
    <w:rsid w:val="006A6C3E"/>
    <w:rsid w:val="00756EC5"/>
    <w:rsid w:val="007D3835"/>
    <w:rsid w:val="00846EC7"/>
    <w:rsid w:val="00856518"/>
    <w:rsid w:val="008E271F"/>
    <w:rsid w:val="008E2919"/>
    <w:rsid w:val="009D7246"/>
    <w:rsid w:val="009F5BDD"/>
    <w:rsid w:val="00A21B6B"/>
    <w:rsid w:val="00A32C97"/>
    <w:rsid w:val="00A613A4"/>
    <w:rsid w:val="00B068BB"/>
    <w:rsid w:val="00B2393E"/>
    <w:rsid w:val="00BB2F56"/>
    <w:rsid w:val="00C41EAF"/>
    <w:rsid w:val="00C82389"/>
    <w:rsid w:val="00D8411E"/>
    <w:rsid w:val="00D94978"/>
    <w:rsid w:val="00DB12B6"/>
    <w:rsid w:val="00DC46FC"/>
    <w:rsid w:val="00DE14F2"/>
    <w:rsid w:val="00E63997"/>
    <w:rsid w:val="00E83253"/>
    <w:rsid w:val="00EE3E7D"/>
    <w:rsid w:val="00EF5F8D"/>
    <w:rsid w:val="00F041BE"/>
    <w:rsid w:val="00FE3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6BA45"/>
  <w15:chartTrackingRefBased/>
  <w15:docId w15:val="{87E7283B-861E-484C-ADD1-DA31210DD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56E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6EC5"/>
    <w:rPr>
      <w:sz w:val="20"/>
      <w:szCs w:val="20"/>
    </w:rPr>
  </w:style>
  <w:style w:type="character" w:styleId="FootnoteReference">
    <w:name w:val="footnote reference"/>
    <w:basedOn w:val="DefaultParagraphFont"/>
    <w:uiPriority w:val="99"/>
    <w:semiHidden/>
    <w:unhideWhenUsed/>
    <w:rsid w:val="00756EC5"/>
    <w:rPr>
      <w:vertAlign w:val="superscript"/>
    </w:rPr>
  </w:style>
  <w:style w:type="paragraph" w:styleId="Header">
    <w:name w:val="header"/>
    <w:basedOn w:val="Normal"/>
    <w:link w:val="HeaderChar"/>
    <w:uiPriority w:val="99"/>
    <w:unhideWhenUsed/>
    <w:rsid w:val="00A32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C97"/>
  </w:style>
  <w:style w:type="paragraph" w:styleId="Footer">
    <w:name w:val="footer"/>
    <w:basedOn w:val="Normal"/>
    <w:link w:val="FooterChar"/>
    <w:uiPriority w:val="99"/>
    <w:unhideWhenUsed/>
    <w:rsid w:val="00A32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1AFDB-F17F-4372-90C4-977FCB1B5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2115</Words>
  <Characters>12061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Mildenhall</dc:creator>
  <cp:keywords/>
  <dc:description/>
  <cp:lastModifiedBy>Victoria Mildenhall</cp:lastModifiedBy>
  <cp:revision>3</cp:revision>
  <cp:lastPrinted>2018-07-07T11:34:00Z</cp:lastPrinted>
  <dcterms:created xsi:type="dcterms:W3CDTF">2018-07-09T19:23:00Z</dcterms:created>
  <dcterms:modified xsi:type="dcterms:W3CDTF">2018-07-09T19:26:00Z</dcterms:modified>
</cp:coreProperties>
</file>