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2CCD7A" w14:textId="77777777" w:rsidR="009058BF" w:rsidRDefault="009058BF">
      <w:pPr>
        <w:spacing w:before="360" w:after="600" w:line="360" w:lineRule="auto"/>
        <w:jc w:val="center"/>
        <w:outlineLvl w:val="1"/>
        <w:rPr>
          <w:rFonts w:ascii="Arial" w:eastAsia="Times New Roman" w:hAnsi="Arial" w:cs="Arial"/>
          <w:b/>
          <w:bCs/>
          <w:color w:val="000000"/>
          <w:kern w:val="36"/>
          <w:sz w:val="48"/>
          <w:szCs w:val="48"/>
        </w:rPr>
      </w:pPr>
      <w:r>
        <w:rPr>
          <w:rFonts w:ascii="Arial" w:eastAsia="Times New Roman" w:hAnsi="Arial" w:cs="Arial"/>
          <w:b/>
          <w:bCs/>
          <w:color w:val="000000"/>
          <w:kern w:val="36"/>
          <w:sz w:val="48"/>
          <w:szCs w:val="48"/>
        </w:rPr>
        <w:t>LUMI LASH STUDIO</w:t>
      </w:r>
    </w:p>
    <w:p w14:paraId="51D36C2E" w14:textId="77777777" w:rsidR="009058BF" w:rsidRDefault="009058BF">
      <w:pPr>
        <w:spacing w:before="240" w:after="240" w:line="360" w:lineRule="auto"/>
        <w:jc w:val="center"/>
        <w:rPr>
          <w:rFonts w:ascii="Arial" w:hAnsi="Arial" w:cs="Arial"/>
          <w:color w:val="000000"/>
          <w:sz w:val="28"/>
          <w:szCs w:val="28"/>
        </w:rPr>
      </w:pPr>
      <w:r>
        <w:rPr>
          <w:rStyle w:val="Strong"/>
          <w:rFonts w:ascii="Arial" w:hAnsi="Arial" w:cs="Arial"/>
          <w:color w:val="000000"/>
          <w:sz w:val="28"/>
          <w:szCs w:val="28"/>
        </w:rPr>
        <w:t>Individual Written Business Plan</w:t>
      </w:r>
      <w:r>
        <w:rPr>
          <w:rFonts w:ascii="Arial" w:hAnsi="Arial" w:cs="Arial"/>
          <w:color w:val="000000"/>
          <w:sz w:val="28"/>
          <w:szCs w:val="28"/>
        </w:rPr>
        <w:t> </w:t>
      </w:r>
    </w:p>
    <w:p w14:paraId="36E9F6A8" w14:textId="77777777" w:rsidR="009058BF" w:rsidRDefault="009058BF">
      <w:pPr>
        <w:spacing w:before="240" w:after="240" w:line="360" w:lineRule="auto"/>
        <w:jc w:val="center"/>
        <w:rPr>
          <w:rFonts w:ascii="Arial" w:hAnsi="Arial" w:cs="Arial"/>
          <w:color w:val="000000"/>
          <w:sz w:val="28"/>
          <w:szCs w:val="28"/>
        </w:rPr>
      </w:pPr>
      <w:r>
        <w:rPr>
          <w:rStyle w:val="Strong"/>
          <w:rFonts w:ascii="Arial" w:hAnsi="Arial" w:cs="Arial"/>
          <w:color w:val="000000"/>
          <w:sz w:val="28"/>
          <w:szCs w:val="28"/>
        </w:rPr>
        <w:t>Student Name:</w:t>
      </w:r>
      <w:r>
        <w:rPr>
          <w:rFonts w:ascii="Arial" w:hAnsi="Arial" w:cs="Arial"/>
          <w:color w:val="000000"/>
          <w:sz w:val="28"/>
          <w:szCs w:val="28"/>
        </w:rPr>
        <w:t xml:space="preserve"> Maria Atanasia Patru</w:t>
      </w:r>
    </w:p>
    <w:p w14:paraId="48A85A01" w14:textId="487EF2DB" w:rsidR="009058BF" w:rsidRDefault="009058BF">
      <w:pPr>
        <w:spacing w:before="240" w:after="240" w:line="360" w:lineRule="auto"/>
        <w:jc w:val="center"/>
        <w:rPr>
          <w:rFonts w:ascii="Arial" w:hAnsi="Arial" w:cs="Arial"/>
          <w:color w:val="000000"/>
          <w:sz w:val="28"/>
          <w:szCs w:val="28"/>
        </w:rPr>
      </w:pPr>
      <w:r>
        <w:rPr>
          <w:rStyle w:val="Strong"/>
          <w:rFonts w:ascii="Arial" w:hAnsi="Arial" w:cs="Arial"/>
          <w:color w:val="000000"/>
          <w:sz w:val="28"/>
          <w:szCs w:val="28"/>
        </w:rPr>
        <w:t>Student ID:</w:t>
      </w:r>
      <w:r>
        <w:rPr>
          <w:rFonts w:ascii="Arial" w:hAnsi="Arial" w:cs="Arial"/>
          <w:color w:val="000000"/>
          <w:sz w:val="28"/>
          <w:szCs w:val="28"/>
        </w:rPr>
        <w:t xml:space="preserve"> </w:t>
      </w:r>
      <w:r w:rsidR="005A5D85">
        <w:rPr>
          <w:rFonts w:ascii="Arial" w:hAnsi="Arial" w:cs="Arial"/>
          <w:color w:val="000000"/>
          <w:sz w:val="28"/>
          <w:szCs w:val="28"/>
        </w:rPr>
        <w:t>2435672</w:t>
      </w:r>
    </w:p>
    <w:p w14:paraId="7D91C36F" w14:textId="77777777" w:rsidR="009058BF" w:rsidRDefault="009058BF">
      <w:pPr>
        <w:spacing w:before="240" w:after="240" w:line="360" w:lineRule="auto"/>
        <w:jc w:val="center"/>
        <w:rPr>
          <w:rFonts w:ascii="Arial" w:hAnsi="Arial" w:cs="Arial"/>
          <w:color w:val="000000"/>
          <w:sz w:val="28"/>
          <w:szCs w:val="28"/>
        </w:rPr>
      </w:pPr>
      <w:r>
        <w:rPr>
          <w:rStyle w:val="Strong"/>
          <w:rFonts w:ascii="Arial" w:hAnsi="Arial" w:cs="Arial"/>
          <w:color w:val="000000"/>
          <w:sz w:val="28"/>
          <w:szCs w:val="28"/>
        </w:rPr>
        <w:t>Programme:</w:t>
      </w:r>
      <w:r>
        <w:rPr>
          <w:rFonts w:ascii="Arial" w:hAnsi="Arial" w:cs="Arial"/>
          <w:color w:val="000000"/>
          <w:sz w:val="28"/>
          <w:szCs w:val="28"/>
        </w:rPr>
        <w:t xml:space="preserve"> Certificate in Higher Education</w:t>
      </w:r>
      <w:r>
        <w:rPr>
          <w:rFonts w:ascii="Arial" w:hAnsi="Arial" w:cs="Arial"/>
          <w:color w:val="000000"/>
          <w:sz w:val="28"/>
          <w:szCs w:val="28"/>
        </w:rPr>
        <w:br/>
        <w:t>Business Skills for the Workplace</w:t>
      </w:r>
    </w:p>
    <w:p w14:paraId="5C0368D1" w14:textId="77777777" w:rsidR="009058BF" w:rsidRDefault="009058BF">
      <w:pPr>
        <w:spacing w:before="240" w:after="240" w:line="360" w:lineRule="auto"/>
        <w:jc w:val="center"/>
        <w:rPr>
          <w:rFonts w:ascii="Arial" w:hAnsi="Arial" w:cs="Arial"/>
          <w:color w:val="000000"/>
          <w:sz w:val="28"/>
          <w:szCs w:val="28"/>
        </w:rPr>
      </w:pPr>
      <w:r>
        <w:rPr>
          <w:rStyle w:val="Strong"/>
          <w:rFonts w:ascii="Arial" w:hAnsi="Arial" w:cs="Arial"/>
          <w:color w:val="000000"/>
          <w:sz w:val="28"/>
          <w:szCs w:val="28"/>
        </w:rPr>
        <w:t>Module:</w:t>
      </w:r>
      <w:r>
        <w:rPr>
          <w:rFonts w:ascii="Arial" w:hAnsi="Arial" w:cs="Arial"/>
          <w:color w:val="000000"/>
          <w:sz w:val="28"/>
          <w:szCs w:val="28"/>
        </w:rPr>
        <w:t xml:space="preserve"> Enterprise and Entrepreneurship</w:t>
      </w:r>
    </w:p>
    <w:p w14:paraId="09D8FE8F" w14:textId="77777777" w:rsidR="009058BF" w:rsidRDefault="009058BF">
      <w:pPr>
        <w:spacing w:before="240" w:after="240" w:line="360" w:lineRule="auto"/>
        <w:jc w:val="center"/>
        <w:rPr>
          <w:rFonts w:ascii="Arial" w:hAnsi="Arial" w:cs="Arial"/>
          <w:color w:val="000000"/>
          <w:sz w:val="28"/>
          <w:szCs w:val="28"/>
        </w:rPr>
      </w:pPr>
      <w:r>
        <w:rPr>
          <w:rStyle w:val="Strong"/>
          <w:rFonts w:ascii="Arial" w:hAnsi="Arial" w:cs="Arial"/>
          <w:color w:val="000000"/>
          <w:sz w:val="28"/>
          <w:szCs w:val="28"/>
        </w:rPr>
        <w:t>Module Code:</w:t>
      </w:r>
      <w:r>
        <w:rPr>
          <w:rFonts w:ascii="Arial" w:hAnsi="Arial" w:cs="Arial"/>
          <w:color w:val="000000"/>
          <w:sz w:val="28"/>
          <w:szCs w:val="28"/>
        </w:rPr>
        <w:t xml:space="preserve"> LCLM4006 </w:t>
      </w:r>
    </w:p>
    <w:p w14:paraId="64AA6540" w14:textId="77777777" w:rsidR="009058BF" w:rsidRDefault="009058BF">
      <w:pPr>
        <w:spacing w:before="240" w:after="240" w:line="360" w:lineRule="auto"/>
        <w:jc w:val="center"/>
        <w:rPr>
          <w:rFonts w:ascii="Arial" w:hAnsi="Arial" w:cs="Arial"/>
          <w:color w:val="000000"/>
          <w:sz w:val="28"/>
          <w:szCs w:val="28"/>
        </w:rPr>
      </w:pPr>
      <w:r>
        <w:rPr>
          <w:rStyle w:val="Strong"/>
          <w:rFonts w:ascii="Arial" w:hAnsi="Arial" w:cs="Arial"/>
          <w:color w:val="000000"/>
          <w:sz w:val="28"/>
          <w:szCs w:val="28"/>
        </w:rPr>
        <w:t>Assignment Title:</w:t>
      </w:r>
      <w:r>
        <w:rPr>
          <w:rFonts w:ascii="Arial" w:hAnsi="Arial" w:cs="Arial"/>
          <w:color w:val="000000"/>
          <w:sz w:val="28"/>
          <w:szCs w:val="28"/>
        </w:rPr>
        <w:t xml:space="preserve"> Task 1 — Individual Written Business Plan </w:t>
      </w:r>
    </w:p>
    <w:p w14:paraId="77FB3604" w14:textId="45790B16" w:rsidR="009058BF" w:rsidRDefault="009058BF">
      <w:pPr>
        <w:spacing w:before="240" w:after="240" w:line="360" w:lineRule="auto"/>
        <w:jc w:val="center"/>
        <w:rPr>
          <w:rFonts w:ascii="Arial" w:hAnsi="Arial" w:cs="Arial"/>
          <w:color w:val="000000"/>
          <w:sz w:val="28"/>
          <w:szCs w:val="28"/>
        </w:rPr>
      </w:pPr>
      <w:r>
        <w:rPr>
          <w:rStyle w:val="Strong"/>
          <w:rFonts w:ascii="Arial" w:hAnsi="Arial" w:cs="Arial"/>
          <w:color w:val="000000"/>
          <w:sz w:val="28"/>
          <w:szCs w:val="28"/>
        </w:rPr>
        <w:t>Lecturer:</w:t>
      </w:r>
      <w:r>
        <w:rPr>
          <w:rFonts w:ascii="Arial" w:hAnsi="Arial" w:cs="Arial"/>
          <w:color w:val="000000"/>
          <w:sz w:val="28"/>
          <w:szCs w:val="28"/>
        </w:rPr>
        <w:t xml:space="preserve"> Dr </w:t>
      </w:r>
      <w:r w:rsidR="005A5D85">
        <w:rPr>
          <w:rFonts w:ascii="Arial" w:hAnsi="Arial" w:cs="Arial"/>
          <w:color w:val="000000"/>
          <w:sz w:val="28"/>
          <w:szCs w:val="28"/>
        </w:rPr>
        <w:t xml:space="preserve">Said Usman </w:t>
      </w:r>
    </w:p>
    <w:p w14:paraId="7B543BA0" w14:textId="77777777" w:rsidR="009058BF" w:rsidRDefault="009058BF">
      <w:pPr>
        <w:spacing w:before="240" w:after="240" w:line="360" w:lineRule="auto"/>
        <w:jc w:val="center"/>
        <w:rPr>
          <w:rFonts w:ascii="Arial" w:hAnsi="Arial" w:cs="Arial"/>
          <w:color w:val="000000"/>
          <w:sz w:val="28"/>
          <w:szCs w:val="28"/>
        </w:rPr>
      </w:pPr>
      <w:r>
        <w:rPr>
          <w:rStyle w:val="Strong"/>
          <w:rFonts w:ascii="Arial" w:hAnsi="Arial" w:cs="Arial"/>
          <w:color w:val="000000"/>
          <w:sz w:val="28"/>
          <w:szCs w:val="28"/>
        </w:rPr>
        <w:t>Campus:</w:t>
      </w:r>
      <w:r>
        <w:rPr>
          <w:rFonts w:ascii="Arial" w:hAnsi="Arial" w:cs="Arial"/>
          <w:color w:val="000000"/>
          <w:sz w:val="28"/>
          <w:szCs w:val="28"/>
        </w:rPr>
        <w:t xml:space="preserve"> London </w:t>
      </w:r>
    </w:p>
    <w:p w14:paraId="698052D9" w14:textId="77777777" w:rsidR="009058BF" w:rsidRDefault="009058BF">
      <w:pPr>
        <w:spacing w:before="240" w:after="240" w:line="360" w:lineRule="auto"/>
        <w:jc w:val="center"/>
        <w:rPr>
          <w:rFonts w:ascii="Arial" w:hAnsi="Arial" w:cs="Arial"/>
          <w:color w:val="000000"/>
          <w:sz w:val="28"/>
          <w:szCs w:val="28"/>
        </w:rPr>
      </w:pPr>
      <w:r>
        <w:rPr>
          <w:rStyle w:val="Strong"/>
          <w:rFonts w:ascii="Arial" w:hAnsi="Arial" w:cs="Arial"/>
          <w:color w:val="000000"/>
          <w:sz w:val="28"/>
          <w:szCs w:val="28"/>
        </w:rPr>
        <w:t>Submission Date:</w:t>
      </w:r>
      <w:r>
        <w:rPr>
          <w:rFonts w:ascii="Arial" w:hAnsi="Arial" w:cs="Arial"/>
          <w:color w:val="000000"/>
          <w:sz w:val="28"/>
          <w:szCs w:val="28"/>
        </w:rPr>
        <w:t xml:space="preserve"> 27 July 2026</w:t>
      </w:r>
    </w:p>
    <w:p w14:paraId="7AF7340F" w14:textId="77777777" w:rsidR="009058BF" w:rsidRDefault="009058BF">
      <w:pPr>
        <w:spacing w:before="240" w:after="240" w:line="360" w:lineRule="auto"/>
        <w:jc w:val="center"/>
        <w:rPr>
          <w:rFonts w:ascii="Arial" w:hAnsi="Arial" w:cs="Arial"/>
          <w:color w:val="000000"/>
          <w:sz w:val="28"/>
          <w:szCs w:val="28"/>
        </w:rPr>
      </w:pPr>
    </w:p>
    <w:p w14:paraId="78950C7F" w14:textId="77777777" w:rsidR="009058BF" w:rsidRDefault="009058BF">
      <w:pPr>
        <w:spacing w:before="240" w:after="240" w:line="360" w:lineRule="auto"/>
        <w:jc w:val="center"/>
        <w:rPr>
          <w:rFonts w:ascii="Arial" w:hAnsi="Arial" w:cs="Arial"/>
          <w:color w:val="000000"/>
          <w:sz w:val="28"/>
          <w:szCs w:val="28"/>
        </w:rPr>
      </w:pPr>
    </w:p>
    <w:p w14:paraId="090D5774" w14:textId="77777777" w:rsidR="009058BF" w:rsidRDefault="009058BF">
      <w:pPr>
        <w:spacing w:before="240" w:after="240" w:line="360" w:lineRule="auto"/>
        <w:jc w:val="center"/>
        <w:rPr>
          <w:rFonts w:ascii="Arial" w:hAnsi="Arial" w:cs="Arial"/>
          <w:color w:val="000000"/>
          <w:sz w:val="28"/>
          <w:szCs w:val="28"/>
        </w:rPr>
      </w:pPr>
    </w:p>
    <w:p w14:paraId="5FE0C598" w14:textId="77777777" w:rsidR="009058BF" w:rsidRDefault="009058BF">
      <w:pPr>
        <w:spacing w:before="240" w:after="240" w:line="360" w:lineRule="auto"/>
        <w:jc w:val="center"/>
        <w:rPr>
          <w:rFonts w:ascii="Arial" w:hAnsi="Arial" w:cs="Arial"/>
          <w:color w:val="000000"/>
          <w:sz w:val="28"/>
          <w:szCs w:val="28"/>
        </w:rPr>
      </w:pPr>
    </w:p>
    <w:p w14:paraId="4D094ADC" w14:textId="77777777" w:rsidR="009058BF" w:rsidRDefault="009058BF">
      <w:pPr>
        <w:spacing w:before="240" w:after="240" w:line="360" w:lineRule="auto"/>
        <w:jc w:val="center"/>
        <w:rPr>
          <w:rFonts w:ascii="Arial" w:hAnsi="Arial" w:cs="Arial"/>
          <w:color w:val="000000"/>
          <w:sz w:val="28"/>
          <w:szCs w:val="28"/>
        </w:rPr>
      </w:pPr>
    </w:p>
    <w:p w14:paraId="7889B050" w14:textId="77777777" w:rsidR="009058BF" w:rsidRDefault="009058BF">
      <w:pPr>
        <w:spacing w:before="240" w:after="240" w:line="360" w:lineRule="auto"/>
        <w:jc w:val="center"/>
        <w:rPr>
          <w:rFonts w:ascii="Arial" w:hAnsi="Arial" w:cs="Arial"/>
          <w:color w:val="000000"/>
          <w:sz w:val="28"/>
          <w:szCs w:val="28"/>
        </w:rPr>
      </w:pPr>
    </w:p>
    <w:p w14:paraId="553DD776" w14:textId="77777777" w:rsidR="009058BF" w:rsidRDefault="009058BF">
      <w:pPr>
        <w:pStyle w:val="Heading1"/>
        <w:spacing w:line="360" w:lineRule="auto"/>
        <w:rPr>
          <w:rFonts w:eastAsia="Times New Roman"/>
          <w:color w:val="000000"/>
        </w:rPr>
      </w:pPr>
      <w:r>
        <w:rPr>
          <w:rFonts w:eastAsia="Times New Roman"/>
          <w:color w:val="000000"/>
        </w:rPr>
        <w:lastRenderedPageBreak/>
        <w:t>Executive Summary</w:t>
      </w:r>
    </w:p>
    <w:p w14:paraId="407FA102" w14:textId="77777777" w:rsidR="009058BF" w:rsidRDefault="009058BF">
      <w:pPr>
        <w:pStyle w:val="NormalWeb"/>
        <w:spacing w:line="360" w:lineRule="auto"/>
        <w:rPr>
          <w:color w:val="000000"/>
        </w:rPr>
      </w:pPr>
      <w:r>
        <w:rPr>
          <w:color w:val="000000"/>
        </w:rPr>
        <w:t>Lumi Lash Studio is a London-based boutique eyelash extension business founded by Maria Atanasia Patru, offering classic, hybrid, and volume lash sets together with brow lamination, lash lifts, and tinting. The studio differentiates itself through a triple value proposition: mid-market pricing (a classic full set at £75), exclusive use of plant-based PLA (polylactic acid) lashes and certified cruelty-free, formaldehyde-free adhesives, and a visible community-impact element delivered through a monthly pro-bono clinic, Brave Brows, for women undergoing chemotherapy and clients affected by alopecia.</w:t>
      </w:r>
    </w:p>
    <w:p w14:paraId="7B50AD14" w14:textId="77777777" w:rsidR="009058BF" w:rsidRDefault="009058BF">
      <w:pPr>
        <w:pStyle w:val="NormalWeb"/>
        <w:spacing w:line="360" w:lineRule="auto"/>
        <w:rPr>
          <w:color w:val="000000"/>
        </w:rPr>
      </w:pPr>
      <w:r>
        <w:rPr>
          <w:color w:val="000000"/>
        </w:rPr>
        <w:t>The business will operate as a sole trader in East London (Stratford), positioned within the fastest-growing tier of the UK’s £5.8 billion hairdressing-and-beauty market. Total start-up funding requirement is £8,500, sourced through a UK Government Start Up Loan administered by the British Business Bank. Year-1 revenue is projected at £42,000 with a Year-1 net profit of £14,800 and break-even reached in month six. The combination of strong demand for vegan beauty, a clear community-impact narrative, and a tightly costed financial model creates a compelling proposition for sustainability-focused investors.</w:t>
      </w:r>
    </w:p>
    <w:p w14:paraId="610CD2EC" w14:textId="77777777" w:rsidR="009058BF" w:rsidRDefault="009058BF">
      <w:pPr>
        <w:pStyle w:val="NormalWeb"/>
        <w:spacing w:line="360" w:lineRule="auto"/>
        <w:rPr>
          <w:color w:val="000000"/>
        </w:rPr>
      </w:pPr>
    </w:p>
    <w:p w14:paraId="44048EE9" w14:textId="77777777" w:rsidR="009058BF" w:rsidRDefault="009058BF">
      <w:pPr>
        <w:pStyle w:val="NormalWeb"/>
        <w:spacing w:line="360" w:lineRule="auto"/>
        <w:rPr>
          <w:color w:val="000000"/>
        </w:rPr>
      </w:pPr>
    </w:p>
    <w:p w14:paraId="7DEB5F0D" w14:textId="77777777" w:rsidR="009058BF" w:rsidRDefault="009058BF">
      <w:pPr>
        <w:pStyle w:val="NormalWeb"/>
        <w:spacing w:line="360" w:lineRule="auto"/>
        <w:rPr>
          <w:color w:val="000000"/>
        </w:rPr>
      </w:pPr>
    </w:p>
    <w:p w14:paraId="49AA70D4" w14:textId="77777777" w:rsidR="009058BF" w:rsidRDefault="009058BF">
      <w:pPr>
        <w:pStyle w:val="NormalWeb"/>
        <w:spacing w:line="360" w:lineRule="auto"/>
        <w:rPr>
          <w:color w:val="000000"/>
        </w:rPr>
      </w:pPr>
    </w:p>
    <w:p w14:paraId="2AB75FA4" w14:textId="77777777" w:rsidR="009058BF" w:rsidRDefault="009058BF">
      <w:pPr>
        <w:pStyle w:val="NormalWeb"/>
        <w:spacing w:line="360" w:lineRule="auto"/>
        <w:rPr>
          <w:color w:val="000000"/>
        </w:rPr>
      </w:pPr>
    </w:p>
    <w:p w14:paraId="57DCDC43" w14:textId="77777777" w:rsidR="009058BF" w:rsidRDefault="009058BF">
      <w:pPr>
        <w:pStyle w:val="NormalWeb"/>
        <w:spacing w:line="360" w:lineRule="auto"/>
        <w:rPr>
          <w:color w:val="000000"/>
        </w:rPr>
      </w:pPr>
    </w:p>
    <w:p w14:paraId="4EFACD55" w14:textId="77777777" w:rsidR="009058BF" w:rsidRDefault="009058BF">
      <w:pPr>
        <w:pStyle w:val="NormalWeb"/>
        <w:spacing w:line="360" w:lineRule="auto"/>
        <w:rPr>
          <w:color w:val="000000"/>
        </w:rPr>
      </w:pPr>
    </w:p>
    <w:p w14:paraId="06A40B4D" w14:textId="77777777" w:rsidR="009058BF" w:rsidRDefault="009058BF">
      <w:pPr>
        <w:pStyle w:val="NormalWeb"/>
        <w:spacing w:line="360" w:lineRule="auto"/>
        <w:rPr>
          <w:color w:val="000000"/>
        </w:rPr>
      </w:pPr>
    </w:p>
    <w:p w14:paraId="5E523F25" w14:textId="77777777" w:rsidR="009058BF" w:rsidRDefault="009058BF">
      <w:pPr>
        <w:pStyle w:val="NormalWeb"/>
        <w:spacing w:line="360" w:lineRule="auto"/>
        <w:rPr>
          <w:color w:val="000000"/>
        </w:rPr>
      </w:pPr>
    </w:p>
    <w:p w14:paraId="144D54CC" w14:textId="77777777" w:rsidR="009058BF" w:rsidRDefault="009058BF">
      <w:pPr>
        <w:pStyle w:val="NormalWeb"/>
        <w:spacing w:line="360" w:lineRule="auto"/>
        <w:rPr>
          <w:color w:val="000000"/>
        </w:rPr>
      </w:pPr>
    </w:p>
    <w:p w14:paraId="75BACE3A" w14:textId="77777777" w:rsidR="009058BF" w:rsidRDefault="009058BF">
      <w:pPr>
        <w:pStyle w:val="Heading1"/>
        <w:spacing w:line="360" w:lineRule="auto"/>
        <w:rPr>
          <w:rFonts w:eastAsia="Times New Roman"/>
          <w:color w:val="000000"/>
        </w:rPr>
      </w:pPr>
      <w:r>
        <w:rPr>
          <w:rFonts w:eastAsia="Times New Roman"/>
          <w:color w:val="000000"/>
        </w:rPr>
        <w:lastRenderedPageBreak/>
        <w:t>Table of Contents</w:t>
      </w:r>
    </w:p>
    <w:p w14:paraId="1A868926" w14:textId="77777777" w:rsidR="009058BF" w:rsidRDefault="009058BF">
      <w:pPr>
        <w:spacing w:before="120" w:after="120" w:line="360" w:lineRule="auto"/>
        <w:jc w:val="both"/>
        <w:divId w:val="716784217"/>
        <w:rPr>
          <w:rFonts w:ascii="Arial" w:hAnsi="Arial" w:cs="Arial"/>
          <w:color w:val="000000"/>
        </w:rPr>
      </w:pPr>
      <w:r>
        <w:rPr>
          <w:rFonts w:ascii="Arial" w:hAnsi="Arial" w:cs="Arial"/>
          <w:color w:val="000000"/>
        </w:rPr>
        <w:t>1. Executive Summary …………………………………………………………… 2</w:t>
      </w:r>
    </w:p>
    <w:p w14:paraId="364836DF" w14:textId="77777777" w:rsidR="009058BF" w:rsidRDefault="009058BF">
      <w:pPr>
        <w:spacing w:before="120" w:after="120" w:line="360" w:lineRule="auto"/>
        <w:jc w:val="both"/>
        <w:divId w:val="716784217"/>
        <w:rPr>
          <w:rFonts w:ascii="Arial" w:hAnsi="Arial" w:cs="Arial"/>
          <w:color w:val="000000"/>
        </w:rPr>
      </w:pPr>
      <w:r>
        <w:rPr>
          <w:rFonts w:ascii="Arial" w:hAnsi="Arial" w:cs="Arial"/>
          <w:color w:val="000000"/>
        </w:rPr>
        <w:t>2. Overview of the Business Idea ……………………………… 4</w:t>
      </w:r>
    </w:p>
    <w:p w14:paraId="0B6DC81B" w14:textId="77777777" w:rsidR="009058BF" w:rsidRDefault="009058BF">
      <w:pPr>
        <w:spacing w:before="120" w:after="120" w:line="360" w:lineRule="auto"/>
        <w:jc w:val="both"/>
        <w:divId w:val="716784217"/>
        <w:rPr>
          <w:rFonts w:ascii="Arial" w:hAnsi="Arial" w:cs="Arial"/>
          <w:color w:val="000000"/>
        </w:rPr>
      </w:pPr>
      <w:r>
        <w:rPr>
          <w:rFonts w:ascii="Arial" w:hAnsi="Arial" w:cs="Arial"/>
          <w:color w:val="000000"/>
        </w:rPr>
        <w:t>3. Market Research …………………………………………………………………… 5</w:t>
      </w:r>
    </w:p>
    <w:p w14:paraId="0DA2650A" w14:textId="77777777" w:rsidR="009058BF" w:rsidRDefault="009058BF">
      <w:pPr>
        <w:spacing w:before="120" w:after="120" w:line="360" w:lineRule="auto"/>
        <w:jc w:val="both"/>
        <w:divId w:val="716784217"/>
        <w:rPr>
          <w:rFonts w:ascii="Arial" w:hAnsi="Arial" w:cs="Arial"/>
          <w:color w:val="000000"/>
        </w:rPr>
      </w:pPr>
      <w:r>
        <w:rPr>
          <w:rFonts w:ascii="Arial" w:hAnsi="Arial" w:cs="Arial"/>
          <w:color w:val="000000"/>
        </w:rPr>
        <w:t>    3.1 Industry Context and Size</w:t>
      </w:r>
    </w:p>
    <w:p w14:paraId="2A0AF113" w14:textId="77777777" w:rsidR="009058BF" w:rsidRDefault="009058BF">
      <w:pPr>
        <w:spacing w:before="120" w:after="120" w:line="360" w:lineRule="auto"/>
        <w:jc w:val="both"/>
        <w:divId w:val="716784217"/>
        <w:rPr>
          <w:rFonts w:ascii="Arial" w:hAnsi="Arial" w:cs="Arial"/>
          <w:color w:val="000000"/>
        </w:rPr>
      </w:pPr>
      <w:r>
        <w:rPr>
          <w:rFonts w:ascii="Arial" w:hAnsi="Arial" w:cs="Arial"/>
          <w:color w:val="000000"/>
        </w:rPr>
        <w:t>    3.2 PESTEL Analysis</w:t>
      </w:r>
    </w:p>
    <w:p w14:paraId="00CF2179" w14:textId="77777777" w:rsidR="009058BF" w:rsidRDefault="009058BF">
      <w:pPr>
        <w:spacing w:before="120" w:after="120" w:line="360" w:lineRule="auto"/>
        <w:jc w:val="both"/>
        <w:divId w:val="716784217"/>
        <w:rPr>
          <w:rFonts w:ascii="Arial" w:hAnsi="Arial" w:cs="Arial"/>
          <w:color w:val="000000"/>
        </w:rPr>
      </w:pPr>
      <w:r>
        <w:rPr>
          <w:rFonts w:ascii="Arial" w:hAnsi="Arial" w:cs="Arial"/>
          <w:color w:val="000000"/>
        </w:rPr>
        <w:t>    3.3 Competition</w:t>
      </w:r>
    </w:p>
    <w:p w14:paraId="2543E1F2" w14:textId="77777777" w:rsidR="009058BF" w:rsidRDefault="009058BF">
      <w:pPr>
        <w:spacing w:before="120" w:after="120" w:line="360" w:lineRule="auto"/>
        <w:jc w:val="both"/>
        <w:divId w:val="716784217"/>
        <w:rPr>
          <w:rFonts w:ascii="Arial" w:hAnsi="Arial" w:cs="Arial"/>
          <w:color w:val="000000"/>
        </w:rPr>
      </w:pPr>
      <w:r>
        <w:rPr>
          <w:rFonts w:ascii="Arial" w:hAnsi="Arial" w:cs="Arial"/>
          <w:color w:val="000000"/>
        </w:rPr>
        <w:t>4. Marketing Communications ………………………………………………… 7</w:t>
      </w:r>
    </w:p>
    <w:p w14:paraId="383FC33A" w14:textId="77777777" w:rsidR="009058BF" w:rsidRDefault="009058BF">
      <w:pPr>
        <w:spacing w:before="120" w:after="120" w:line="360" w:lineRule="auto"/>
        <w:jc w:val="both"/>
        <w:divId w:val="716784217"/>
        <w:rPr>
          <w:rFonts w:ascii="Arial" w:hAnsi="Arial" w:cs="Arial"/>
          <w:color w:val="000000"/>
        </w:rPr>
      </w:pPr>
      <w:r>
        <w:rPr>
          <w:rFonts w:ascii="Arial" w:hAnsi="Arial" w:cs="Arial"/>
          <w:color w:val="000000"/>
        </w:rPr>
        <w:t>5.Financials ………………………………………………………………………………8</w:t>
      </w:r>
    </w:p>
    <w:p w14:paraId="013163E6" w14:textId="77777777" w:rsidR="009058BF" w:rsidRDefault="009058BF">
      <w:pPr>
        <w:spacing w:before="120" w:after="120" w:line="360" w:lineRule="auto"/>
        <w:jc w:val="both"/>
        <w:divId w:val="716784217"/>
        <w:rPr>
          <w:rFonts w:ascii="Arial" w:hAnsi="Arial" w:cs="Arial"/>
          <w:color w:val="000000"/>
        </w:rPr>
      </w:pPr>
      <w:r>
        <w:rPr>
          <w:rFonts w:ascii="Arial" w:hAnsi="Arial" w:cs="Arial"/>
          <w:color w:val="000000"/>
        </w:rPr>
        <w:t>6. Reference List ……………………………………………………………………10</w:t>
      </w:r>
    </w:p>
    <w:p w14:paraId="5ED225DA" w14:textId="77777777" w:rsidR="009058BF" w:rsidRDefault="009058BF">
      <w:pPr>
        <w:spacing w:before="120" w:after="120" w:line="360" w:lineRule="auto"/>
        <w:jc w:val="both"/>
        <w:divId w:val="716784217"/>
        <w:rPr>
          <w:rFonts w:ascii="Arial" w:hAnsi="Arial" w:cs="Arial"/>
          <w:color w:val="000000"/>
        </w:rPr>
      </w:pPr>
    </w:p>
    <w:p w14:paraId="3F02F7FC" w14:textId="77777777" w:rsidR="009058BF" w:rsidRDefault="009058BF">
      <w:pPr>
        <w:spacing w:before="120" w:after="120" w:line="360" w:lineRule="auto"/>
        <w:jc w:val="both"/>
        <w:divId w:val="716784217"/>
        <w:rPr>
          <w:rFonts w:ascii="Arial" w:hAnsi="Arial" w:cs="Arial"/>
          <w:color w:val="000000"/>
        </w:rPr>
      </w:pPr>
    </w:p>
    <w:p w14:paraId="6FF0510A" w14:textId="77777777" w:rsidR="009058BF" w:rsidRDefault="009058BF">
      <w:pPr>
        <w:spacing w:before="120" w:after="120" w:line="360" w:lineRule="auto"/>
        <w:jc w:val="both"/>
        <w:divId w:val="716784217"/>
        <w:rPr>
          <w:rFonts w:ascii="Arial" w:hAnsi="Arial" w:cs="Arial"/>
          <w:color w:val="000000"/>
        </w:rPr>
      </w:pPr>
    </w:p>
    <w:p w14:paraId="7161EC4F" w14:textId="77777777" w:rsidR="009058BF" w:rsidRDefault="009058BF">
      <w:pPr>
        <w:spacing w:before="120" w:after="120" w:line="360" w:lineRule="auto"/>
        <w:jc w:val="both"/>
        <w:divId w:val="716784217"/>
        <w:rPr>
          <w:rFonts w:ascii="Arial" w:hAnsi="Arial" w:cs="Arial"/>
          <w:color w:val="000000"/>
        </w:rPr>
      </w:pPr>
    </w:p>
    <w:p w14:paraId="54B38052" w14:textId="77777777" w:rsidR="009058BF" w:rsidRDefault="009058BF">
      <w:pPr>
        <w:spacing w:before="120" w:after="120" w:line="360" w:lineRule="auto"/>
        <w:jc w:val="both"/>
        <w:divId w:val="716784217"/>
        <w:rPr>
          <w:rFonts w:ascii="Arial" w:hAnsi="Arial" w:cs="Arial"/>
          <w:color w:val="000000"/>
        </w:rPr>
      </w:pPr>
    </w:p>
    <w:p w14:paraId="054E99BE" w14:textId="77777777" w:rsidR="009058BF" w:rsidRDefault="009058BF">
      <w:pPr>
        <w:spacing w:before="120" w:after="120" w:line="360" w:lineRule="auto"/>
        <w:jc w:val="both"/>
        <w:divId w:val="716784217"/>
        <w:rPr>
          <w:rFonts w:ascii="Arial" w:hAnsi="Arial" w:cs="Arial"/>
          <w:color w:val="000000"/>
        </w:rPr>
      </w:pPr>
    </w:p>
    <w:p w14:paraId="336CBA3B" w14:textId="77777777" w:rsidR="009058BF" w:rsidRDefault="009058BF">
      <w:pPr>
        <w:spacing w:before="120" w:after="120" w:line="360" w:lineRule="auto"/>
        <w:jc w:val="both"/>
        <w:divId w:val="716784217"/>
        <w:rPr>
          <w:rFonts w:ascii="Arial" w:hAnsi="Arial" w:cs="Arial"/>
          <w:color w:val="000000"/>
        </w:rPr>
      </w:pPr>
    </w:p>
    <w:p w14:paraId="6D3149B7" w14:textId="77777777" w:rsidR="009058BF" w:rsidRDefault="009058BF">
      <w:pPr>
        <w:spacing w:before="120" w:after="120" w:line="360" w:lineRule="auto"/>
        <w:jc w:val="both"/>
        <w:divId w:val="716784217"/>
        <w:rPr>
          <w:rFonts w:ascii="Arial" w:hAnsi="Arial" w:cs="Arial"/>
          <w:color w:val="000000"/>
        </w:rPr>
      </w:pPr>
    </w:p>
    <w:p w14:paraId="16E5DAFB" w14:textId="77777777" w:rsidR="009058BF" w:rsidRDefault="009058BF">
      <w:pPr>
        <w:spacing w:before="120" w:after="120" w:line="360" w:lineRule="auto"/>
        <w:jc w:val="both"/>
        <w:divId w:val="716784217"/>
        <w:rPr>
          <w:rFonts w:ascii="Arial" w:hAnsi="Arial" w:cs="Arial"/>
          <w:color w:val="000000"/>
        </w:rPr>
      </w:pPr>
    </w:p>
    <w:p w14:paraId="0B0E9F6F" w14:textId="77777777" w:rsidR="009058BF" w:rsidRDefault="009058BF">
      <w:pPr>
        <w:spacing w:before="120" w:after="120" w:line="360" w:lineRule="auto"/>
        <w:jc w:val="both"/>
        <w:divId w:val="716784217"/>
        <w:rPr>
          <w:rFonts w:ascii="Arial" w:hAnsi="Arial" w:cs="Arial"/>
          <w:color w:val="000000"/>
        </w:rPr>
      </w:pPr>
    </w:p>
    <w:p w14:paraId="4B072D68" w14:textId="77777777" w:rsidR="009058BF" w:rsidRDefault="009058BF">
      <w:pPr>
        <w:spacing w:before="120" w:after="120" w:line="360" w:lineRule="auto"/>
        <w:jc w:val="both"/>
        <w:divId w:val="716784217"/>
        <w:rPr>
          <w:rFonts w:ascii="Arial" w:hAnsi="Arial" w:cs="Arial"/>
          <w:color w:val="000000"/>
        </w:rPr>
      </w:pPr>
    </w:p>
    <w:p w14:paraId="6D65BE94" w14:textId="77777777" w:rsidR="009058BF" w:rsidRDefault="009058BF">
      <w:pPr>
        <w:spacing w:before="120" w:after="120" w:line="360" w:lineRule="auto"/>
        <w:jc w:val="both"/>
        <w:divId w:val="716784217"/>
        <w:rPr>
          <w:rFonts w:ascii="Arial" w:hAnsi="Arial" w:cs="Arial"/>
          <w:color w:val="000000"/>
        </w:rPr>
      </w:pPr>
    </w:p>
    <w:p w14:paraId="734D1EC3" w14:textId="77777777" w:rsidR="009058BF" w:rsidRDefault="009058BF">
      <w:pPr>
        <w:spacing w:before="120" w:after="120" w:line="360" w:lineRule="auto"/>
        <w:jc w:val="both"/>
        <w:divId w:val="716784217"/>
        <w:rPr>
          <w:rFonts w:ascii="Arial" w:hAnsi="Arial" w:cs="Arial"/>
          <w:color w:val="000000"/>
        </w:rPr>
      </w:pPr>
    </w:p>
    <w:p w14:paraId="70A2075D" w14:textId="77777777" w:rsidR="009058BF" w:rsidRDefault="009058BF">
      <w:pPr>
        <w:spacing w:before="120" w:after="120" w:line="360" w:lineRule="auto"/>
        <w:jc w:val="both"/>
        <w:divId w:val="716784217"/>
        <w:rPr>
          <w:rFonts w:ascii="Arial" w:hAnsi="Arial" w:cs="Arial"/>
          <w:color w:val="000000"/>
        </w:rPr>
      </w:pPr>
    </w:p>
    <w:p w14:paraId="1301639D" w14:textId="77777777" w:rsidR="009058BF" w:rsidRDefault="009058BF">
      <w:pPr>
        <w:spacing w:before="120" w:after="120" w:line="360" w:lineRule="auto"/>
        <w:jc w:val="both"/>
        <w:divId w:val="716784217"/>
        <w:rPr>
          <w:rFonts w:ascii="Arial" w:hAnsi="Arial" w:cs="Arial"/>
          <w:color w:val="000000"/>
        </w:rPr>
      </w:pPr>
    </w:p>
    <w:p w14:paraId="37573602" w14:textId="77777777" w:rsidR="009058BF" w:rsidRDefault="009058BF">
      <w:pPr>
        <w:spacing w:before="120" w:after="120" w:line="360" w:lineRule="auto"/>
        <w:jc w:val="both"/>
        <w:divId w:val="716784217"/>
        <w:rPr>
          <w:rFonts w:ascii="Arial" w:hAnsi="Arial" w:cs="Arial"/>
          <w:color w:val="000000"/>
        </w:rPr>
      </w:pPr>
    </w:p>
    <w:p w14:paraId="27BFB881" w14:textId="77777777" w:rsidR="009058BF" w:rsidRDefault="009058BF">
      <w:pPr>
        <w:pStyle w:val="Heading1"/>
        <w:spacing w:line="360" w:lineRule="auto"/>
        <w:rPr>
          <w:rFonts w:eastAsia="Times New Roman"/>
          <w:color w:val="000000"/>
        </w:rPr>
      </w:pPr>
      <w:r>
        <w:rPr>
          <w:rFonts w:eastAsia="Times New Roman"/>
          <w:color w:val="000000"/>
        </w:rPr>
        <w:lastRenderedPageBreak/>
        <w:t>2. Overview of the Business Idea</w:t>
      </w:r>
    </w:p>
    <w:p w14:paraId="0115F52C" w14:textId="77777777" w:rsidR="009058BF" w:rsidRDefault="009058BF">
      <w:pPr>
        <w:pStyle w:val="NormalWeb"/>
        <w:spacing w:line="360" w:lineRule="auto"/>
        <w:rPr>
          <w:color w:val="000000"/>
        </w:rPr>
      </w:pPr>
      <w:r>
        <w:rPr>
          <w:color w:val="000000"/>
        </w:rPr>
        <w:t>Lumi Lash Studio will operate as a single-treatment-room boutique in East London (Stratford, E15), offering a focused menu of eyelash extension applications (classic, hybrid, and volume), two- and three-weekly refills, lash lifts, brow lamination, and brow and lash tinting. The Unique Selling Proposition (USP) is built on three pillars: premium-quality application delivered at mid-market price points (£75 for a classic full set, rising to £120 for a Russian volume set); exclusive use of 100% plant-based PLA lashes and cruelty-free, formaldehyde-free adhesives; and a visible community-impact pledge expressed through a monthly pro-bono “Brave Brows” clinic for clients undergoing chemotherapy or living with alopecia.</w:t>
      </w:r>
    </w:p>
    <w:p w14:paraId="426B5753" w14:textId="77777777" w:rsidR="009058BF" w:rsidRDefault="009058BF">
      <w:pPr>
        <w:pStyle w:val="NormalWeb"/>
        <w:spacing w:line="360" w:lineRule="auto"/>
        <w:rPr>
          <w:color w:val="000000"/>
        </w:rPr>
      </w:pPr>
      <w:r>
        <w:rPr>
          <w:color w:val="000000"/>
        </w:rPr>
        <w:t xml:space="preserve">The legal format chosen is a </w:t>
      </w:r>
      <w:r>
        <w:rPr>
          <w:rStyle w:val="Strong"/>
          <w:color w:val="000000"/>
        </w:rPr>
        <w:t>sole trader</w:t>
      </w:r>
      <w:r>
        <w:rPr>
          <w:color w:val="000000"/>
        </w:rPr>
        <w:t xml:space="preserve"> registered with HM Revenue and Customs (GOV.UK, 2025). This format suits a single-owner-operator beauty business because it imposes no incorporation costs, has minimal administrative burden, and allows the founder to retain full control and 100% of post-tax profits, while permitting later transition to a limited company once turnover exceeds the £85,000 VAT threshold (Burns, 2022).</w:t>
      </w:r>
    </w:p>
    <w:p w14:paraId="2B01E9CA" w14:textId="77777777" w:rsidR="009058BF" w:rsidRDefault="009058BF">
      <w:pPr>
        <w:pStyle w:val="NormalWeb"/>
        <w:spacing w:line="360" w:lineRule="auto"/>
        <w:rPr>
          <w:color w:val="000000"/>
        </w:rPr>
      </w:pPr>
      <w:r>
        <w:rPr>
          <w:color w:val="000000"/>
        </w:rPr>
        <w:t xml:space="preserve">The </w:t>
      </w:r>
      <w:r>
        <w:rPr>
          <w:rStyle w:val="Strong"/>
          <w:color w:val="000000"/>
        </w:rPr>
        <w:t>management structure</w:t>
      </w:r>
      <w:r>
        <w:rPr>
          <w:color w:val="000000"/>
        </w:rPr>
        <w:t xml:space="preserve"> is deliberately flat at launch: Maria Patru as founder, lead lash technician, and operations manager, supported by external specialists (an accountant on a quarterly retainer and a </w:t>
      </w:r>
      <w:proofErr w:type="spellStart"/>
      <w:r>
        <w:rPr>
          <w:color w:val="000000"/>
        </w:rPr>
        <w:t>Treatwell</w:t>
      </w:r>
      <w:proofErr w:type="spellEnd"/>
      <w:r>
        <w:rPr>
          <w:color w:val="000000"/>
        </w:rPr>
        <w:t xml:space="preserve"> account manager included in the platform subscription). Bookings, deposits, customer communication, and after-care reminders are automated through </w:t>
      </w:r>
      <w:proofErr w:type="spellStart"/>
      <w:r>
        <w:rPr>
          <w:color w:val="000000"/>
        </w:rPr>
        <w:t>Treatwell</w:t>
      </w:r>
      <w:proofErr w:type="spellEnd"/>
      <w:r>
        <w:rPr>
          <w:color w:val="000000"/>
        </w:rPr>
        <w:t xml:space="preserve"> and Instagram, removing the need for paper diaries and reducing administrative overhead. From month nine of trading, a second part-time technician will be engaged on a chair-rental basis to absorb weekend peak demand — an arrangement now expressly covered by HMRC’s 2025 hair-and-beauty guidance (Simply Business, 2025).</w:t>
      </w:r>
    </w:p>
    <w:p w14:paraId="0372B923" w14:textId="77777777" w:rsidR="009058BF" w:rsidRDefault="009058BF">
      <w:pPr>
        <w:pStyle w:val="Heading1"/>
        <w:spacing w:line="360" w:lineRule="auto"/>
        <w:rPr>
          <w:rFonts w:eastAsia="Times New Roman"/>
          <w:color w:val="000000"/>
        </w:rPr>
      </w:pPr>
      <w:r>
        <w:rPr>
          <w:rFonts w:eastAsia="Times New Roman"/>
          <w:color w:val="000000"/>
        </w:rPr>
        <w:t>3. Market Research</w:t>
      </w:r>
    </w:p>
    <w:p w14:paraId="63352384" w14:textId="77777777" w:rsidR="009058BF" w:rsidRDefault="009058BF">
      <w:pPr>
        <w:pStyle w:val="Heading3"/>
        <w:spacing w:line="360" w:lineRule="auto"/>
        <w:rPr>
          <w:rFonts w:eastAsia="Times New Roman"/>
          <w:color w:val="000000"/>
        </w:rPr>
      </w:pPr>
      <w:r>
        <w:rPr>
          <w:rFonts w:eastAsia="Times New Roman"/>
          <w:color w:val="000000"/>
        </w:rPr>
        <w:t>3.1 Industry context and size</w:t>
      </w:r>
    </w:p>
    <w:p w14:paraId="08A07AD0" w14:textId="77777777" w:rsidR="009058BF" w:rsidRDefault="009058BF">
      <w:pPr>
        <w:pStyle w:val="NormalWeb"/>
        <w:spacing w:line="360" w:lineRule="auto"/>
        <w:rPr>
          <w:color w:val="000000"/>
        </w:rPr>
      </w:pPr>
      <w:r>
        <w:rPr>
          <w:color w:val="000000"/>
        </w:rPr>
        <w:t xml:space="preserve">The UK hairdressing and beauty treatment sector is forecast to generate £5.8 billion in revenue in 2025, having grown at a Compound Annual Growth Rate (CAGR) of </w:t>
      </w:r>
      <w:r>
        <w:rPr>
          <w:color w:val="000000"/>
        </w:rPr>
        <w:lastRenderedPageBreak/>
        <w:t>0.6% over the previous five years (Statista, 2025). The British Beauty Council (2025) reports that the wider personal-care industry’s GDP contribution will reach £31.5 billion this year, growing 3% year-on-year — out-pacing the wider UK economy. Eyelash enhancement is a particularly dynamic sub-segment, projected to grow at a 4.08% CAGR through 2035 (Market Research Future, 2025). London alone hosts over 4,000 beauty and lash businesses, confirming both market depth and competitive intensity.</w:t>
      </w:r>
    </w:p>
    <w:p w14:paraId="0F943AB5" w14:textId="77777777" w:rsidR="009058BF" w:rsidRDefault="009058BF">
      <w:pPr>
        <w:pStyle w:val="Heading3"/>
        <w:spacing w:line="360" w:lineRule="auto"/>
        <w:rPr>
          <w:rFonts w:eastAsia="Times New Roman"/>
          <w:color w:val="000000"/>
        </w:rPr>
      </w:pPr>
      <w:r>
        <w:rPr>
          <w:rFonts w:eastAsia="Times New Roman"/>
          <w:color w:val="000000"/>
        </w:rPr>
        <w:t>3.2 PESTEL analysis</w:t>
      </w:r>
    </w:p>
    <w:p w14:paraId="449CED9F" w14:textId="77777777" w:rsidR="009058BF" w:rsidRDefault="009058BF">
      <w:pPr>
        <w:pStyle w:val="NormalWeb"/>
        <w:spacing w:line="360" w:lineRule="auto"/>
        <w:rPr>
          <w:color w:val="000000"/>
        </w:rPr>
      </w:pPr>
      <w:r>
        <w:rPr>
          <w:rStyle w:val="Strong"/>
          <w:color w:val="000000"/>
        </w:rPr>
        <w:t>Political:</w:t>
      </w:r>
      <w:r>
        <w:rPr>
          <w:color w:val="000000"/>
        </w:rPr>
        <w:t xml:space="preserve"> In August 2025 the UK Government announced a national licensing regime for high-risk aesthetic procedures, with </w:t>
      </w:r>
      <w:proofErr w:type="spellStart"/>
      <w:r>
        <w:rPr>
          <w:color w:val="000000"/>
        </w:rPr>
        <w:t>Habia</w:t>
      </w:r>
      <w:proofErr w:type="spellEnd"/>
      <w:r>
        <w:rPr>
          <w:color w:val="000000"/>
        </w:rPr>
        <w:t xml:space="preserve"> and the British Beauty Council shaping standards (</w:t>
      </w:r>
      <w:proofErr w:type="spellStart"/>
      <w:r>
        <w:rPr>
          <w:color w:val="000000"/>
        </w:rPr>
        <w:t>BeautyMatter</w:t>
      </w:r>
      <w:proofErr w:type="spellEnd"/>
      <w:r>
        <w:rPr>
          <w:color w:val="000000"/>
        </w:rPr>
        <w:t>, 2025). Although lash extensions are currently exempt, plausible future inclusion makes early adoption of accredited training a strategic safeguard.</w:t>
      </w:r>
    </w:p>
    <w:p w14:paraId="5354CB9F" w14:textId="77777777" w:rsidR="009058BF" w:rsidRDefault="009058BF">
      <w:pPr>
        <w:pStyle w:val="NormalWeb"/>
        <w:spacing w:line="360" w:lineRule="auto"/>
        <w:rPr>
          <w:color w:val="000000"/>
        </w:rPr>
      </w:pPr>
      <w:r>
        <w:rPr>
          <w:rStyle w:val="Strong"/>
          <w:color w:val="000000"/>
        </w:rPr>
        <w:t>Economic:</w:t>
      </w:r>
      <w:r>
        <w:rPr>
          <w:color w:val="000000"/>
        </w:rPr>
        <w:t xml:space="preserve"> Cost-of-living pressures have constrained discretionary spending, yet the beauty sector has remained resilient (the so-called “lipstick effect”): consumers trade down on luxury goods but maintain affordable self-care purchases. Lumi Lash’s mid-market positioning directly targets this segment.</w:t>
      </w:r>
    </w:p>
    <w:p w14:paraId="77146AF3" w14:textId="77777777" w:rsidR="009058BF" w:rsidRDefault="009058BF">
      <w:pPr>
        <w:pStyle w:val="NormalWeb"/>
        <w:spacing w:line="360" w:lineRule="auto"/>
        <w:rPr>
          <w:color w:val="000000"/>
        </w:rPr>
      </w:pPr>
      <w:r>
        <w:rPr>
          <w:rStyle w:val="Strong"/>
          <w:color w:val="000000"/>
        </w:rPr>
        <w:t>Social:</w:t>
      </w:r>
      <w:r>
        <w:rPr>
          <w:color w:val="000000"/>
        </w:rPr>
        <w:t xml:space="preserve"> Demand for cruelty-free, vegan, and sustainable beauty has shifted from niche to mainstream, with eco-conscious purchasing now the strongest growth driver among Gen-Z and Millennial consumers (Imperial Lash, 2025; Salon Gold, 2025).</w:t>
      </w:r>
    </w:p>
    <w:p w14:paraId="6557E476" w14:textId="77777777" w:rsidR="009058BF" w:rsidRDefault="009058BF">
      <w:pPr>
        <w:pStyle w:val="NormalWeb"/>
        <w:spacing w:line="360" w:lineRule="auto"/>
        <w:rPr>
          <w:color w:val="000000"/>
        </w:rPr>
      </w:pPr>
      <w:r>
        <w:rPr>
          <w:rStyle w:val="Strong"/>
          <w:color w:val="000000"/>
        </w:rPr>
        <w:t>Technological:</w:t>
      </w:r>
      <w:r>
        <w:rPr>
          <w:color w:val="000000"/>
        </w:rPr>
        <w:t xml:space="preserve"> Online booking platforms (</w:t>
      </w:r>
      <w:proofErr w:type="spellStart"/>
      <w:r>
        <w:rPr>
          <w:color w:val="000000"/>
        </w:rPr>
        <w:t>Treatwell</w:t>
      </w:r>
      <w:proofErr w:type="spellEnd"/>
      <w:r>
        <w:rPr>
          <w:color w:val="000000"/>
        </w:rPr>
        <w:t xml:space="preserve">, </w:t>
      </w:r>
      <w:proofErr w:type="spellStart"/>
      <w:r>
        <w:rPr>
          <w:color w:val="000000"/>
        </w:rPr>
        <w:t>Fresha</w:t>
      </w:r>
      <w:proofErr w:type="spellEnd"/>
      <w:r>
        <w:rPr>
          <w:color w:val="000000"/>
        </w:rPr>
        <w:t>) and short-form video marketing (Instagram Reels, TikTok) have collapsed customer-acquisition costs in the personal-services sector. Plant-based PLA lash fibres now reduce production energy by approximately 75% versus conventional PBT synthetics (</w:t>
      </w:r>
      <w:proofErr w:type="spellStart"/>
      <w:r>
        <w:rPr>
          <w:color w:val="000000"/>
        </w:rPr>
        <w:t>iLevel</w:t>
      </w:r>
      <w:proofErr w:type="spellEnd"/>
      <w:r>
        <w:rPr>
          <w:color w:val="000000"/>
        </w:rPr>
        <w:t xml:space="preserve"> Lab, 2025).</w:t>
      </w:r>
    </w:p>
    <w:p w14:paraId="77E46A31" w14:textId="77777777" w:rsidR="009058BF" w:rsidRDefault="009058BF">
      <w:pPr>
        <w:pStyle w:val="NormalWeb"/>
        <w:spacing w:line="360" w:lineRule="auto"/>
        <w:rPr>
          <w:color w:val="000000"/>
        </w:rPr>
      </w:pPr>
      <w:r>
        <w:rPr>
          <w:rStyle w:val="Strong"/>
          <w:color w:val="000000"/>
        </w:rPr>
        <w:t>Environmental:</w:t>
      </w:r>
      <w:r>
        <w:rPr>
          <w:color w:val="000000"/>
        </w:rPr>
        <w:t xml:space="preserve"> The UK Plastic Packaging Tax and Extended Producer Responsibility framework, combined with the Cosmetic Products (Restriction of Chemical Substances) Regulations 2025, push the industry toward biodegradable inputs and compliant formulations (Legislation.gov.uk, 2025).</w:t>
      </w:r>
    </w:p>
    <w:p w14:paraId="10CAC626" w14:textId="77777777" w:rsidR="009058BF" w:rsidRDefault="009058BF">
      <w:pPr>
        <w:pStyle w:val="NormalWeb"/>
        <w:spacing w:line="360" w:lineRule="auto"/>
        <w:rPr>
          <w:color w:val="000000"/>
        </w:rPr>
      </w:pPr>
      <w:r>
        <w:rPr>
          <w:rStyle w:val="Strong"/>
          <w:color w:val="000000"/>
        </w:rPr>
        <w:t>Legal:</w:t>
      </w:r>
      <w:r>
        <w:rPr>
          <w:color w:val="000000"/>
        </w:rPr>
        <w:t xml:space="preserve"> UK Cosmetics Regulation requires a designated Responsible Person and a Product Information File for any retailed after-care items, and post-Brexit UK REACH compliance applies to any imported lash adhesives (Russell Regulatory, 2025).</w:t>
      </w:r>
    </w:p>
    <w:p w14:paraId="4E206C75" w14:textId="77777777" w:rsidR="009058BF" w:rsidRDefault="009058BF">
      <w:pPr>
        <w:pStyle w:val="Heading3"/>
        <w:spacing w:line="360" w:lineRule="auto"/>
        <w:rPr>
          <w:rFonts w:eastAsia="Times New Roman"/>
          <w:color w:val="000000"/>
        </w:rPr>
      </w:pPr>
      <w:r>
        <w:rPr>
          <w:rFonts w:eastAsia="Times New Roman"/>
          <w:color w:val="000000"/>
        </w:rPr>
        <w:lastRenderedPageBreak/>
        <w:t>3.3 Competition</w:t>
      </w:r>
    </w:p>
    <w:p w14:paraId="4CED9760" w14:textId="77777777" w:rsidR="009058BF" w:rsidRDefault="009058BF">
      <w:pPr>
        <w:pStyle w:val="NormalWeb"/>
        <w:spacing w:line="360" w:lineRule="auto"/>
        <w:rPr>
          <w:color w:val="000000"/>
        </w:rPr>
      </w:pPr>
      <w:r>
        <w:rPr>
          <w:color w:val="000000"/>
        </w:rPr>
        <w:t>Three competitor tiers operate in London. The first is high-street chain salons (e.g. Lash Bar London) at the £40–£55 classic price point, competing on volume and convenience. The second is independent mid-market studios (e.g. Edy London, Glamorous Lashes) charging £75–£140 for a classic full set, competing on quality and brand identity. The third is premium ateliers in Mayfair and Chelsea charging £300–£800 for Russian volume sets (Glamorous Lashes, 2025). Lumi Lash Studio will compete within the mid-market tier on a differentiation strategy (Porter, cited in Burns, 2022): comparable price to peer studios, but with the only verifiable vegan and plant-based product range within its postcode and an explicit community-impact pledge — a value-proposition gap that incumbents currently leave open (Osterwalder and Pigneur, 2010).</w:t>
      </w:r>
    </w:p>
    <w:p w14:paraId="51D513AB" w14:textId="77777777" w:rsidR="009058BF" w:rsidRDefault="009058BF">
      <w:pPr>
        <w:pStyle w:val="Heading1"/>
        <w:spacing w:line="360" w:lineRule="auto"/>
        <w:rPr>
          <w:rFonts w:eastAsia="Times New Roman"/>
          <w:color w:val="000000"/>
        </w:rPr>
      </w:pPr>
      <w:r>
        <w:rPr>
          <w:rFonts w:eastAsia="Times New Roman"/>
          <w:color w:val="000000"/>
        </w:rPr>
        <w:t>4. Marketing Communications</w:t>
      </w:r>
    </w:p>
    <w:p w14:paraId="76606022" w14:textId="77777777" w:rsidR="009058BF" w:rsidRDefault="009058BF">
      <w:pPr>
        <w:pStyle w:val="NormalWeb"/>
        <w:spacing w:line="360" w:lineRule="auto"/>
        <w:rPr>
          <w:color w:val="000000"/>
        </w:rPr>
      </w:pPr>
      <w:r>
        <w:rPr>
          <w:color w:val="000000"/>
        </w:rPr>
        <w:t>Lumi Lash Studio will deploy an integrated digital-first marketing strategy structured around the AIDA model (Attention, Interest, Desire, Action), recognising that 53.5% of UK beauty spend is forecast to be generated online by 2026 (Statista, 2025).</w:t>
      </w:r>
    </w:p>
    <w:p w14:paraId="6A54F076" w14:textId="77777777" w:rsidR="009058BF" w:rsidRDefault="009058BF">
      <w:pPr>
        <w:pStyle w:val="NormalWeb"/>
        <w:spacing w:line="360" w:lineRule="auto"/>
        <w:rPr>
          <w:color w:val="000000"/>
        </w:rPr>
      </w:pPr>
      <w:r>
        <w:rPr>
          <w:rStyle w:val="Strong"/>
          <w:color w:val="000000"/>
        </w:rPr>
        <w:t>Instagram and TikTok content marketing</w:t>
      </w:r>
      <w:r>
        <w:rPr>
          <w:color w:val="000000"/>
        </w:rPr>
        <w:t xml:space="preserve"> will form the primary acquisition channel. Three short-form videos will be published weekly — before-and-after transformation reels, time-lapse application footage, and at-home after-care tutorials — using consistent on-brand pastel-and-sage colour grading. Sustainability messaging (“plant-based lashes, zero animal cruelty, zero formaldehyde”) will be foregrounded, capitalising on the documented Gen-Z preference for eco-positive brands (Imperial Lash, 2025) and on the platform algorithms’ demonstrated preference for purpose-driven beauty content.</w:t>
      </w:r>
    </w:p>
    <w:p w14:paraId="5799BF4C" w14:textId="77777777" w:rsidR="009058BF" w:rsidRDefault="009058BF">
      <w:pPr>
        <w:pStyle w:val="NormalWeb"/>
        <w:spacing w:line="360" w:lineRule="auto"/>
        <w:rPr>
          <w:color w:val="000000"/>
        </w:rPr>
      </w:pPr>
      <w:proofErr w:type="spellStart"/>
      <w:r>
        <w:rPr>
          <w:rStyle w:val="Strong"/>
          <w:color w:val="000000"/>
        </w:rPr>
        <w:t>Treatwell</w:t>
      </w:r>
      <w:proofErr w:type="spellEnd"/>
      <w:r>
        <w:rPr>
          <w:rStyle w:val="Strong"/>
          <w:color w:val="000000"/>
        </w:rPr>
        <w:t xml:space="preserve"> partnership combined with an optimised Google Business Profile</w:t>
      </w:r>
      <w:r>
        <w:rPr>
          <w:color w:val="000000"/>
        </w:rPr>
        <w:t xml:space="preserve"> will form the conversion channel. </w:t>
      </w:r>
      <w:proofErr w:type="spellStart"/>
      <w:r>
        <w:rPr>
          <w:color w:val="000000"/>
        </w:rPr>
        <w:t>Treatwell</w:t>
      </w:r>
      <w:proofErr w:type="spellEnd"/>
      <w:r>
        <w:rPr>
          <w:color w:val="000000"/>
        </w:rPr>
        <w:t xml:space="preserve"> is the dominant booking aggregator in the UK personal-services market and surfaces studios to in-market consumers; a </w:t>
      </w:r>
      <w:proofErr w:type="spellStart"/>
      <w:r>
        <w:rPr>
          <w:color w:val="000000"/>
        </w:rPr>
        <w:t>Treatwell</w:t>
      </w:r>
      <w:proofErr w:type="spellEnd"/>
      <w:r>
        <w:rPr>
          <w:color w:val="000000"/>
        </w:rPr>
        <w:t xml:space="preserve"> Featured listing alongside a fully optimised Google Business Profile will capture “lash technician near me” search demand, which the platform identifies as the single highest-intent query category in the sector.</w:t>
      </w:r>
    </w:p>
    <w:p w14:paraId="404CBE0C" w14:textId="77777777" w:rsidR="009058BF" w:rsidRDefault="009058BF">
      <w:pPr>
        <w:pStyle w:val="NormalWeb"/>
        <w:spacing w:line="360" w:lineRule="auto"/>
        <w:rPr>
          <w:color w:val="000000"/>
        </w:rPr>
      </w:pPr>
      <w:r>
        <w:rPr>
          <w:rStyle w:val="Strong"/>
          <w:color w:val="000000"/>
        </w:rPr>
        <w:lastRenderedPageBreak/>
        <w:t>Community partnership and earned media</w:t>
      </w:r>
      <w:r>
        <w:rPr>
          <w:color w:val="000000"/>
        </w:rPr>
        <w:t xml:space="preserve"> will support the Brave Brows pro-bono clinic. A formal partnership with a Newham-based cancer support charity will create credible local-press coverage and authentic word-of-mouth advocacy that paid advertising cannot replicate; this also addresses the sustainability and social-impact criteria that an increasing share of investors and consumers now require (Chitra, 2015; </w:t>
      </w:r>
      <w:proofErr w:type="spellStart"/>
      <w:r>
        <w:rPr>
          <w:color w:val="000000"/>
        </w:rPr>
        <w:t>Khoshroozadeh</w:t>
      </w:r>
      <w:proofErr w:type="spellEnd"/>
      <w:r>
        <w:rPr>
          <w:color w:val="000000"/>
        </w:rPr>
        <w:t>, 2024).</w:t>
      </w:r>
    </w:p>
    <w:p w14:paraId="5B239A5D" w14:textId="77777777" w:rsidR="009058BF" w:rsidRDefault="009058BF">
      <w:pPr>
        <w:pStyle w:val="NormalWeb"/>
        <w:spacing w:line="360" w:lineRule="auto"/>
        <w:rPr>
          <w:color w:val="000000"/>
        </w:rPr>
      </w:pPr>
      <w:r>
        <w:rPr>
          <w:color w:val="000000"/>
        </w:rPr>
        <w:t xml:space="preserve">A </w:t>
      </w:r>
      <w:r>
        <w:rPr>
          <w:rStyle w:val="Strong"/>
          <w:color w:val="000000"/>
        </w:rPr>
        <w:t>structured referral programme</w:t>
      </w:r>
      <w:r>
        <w:rPr>
          <w:color w:val="000000"/>
        </w:rPr>
        <w:t xml:space="preserve"> will complete the mix: every client who refers a friend receives 25% off her next refill appointment, leveraging the strong loyalty patterns documented in personal-services markets (Burns, 2022). Combined, these four tactics target a customer acquisition cost (CAC) below £18 per new client and a rebooking rate of 60% by month six of trading.</w:t>
      </w:r>
    </w:p>
    <w:p w14:paraId="7FE5D0FA" w14:textId="77777777" w:rsidR="009058BF" w:rsidRDefault="009058BF">
      <w:pPr>
        <w:pStyle w:val="Heading1"/>
        <w:spacing w:line="360" w:lineRule="auto"/>
        <w:rPr>
          <w:rFonts w:eastAsia="Times New Roman"/>
          <w:color w:val="000000"/>
        </w:rPr>
      </w:pPr>
      <w:r>
        <w:rPr>
          <w:rFonts w:eastAsia="Times New Roman"/>
          <w:color w:val="000000"/>
        </w:rPr>
        <w:t>5. Financials</w:t>
      </w:r>
    </w:p>
    <w:p w14:paraId="2E8EF5F1" w14:textId="77777777" w:rsidR="009058BF" w:rsidRDefault="009058BF">
      <w:pPr>
        <w:pStyle w:val="NormalWeb"/>
        <w:spacing w:line="360" w:lineRule="auto"/>
        <w:rPr>
          <w:color w:val="000000"/>
        </w:rPr>
      </w:pPr>
      <w:r>
        <w:rPr>
          <w:rStyle w:val="Strong"/>
          <w:color w:val="000000"/>
        </w:rPr>
        <w:t>Funding requirement and source.</w:t>
      </w:r>
      <w:r>
        <w:rPr>
          <w:color w:val="000000"/>
        </w:rPr>
        <w:t xml:space="preserve"> Lumi Lash Studio requires £8,500 in start-up capital. Funding will be obtained through the UK Government’s Start Up Loans scheme, administered by the British Business Bank, which offers unsecured personal loans of £500–£25,000 at a 7.5% fixed annual interest rate, repayable over one to five years, plus twelve months of free business mentoring (British Business Bank, 2026). This source is preferred over commercial bank debt — which typically requires two years of trading history — and over equity investment, which would dilute founder control and is disproportionate to the modest funding size required at launch. The Start Up Loan also delivers a credible governance signal to any subsequent investor: it demonstrates that the founder can service a fixed repayment obligation and operate within a structured financial framework.</w:t>
      </w:r>
    </w:p>
    <w:p w14:paraId="3D7DE06A" w14:textId="77777777" w:rsidR="009058BF" w:rsidRDefault="009058BF">
      <w:pPr>
        <w:pStyle w:val="NormalWeb"/>
        <w:spacing w:line="360" w:lineRule="auto"/>
        <w:rPr>
          <w:color w:val="000000"/>
        </w:rPr>
      </w:pPr>
      <w:r>
        <w:rPr>
          <w:rStyle w:val="Strong"/>
          <w:color w:val="000000"/>
        </w:rPr>
        <w:t>Main start-up expenses — first month of operations</w:t>
      </w:r>
      <w:r>
        <w:rPr>
          <w:color w:val="000000"/>
        </w:rPr>
        <w:t xml:space="preserve"> are itemised in Table 1 below.</w:t>
      </w:r>
    </w:p>
    <w:tbl>
      <w:tblPr>
        <w:tblW w:w="5000" w:type="pct"/>
        <w:tblLook w:val="04A0" w:firstRow="1" w:lastRow="0" w:firstColumn="1" w:lastColumn="0" w:noHBand="0" w:noVBand="1"/>
      </w:tblPr>
      <w:tblGrid>
        <w:gridCol w:w="7887"/>
        <w:gridCol w:w="1123"/>
      </w:tblGrid>
      <w:tr w:rsidR="00445FE3" w14:paraId="3EB8F4AB" w14:textId="77777777">
        <w:tc>
          <w:tcPr>
            <w:tcW w:w="0" w:type="auto"/>
            <w:tcBorders>
              <w:top w:val="single" w:sz="6" w:space="0" w:color="444444"/>
              <w:left w:val="single" w:sz="6" w:space="0" w:color="444444"/>
              <w:bottom w:val="single" w:sz="6" w:space="0" w:color="444444"/>
              <w:right w:val="single" w:sz="6" w:space="0" w:color="444444"/>
            </w:tcBorders>
            <w:shd w:val="clear" w:color="auto" w:fill="E8EEF4"/>
            <w:tcMar>
              <w:top w:w="120" w:type="dxa"/>
              <w:left w:w="160" w:type="dxa"/>
              <w:bottom w:w="120" w:type="dxa"/>
              <w:right w:w="160" w:type="dxa"/>
            </w:tcMar>
            <w:hideMark/>
          </w:tcPr>
          <w:p w14:paraId="21170F63" w14:textId="77777777" w:rsidR="009058BF" w:rsidRDefault="009058BF">
            <w:pPr>
              <w:spacing w:before="160" w:after="160" w:line="360" w:lineRule="auto"/>
              <w:rPr>
                <w:rFonts w:ascii="Arial" w:eastAsia="Times New Roman" w:hAnsi="Arial" w:cs="Arial"/>
                <w:b/>
                <w:bCs/>
                <w:color w:val="000000"/>
              </w:rPr>
            </w:pPr>
            <w:r>
              <w:rPr>
                <w:rFonts w:ascii="Arial" w:eastAsia="Times New Roman" w:hAnsi="Arial" w:cs="Arial"/>
                <w:b/>
                <w:bCs/>
                <w:color w:val="000000"/>
              </w:rPr>
              <w:t>Item</w:t>
            </w:r>
          </w:p>
        </w:tc>
        <w:tc>
          <w:tcPr>
            <w:tcW w:w="0" w:type="auto"/>
            <w:tcBorders>
              <w:top w:val="single" w:sz="6" w:space="0" w:color="444444"/>
              <w:left w:val="single" w:sz="6" w:space="0" w:color="444444"/>
              <w:bottom w:val="single" w:sz="6" w:space="0" w:color="444444"/>
              <w:right w:val="single" w:sz="6" w:space="0" w:color="444444"/>
            </w:tcBorders>
            <w:shd w:val="clear" w:color="auto" w:fill="E8EEF4"/>
            <w:tcMar>
              <w:top w:w="120" w:type="dxa"/>
              <w:left w:w="160" w:type="dxa"/>
              <w:bottom w:w="120" w:type="dxa"/>
              <w:right w:w="160" w:type="dxa"/>
            </w:tcMar>
            <w:hideMark/>
          </w:tcPr>
          <w:p w14:paraId="0CB60A61" w14:textId="77777777" w:rsidR="009058BF" w:rsidRDefault="009058BF">
            <w:pPr>
              <w:spacing w:before="160" w:after="160" w:line="360" w:lineRule="auto"/>
              <w:rPr>
                <w:rFonts w:ascii="Arial" w:eastAsia="Times New Roman" w:hAnsi="Arial" w:cs="Arial"/>
                <w:b/>
                <w:bCs/>
                <w:color w:val="000000"/>
              </w:rPr>
            </w:pPr>
            <w:r>
              <w:rPr>
                <w:rFonts w:ascii="Arial" w:eastAsia="Times New Roman" w:hAnsi="Arial" w:cs="Arial"/>
                <w:b/>
                <w:bCs/>
                <w:color w:val="000000"/>
              </w:rPr>
              <w:t>Cost (£)</w:t>
            </w:r>
          </w:p>
        </w:tc>
      </w:tr>
      <w:tr w:rsidR="00445FE3" w14:paraId="68F55895" w14:textId="77777777">
        <w:tc>
          <w:tcPr>
            <w:tcW w:w="0" w:type="auto"/>
            <w:tcBorders>
              <w:top w:val="single" w:sz="6" w:space="0" w:color="444444"/>
              <w:left w:val="single" w:sz="6" w:space="0" w:color="444444"/>
              <w:bottom w:val="single" w:sz="6" w:space="0" w:color="444444"/>
              <w:right w:val="single" w:sz="6" w:space="0" w:color="444444"/>
            </w:tcBorders>
            <w:tcMar>
              <w:top w:w="120" w:type="dxa"/>
              <w:left w:w="160" w:type="dxa"/>
              <w:bottom w:w="120" w:type="dxa"/>
              <w:right w:w="160" w:type="dxa"/>
            </w:tcMar>
            <w:hideMark/>
          </w:tcPr>
          <w:p w14:paraId="588F1E42" w14:textId="77777777" w:rsidR="009058BF" w:rsidRDefault="009058BF">
            <w:pPr>
              <w:spacing w:before="160" w:after="160" w:line="360" w:lineRule="auto"/>
              <w:rPr>
                <w:rFonts w:ascii="Arial" w:eastAsia="Times New Roman" w:hAnsi="Arial" w:cs="Arial"/>
                <w:color w:val="000000"/>
              </w:rPr>
            </w:pPr>
            <w:r>
              <w:rPr>
                <w:rFonts w:ascii="Arial" w:eastAsia="Times New Roman" w:hAnsi="Arial" w:cs="Arial"/>
                <w:color w:val="000000"/>
              </w:rPr>
              <w:t>Lash treatment bed, trolley, magnifying lamp, sterilising unit</w:t>
            </w:r>
          </w:p>
        </w:tc>
        <w:tc>
          <w:tcPr>
            <w:tcW w:w="0" w:type="auto"/>
            <w:tcBorders>
              <w:top w:val="single" w:sz="6" w:space="0" w:color="444444"/>
              <w:left w:val="single" w:sz="6" w:space="0" w:color="444444"/>
              <w:bottom w:val="single" w:sz="6" w:space="0" w:color="444444"/>
              <w:right w:val="single" w:sz="6" w:space="0" w:color="444444"/>
            </w:tcBorders>
            <w:tcMar>
              <w:top w:w="120" w:type="dxa"/>
              <w:left w:w="160" w:type="dxa"/>
              <w:bottom w:w="120" w:type="dxa"/>
              <w:right w:w="160" w:type="dxa"/>
            </w:tcMar>
            <w:hideMark/>
          </w:tcPr>
          <w:p w14:paraId="0588B787" w14:textId="77777777" w:rsidR="009058BF" w:rsidRDefault="009058BF">
            <w:pPr>
              <w:spacing w:before="160" w:after="160" w:line="360" w:lineRule="auto"/>
              <w:rPr>
                <w:rFonts w:ascii="Arial" w:eastAsia="Times New Roman" w:hAnsi="Arial" w:cs="Arial"/>
                <w:color w:val="000000"/>
              </w:rPr>
            </w:pPr>
            <w:r>
              <w:rPr>
                <w:rFonts w:ascii="Arial" w:eastAsia="Times New Roman" w:hAnsi="Arial" w:cs="Arial"/>
                <w:color w:val="000000"/>
              </w:rPr>
              <w:t>1,400</w:t>
            </w:r>
          </w:p>
        </w:tc>
      </w:tr>
      <w:tr w:rsidR="00445FE3" w14:paraId="68A8655F" w14:textId="77777777">
        <w:tc>
          <w:tcPr>
            <w:tcW w:w="0" w:type="auto"/>
            <w:tcBorders>
              <w:top w:val="single" w:sz="6" w:space="0" w:color="444444"/>
              <w:left w:val="single" w:sz="6" w:space="0" w:color="444444"/>
              <w:bottom w:val="single" w:sz="6" w:space="0" w:color="444444"/>
              <w:right w:val="single" w:sz="6" w:space="0" w:color="444444"/>
            </w:tcBorders>
            <w:tcMar>
              <w:top w:w="120" w:type="dxa"/>
              <w:left w:w="160" w:type="dxa"/>
              <w:bottom w:w="120" w:type="dxa"/>
              <w:right w:w="160" w:type="dxa"/>
            </w:tcMar>
            <w:hideMark/>
          </w:tcPr>
          <w:p w14:paraId="27544238" w14:textId="77777777" w:rsidR="009058BF" w:rsidRDefault="009058BF">
            <w:pPr>
              <w:spacing w:before="160" w:after="160" w:line="360" w:lineRule="auto"/>
              <w:rPr>
                <w:rFonts w:ascii="Arial" w:eastAsia="Times New Roman" w:hAnsi="Arial" w:cs="Arial"/>
                <w:color w:val="000000"/>
              </w:rPr>
            </w:pPr>
            <w:r>
              <w:rPr>
                <w:rFonts w:ascii="Arial" w:eastAsia="Times New Roman" w:hAnsi="Arial" w:cs="Arial"/>
                <w:color w:val="000000"/>
              </w:rPr>
              <w:lastRenderedPageBreak/>
              <w:t>Opening inventory: PLA plant-based lashes, cruelty-free adhesives, isolation tweezers, brow tint</w:t>
            </w:r>
          </w:p>
        </w:tc>
        <w:tc>
          <w:tcPr>
            <w:tcW w:w="0" w:type="auto"/>
            <w:tcBorders>
              <w:top w:val="single" w:sz="6" w:space="0" w:color="444444"/>
              <w:left w:val="single" w:sz="6" w:space="0" w:color="444444"/>
              <w:bottom w:val="single" w:sz="6" w:space="0" w:color="444444"/>
              <w:right w:val="single" w:sz="6" w:space="0" w:color="444444"/>
            </w:tcBorders>
            <w:tcMar>
              <w:top w:w="120" w:type="dxa"/>
              <w:left w:w="160" w:type="dxa"/>
              <w:bottom w:w="120" w:type="dxa"/>
              <w:right w:w="160" w:type="dxa"/>
            </w:tcMar>
            <w:hideMark/>
          </w:tcPr>
          <w:p w14:paraId="667D1C02" w14:textId="77777777" w:rsidR="009058BF" w:rsidRDefault="009058BF">
            <w:pPr>
              <w:spacing w:before="160" w:after="160" w:line="360" w:lineRule="auto"/>
              <w:rPr>
                <w:rFonts w:ascii="Arial" w:eastAsia="Times New Roman" w:hAnsi="Arial" w:cs="Arial"/>
                <w:color w:val="000000"/>
              </w:rPr>
            </w:pPr>
            <w:r>
              <w:rPr>
                <w:rFonts w:ascii="Arial" w:eastAsia="Times New Roman" w:hAnsi="Arial" w:cs="Arial"/>
                <w:color w:val="000000"/>
              </w:rPr>
              <w:t>1,100</w:t>
            </w:r>
          </w:p>
        </w:tc>
      </w:tr>
      <w:tr w:rsidR="00445FE3" w14:paraId="774DC353" w14:textId="77777777">
        <w:tc>
          <w:tcPr>
            <w:tcW w:w="0" w:type="auto"/>
            <w:tcBorders>
              <w:top w:val="single" w:sz="6" w:space="0" w:color="444444"/>
              <w:left w:val="single" w:sz="6" w:space="0" w:color="444444"/>
              <w:bottom w:val="single" w:sz="6" w:space="0" w:color="444444"/>
              <w:right w:val="single" w:sz="6" w:space="0" w:color="444444"/>
            </w:tcBorders>
            <w:tcMar>
              <w:top w:w="120" w:type="dxa"/>
              <w:left w:w="160" w:type="dxa"/>
              <w:bottom w:w="120" w:type="dxa"/>
              <w:right w:w="160" w:type="dxa"/>
            </w:tcMar>
            <w:hideMark/>
          </w:tcPr>
          <w:p w14:paraId="1F45D5E4" w14:textId="77777777" w:rsidR="009058BF" w:rsidRDefault="009058BF">
            <w:pPr>
              <w:spacing w:before="160" w:after="160" w:line="360" w:lineRule="auto"/>
              <w:rPr>
                <w:rFonts w:ascii="Arial" w:eastAsia="Times New Roman" w:hAnsi="Arial" w:cs="Arial"/>
                <w:color w:val="000000"/>
              </w:rPr>
            </w:pPr>
            <w:r>
              <w:rPr>
                <w:rFonts w:ascii="Arial" w:eastAsia="Times New Roman" w:hAnsi="Arial" w:cs="Arial"/>
                <w:color w:val="000000"/>
              </w:rPr>
              <w:t>Treatment-room rental (first month plus one-month deposit, Stratford)</w:t>
            </w:r>
          </w:p>
        </w:tc>
        <w:tc>
          <w:tcPr>
            <w:tcW w:w="0" w:type="auto"/>
            <w:tcBorders>
              <w:top w:val="single" w:sz="6" w:space="0" w:color="444444"/>
              <w:left w:val="single" w:sz="6" w:space="0" w:color="444444"/>
              <w:bottom w:val="single" w:sz="6" w:space="0" w:color="444444"/>
              <w:right w:val="single" w:sz="6" w:space="0" w:color="444444"/>
            </w:tcBorders>
            <w:tcMar>
              <w:top w:w="120" w:type="dxa"/>
              <w:left w:w="160" w:type="dxa"/>
              <w:bottom w:w="120" w:type="dxa"/>
              <w:right w:w="160" w:type="dxa"/>
            </w:tcMar>
            <w:hideMark/>
          </w:tcPr>
          <w:p w14:paraId="552B4047" w14:textId="77777777" w:rsidR="009058BF" w:rsidRDefault="009058BF">
            <w:pPr>
              <w:spacing w:before="160" w:after="160" w:line="360" w:lineRule="auto"/>
              <w:rPr>
                <w:rFonts w:ascii="Arial" w:eastAsia="Times New Roman" w:hAnsi="Arial" w:cs="Arial"/>
                <w:color w:val="000000"/>
              </w:rPr>
            </w:pPr>
            <w:r>
              <w:rPr>
                <w:rFonts w:ascii="Arial" w:eastAsia="Times New Roman" w:hAnsi="Arial" w:cs="Arial"/>
                <w:color w:val="000000"/>
              </w:rPr>
              <w:t>1,800</w:t>
            </w:r>
          </w:p>
        </w:tc>
      </w:tr>
      <w:tr w:rsidR="00445FE3" w14:paraId="460C0EFE" w14:textId="77777777">
        <w:tc>
          <w:tcPr>
            <w:tcW w:w="0" w:type="auto"/>
            <w:tcBorders>
              <w:top w:val="single" w:sz="6" w:space="0" w:color="444444"/>
              <w:left w:val="single" w:sz="6" w:space="0" w:color="444444"/>
              <w:bottom w:val="single" w:sz="6" w:space="0" w:color="444444"/>
              <w:right w:val="single" w:sz="6" w:space="0" w:color="444444"/>
            </w:tcBorders>
            <w:tcMar>
              <w:top w:w="120" w:type="dxa"/>
              <w:left w:w="160" w:type="dxa"/>
              <w:bottom w:w="120" w:type="dxa"/>
              <w:right w:w="160" w:type="dxa"/>
            </w:tcMar>
            <w:hideMark/>
          </w:tcPr>
          <w:p w14:paraId="7D4B37B1" w14:textId="77777777" w:rsidR="009058BF" w:rsidRDefault="009058BF">
            <w:pPr>
              <w:spacing w:before="160" w:after="160" w:line="360" w:lineRule="auto"/>
              <w:rPr>
                <w:rFonts w:ascii="Arial" w:eastAsia="Times New Roman" w:hAnsi="Arial" w:cs="Arial"/>
                <w:color w:val="000000"/>
              </w:rPr>
            </w:pPr>
            <w:r>
              <w:rPr>
                <w:rFonts w:ascii="Arial" w:eastAsia="Times New Roman" w:hAnsi="Arial" w:cs="Arial"/>
                <w:color w:val="000000"/>
              </w:rPr>
              <w:t>Branding: logo design, signage, business cards</w:t>
            </w:r>
          </w:p>
        </w:tc>
        <w:tc>
          <w:tcPr>
            <w:tcW w:w="0" w:type="auto"/>
            <w:tcBorders>
              <w:top w:val="single" w:sz="6" w:space="0" w:color="444444"/>
              <w:left w:val="single" w:sz="6" w:space="0" w:color="444444"/>
              <w:bottom w:val="single" w:sz="6" w:space="0" w:color="444444"/>
              <w:right w:val="single" w:sz="6" w:space="0" w:color="444444"/>
            </w:tcBorders>
            <w:tcMar>
              <w:top w:w="120" w:type="dxa"/>
              <w:left w:w="160" w:type="dxa"/>
              <w:bottom w:w="120" w:type="dxa"/>
              <w:right w:w="160" w:type="dxa"/>
            </w:tcMar>
            <w:hideMark/>
          </w:tcPr>
          <w:p w14:paraId="49A47AE9" w14:textId="77777777" w:rsidR="009058BF" w:rsidRDefault="009058BF">
            <w:pPr>
              <w:spacing w:before="160" w:after="160" w:line="360" w:lineRule="auto"/>
              <w:rPr>
                <w:rFonts w:ascii="Arial" w:eastAsia="Times New Roman" w:hAnsi="Arial" w:cs="Arial"/>
                <w:color w:val="000000"/>
              </w:rPr>
            </w:pPr>
            <w:r>
              <w:rPr>
                <w:rFonts w:ascii="Arial" w:eastAsia="Times New Roman" w:hAnsi="Arial" w:cs="Arial"/>
                <w:color w:val="000000"/>
              </w:rPr>
              <w:t>450</w:t>
            </w:r>
          </w:p>
        </w:tc>
      </w:tr>
      <w:tr w:rsidR="00445FE3" w14:paraId="345F37BF" w14:textId="77777777">
        <w:tc>
          <w:tcPr>
            <w:tcW w:w="0" w:type="auto"/>
            <w:tcBorders>
              <w:top w:val="single" w:sz="6" w:space="0" w:color="444444"/>
              <w:left w:val="single" w:sz="6" w:space="0" w:color="444444"/>
              <w:bottom w:val="single" w:sz="6" w:space="0" w:color="444444"/>
              <w:right w:val="single" w:sz="6" w:space="0" w:color="444444"/>
            </w:tcBorders>
            <w:tcMar>
              <w:top w:w="120" w:type="dxa"/>
              <w:left w:w="160" w:type="dxa"/>
              <w:bottom w:w="120" w:type="dxa"/>
              <w:right w:w="160" w:type="dxa"/>
            </w:tcMar>
            <w:hideMark/>
          </w:tcPr>
          <w:p w14:paraId="57A7F1A6" w14:textId="77777777" w:rsidR="009058BF" w:rsidRDefault="009058BF">
            <w:pPr>
              <w:spacing w:before="160" w:after="160" w:line="360" w:lineRule="auto"/>
              <w:rPr>
                <w:rFonts w:ascii="Arial" w:eastAsia="Times New Roman" w:hAnsi="Arial" w:cs="Arial"/>
                <w:color w:val="000000"/>
              </w:rPr>
            </w:pPr>
            <w:proofErr w:type="spellStart"/>
            <w:r>
              <w:rPr>
                <w:rFonts w:ascii="Arial" w:eastAsia="Times New Roman" w:hAnsi="Arial" w:cs="Arial"/>
                <w:color w:val="000000"/>
              </w:rPr>
              <w:t>Treatwell</w:t>
            </w:r>
            <w:proofErr w:type="spellEnd"/>
            <w:r>
              <w:rPr>
                <w:rFonts w:ascii="Arial" w:eastAsia="Times New Roman" w:hAnsi="Arial" w:cs="Arial"/>
                <w:color w:val="000000"/>
              </w:rPr>
              <w:t xml:space="preserve"> Featured listing, Google Business setup, Instagram &amp; TikTok launch-month ads</w:t>
            </w:r>
          </w:p>
        </w:tc>
        <w:tc>
          <w:tcPr>
            <w:tcW w:w="0" w:type="auto"/>
            <w:tcBorders>
              <w:top w:val="single" w:sz="6" w:space="0" w:color="444444"/>
              <w:left w:val="single" w:sz="6" w:space="0" w:color="444444"/>
              <w:bottom w:val="single" w:sz="6" w:space="0" w:color="444444"/>
              <w:right w:val="single" w:sz="6" w:space="0" w:color="444444"/>
            </w:tcBorders>
            <w:tcMar>
              <w:top w:w="120" w:type="dxa"/>
              <w:left w:w="160" w:type="dxa"/>
              <w:bottom w:w="120" w:type="dxa"/>
              <w:right w:w="160" w:type="dxa"/>
            </w:tcMar>
            <w:hideMark/>
          </w:tcPr>
          <w:p w14:paraId="60EE632A" w14:textId="77777777" w:rsidR="009058BF" w:rsidRDefault="009058BF">
            <w:pPr>
              <w:spacing w:before="160" w:after="160" w:line="360" w:lineRule="auto"/>
              <w:rPr>
                <w:rFonts w:ascii="Arial" w:eastAsia="Times New Roman" w:hAnsi="Arial" w:cs="Arial"/>
                <w:color w:val="000000"/>
              </w:rPr>
            </w:pPr>
            <w:r>
              <w:rPr>
                <w:rFonts w:ascii="Arial" w:eastAsia="Times New Roman" w:hAnsi="Arial" w:cs="Arial"/>
                <w:color w:val="000000"/>
              </w:rPr>
              <w:t>750</w:t>
            </w:r>
          </w:p>
        </w:tc>
      </w:tr>
      <w:tr w:rsidR="00445FE3" w14:paraId="3F96EAE9" w14:textId="77777777">
        <w:tc>
          <w:tcPr>
            <w:tcW w:w="0" w:type="auto"/>
            <w:tcBorders>
              <w:top w:val="single" w:sz="6" w:space="0" w:color="444444"/>
              <w:left w:val="single" w:sz="6" w:space="0" w:color="444444"/>
              <w:bottom w:val="single" w:sz="6" w:space="0" w:color="444444"/>
              <w:right w:val="single" w:sz="6" w:space="0" w:color="444444"/>
            </w:tcBorders>
            <w:tcMar>
              <w:top w:w="120" w:type="dxa"/>
              <w:left w:w="160" w:type="dxa"/>
              <w:bottom w:w="120" w:type="dxa"/>
              <w:right w:w="160" w:type="dxa"/>
            </w:tcMar>
            <w:hideMark/>
          </w:tcPr>
          <w:p w14:paraId="43EA6D08" w14:textId="77777777" w:rsidR="009058BF" w:rsidRDefault="009058BF">
            <w:pPr>
              <w:spacing w:before="160" w:after="160" w:line="360" w:lineRule="auto"/>
              <w:rPr>
                <w:rFonts w:ascii="Arial" w:eastAsia="Times New Roman" w:hAnsi="Arial" w:cs="Arial"/>
                <w:color w:val="000000"/>
              </w:rPr>
            </w:pPr>
            <w:r>
              <w:rPr>
                <w:rFonts w:ascii="Arial" w:eastAsia="Times New Roman" w:hAnsi="Arial" w:cs="Arial"/>
                <w:color w:val="000000"/>
              </w:rPr>
              <w:t>Professional indemnity and public liability insurance (annual premium)</w:t>
            </w:r>
          </w:p>
        </w:tc>
        <w:tc>
          <w:tcPr>
            <w:tcW w:w="0" w:type="auto"/>
            <w:tcBorders>
              <w:top w:val="single" w:sz="6" w:space="0" w:color="444444"/>
              <w:left w:val="single" w:sz="6" w:space="0" w:color="444444"/>
              <w:bottom w:val="single" w:sz="6" w:space="0" w:color="444444"/>
              <w:right w:val="single" w:sz="6" w:space="0" w:color="444444"/>
            </w:tcBorders>
            <w:tcMar>
              <w:top w:w="120" w:type="dxa"/>
              <w:left w:w="160" w:type="dxa"/>
              <w:bottom w:w="120" w:type="dxa"/>
              <w:right w:w="160" w:type="dxa"/>
            </w:tcMar>
            <w:hideMark/>
          </w:tcPr>
          <w:p w14:paraId="1365B329" w14:textId="77777777" w:rsidR="009058BF" w:rsidRDefault="009058BF">
            <w:pPr>
              <w:spacing w:before="160" w:after="160" w:line="360" w:lineRule="auto"/>
              <w:rPr>
                <w:rFonts w:ascii="Arial" w:eastAsia="Times New Roman" w:hAnsi="Arial" w:cs="Arial"/>
                <w:color w:val="000000"/>
              </w:rPr>
            </w:pPr>
            <w:r>
              <w:rPr>
                <w:rFonts w:ascii="Arial" w:eastAsia="Times New Roman" w:hAnsi="Arial" w:cs="Arial"/>
                <w:color w:val="000000"/>
              </w:rPr>
              <w:t>320</w:t>
            </w:r>
          </w:p>
        </w:tc>
      </w:tr>
      <w:tr w:rsidR="00445FE3" w14:paraId="7DD70FAE" w14:textId="77777777">
        <w:tc>
          <w:tcPr>
            <w:tcW w:w="0" w:type="auto"/>
            <w:tcBorders>
              <w:top w:val="single" w:sz="6" w:space="0" w:color="444444"/>
              <w:left w:val="single" w:sz="6" w:space="0" w:color="444444"/>
              <w:bottom w:val="single" w:sz="6" w:space="0" w:color="444444"/>
              <w:right w:val="single" w:sz="6" w:space="0" w:color="444444"/>
            </w:tcBorders>
            <w:tcMar>
              <w:top w:w="120" w:type="dxa"/>
              <w:left w:w="160" w:type="dxa"/>
              <w:bottom w:w="120" w:type="dxa"/>
              <w:right w:w="160" w:type="dxa"/>
            </w:tcMar>
            <w:hideMark/>
          </w:tcPr>
          <w:p w14:paraId="1BBEBD45" w14:textId="77777777" w:rsidR="009058BF" w:rsidRDefault="009058BF">
            <w:pPr>
              <w:spacing w:before="160" w:after="160" w:line="360" w:lineRule="auto"/>
              <w:rPr>
                <w:rFonts w:ascii="Arial" w:eastAsia="Times New Roman" w:hAnsi="Arial" w:cs="Arial"/>
                <w:color w:val="000000"/>
              </w:rPr>
            </w:pPr>
            <w:r>
              <w:rPr>
                <w:rFonts w:ascii="Arial" w:eastAsia="Times New Roman" w:hAnsi="Arial" w:cs="Arial"/>
                <w:color w:val="000000"/>
              </w:rPr>
              <w:t>Lash-extension Level 3 advanced certification top-up plus BABTAC membership</w:t>
            </w:r>
          </w:p>
        </w:tc>
        <w:tc>
          <w:tcPr>
            <w:tcW w:w="0" w:type="auto"/>
            <w:tcBorders>
              <w:top w:val="single" w:sz="6" w:space="0" w:color="444444"/>
              <w:left w:val="single" w:sz="6" w:space="0" w:color="444444"/>
              <w:bottom w:val="single" w:sz="6" w:space="0" w:color="444444"/>
              <w:right w:val="single" w:sz="6" w:space="0" w:color="444444"/>
            </w:tcBorders>
            <w:tcMar>
              <w:top w:w="120" w:type="dxa"/>
              <w:left w:w="160" w:type="dxa"/>
              <w:bottom w:w="120" w:type="dxa"/>
              <w:right w:w="160" w:type="dxa"/>
            </w:tcMar>
            <w:hideMark/>
          </w:tcPr>
          <w:p w14:paraId="7F6FC49F" w14:textId="77777777" w:rsidR="009058BF" w:rsidRDefault="009058BF">
            <w:pPr>
              <w:spacing w:before="160" w:after="160" w:line="360" w:lineRule="auto"/>
              <w:rPr>
                <w:rFonts w:ascii="Arial" w:eastAsia="Times New Roman" w:hAnsi="Arial" w:cs="Arial"/>
                <w:color w:val="000000"/>
              </w:rPr>
            </w:pPr>
            <w:r>
              <w:rPr>
                <w:rFonts w:ascii="Arial" w:eastAsia="Times New Roman" w:hAnsi="Arial" w:cs="Arial"/>
                <w:color w:val="000000"/>
              </w:rPr>
              <w:t>480</w:t>
            </w:r>
          </w:p>
        </w:tc>
      </w:tr>
      <w:tr w:rsidR="00445FE3" w14:paraId="1E7253F7" w14:textId="77777777">
        <w:tc>
          <w:tcPr>
            <w:tcW w:w="0" w:type="auto"/>
            <w:tcBorders>
              <w:top w:val="single" w:sz="6" w:space="0" w:color="444444"/>
              <w:left w:val="single" w:sz="6" w:space="0" w:color="444444"/>
              <w:bottom w:val="single" w:sz="6" w:space="0" w:color="444444"/>
              <w:right w:val="single" w:sz="6" w:space="0" w:color="444444"/>
            </w:tcBorders>
            <w:tcMar>
              <w:top w:w="120" w:type="dxa"/>
              <w:left w:w="160" w:type="dxa"/>
              <w:bottom w:w="120" w:type="dxa"/>
              <w:right w:w="160" w:type="dxa"/>
            </w:tcMar>
            <w:hideMark/>
          </w:tcPr>
          <w:p w14:paraId="3E81733B" w14:textId="77777777" w:rsidR="009058BF" w:rsidRDefault="009058BF">
            <w:pPr>
              <w:spacing w:before="160" w:after="160" w:line="360" w:lineRule="auto"/>
              <w:rPr>
                <w:rFonts w:ascii="Arial" w:eastAsia="Times New Roman" w:hAnsi="Arial" w:cs="Arial"/>
                <w:color w:val="000000"/>
              </w:rPr>
            </w:pPr>
            <w:r>
              <w:rPr>
                <w:rFonts w:ascii="Arial" w:eastAsia="Times New Roman" w:hAnsi="Arial" w:cs="Arial"/>
                <w:color w:val="000000"/>
              </w:rPr>
              <w:t>Accountancy retainer (Year-1 fee paid in advance for discount)</w:t>
            </w:r>
          </w:p>
        </w:tc>
        <w:tc>
          <w:tcPr>
            <w:tcW w:w="0" w:type="auto"/>
            <w:tcBorders>
              <w:top w:val="single" w:sz="6" w:space="0" w:color="444444"/>
              <w:left w:val="single" w:sz="6" w:space="0" w:color="444444"/>
              <w:bottom w:val="single" w:sz="6" w:space="0" w:color="444444"/>
              <w:right w:val="single" w:sz="6" w:space="0" w:color="444444"/>
            </w:tcBorders>
            <w:tcMar>
              <w:top w:w="120" w:type="dxa"/>
              <w:left w:w="160" w:type="dxa"/>
              <w:bottom w:w="120" w:type="dxa"/>
              <w:right w:w="160" w:type="dxa"/>
            </w:tcMar>
            <w:hideMark/>
          </w:tcPr>
          <w:p w14:paraId="072E835E" w14:textId="77777777" w:rsidR="009058BF" w:rsidRDefault="009058BF">
            <w:pPr>
              <w:spacing w:before="160" w:after="160" w:line="360" w:lineRule="auto"/>
              <w:rPr>
                <w:rFonts w:ascii="Arial" w:eastAsia="Times New Roman" w:hAnsi="Arial" w:cs="Arial"/>
                <w:color w:val="000000"/>
              </w:rPr>
            </w:pPr>
            <w:r>
              <w:rPr>
                <w:rFonts w:ascii="Arial" w:eastAsia="Times New Roman" w:hAnsi="Arial" w:cs="Arial"/>
                <w:color w:val="000000"/>
              </w:rPr>
              <w:t>600</w:t>
            </w:r>
          </w:p>
        </w:tc>
      </w:tr>
      <w:tr w:rsidR="00445FE3" w14:paraId="40652C75" w14:textId="77777777">
        <w:tc>
          <w:tcPr>
            <w:tcW w:w="0" w:type="auto"/>
            <w:tcBorders>
              <w:top w:val="single" w:sz="6" w:space="0" w:color="444444"/>
              <w:left w:val="single" w:sz="6" w:space="0" w:color="444444"/>
              <w:bottom w:val="single" w:sz="6" w:space="0" w:color="444444"/>
              <w:right w:val="single" w:sz="6" w:space="0" w:color="444444"/>
            </w:tcBorders>
            <w:tcMar>
              <w:top w:w="120" w:type="dxa"/>
              <w:left w:w="160" w:type="dxa"/>
              <w:bottom w:w="120" w:type="dxa"/>
              <w:right w:w="160" w:type="dxa"/>
            </w:tcMar>
            <w:hideMark/>
          </w:tcPr>
          <w:p w14:paraId="230BE1A8" w14:textId="77777777" w:rsidR="009058BF" w:rsidRDefault="009058BF">
            <w:pPr>
              <w:spacing w:before="160" w:after="160" w:line="360" w:lineRule="auto"/>
              <w:rPr>
                <w:rFonts w:ascii="Arial" w:eastAsia="Times New Roman" w:hAnsi="Arial" w:cs="Arial"/>
                <w:color w:val="000000"/>
              </w:rPr>
            </w:pPr>
            <w:r>
              <w:rPr>
                <w:rFonts w:ascii="Arial" w:eastAsia="Times New Roman" w:hAnsi="Arial" w:cs="Arial"/>
                <w:color w:val="000000"/>
              </w:rPr>
              <w:t>One-page Squarespace website plus booking-system integration</w:t>
            </w:r>
          </w:p>
        </w:tc>
        <w:tc>
          <w:tcPr>
            <w:tcW w:w="0" w:type="auto"/>
            <w:tcBorders>
              <w:top w:val="single" w:sz="6" w:space="0" w:color="444444"/>
              <w:left w:val="single" w:sz="6" w:space="0" w:color="444444"/>
              <w:bottom w:val="single" w:sz="6" w:space="0" w:color="444444"/>
              <w:right w:val="single" w:sz="6" w:space="0" w:color="444444"/>
            </w:tcBorders>
            <w:tcMar>
              <w:top w:w="120" w:type="dxa"/>
              <w:left w:w="160" w:type="dxa"/>
              <w:bottom w:w="120" w:type="dxa"/>
              <w:right w:w="160" w:type="dxa"/>
            </w:tcMar>
            <w:hideMark/>
          </w:tcPr>
          <w:p w14:paraId="19DCA2FB" w14:textId="77777777" w:rsidR="009058BF" w:rsidRDefault="009058BF">
            <w:pPr>
              <w:spacing w:before="160" w:after="160" w:line="360" w:lineRule="auto"/>
              <w:rPr>
                <w:rFonts w:ascii="Arial" w:eastAsia="Times New Roman" w:hAnsi="Arial" w:cs="Arial"/>
                <w:color w:val="000000"/>
              </w:rPr>
            </w:pPr>
            <w:r>
              <w:rPr>
                <w:rFonts w:ascii="Arial" w:eastAsia="Times New Roman" w:hAnsi="Arial" w:cs="Arial"/>
                <w:color w:val="000000"/>
              </w:rPr>
              <w:t>280</w:t>
            </w:r>
          </w:p>
        </w:tc>
      </w:tr>
      <w:tr w:rsidR="00445FE3" w14:paraId="05ED9DC5" w14:textId="77777777">
        <w:tc>
          <w:tcPr>
            <w:tcW w:w="0" w:type="auto"/>
            <w:tcBorders>
              <w:top w:val="single" w:sz="6" w:space="0" w:color="444444"/>
              <w:left w:val="single" w:sz="6" w:space="0" w:color="444444"/>
              <w:bottom w:val="single" w:sz="6" w:space="0" w:color="444444"/>
              <w:right w:val="single" w:sz="6" w:space="0" w:color="444444"/>
            </w:tcBorders>
            <w:tcMar>
              <w:top w:w="120" w:type="dxa"/>
              <w:left w:w="160" w:type="dxa"/>
              <w:bottom w:w="120" w:type="dxa"/>
              <w:right w:w="160" w:type="dxa"/>
            </w:tcMar>
            <w:hideMark/>
          </w:tcPr>
          <w:p w14:paraId="046763F7" w14:textId="77777777" w:rsidR="009058BF" w:rsidRDefault="009058BF">
            <w:pPr>
              <w:spacing w:before="160" w:after="160" w:line="360" w:lineRule="auto"/>
              <w:rPr>
                <w:rFonts w:ascii="Arial" w:eastAsia="Times New Roman" w:hAnsi="Arial" w:cs="Arial"/>
                <w:color w:val="000000"/>
              </w:rPr>
            </w:pPr>
            <w:r>
              <w:rPr>
                <w:rFonts w:ascii="Arial" w:eastAsia="Times New Roman" w:hAnsi="Arial" w:cs="Arial"/>
                <w:color w:val="000000"/>
              </w:rPr>
              <w:t>Working capital (utilities, contingency, first-month cashflow buffer)</w:t>
            </w:r>
          </w:p>
        </w:tc>
        <w:tc>
          <w:tcPr>
            <w:tcW w:w="0" w:type="auto"/>
            <w:tcBorders>
              <w:top w:val="single" w:sz="6" w:space="0" w:color="444444"/>
              <w:left w:val="single" w:sz="6" w:space="0" w:color="444444"/>
              <w:bottom w:val="single" w:sz="6" w:space="0" w:color="444444"/>
              <w:right w:val="single" w:sz="6" w:space="0" w:color="444444"/>
            </w:tcBorders>
            <w:tcMar>
              <w:top w:w="120" w:type="dxa"/>
              <w:left w:w="160" w:type="dxa"/>
              <w:bottom w:w="120" w:type="dxa"/>
              <w:right w:w="160" w:type="dxa"/>
            </w:tcMar>
            <w:hideMark/>
          </w:tcPr>
          <w:p w14:paraId="0D72BDF2" w14:textId="77777777" w:rsidR="009058BF" w:rsidRDefault="009058BF">
            <w:pPr>
              <w:spacing w:before="160" w:after="160" w:line="360" w:lineRule="auto"/>
              <w:rPr>
                <w:rFonts w:ascii="Arial" w:eastAsia="Times New Roman" w:hAnsi="Arial" w:cs="Arial"/>
                <w:color w:val="000000"/>
              </w:rPr>
            </w:pPr>
            <w:r>
              <w:rPr>
                <w:rFonts w:ascii="Arial" w:eastAsia="Times New Roman" w:hAnsi="Arial" w:cs="Arial"/>
                <w:color w:val="000000"/>
              </w:rPr>
              <w:t>1,320</w:t>
            </w:r>
          </w:p>
        </w:tc>
      </w:tr>
      <w:tr w:rsidR="00445FE3" w14:paraId="081C8676" w14:textId="77777777">
        <w:tc>
          <w:tcPr>
            <w:tcW w:w="0" w:type="auto"/>
            <w:tcBorders>
              <w:top w:val="single" w:sz="6" w:space="0" w:color="444444"/>
              <w:left w:val="single" w:sz="6" w:space="0" w:color="444444"/>
              <w:bottom w:val="single" w:sz="6" w:space="0" w:color="444444"/>
              <w:right w:val="single" w:sz="6" w:space="0" w:color="444444"/>
            </w:tcBorders>
            <w:shd w:val="clear" w:color="auto" w:fill="E8EEF4"/>
            <w:tcMar>
              <w:top w:w="120" w:type="dxa"/>
              <w:left w:w="160" w:type="dxa"/>
              <w:bottom w:w="120" w:type="dxa"/>
              <w:right w:w="160" w:type="dxa"/>
            </w:tcMar>
            <w:hideMark/>
          </w:tcPr>
          <w:p w14:paraId="07CA5288" w14:textId="77777777" w:rsidR="009058BF" w:rsidRDefault="009058BF">
            <w:pPr>
              <w:spacing w:before="160" w:after="160" w:line="360" w:lineRule="auto"/>
              <w:rPr>
                <w:rFonts w:ascii="Arial" w:eastAsia="Times New Roman" w:hAnsi="Arial" w:cs="Arial"/>
                <w:b/>
                <w:bCs/>
                <w:color w:val="000000"/>
              </w:rPr>
            </w:pPr>
            <w:r>
              <w:rPr>
                <w:rFonts w:ascii="Arial" w:eastAsia="Times New Roman" w:hAnsi="Arial" w:cs="Arial"/>
                <w:b/>
                <w:bCs/>
                <w:color w:val="000000"/>
              </w:rPr>
              <w:t>TOTAL START-UP REQUIREMENT</w:t>
            </w:r>
          </w:p>
        </w:tc>
        <w:tc>
          <w:tcPr>
            <w:tcW w:w="0" w:type="auto"/>
            <w:tcBorders>
              <w:top w:val="single" w:sz="6" w:space="0" w:color="444444"/>
              <w:left w:val="single" w:sz="6" w:space="0" w:color="444444"/>
              <w:bottom w:val="single" w:sz="6" w:space="0" w:color="444444"/>
              <w:right w:val="single" w:sz="6" w:space="0" w:color="444444"/>
            </w:tcBorders>
            <w:shd w:val="clear" w:color="auto" w:fill="E8EEF4"/>
            <w:tcMar>
              <w:top w:w="120" w:type="dxa"/>
              <w:left w:w="160" w:type="dxa"/>
              <w:bottom w:w="120" w:type="dxa"/>
              <w:right w:w="160" w:type="dxa"/>
            </w:tcMar>
            <w:hideMark/>
          </w:tcPr>
          <w:p w14:paraId="77CCD537" w14:textId="77777777" w:rsidR="009058BF" w:rsidRDefault="009058BF">
            <w:pPr>
              <w:spacing w:before="160" w:after="160" w:line="360" w:lineRule="auto"/>
              <w:rPr>
                <w:rFonts w:ascii="Arial" w:eastAsia="Times New Roman" w:hAnsi="Arial" w:cs="Arial"/>
                <w:b/>
                <w:bCs/>
                <w:color w:val="000000"/>
              </w:rPr>
            </w:pPr>
            <w:r>
              <w:rPr>
                <w:rFonts w:ascii="Arial" w:eastAsia="Times New Roman" w:hAnsi="Arial" w:cs="Arial"/>
                <w:b/>
                <w:bCs/>
                <w:color w:val="000000"/>
              </w:rPr>
              <w:t>8,500</w:t>
            </w:r>
          </w:p>
        </w:tc>
      </w:tr>
    </w:tbl>
    <w:p w14:paraId="495F0A80" w14:textId="77777777" w:rsidR="009058BF" w:rsidRDefault="009058BF">
      <w:pPr>
        <w:pStyle w:val="Caption1"/>
        <w:spacing w:after="200" w:afterAutospacing="0" w:line="360" w:lineRule="auto"/>
        <w:rPr>
          <w:rFonts w:ascii="Arial" w:hAnsi="Arial" w:cs="Arial"/>
          <w:color w:val="000000"/>
        </w:rPr>
      </w:pPr>
      <w:r>
        <w:rPr>
          <w:rFonts w:ascii="Arial" w:hAnsi="Arial" w:cs="Arial"/>
          <w:color w:val="000000"/>
        </w:rPr>
        <w:t>Table 1: First-month start-up expenses for Lumi Lash Studio.</w:t>
      </w:r>
    </w:p>
    <w:p w14:paraId="5E229BBA" w14:textId="77777777" w:rsidR="009058BF" w:rsidRDefault="009058BF">
      <w:pPr>
        <w:pStyle w:val="NormalWeb"/>
        <w:spacing w:line="360" w:lineRule="auto"/>
        <w:rPr>
          <w:color w:val="000000"/>
        </w:rPr>
      </w:pPr>
      <w:r>
        <w:rPr>
          <w:rStyle w:val="Strong"/>
          <w:color w:val="000000"/>
        </w:rPr>
        <w:t>Year-1 revenue projection.</w:t>
      </w:r>
      <w:r>
        <w:rPr>
          <w:color w:val="000000"/>
        </w:rPr>
        <w:t xml:space="preserve"> Pricing is set at £75 for a classic full set, £95 for a hybrid set, and £120 for a Russian volume set, with refills priced at 60% of the corresponding full-set price. The expected blended average ticket is £68. At a conservative twelve client appointments per week — against more than thirty available appointment slots — Year-1 revenue is projected at approximately £42,000. Direct product cost is </w:t>
      </w:r>
      <w:r>
        <w:rPr>
          <w:color w:val="000000"/>
        </w:rPr>
        <w:lastRenderedPageBreak/>
        <w:t xml:space="preserve">approximately £6 per full set, representing a healthy 8% Cost of Goods Sold (COGS). After room rental, marketing </w:t>
      </w:r>
      <w:proofErr w:type="gramStart"/>
      <w:r>
        <w:rPr>
          <w:color w:val="000000"/>
        </w:rPr>
        <w:t>spend</w:t>
      </w:r>
      <w:proofErr w:type="gramEnd"/>
      <w:r>
        <w:rPr>
          <w:color w:val="000000"/>
        </w:rPr>
        <w:t>, loan repayments of approximately £170 per month, and a 20% income-tax and National Insurance provision, projected Year-1 net profit is £14,800, with break-even achieved in month six. These figures are intentionally conservative to demonstrate viability under realistic, rather than best-case, demand assumptions.</w:t>
      </w:r>
    </w:p>
    <w:p w14:paraId="70BD167E" w14:textId="77777777" w:rsidR="009058BF" w:rsidRDefault="009058BF">
      <w:pPr>
        <w:pStyle w:val="NormalWeb"/>
        <w:spacing w:line="360" w:lineRule="auto"/>
        <w:rPr>
          <w:color w:val="000000"/>
        </w:rPr>
      </w:pPr>
    </w:p>
    <w:p w14:paraId="2114DD81" w14:textId="77777777" w:rsidR="009058BF" w:rsidRDefault="009058BF">
      <w:pPr>
        <w:pStyle w:val="NormalWeb"/>
        <w:spacing w:line="360" w:lineRule="auto"/>
        <w:rPr>
          <w:color w:val="000000"/>
        </w:rPr>
      </w:pPr>
    </w:p>
    <w:p w14:paraId="38826FE9" w14:textId="77777777" w:rsidR="009058BF" w:rsidRDefault="009058BF">
      <w:pPr>
        <w:pStyle w:val="NormalWeb"/>
        <w:spacing w:line="360" w:lineRule="auto"/>
        <w:rPr>
          <w:color w:val="000000"/>
        </w:rPr>
      </w:pPr>
    </w:p>
    <w:p w14:paraId="7F0C1382" w14:textId="77777777" w:rsidR="009058BF" w:rsidRDefault="009058BF">
      <w:pPr>
        <w:pStyle w:val="NormalWeb"/>
        <w:spacing w:line="360" w:lineRule="auto"/>
        <w:rPr>
          <w:color w:val="000000"/>
        </w:rPr>
      </w:pPr>
    </w:p>
    <w:p w14:paraId="0D556894" w14:textId="77777777" w:rsidR="009058BF" w:rsidRDefault="009058BF">
      <w:pPr>
        <w:pStyle w:val="NormalWeb"/>
        <w:spacing w:line="360" w:lineRule="auto"/>
        <w:rPr>
          <w:color w:val="000000"/>
        </w:rPr>
      </w:pPr>
    </w:p>
    <w:p w14:paraId="20999D1B" w14:textId="77777777" w:rsidR="009058BF" w:rsidRDefault="009058BF">
      <w:pPr>
        <w:pStyle w:val="NormalWeb"/>
        <w:spacing w:line="360" w:lineRule="auto"/>
        <w:rPr>
          <w:color w:val="000000"/>
        </w:rPr>
      </w:pPr>
    </w:p>
    <w:p w14:paraId="402CD625" w14:textId="77777777" w:rsidR="009058BF" w:rsidRDefault="009058BF">
      <w:pPr>
        <w:pStyle w:val="NormalWeb"/>
        <w:spacing w:line="360" w:lineRule="auto"/>
        <w:rPr>
          <w:color w:val="000000"/>
        </w:rPr>
      </w:pPr>
    </w:p>
    <w:p w14:paraId="13203245" w14:textId="77777777" w:rsidR="009058BF" w:rsidRDefault="009058BF">
      <w:pPr>
        <w:pStyle w:val="NormalWeb"/>
        <w:spacing w:line="360" w:lineRule="auto"/>
        <w:rPr>
          <w:color w:val="000000"/>
        </w:rPr>
      </w:pPr>
    </w:p>
    <w:p w14:paraId="553538F6" w14:textId="77777777" w:rsidR="009058BF" w:rsidRDefault="009058BF">
      <w:pPr>
        <w:pStyle w:val="NormalWeb"/>
        <w:spacing w:line="360" w:lineRule="auto"/>
        <w:rPr>
          <w:color w:val="000000"/>
        </w:rPr>
      </w:pPr>
    </w:p>
    <w:p w14:paraId="75D72289" w14:textId="77777777" w:rsidR="009058BF" w:rsidRDefault="009058BF">
      <w:pPr>
        <w:pStyle w:val="NormalWeb"/>
        <w:spacing w:line="360" w:lineRule="auto"/>
        <w:rPr>
          <w:color w:val="000000"/>
        </w:rPr>
      </w:pPr>
    </w:p>
    <w:p w14:paraId="5954D48F" w14:textId="77777777" w:rsidR="009058BF" w:rsidRDefault="009058BF">
      <w:pPr>
        <w:pStyle w:val="NormalWeb"/>
        <w:spacing w:line="360" w:lineRule="auto"/>
        <w:rPr>
          <w:color w:val="000000"/>
        </w:rPr>
      </w:pPr>
    </w:p>
    <w:p w14:paraId="266B5648" w14:textId="77777777" w:rsidR="009058BF" w:rsidRDefault="009058BF">
      <w:pPr>
        <w:pStyle w:val="NormalWeb"/>
        <w:spacing w:line="360" w:lineRule="auto"/>
        <w:rPr>
          <w:color w:val="000000"/>
        </w:rPr>
      </w:pPr>
    </w:p>
    <w:p w14:paraId="7ED9C3F2" w14:textId="77777777" w:rsidR="009058BF" w:rsidRDefault="009058BF">
      <w:pPr>
        <w:pStyle w:val="NormalWeb"/>
        <w:spacing w:line="360" w:lineRule="auto"/>
        <w:rPr>
          <w:color w:val="000000"/>
        </w:rPr>
      </w:pPr>
    </w:p>
    <w:p w14:paraId="033F192C" w14:textId="77777777" w:rsidR="009058BF" w:rsidRDefault="009058BF">
      <w:pPr>
        <w:pStyle w:val="NormalWeb"/>
        <w:spacing w:line="360" w:lineRule="auto"/>
        <w:rPr>
          <w:color w:val="000000"/>
        </w:rPr>
      </w:pPr>
    </w:p>
    <w:p w14:paraId="26B56302" w14:textId="77777777" w:rsidR="009058BF" w:rsidRDefault="009058BF">
      <w:pPr>
        <w:pStyle w:val="NormalWeb"/>
        <w:spacing w:line="360" w:lineRule="auto"/>
        <w:rPr>
          <w:color w:val="000000"/>
        </w:rPr>
      </w:pPr>
    </w:p>
    <w:p w14:paraId="17A41C26" w14:textId="77777777" w:rsidR="009058BF" w:rsidRDefault="009058BF">
      <w:pPr>
        <w:pStyle w:val="NormalWeb"/>
        <w:spacing w:line="360" w:lineRule="auto"/>
        <w:rPr>
          <w:color w:val="000000"/>
        </w:rPr>
      </w:pPr>
    </w:p>
    <w:p w14:paraId="0DD88ED0" w14:textId="77777777" w:rsidR="009058BF" w:rsidRDefault="009058BF">
      <w:pPr>
        <w:pStyle w:val="NormalWeb"/>
        <w:spacing w:line="360" w:lineRule="auto"/>
        <w:rPr>
          <w:color w:val="000000"/>
        </w:rPr>
      </w:pPr>
    </w:p>
    <w:p w14:paraId="47EB6D18" w14:textId="77777777" w:rsidR="009058BF" w:rsidRDefault="009058BF">
      <w:pPr>
        <w:pStyle w:val="NormalWeb"/>
        <w:spacing w:line="360" w:lineRule="auto"/>
        <w:rPr>
          <w:color w:val="000000"/>
        </w:rPr>
      </w:pPr>
    </w:p>
    <w:p w14:paraId="2DC52004" w14:textId="77777777" w:rsidR="009058BF" w:rsidRDefault="009058BF">
      <w:pPr>
        <w:pStyle w:val="Heading1"/>
        <w:spacing w:line="360" w:lineRule="auto"/>
        <w:rPr>
          <w:rFonts w:eastAsia="Times New Roman"/>
          <w:color w:val="000000"/>
        </w:rPr>
      </w:pPr>
      <w:r>
        <w:rPr>
          <w:rFonts w:eastAsia="Times New Roman"/>
          <w:color w:val="000000"/>
        </w:rPr>
        <w:lastRenderedPageBreak/>
        <w:t>6. Reference List</w:t>
      </w:r>
    </w:p>
    <w:p w14:paraId="7E69FB50" w14:textId="77777777" w:rsidR="009058BF" w:rsidRDefault="009058BF">
      <w:pPr>
        <w:pStyle w:val="NormalWeb"/>
        <w:spacing w:line="360" w:lineRule="auto"/>
        <w:rPr>
          <w:color w:val="000000"/>
        </w:rPr>
      </w:pPr>
      <w:proofErr w:type="spellStart"/>
      <w:r>
        <w:rPr>
          <w:color w:val="000000"/>
        </w:rPr>
        <w:t>BeautyMatter</w:t>
      </w:r>
      <w:proofErr w:type="spellEnd"/>
      <w:r>
        <w:rPr>
          <w:color w:val="000000"/>
        </w:rPr>
        <w:t xml:space="preserve"> (2025) </w:t>
      </w:r>
      <w:r>
        <w:rPr>
          <w:rStyle w:val="Emphasis"/>
          <w:color w:val="000000"/>
        </w:rPr>
        <w:t>Inside New UK Cosmetic Procedure Regulations</w:t>
      </w:r>
      <w:r>
        <w:rPr>
          <w:color w:val="000000"/>
        </w:rPr>
        <w:t>. Available at: https://beautymatter.com/articles/inside-new-uk-cosmetic-procedure-regulations (Accessed: 28 June 2026).</w:t>
      </w:r>
    </w:p>
    <w:p w14:paraId="42DB1F4D" w14:textId="77777777" w:rsidR="009058BF" w:rsidRDefault="009058BF">
      <w:pPr>
        <w:pStyle w:val="NormalWeb"/>
        <w:spacing w:line="360" w:lineRule="auto"/>
        <w:rPr>
          <w:color w:val="000000"/>
        </w:rPr>
      </w:pPr>
      <w:r>
        <w:rPr>
          <w:color w:val="000000"/>
        </w:rPr>
        <w:t xml:space="preserve">British Beauty Council (2025) </w:t>
      </w:r>
      <w:r>
        <w:rPr>
          <w:rStyle w:val="Emphasis"/>
          <w:color w:val="000000"/>
        </w:rPr>
        <w:t>Value of Beauty 2025: Beauty sector’s GDP contribution outpaces UK economy</w:t>
      </w:r>
      <w:r>
        <w:rPr>
          <w:color w:val="000000"/>
        </w:rPr>
        <w:t>. Available at: https://britishbeautycouncil.com/value-of-beauty-2025/ (Accessed: 28 June 2026).</w:t>
      </w:r>
    </w:p>
    <w:p w14:paraId="6B4CB4E5" w14:textId="77777777" w:rsidR="009058BF" w:rsidRDefault="009058BF">
      <w:pPr>
        <w:pStyle w:val="NormalWeb"/>
        <w:spacing w:line="360" w:lineRule="auto"/>
        <w:rPr>
          <w:color w:val="000000"/>
        </w:rPr>
      </w:pPr>
      <w:r>
        <w:rPr>
          <w:color w:val="000000"/>
        </w:rPr>
        <w:t xml:space="preserve">British Business Bank (2026) </w:t>
      </w:r>
      <w:r>
        <w:rPr>
          <w:rStyle w:val="Emphasis"/>
          <w:color w:val="000000"/>
        </w:rPr>
        <w:t>Start Up Loans</w:t>
      </w:r>
      <w:r>
        <w:rPr>
          <w:color w:val="000000"/>
        </w:rPr>
        <w:t>. Available at: https://www.british-business-bank.co.uk/start-your-journey/finance-finder/start-up-loan (Accessed: 28 June 2026).</w:t>
      </w:r>
    </w:p>
    <w:p w14:paraId="78C4B2EB" w14:textId="77777777" w:rsidR="009058BF" w:rsidRDefault="009058BF">
      <w:pPr>
        <w:pStyle w:val="NormalWeb"/>
        <w:spacing w:line="360" w:lineRule="auto"/>
        <w:rPr>
          <w:color w:val="000000"/>
        </w:rPr>
      </w:pPr>
      <w:r>
        <w:rPr>
          <w:color w:val="000000"/>
        </w:rPr>
        <w:t xml:space="preserve">Burns, P. (2022) </w:t>
      </w:r>
      <w:r>
        <w:rPr>
          <w:rStyle w:val="Emphasis"/>
          <w:color w:val="000000"/>
        </w:rPr>
        <w:t>Entrepreneurship and Small Business: Start-up, Growth and Maturity</w:t>
      </w:r>
      <w:r>
        <w:rPr>
          <w:color w:val="000000"/>
        </w:rPr>
        <w:t xml:space="preserve">. 5th </w:t>
      </w:r>
      <w:proofErr w:type="spellStart"/>
      <w:r>
        <w:rPr>
          <w:color w:val="000000"/>
        </w:rPr>
        <w:t>edn</w:t>
      </w:r>
      <w:proofErr w:type="spellEnd"/>
      <w:r>
        <w:rPr>
          <w:color w:val="000000"/>
        </w:rPr>
        <w:t>. London: Palgrave Macmillan.</w:t>
      </w:r>
    </w:p>
    <w:p w14:paraId="2D10D9C8" w14:textId="77777777" w:rsidR="009058BF" w:rsidRDefault="009058BF">
      <w:pPr>
        <w:pStyle w:val="NormalWeb"/>
        <w:spacing w:line="360" w:lineRule="auto"/>
        <w:rPr>
          <w:color w:val="000000"/>
        </w:rPr>
      </w:pPr>
      <w:r>
        <w:rPr>
          <w:color w:val="000000"/>
        </w:rPr>
        <w:t xml:space="preserve">Chitra, M. (2015) ‘Women Entrepreneurs in the Beauty Industry: Is it Sustainable?’, </w:t>
      </w:r>
      <w:r>
        <w:rPr>
          <w:rStyle w:val="Emphasis"/>
          <w:color w:val="000000"/>
        </w:rPr>
        <w:t>Indian Journal of Applied Research</w:t>
      </w:r>
      <w:r>
        <w:rPr>
          <w:color w:val="000000"/>
        </w:rPr>
        <w:t>, 5(8), pp. 215–218.</w:t>
      </w:r>
    </w:p>
    <w:p w14:paraId="7A7FA399" w14:textId="77777777" w:rsidR="009058BF" w:rsidRDefault="009058BF">
      <w:pPr>
        <w:pStyle w:val="NormalWeb"/>
        <w:spacing w:line="360" w:lineRule="auto"/>
        <w:rPr>
          <w:color w:val="000000"/>
        </w:rPr>
      </w:pPr>
      <w:r>
        <w:rPr>
          <w:color w:val="000000"/>
        </w:rPr>
        <w:t xml:space="preserve">Glamorous Lashes (2025) </w:t>
      </w:r>
      <w:r>
        <w:rPr>
          <w:rStyle w:val="Emphasis"/>
          <w:color w:val="000000"/>
        </w:rPr>
        <w:t>How Much Do Natural Lashes Cost in London, UK? Classic vs Wispy vs Hybrid Pricing Guide</w:t>
      </w:r>
      <w:r>
        <w:rPr>
          <w:color w:val="000000"/>
        </w:rPr>
        <w:t>. Available at: https://www.glamorous-lashes.com/post/how-much-do-natural-lashes-cost-in-london-uk (Accessed: 28 June 2026).</w:t>
      </w:r>
    </w:p>
    <w:p w14:paraId="0DB40B89" w14:textId="77777777" w:rsidR="009058BF" w:rsidRDefault="009058BF">
      <w:pPr>
        <w:pStyle w:val="NormalWeb"/>
        <w:spacing w:line="360" w:lineRule="auto"/>
        <w:rPr>
          <w:color w:val="000000"/>
        </w:rPr>
      </w:pPr>
      <w:r>
        <w:rPr>
          <w:color w:val="000000"/>
        </w:rPr>
        <w:t xml:space="preserve">GOV.UK (2025) </w:t>
      </w:r>
      <w:r>
        <w:rPr>
          <w:rStyle w:val="Emphasis"/>
          <w:color w:val="000000"/>
        </w:rPr>
        <w:t>Set up as a sole trader: step by step</w:t>
      </w:r>
      <w:r>
        <w:rPr>
          <w:color w:val="000000"/>
        </w:rPr>
        <w:t>. Available at: https://www.gov.uk/set-up-as-sole-trader (Accessed: 28 June 2026).</w:t>
      </w:r>
    </w:p>
    <w:p w14:paraId="4F2B506C" w14:textId="77777777" w:rsidR="009058BF" w:rsidRDefault="009058BF">
      <w:pPr>
        <w:pStyle w:val="NormalWeb"/>
        <w:spacing w:line="360" w:lineRule="auto"/>
        <w:rPr>
          <w:color w:val="000000"/>
        </w:rPr>
      </w:pPr>
      <w:proofErr w:type="spellStart"/>
      <w:r>
        <w:rPr>
          <w:color w:val="000000"/>
        </w:rPr>
        <w:t>iLevel</w:t>
      </w:r>
      <w:proofErr w:type="spellEnd"/>
      <w:r>
        <w:rPr>
          <w:color w:val="000000"/>
        </w:rPr>
        <w:t xml:space="preserve"> Lab (2025) </w:t>
      </w:r>
      <w:r>
        <w:rPr>
          <w:rStyle w:val="Emphasis"/>
          <w:color w:val="000000"/>
        </w:rPr>
        <w:t>Vegan Plant-Based Lashes</w:t>
      </w:r>
      <w:r>
        <w:rPr>
          <w:color w:val="000000"/>
        </w:rPr>
        <w:t>. Available at: https://www.eyelashextensionssupplies.com/products/plant-based-lashes (Accessed: 28 June 2026).</w:t>
      </w:r>
    </w:p>
    <w:p w14:paraId="4BB92E47" w14:textId="77777777" w:rsidR="009058BF" w:rsidRDefault="009058BF">
      <w:pPr>
        <w:pStyle w:val="NormalWeb"/>
        <w:spacing w:line="360" w:lineRule="auto"/>
        <w:rPr>
          <w:color w:val="000000"/>
        </w:rPr>
      </w:pPr>
      <w:r>
        <w:rPr>
          <w:color w:val="000000"/>
        </w:rPr>
        <w:t xml:space="preserve">Imperial Lash (2025) </w:t>
      </w:r>
      <w:r>
        <w:rPr>
          <w:rStyle w:val="Emphasis"/>
          <w:color w:val="000000"/>
        </w:rPr>
        <w:t>Why Vegan and Cruelty-Free Lash Products Are the Future of Beauty</w:t>
      </w:r>
      <w:r>
        <w:rPr>
          <w:color w:val="000000"/>
        </w:rPr>
        <w:t>. Available at: https://imperiallash.co.uk/vegan-and-cruelty-free-lash-products/ (Accessed: 28 June 2026).</w:t>
      </w:r>
    </w:p>
    <w:p w14:paraId="1A313AFA" w14:textId="77777777" w:rsidR="009058BF" w:rsidRDefault="009058BF">
      <w:pPr>
        <w:pStyle w:val="NormalWeb"/>
        <w:spacing w:line="360" w:lineRule="auto"/>
        <w:rPr>
          <w:color w:val="000000"/>
        </w:rPr>
      </w:pPr>
      <w:proofErr w:type="spellStart"/>
      <w:r>
        <w:rPr>
          <w:color w:val="000000"/>
        </w:rPr>
        <w:t>Khoshroozadeh</w:t>
      </w:r>
      <w:proofErr w:type="spellEnd"/>
      <w:r>
        <w:rPr>
          <w:color w:val="000000"/>
        </w:rPr>
        <w:t xml:space="preserve">, S. (2024) ‘Entrepreneurship in Women’s Beauty Sciences’, </w:t>
      </w:r>
      <w:proofErr w:type="spellStart"/>
      <w:r>
        <w:rPr>
          <w:rStyle w:val="Emphasis"/>
          <w:color w:val="000000"/>
        </w:rPr>
        <w:t>Tubittum</w:t>
      </w:r>
      <w:proofErr w:type="spellEnd"/>
      <w:r>
        <w:rPr>
          <w:rStyle w:val="Emphasis"/>
          <w:color w:val="000000"/>
        </w:rPr>
        <w:t xml:space="preserve"> Journal of Applied Research</w:t>
      </w:r>
      <w:r>
        <w:rPr>
          <w:color w:val="000000"/>
        </w:rPr>
        <w:t>, 2(3), pp. 652–660.</w:t>
      </w:r>
    </w:p>
    <w:p w14:paraId="6DB052D9" w14:textId="77777777" w:rsidR="009058BF" w:rsidRDefault="009058BF">
      <w:pPr>
        <w:pStyle w:val="NormalWeb"/>
        <w:spacing w:line="360" w:lineRule="auto"/>
        <w:rPr>
          <w:color w:val="000000"/>
        </w:rPr>
      </w:pPr>
      <w:r>
        <w:rPr>
          <w:color w:val="000000"/>
        </w:rPr>
        <w:lastRenderedPageBreak/>
        <w:t xml:space="preserve">Legislation.gov.uk (2025) </w:t>
      </w:r>
      <w:r>
        <w:rPr>
          <w:rStyle w:val="Emphasis"/>
          <w:color w:val="000000"/>
        </w:rPr>
        <w:t>The Cosmetic Products (Restriction of Chemical Substances) Regulations 2025</w:t>
      </w:r>
      <w:r>
        <w:rPr>
          <w:color w:val="000000"/>
        </w:rPr>
        <w:t>. Available at: https://www.legislation.gov.uk/uksi/2025/413/made (Accessed: 28 June 2026).</w:t>
      </w:r>
    </w:p>
    <w:p w14:paraId="20673A5B" w14:textId="77777777" w:rsidR="009058BF" w:rsidRDefault="009058BF">
      <w:pPr>
        <w:pStyle w:val="NormalWeb"/>
        <w:spacing w:line="360" w:lineRule="auto"/>
        <w:rPr>
          <w:color w:val="000000"/>
        </w:rPr>
      </w:pPr>
      <w:r>
        <w:rPr>
          <w:color w:val="000000"/>
        </w:rPr>
        <w:t xml:space="preserve">Market Research Future (2025) </w:t>
      </w:r>
      <w:r>
        <w:rPr>
          <w:rStyle w:val="Emphasis"/>
          <w:color w:val="000000"/>
        </w:rPr>
        <w:t>UK Eyelash Enhancing Agents Market Size, Growth Report 2035</w:t>
      </w:r>
      <w:r>
        <w:rPr>
          <w:color w:val="000000"/>
        </w:rPr>
        <w:t>. Available at: https://www.marketresearchfuture.com/reports/uk-eyelashes-enhancing-agents-market-52870 (Accessed: 28 June 2026).</w:t>
      </w:r>
    </w:p>
    <w:p w14:paraId="333681B6" w14:textId="77777777" w:rsidR="009058BF" w:rsidRDefault="009058BF">
      <w:pPr>
        <w:pStyle w:val="NormalWeb"/>
        <w:spacing w:line="360" w:lineRule="auto"/>
        <w:rPr>
          <w:color w:val="000000"/>
        </w:rPr>
      </w:pPr>
      <w:r>
        <w:rPr>
          <w:color w:val="000000"/>
        </w:rPr>
        <w:t xml:space="preserve">Osterwalder, A. and Pigneur, Y. (2010) </w:t>
      </w:r>
      <w:r>
        <w:rPr>
          <w:rStyle w:val="Emphasis"/>
          <w:color w:val="000000"/>
        </w:rPr>
        <w:t>Business Model Generation: A Handbook for Visionaries, Game Changers, and Challengers</w:t>
      </w:r>
      <w:r>
        <w:rPr>
          <w:color w:val="000000"/>
        </w:rPr>
        <w:t>. Hoboken, NJ: John Wiley &amp; Sons.</w:t>
      </w:r>
    </w:p>
    <w:p w14:paraId="4D1AF5FD" w14:textId="77777777" w:rsidR="009058BF" w:rsidRDefault="009058BF">
      <w:pPr>
        <w:pStyle w:val="NormalWeb"/>
        <w:spacing w:line="360" w:lineRule="auto"/>
        <w:rPr>
          <w:color w:val="000000"/>
        </w:rPr>
      </w:pPr>
      <w:r>
        <w:rPr>
          <w:color w:val="000000"/>
        </w:rPr>
        <w:t xml:space="preserve">Russell Regulatory (2025) </w:t>
      </w:r>
      <w:r>
        <w:rPr>
          <w:rStyle w:val="Emphasis"/>
          <w:color w:val="000000"/>
        </w:rPr>
        <w:t>UK Cosmetic Regulation Guide 2025</w:t>
      </w:r>
      <w:r>
        <w:rPr>
          <w:color w:val="000000"/>
        </w:rPr>
        <w:t>. Available at: https://www.russellregulatoryconsultants.com/2025/06/17/uk-cosmetics-regulation-an-introduction-for-new-brands/ (Accessed: 28 June 2026).</w:t>
      </w:r>
    </w:p>
    <w:p w14:paraId="1E5BC0B5" w14:textId="77777777" w:rsidR="009058BF" w:rsidRDefault="009058BF">
      <w:pPr>
        <w:pStyle w:val="NormalWeb"/>
        <w:spacing w:line="360" w:lineRule="auto"/>
        <w:rPr>
          <w:color w:val="000000"/>
        </w:rPr>
      </w:pPr>
      <w:r>
        <w:rPr>
          <w:color w:val="000000"/>
        </w:rPr>
        <w:t xml:space="preserve">Salon Gold (2025) </w:t>
      </w:r>
      <w:r>
        <w:rPr>
          <w:rStyle w:val="Emphasis"/>
          <w:color w:val="000000"/>
        </w:rPr>
        <w:t>The Hottest 2025 Lash Trends</w:t>
      </w:r>
      <w:r>
        <w:rPr>
          <w:color w:val="000000"/>
        </w:rPr>
        <w:t>. Available at: https://www.salongold.co.uk/the-hub/hair-and-beauty/industry-trends-and-products/the-hottest-2025-lash-trends (Accessed: 28 June 2026).</w:t>
      </w:r>
    </w:p>
    <w:p w14:paraId="40FC9268" w14:textId="77777777" w:rsidR="009058BF" w:rsidRDefault="009058BF">
      <w:pPr>
        <w:pStyle w:val="NormalWeb"/>
        <w:spacing w:line="360" w:lineRule="auto"/>
        <w:rPr>
          <w:color w:val="000000"/>
        </w:rPr>
      </w:pPr>
      <w:r>
        <w:rPr>
          <w:color w:val="000000"/>
        </w:rPr>
        <w:t xml:space="preserve">Simply Business (2025) </w:t>
      </w:r>
      <w:r>
        <w:rPr>
          <w:rStyle w:val="Emphasis"/>
          <w:color w:val="000000"/>
        </w:rPr>
        <w:t>New HMRC Tax Guidance for Hair and Beauty Industry 2025</w:t>
      </w:r>
      <w:r>
        <w:rPr>
          <w:color w:val="000000"/>
        </w:rPr>
        <w:t>. Available at: https://www.simplybusiness.co.uk/knowledge/business-tax/new-tax-guidance-for-hair-and-beauty-professionals/ (Accessed: 28 June 2026).</w:t>
      </w:r>
    </w:p>
    <w:p w14:paraId="34897187" w14:textId="77777777" w:rsidR="009058BF" w:rsidRDefault="009058BF">
      <w:pPr>
        <w:pStyle w:val="NormalWeb"/>
        <w:spacing w:line="360" w:lineRule="auto"/>
        <w:rPr>
          <w:color w:val="000000"/>
        </w:rPr>
      </w:pPr>
      <w:r>
        <w:rPr>
          <w:color w:val="000000"/>
        </w:rPr>
        <w:t xml:space="preserve">Statista (2025) </w:t>
      </w:r>
      <w:r>
        <w:rPr>
          <w:rStyle w:val="Emphasis"/>
          <w:color w:val="000000"/>
        </w:rPr>
        <w:t>Forecast: Industry revenue of hairdressing and other beauty treatment in the United Kingdom 2012–2025</w:t>
      </w:r>
      <w:r>
        <w:rPr>
          <w:color w:val="000000"/>
        </w:rPr>
        <w:t>. Available at: https://www.statista.com/forecasts/1095309/hairdressing-and-other-beauty-treatment-revenue-in-the-united-kingdom (Accessed: 28 June 2026).</w:t>
      </w:r>
    </w:p>
    <w:sectPr w:rsidR="009058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B24"/>
    <w:rsid w:val="00445FE3"/>
    <w:rsid w:val="005A5D85"/>
    <w:rsid w:val="00762949"/>
    <w:rsid w:val="007D7CC9"/>
    <w:rsid w:val="009058BF"/>
    <w:rsid w:val="00E73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04B6A7"/>
  <w15:chartTrackingRefBased/>
  <w15:docId w15:val="{F2CF548A-1CE6-41A2-BE0C-4297574A0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spacing w:before="360" w:after="240"/>
      <w:outlineLvl w:val="0"/>
    </w:pPr>
    <w:rPr>
      <w:rFonts w:ascii="Arial" w:hAnsi="Arial" w:cs="Arial"/>
      <w:b/>
      <w:bCs/>
      <w:kern w:val="36"/>
      <w:sz w:val="36"/>
      <w:szCs w:val="36"/>
    </w:rPr>
  </w:style>
  <w:style w:type="paragraph" w:styleId="Heading2">
    <w:name w:val="heading 2"/>
    <w:basedOn w:val="Normal"/>
    <w:link w:val="Heading2Char"/>
    <w:uiPriority w:val="9"/>
    <w:qFormat/>
    <w:pPr>
      <w:spacing w:before="280" w:after="160"/>
      <w:outlineLvl w:val="1"/>
    </w:pPr>
    <w:rPr>
      <w:rFonts w:ascii="Arial" w:hAnsi="Arial" w:cs="Arial"/>
      <w:b/>
      <w:bCs/>
      <w:sz w:val="28"/>
      <w:szCs w:val="28"/>
    </w:rPr>
  </w:style>
  <w:style w:type="paragraph" w:styleId="Heading3">
    <w:name w:val="heading 3"/>
    <w:basedOn w:val="Normal"/>
    <w:link w:val="Heading3Char"/>
    <w:uiPriority w:val="9"/>
    <w:qFormat/>
    <w:pPr>
      <w:spacing w:before="240" w:after="120"/>
      <w:outlineLvl w:val="2"/>
    </w:pPr>
    <w:rPr>
      <w:rFonts w:ascii="Arial" w:hAnsi="Arial" w:cs="Arial"/>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Pr>
      <w:rFonts w:asciiTheme="majorHAnsi" w:eastAsiaTheme="majorEastAsia" w:hAnsiTheme="majorHAnsi" w:cstheme="majorBidi" w:hint="default"/>
      <w:color w:val="0F4761" w:themeColor="accent1" w:themeShade="BF"/>
      <w:sz w:val="40"/>
      <w:szCs w:val="40"/>
    </w:rPr>
  </w:style>
  <w:style w:type="character" w:customStyle="1" w:styleId="Heading2Char">
    <w:name w:val="Heading 2 Char"/>
    <w:basedOn w:val="DefaultParagraphFont"/>
    <w:link w:val="Heading2"/>
    <w:uiPriority w:val="9"/>
    <w:semiHidden/>
    <w:locked/>
    <w:rPr>
      <w:rFonts w:asciiTheme="majorHAnsi" w:eastAsiaTheme="majorEastAsia" w:hAnsiTheme="majorHAnsi" w:cstheme="majorBidi" w:hint="default"/>
      <w:color w:val="0F4761" w:themeColor="accent1" w:themeShade="BF"/>
      <w:sz w:val="32"/>
      <w:szCs w:val="32"/>
    </w:rPr>
  </w:style>
  <w:style w:type="character" w:customStyle="1" w:styleId="Heading3Char">
    <w:name w:val="Heading 3 Char"/>
    <w:basedOn w:val="DefaultParagraphFont"/>
    <w:link w:val="Heading3"/>
    <w:uiPriority w:val="9"/>
    <w:semiHidden/>
    <w:locked/>
    <w:rPr>
      <w:rFonts w:asciiTheme="minorHAnsi" w:eastAsiaTheme="majorEastAsia" w:hAnsiTheme="minorHAnsi" w:cstheme="majorBidi" w:hint="default"/>
      <w:color w:val="0F4761" w:themeColor="accent1" w:themeShade="BF"/>
      <w:sz w:val="28"/>
      <w:szCs w:val="28"/>
    </w:rPr>
  </w:style>
  <w:style w:type="paragraph" w:customStyle="1" w:styleId="msonormal0">
    <w:name w:val="msonormal"/>
    <w:basedOn w:val="Normal"/>
    <w:uiPriority w:val="99"/>
    <w:semiHidden/>
    <w:pPr>
      <w:spacing w:after="200"/>
      <w:jc w:val="both"/>
    </w:pPr>
    <w:rPr>
      <w:rFonts w:ascii="Arial" w:hAnsi="Arial" w:cs="Arial"/>
    </w:rPr>
  </w:style>
  <w:style w:type="paragraph" w:styleId="NormalWeb">
    <w:name w:val="Normal (Web)"/>
    <w:basedOn w:val="Normal"/>
    <w:uiPriority w:val="99"/>
    <w:semiHidden/>
    <w:unhideWhenUsed/>
    <w:pPr>
      <w:spacing w:after="200"/>
      <w:jc w:val="both"/>
    </w:pPr>
    <w:rPr>
      <w:rFonts w:ascii="Arial" w:hAnsi="Arial" w:cs="Arial"/>
    </w:rPr>
  </w:style>
  <w:style w:type="paragraph" w:customStyle="1" w:styleId="title-page">
    <w:name w:val="title-page"/>
    <w:basedOn w:val="Normal"/>
    <w:uiPriority w:val="99"/>
    <w:semiHidden/>
    <w:pPr>
      <w:spacing w:before="100" w:beforeAutospacing="1" w:after="100" w:afterAutospacing="1"/>
      <w:jc w:val="center"/>
    </w:pPr>
  </w:style>
  <w:style w:type="paragraph" w:customStyle="1" w:styleId="pagebreak">
    <w:name w:val="pagebreak"/>
    <w:basedOn w:val="Normal"/>
    <w:uiPriority w:val="99"/>
    <w:semiHidden/>
    <w:pPr>
      <w:pageBreakBefore/>
      <w:spacing w:before="100" w:beforeAutospacing="1" w:after="100" w:afterAutospacing="1"/>
    </w:pPr>
  </w:style>
  <w:style w:type="paragraph" w:customStyle="1" w:styleId="Caption1">
    <w:name w:val="Caption1"/>
    <w:basedOn w:val="Normal"/>
    <w:uiPriority w:val="99"/>
    <w:semiHidden/>
    <w:pPr>
      <w:spacing w:before="80" w:after="100" w:afterAutospacing="1"/>
      <w:jc w:val="center"/>
    </w:pPr>
    <w:rPr>
      <w:i/>
      <w:iCs/>
      <w:sz w:val="20"/>
      <w:szCs w:val="20"/>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678421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1977</Words>
  <Characters>13258</Characters>
  <Application>Microsoft Office Word</Application>
  <DocSecurity>0</DocSecurity>
  <Lines>110</Lines>
  <Paragraphs>30</Paragraphs>
  <ScaleCrop>false</ScaleCrop>
  <Company/>
  <LinksUpToDate>false</LinksUpToDate>
  <CharactersWithSpaces>15205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Lumi Lash Studio - Individual Written Business Plan</dc:title>
  <dc:subject/>
  <dc:creator>Marley Bub</dc:creator>
  <cp:keywords/>
  <dc:description/>
  <cp:lastModifiedBy>Maria Patru</cp:lastModifiedBy>
  <cp:revision>2</cp:revision>
  <dcterms:created xsi:type="dcterms:W3CDTF">2026-07-17T10:57:00Z</dcterms:created>
  <dcterms:modified xsi:type="dcterms:W3CDTF">2026-07-17T10:57:00Z</dcterms:modified>
</cp:coreProperties>
</file>