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A3F3C01" w14:textId="64550883" w:rsidR="003316FC" w:rsidRDefault="00E13943">
      <w:r>
        <w:t>Georgian-Razvan Carpaci</w:t>
      </w:r>
    </w:p>
    <w:p w14:paraId="5A3CFE34" w14:textId="2D1293B3" w:rsidR="0081754E" w:rsidRDefault="00E13943" w:rsidP="0081754E">
      <w:pPr>
        <w:pStyle w:val="Title"/>
        <w:jc w:val="center"/>
      </w:pPr>
      <w:r>
        <w:t>Judicial Independence</w:t>
      </w:r>
    </w:p>
    <w:p w14:paraId="51ADB805" w14:textId="514652AF" w:rsidR="00A77E3A" w:rsidRDefault="0081754E" w:rsidP="0081754E">
      <w:r>
        <w:t xml:space="preserve">Judicial independence is when judges are free to judge without intervention from other members of parliament, the media or someone powerful or big companies. It is important because judges get to decide matters between citizen and the state. For </w:t>
      </w:r>
      <w:r w:rsidR="00AE1A79">
        <w:t>example,</w:t>
      </w:r>
      <w:r>
        <w:t xml:space="preserve"> it is obvious that it’s not fair for the judge who </w:t>
      </w:r>
      <w:proofErr w:type="gramStart"/>
      <w:r>
        <w:t>is in charge of</w:t>
      </w:r>
      <w:proofErr w:type="gramEnd"/>
      <w:r>
        <w:t xml:space="preserve"> a criminal </w:t>
      </w:r>
      <w:r w:rsidR="00AE1A79">
        <w:t xml:space="preserve">trial against a citizen and the state to put pressure on the judge how to judge the citizen, or even tell the judge what sentence to give. Judicial independence is important it doesn’t matter what case it is civil or criminal. Anyone involved in a case before the courts </w:t>
      </w:r>
      <w:proofErr w:type="gramStart"/>
      <w:r w:rsidR="00AE1A79">
        <w:t>have to</w:t>
      </w:r>
      <w:proofErr w:type="gramEnd"/>
      <w:r w:rsidR="00AE1A79">
        <w:t xml:space="preserve"> be certain the judge appointed to their case won’t be influenced by someone or even by his own interests</w:t>
      </w:r>
      <w:sdt>
        <w:sdtPr>
          <w:id w:val="1844354246"/>
          <w:citation/>
        </w:sdtPr>
        <w:sdtContent>
          <w:r w:rsidR="00AE1A79">
            <w:fldChar w:fldCharType="begin"/>
          </w:r>
          <w:r w:rsidR="00AE1A79">
            <w:instrText xml:space="preserve"> CITATION Cou20 \l 2057 </w:instrText>
          </w:r>
          <w:r w:rsidR="00AE1A79">
            <w:fldChar w:fldCharType="separate"/>
          </w:r>
          <w:r w:rsidR="0058237B">
            <w:rPr>
              <w:noProof/>
            </w:rPr>
            <w:t xml:space="preserve"> </w:t>
          </w:r>
          <w:r w:rsidR="0058237B" w:rsidRPr="0058237B">
            <w:rPr>
              <w:noProof/>
            </w:rPr>
            <w:t>(Courts and Tribunals Judiciary, 2020)</w:t>
          </w:r>
          <w:r w:rsidR="00AE1A79">
            <w:fldChar w:fldCharType="end"/>
          </w:r>
        </w:sdtContent>
      </w:sdt>
      <w:r w:rsidR="00352BD8">
        <w:t>.</w:t>
      </w:r>
    </w:p>
    <w:p w14:paraId="564B2551" w14:textId="2343575D" w:rsidR="00A77E3A" w:rsidRDefault="00A77E3A" w:rsidP="0081754E">
      <w:r>
        <w:t xml:space="preserve">United Kingdom doesn’t have a written constitution. The constitution for United Kingdom is found in the statutes passed by Parliament and in the common law. The law’s United Kingdom has, have developed over the centuries by the </w:t>
      </w:r>
      <w:proofErr w:type="gramStart"/>
      <w:r>
        <w:t>courts</w:t>
      </w:r>
      <w:proofErr w:type="gramEnd"/>
      <w:r>
        <w:t xml:space="preserve"> decisions. The consequence of not having a written constitution </w:t>
      </w:r>
      <w:r w:rsidR="00BB7AEF">
        <w:t>is that there is no separation between the powers. The Constitutional Reform Act 2005 have done more than just reforming the office of Lord Chancellor, it referenced to the rule of law and the independence of the judiciary. The Act includes a duty for the government ministers to maintain the independence of the judiciary. Ministers are prohibited from influencing the judicial decision through any access to judges</w:t>
      </w:r>
      <w:r w:rsidR="00352BD8">
        <w:t>. The Lord Chancellor has the duty to protect the judiciary’s independence</w:t>
      </w:r>
      <w:sdt>
        <w:sdtPr>
          <w:id w:val="-612668830"/>
          <w:citation/>
        </w:sdtPr>
        <w:sdtContent>
          <w:r w:rsidR="00352BD8">
            <w:fldChar w:fldCharType="begin"/>
          </w:r>
          <w:r w:rsidR="00352BD8">
            <w:instrText xml:space="preserve"> CITATION Cou201 \l 2057 </w:instrText>
          </w:r>
          <w:r w:rsidR="00352BD8">
            <w:fldChar w:fldCharType="separate"/>
          </w:r>
          <w:r w:rsidR="0058237B">
            <w:rPr>
              <w:noProof/>
            </w:rPr>
            <w:t xml:space="preserve"> </w:t>
          </w:r>
          <w:r w:rsidR="0058237B" w:rsidRPr="0058237B">
            <w:rPr>
              <w:noProof/>
            </w:rPr>
            <w:t>(Courts and Tribunals Judiciary, 2020)</w:t>
          </w:r>
          <w:r w:rsidR="00352BD8">
            <w:fldChar w:fldCharType="end"/>
          </w:r>
        </w:sdtContent>
      </w:sdt>
      <w:r w:rsidR="00352BD8">
        <w:t>.</w:t>
      </w:r>
    </w:p>
    <w:p w14:paraId="59EC3037" w14:textId="6BD75012" w:rsidR="00352BD8" w:rsidRDefault="007F47F8" w:rsidP="0081754E">
      <w:r>
        <w:t>Separation of powers can be reviewed by looking at the separation of governmental functions. The most obvious change in the separation of power can be seen in the separation that CRA 2005 brought, by making the Supreme Court</w:t>
      </w:r>
      <w:sdt>
        <w:sdtPr>
          <w:id w:val="-1644490232"/>
          <w:citation/>
        </w:sdtPr>
        <w:sdtContent>
          <w:r>
            <w:fldChar w:fldCharType="begin"/>
          </w:r>
          <w:r>
            <w:instrText xml:space="preserve"> CITATION Mas10 \l 2057 </w:instrText>
          </w:r>
          <w:r>
            <w:fldChar w:fldCharType="separate"/>
          </w:r>
          <w:r w:rsidR="0058237B">
            <w:rPr>
              <w:noProof/>
            </w:rPr>
            <w:t xml:space="preserve"> </w:t>
          </w:r>
          <w:r w:rsidR="0058237B" w:rsidRPr="0058237B">
            <w:rPr>
              <w:noProof/>
            </w:rPr>
            <w:t>(Masterman, 2010)</w:t>
          </w:r>
          <w:r>
            <w:fldChar w:fldCharType="end"/>
          </w:r>
        </w:sdtContent>
      </w:sdt>
      <w:r>
        <w:t>.</w:t>
      </w:r>
    </w:p>
    <w:p w14:paraId="53EDB7DA" w14:textId="2F40F35D" w:rsidR="00041096" w:rsidRDefault="00041096" w:rsidP="0081754E">
      <w:r>
        <w:t>The French philosopher, Montesquieu in his book ‘’The Spirit of Law’’. Mentioned that there is no independence if the judiciary, legislative and executive aren’t separated.</w:t>
      </w:r>
      <w:r w:rsidR="00B240E9">
        <w:t xml:space="preserve"> If judiciary power were joined to legislative power, the life and independence of the citizens would be unjustified, as the judge would be the legislator. If judiciary and executive were one body, the judge could have to power of </w:t>
      </w:r>
      <w:r w:rsidR="004609AF">
        <w:t>a</w:t>
      </w:r>
      <w:r w:rsidR="00B240E9">
        <w:t xml:space="preserve"> dictator</w:t>
      </w:r>
      <w:sdt>
        <w:sdtPr>
          <w:id w:val="266968538"/>
          <w:citation/>
        </w:sdtPr>
        <w:sdtContent>
          <w:r w:rsidR="00B240E9">
            <w:fldChar w:fldCharType="begin"/>
          </w:r>
          <w:r w:rsidR="00B240E9">
            <w:instrText xml:space="preserve"> CITATION All18 \l 2057 </w:instrText>
          </w:r>
          <w:r w:rsidR="00B240E9">
            <w:fldChar w:fldCharType="separate"/>
          </w:r>
          <w:r w:rsidR="0058237B">
            <w:rPr>
              <w:noProof/>
            </w:rPr>
            <w:t xml:space="preserve"> </w:t>
          </w:r>
          <w:r w:rsidR="0058237B" w:rsidRPr="0058237B">
            <w:rPr>
              <w:noProof/>
            </w:rPr>
            <w:t>(All Answers Ltd., 2018)</w:t>
          </w:r>
          <w:r w:rsidR="00B240E9">
            <w:fldChar w:fldCharType="end"/>
          </w:r>
        </w:sdtContent>
      </w:sdt>
      <w:r w:rsidR="00F84ED7">
        <w:t>.</w:t>
      </w:r>
    </w:p>
    <w:p w14:paraId="7C0AD95D" w14:textId="473D0178" w:rsidR="00F84ED7" w:rsidRDefault="00D03585" w:rsidP="0081754E">
      <w:r>
        <w:t xml:space="preserve">The CRA </w:t>
      </w:r>
      <w:r w:rsidR="007933BA">
        <w:t>refers to the independence of the judiciary and explains the aspects</w:t>
      </w:r>
      <w:r w:rsidR="000217A3">
        <w:t xml:space="preserve">. Section 3(1) says that The Lord Chancellor and other Ministers of </w:t>
      </w:r>
      <w:r w:rsidR="00510FA5">
        <w:t xml:space="preserve">the Crown </w:t>
      </w:r>
      <w:r w:rsidR="00002E6C">
        <w:t xml:space="preserve">must keep the continued independence of the judiciary. Section 3(5) </w:t>
      </w:r>
      <w:r w:rsidR="00A7428B">
        <w:t xml:space="preserve">says </w:t>
      </w:r>
      <w:r w:rsidR="00A82BBA">
        <w:t xml:space="preserve">that The Lord Chancellor and other Ministers of the Crown should not try to </w:t>
      </w:r>
      <w:r w:rsidR="00382A84">
        <w:t xml:space="preserve">influence judicial decision through any special access </w:t>
      </w:r>
      <w:r w:rsidR="003D70B7">
        <w:t>to the judiciary.</w:t>
      </w:r>
      <w:r w:rsidR="00143F3A">
        <w:t xml:space="preserve"> The Lord Chancellor </w:t>
      </w:r>
      <w:r w:rsidR="00B322B4">
        <w:t xml:space="preserve">under section 3(6) </w:t>
      </w:r>
      <w:r w:rsidR="00E06CCC">
        <w:t>must protect that independence</w:t>
      </w:r>
      <w:r w:rsidR="00532D74">
        <w:t>.</w:t>
      </w:r>
      <w:sdt>
        <w:sdtPr>
          <w:id w:val="1581405158"/>
          <w:citation/>
        </w:sdtPr>
        <w:sdtContent>
          <w:r w:rsidR="00584FC9">
            <w:fldChar w:fldCharType="begin"/>
          </w:r>
          <w:r w:rsidR="0064543F">
            <w:instrText xml:space="preserve">CITATION Hou07 \l 2057 </w:instrText>
          </w:r>
          <w:r w:rsidR="00584FC9">
            <w:fldChar w:fldCharType="separate"/>
          </w:r>
          <w:r w:rsidR="0058237B">
            <w:rPr>
              <w:noProof/>
            </w:rPr>
            <w:t xml:space="preserve"> </w:t>
          </w:r>
          <w:r w:rsidR="0058237B" w:rsidRPr="0058237B">
            <w:rPr>
              <w:noProof/>
            </w:rPr>
            <w:t>(House of Lords, 2007)</w:t>
          </w:r>
          <w:r w:rsidR="00584FC9">
            <w:fldChar w:fldCharType="end"/>
          </w:r>
        </w:sdtContent>
      </w:sdt>
    </w:p>
    <w:p w14:paraId="297F2149" w14:textId="225EE17E" w:rsidR="000C5361" w:rsidRDefault="009C52FF" w:rsidP="0081754E">
      <w:pPr>
        <w:rPr>
          <w:rFonts w:ascii="Calibri" w:hAnsi="Calibri" w:cs="Calibri"/>
          <w:lang w:val="en"/>
        </w:rPr>
      </w:pPr>
      <w:r>
        <w:t xml:space="preserve">According to </w:t>
      </w:r>
      <w:r w:rsidR="00747AD7">
        <w:t>(Barnett,2017)</w:t>
      </w:r>
      <w:r w:rsidR="008817F9" w:rsidRPr="008817F9">
        <w:rPr>
          <w:rFonts w:ascii="Calibri" w:hAnsi="Calibri" w:cs="Calibri"/>
          <w:lang w:val="en"/>
        </w:rPr>
        <w:t xml:space="preserve"> </w:t>
      </w:r>
      <w:r w:rsidR="008817F9">
        <w:rPr>
          <w:rFonts w:ascii="Calibri" w:hAnsi="Calibri" w:cs="Calibri"/>
          <w:lang w:val="en"/>
        </w:rPr>
        <w:t>one of the most discussed parts of the connection between the legislature and the judges lies in the inquiry: 'do judges make law?' In constitutional terms, the issue is whether by making law, the judges are breaching the separation of powers</w:t>
      </w:r>
      <w:sdt>
        <w:sdtPr>
          <w:rPr>
            <w:rFonts w:ascii="Calibri" w:hAnsi="Calibri" w:cs="Calibri"/>
            <w:lang w:val="en"/>
          </w:rPr>
          <w:id w:val="-1711177546"/>
          <w:citation/>
        </w:sdtPr>
        <w:sdtContent>
          <w:r w:rsidR="000C5361">
            <w:rPr>
              <w:rFonts w:ascii="Calibri" w:hAnsi="Calibri" w:cs="Calibri"/>
              <w:lang w:val="en"/>
            </w:rPr>
            <w:fldChar w:fldCharType="begin"/>
          </w:r>
          <w:r w:rsidR="000C5361">
            <w:rPr>
              <w:rFonts w:ascii="Calibri" w:hAnsi="Calibri" w:cs="Calibri"/>
            </w:rPr>
            <w:instrText xml:space="preserve"> CITATION Hil17 \l 2057 </w:instrText>
          </w:r>
          <w:r w:rsidR="000C5361">
            <w:rPr>
              <w:rFonts w:ascii="Calibri" w:hAnsi="Calibri" w:cs="Calibri"/>
              <w:lang w:val="en"/>
            </w:rPr>
            <w:fldChar w:fldCharType="separate"/>
          </w:r>
          <w:r w:rsidR="0058237B">
            <w:rPr>
              <w:rFonts w:ascii="Calibri" w:hAnsi="Calibri" w:cs="Calibri"/>
              <w:noProof/>
            </w:rPr>
            <w:t xml:space="preserve"> </w:t>
          </w:r>
          <w:r w:rsidR="0058237B" w:rsidRPr="0058237B">
            <w:rPr>
              <w:rFonts w:ascii="Calibri" w:hAnsi="Calibri" w:cs="Calibri"/>
              <w:noProof/>
            </w:rPr>
            <w:t>(Barnett, 2017)</w:t>
          </w:r>
          <w:r w:rsidR="000C5361">
            <w:rPr>
              <w:rFonts w:ascii="Calibri" w:hAnsi="Calibri" w:cs="Calibri"/>
              <w:lang w:val="en"/>
            </w:rPr>
            <w:fldChar w:fldCharType="end"/>
          </w:r>
        </w:sdtContent>
      </w:sdt>
      <w:r w:rsidR="009935C7">
        <w:rPr>
          <w:rFonts w:ascii="Calibri" w:hAnsi="Calibri" w:cs="Calibri"/>
          <w:lang w:val="en"/>
        </w:rPr>
        <w:t>.</w:t>
      </w:r>
    </w:p>
    <w:p w14:paraId="03D2F9A0" w14:textId="10945AF0" w:rsidR="00692B49" w:rsidRDefault="00D93CA9" w:rsidP="00692B49">
      <w:pPr>
        <w:autoSpaceDE w:val="0"/>
        <w:autoSpaceDN w:val="0"/>
        <w:adjustRightInd w:val="0"/>
        <w:spacing w:after="200" w:line="276" w:lineRule="auto"/>
        <w:rPr>
          <w:rFonts w:ascii="Calibri" w:hAnsi="Calibri" w:cs="Calibri"/>
          <w:lang w:val="en"/>
        </w:rPr>
      </w:pPr>
      <w:r>
        <w:rPr>
          <w:rFonts w:ascii="Calibri" w:hAnsi="Calibri" w:cs="Calibri"/>
          <w:lang w:val="en"/>
        </w:rPr>
        <w:t xml:space="preserve">According to </w:t>
      </w:r>
      <w:sdt>
        <w:sdtPr>
          <w:rPr>
            <w:rFonts w:ascii="Calibri" w:hAnsi="Calibri" w:cs="Calibri"/>
            <w:lang w:val="en"/>
          </w:rPr>
          <w:id w:val="2114788985"/>
          <w:citation/>
        </w:sdtPr>
        <w:sdtContent>
          <w:r>
            <w:rPr>
              <w:rFonts w:ascii="Calibri" w:hAnsi="Calibri" w:cs="Calibri"/>
              <w:lang w:val="en"/>
            </w:rPr>
            <w:fldChar w:fldCharType="begin"/>
          </w:r>
          <w:r>
            <w:rPr>
              <w:rFonts w:ascii="Calibri" w:hAnsi="Calibri" w:cs="Calibri"/>
            </w:rPr>
            <w:instrText xml:space="preserve"> CITATION Lor11 \l 2057 </w:instrText>
          </w:r>
          <w:r>
            <w:rPr>
              <w:rFonts w:ascii="Calibri" w:hAnsi="Calibri" w:cs="Calibri"/>
              <w:lang w:val="en"/>
            </w:rPr>
            <w:fldChar w:fldCharType="separate"/>
          </w:r>
          <w:r w:rsidR="0058237B" w:rsidRPr="0058237B">
            <w:rPr>
              <w:rFonts w:ascii="Calibri" w:hAnsi="Calibri" w:cs="Calibri"/>
              <w:noProof/>
            </w:rPr>
            <w:t>(Phillips, 2011)</w:t>
          </w:r>
          <w:r>
            <w:rPr>
              <w:rFonts w:ascii="Calibri" w:hAnsi="Calibri" w:cs="Calibri"/>
              <w:lang w:val="en"/>
            </w:rPr>
            <w:fldChar w:fldCharType="end"/>
          </w:r>
        </w:sdtContent>
      </w:sdt>
      <w:r w:rsidR="00692B49">
        <w:rPr>
          <w:rFonts w:ascii="Calibri" w:hAnsi="Calibri" w:cs="Calibri"/>
          <w:lang w:val="en"/>
        </w:rPr>
        <w:t xml:space="preserve">Institutional independence of the judiciary isn't in every case simple to accomplish, especially as it should be joined with an </w:t>
      </w:r>
      <w:r w:rsidR="00CC0798">
        <w:rPr>
          <w:rFonts w:ascii="Calibri" w:hAnsi="Calibri" w:cs="Calibri"/>
          <w:lang w:val="en"/>
        </w:rPr>
        <w:t>appropriate</w:t>
      </w:r>
      <w:r w:rsidR="00692B49">
        <w:rPr>
          <w:rFonts w:ascii="Calibri" w:hAnsi="Calibri" w:cs="Calibri"/>
          <w:lang w:val="en"/>
        </w:rPr>
        <w:t xml:space="preserve"> level of responsibility. Consistent carefulness is required from both judges and ministers. A carefully conceived legal </w:t>
      </w:r>
      <w:r w:rsidR="00CC0798">
        <w:rPr>
          <w:rFonts w:ascii="Calibri" w:hAnsi="Calibri" w:cs="Calibri"/>
          <w:lang w:val="en"/>
        </w:rPr>
        <w:t>structure</w:t>
      </w:r>
      <w:r w:rsidR="00692B49">
        <w:rPr>
          <w:rFonts w:ascii="Calibri" w:hAnsi="Calibri" w:cs="Calibri"/>
          <w:lang w:val="en"/>
        </w:rPr>
        <w:t xml:space="preserve"> can accomplish much however not all that matters. The setting up of a supreme court was planned to allow all to see that the final court of appeal of the United Kingdom is </w:t>
      </w:r>
      <w:proofErr w:type="gramStart"/>
      <w:r w:rsidR="00692B49">
        <w:rPr>
          <w:rFonts w:ascii="Calibri" w:hAnsi="Calibri" w:cs="Calibri"/>
          <w:lang w:val="en"/>
        </w:rPr>
        <w:t>completely separate</w:t>
      </w:r>
      <w:proofErr w:type="gramEnd"/>
      <w:r w:rsidR="00692B49">
        <w:rPr>
          <w:rFonts w:ascii="Calibri" w:hAnsi="Calibri" w:cs="Calibri"/>
          <w:lang w:val="en"/>
        </w:rPr>
        <w:t xml:space="preserve"> from the legislature and the executive and to expand </w:t>
      </w:r>
      <w:r>
        <w:rPr>
          <w:rFonts w:ascii="Calibri" w:hAnsi="Calibri" w:cs="Calibri"/>
          <w:lang w:val="en"/>
        </w:rPr>
        <w:t>responsibility</w:t>
      </w:r>
      <w:r w:rsidR="00692B49">
        <w:rPr>
          <w:rFonts w:ascii="Calibri" w:hAnsi="Calibri" w:cs="Calibri"/>
          <w:lang w:val="en"/>
        </w:rPr>
        <w:t xml:space="preserve"> through more prominent, straightforward and simpler access</w:t>
      </w:r>
      <w:sdt>
        <w:sdtPr>
          <w:rPr>
            <w:rFonts w:ascii="Calibri" w:hAnsi="Calibri" w:cs="Calibri"/>
            <w:lang w:val="en"/>
          </w:rPr>
          <w:id w:val="-2004650216"/>
          <w:citation/>
        </w:sdtPr>
        <w:sdtContent>
          <w:r>
            <w:rPr>
              <w:rFonts w:ascii="Calibri" w:hAnsi="Calibri" w:cs="Calibri"/>
              <w:lang w:val="en"/>
            </w:rPr>
            <w:fldChar w:fldCharType="begin"/>
          </w:r>
          <w:r>
            <w:rPr>
              <w:rFonts w:ascii="Calibri" w:hAnsi="Calibri" w:cs="Calibri"/>
            </w:rPr>
            <w:instrText xml:space="preserve"> CITATION Lor11 \l 2057 </w:instrText>
          </w:r>
          <w:r>
            <w:rPr>
              <w:rFonts w:ascii="Calibri" w:hAnsi="Calibri" w:cs="Calibri"/>
              <w:lang w:val="en"/>
            </w:rPr>
            <w:fldChar w:fldCharType="separate"/>
          </w:r>
          <w:r w:rsidR="0058237B">
            <w:rPr>
              <w:rFonts w:ascii="Calibri" w:hAnsi="Calibri" w:cs="Calibri"/>
              <w:noProof/>
            </w:rPr>
            <w:t xml:space="preserve"> </w:t>
          </w:r>
          <w:r w:rsidR="0058237B" w:rsidRPr="0058237B">
            <w:rPr>
              <w:rFonts w:ascii="Calibri" w:hAnsi="Calibri" w:cs="Calibri"/>
              <w:noProof/>
            </w:rPr>
            <w:t>(Phillips, 2011)</w:t>
          </w:r>
          <w:r>
            <w:rPr>
              <w:rFonts w:ascii="Calibri" w:hAnsi="Calibri" w:cs="Calibri"/>
              <w:lang w:val="en"/>
            </w:rPr>
            <w:fldChar w:fldCharType="end"/>
          </w:r>
        </w:sdtContent>
      </w:sdt>
      <w:r w:rsidR="00692B49">
        <w:rPr>
          <w:rFonts w:ascii="Calibri" w:hAnsi="Calibri" w:cs="Calibri"/>
          <w:lang w:val="en"/>
        </w:rPr>
        <w:t>.</w:t>
      </w:r>
    </w:p>
    <w:p w14:paraId="295CC20A" w14:textId="11285C1C" w:rsidR="009509B0" w:rsidRDefault="003E0D4D" w:rsidP="009509B0">
      <w:pPr>
        <w:autoSpaceDE w:val="0"/>
        <w:autoSpaceDN w:val="0"/>
        <w:adjustRightInd w:val="0"/>
        <w:spacing w:after="200" w:line="276" w:lineRule="auto"/>
        <w:rPr>
          <w:rFonts w:ascii="Calibri" w:hAnsi="Calibri" w:cs="Calibri"/>
          <w:lang w:val="en"/>
        </w:rPr>
      </w:pPr>
      <w:r>
        <w:rPr>
          <w:rFonts w:ascii="Calibri" w:hAnsi="Calibri" w:cs="Calibri"/>
          <w:lang w:val="en"/>
        </w:rPr>
        <w:t xml:space="preserve">According to </w:t>
      </w:r>
      <w:sdt>
        <w:sdtPr>
          <w:rPr>
            <w:rFonts w:ascii="Calibri" w:hAnsi="Calibri" w:cs="Calibri"/>
            <w:lang w:val="en"/>
          </w:rPr>
          <w:id w:val="731969344"/>
          <w:citation/>
        </w:sdtPr>
        <w:sdtContent>
          <w:r w:rsidR="00124302">
            <w:rPr>
              <w:rFonts w:ascii="Calibri" w:hAnsi="Calibri" w:cs="Calibri"/>
              <w:lang w:val="en"/>
            </w:rPr>
            <w:fldChar w:fldCharType="begin"/>
          </w:r>
          <w:r w:rsidR="00124302">
            <w:rPr>
              <w:rFonts w:ascii="Calibri" w:hAnsi="Calibri" w:cs="Calibri"/>
            </w:rPr>
            <w:instrText xml:space="preserve"> CITATION Hil09 \l 2057 </w:instrText>
          </w:r>
          <w:r w:rsidR="00124302">
            <w:rPr>
              <w:rFonts w:ascii="Calibri" w:hAnsi="Calibri" w:cs="Calibri"/>
              <w:lang w:val="en"/>
            </w:rPr>
            <w:fldChar w:fldCharType="separate"/>
          </w:r>
          <w:r w:rsidR="0058237B" w:rsidRPr="0058237B">
            <w:rPr>
              <w:rFonts w:ascii="Calibri" w:hAnsi="Calibri" w:cs="Calibri"/>
              <w:noProof/>
            </w:rPr>
            <w:t>(Barnett, 2009)</w:t>
          </w:r>
          <w:r w:rsidR="00124302">
            <w:rPr>
              <w:rFonts w:ascii="Calibri" w:hAnsi="Calibri" w:cs="Calibri"/>
              <w:lang w:val="en"/>
            </w:rPr>
            <w:fldChar w:fldCharType="end"/>
          </w:r>
        </w:sdtContent>
      </w:sdt>
      <w:r w:rsidR="009509B0">
        <w:rPr>
          <w:rFonts w:ascii="Calibri" w:hAnsi="Calibri" w:cs="Calibri"/>
          <w:lang w:val="en"/>
        </w:rPr>
        <w:t xml:space="preserve">Parliament is the sovereign law-making </w:t>
      </w:r>
      <w:proofErr w:type="gramStart"/>
      <w:r w:rsidR="009509B0">
        <w:rPr>
          <w:rFonts w:ascii="Calibri" w:hAnsi="Calibri" w:cs="Calibri"/>
          <w:lang w:val="en"/>
        </w:rPr>
        <w:t>body</w:t>
      </w:r>
      <w:proofErr w:type="gramEnd"/>
      <w:r w:rsidR="009509B0">
        <w:rPr>
          <w:rFonts w:ascii="Calibri" w:hAnsi="Calibri" w:cs="Calibri"/>
          <w:lang w:val="en"/>
        </w:rPr>
        <w:t xml:space="preserve"> and the judges are unavoidably subordinate to parliament. notwithstanding, it has consistently been the situation that judges add to the law-making process, both through the improvement of the common law and through legal understanding. From the viewpoint of the separation of powers, it is critical to comprehend the evident paradox of judges, the judiciary, 'making law' - a component of the legislature. </w:t>
      </w:r>
    </w:p>
    <w:p w14:paraId="565B97AC" w14:textId="4F2963BF" w:rsidR="009509B0" w:rsidRDefault="009509B0" w:rsidP="009509B0">
      <w:pPr>
        <w:autoSpaceDE w:val="0"/>
        <w:autoSpaceDN w:val="0"/>
        <w:adjustRightInd w:val="0"/>
        <w:spacing w:after="200" w:line="276" w:lineRule="auto"/>
        <w:rPr>
          <w:rFonts w:ascii="Calibri" w:hAnsi="Calibri" w:cs="Calibri"/>
          <w:lang w:val="en"/>
        </w:rPr>
      </w:pPr>
      <w:r>
        <w:rPr>
          <w:rFonts w:ascii="Calibri" w:hAnsi="Calibri" w:cs="Calibri"/>
          <w:lang w:val="en"/>
        </w:rPr>
        <w:t>The common law includes those lawful principles and methods that are regular to the entire nation. in the soonest times, parliament was distant from individuals, while the courts were nearby and available. appropriately, it was the judges who built up the law through their decisions. to accomplish some consistency, the doctrine of precedent applied</w:t>
      </w:r>
      <w:sdt>
        <w:sdtPr>
          <w:rPr>
            <w:rFonts w:ascii="Calibri" w:hAnsi="Calibri" w:cs="Calibri"/>
            <w:lang w:val="en"/>
          </w:rPr>
          <w:id w:val="-1522159348"/>
          <w:citation/>
        </w:sdtPr>
        <w:sdtContent>
          <w:r w:rsidR="0019191A">
            <w:rPr>
              <w:rFonts w:ascii="Calibri" w:hAnsi="Calibri" w:cs="Calibri"/>
              <w:lang w:val="en"/>
            </w:rPr>
            <w:fldChar w:fldCharType="begin"/>
          </w:r>
          <w:r w:rsidR="0019191A">
            <w:rPr>
              <w:rFonts w:ascii="Calibri" w:hAnsi="Calibri" w:cs="Calibri"/>
            </w:rPr>
            <w:instrText xml:space="preserve"> CITATION Hil09 \l 2057 </w:instrText>
          </w:r>
          <w:r w:rsidR="0019191A">
            <w:rPr>
              <w:rFonts w:ascii="Calibri" w:hAnsi="Calibri" w:cs="Calibri"/>
              <w:lang w:val="en"/>
            </w:rPr>
            <w:fldChar w:fldCharType="separate"/>
          </w:r>
          <w:r w:rsidR="0058237B">
            <w:rPr>
              <w:rFonts w:ascii="Calibri" w:hAnsi="Calibri" w:cs="Calibri"/>
              <w:noProof/>
            </w:rPr>
            <w:t xml:space="preserve"> </w:t>
          </w:r>
          <w:r w:rsidR="0058237B" w:rsidRPr="0058237B">
            <w:rPr>
              <w:rFonts w:ascii="Calibri" w:hAnsi="Calibri" w:cs="Calibri"/>
              <w:noProof/>
            </w:rPr>
            <w:t>(Barnett, 2009)</w:t>
          </w:r>
          <w:r w:rsidR="0019191A">
            <w:rPr>
              <w:rFonts w:ascii="Calibri" w:hAnsi="Calibri" w:cs="Calibri"/>
              <w:lang w:val="en"/>
            </w:rPr>
            <w:fldChar w:fldCharType="end"/>
          </w:r>
        </w:sdtContent>
      </w:sdt>
      <w:r>
        <w:rPr>
          <w:rFonts w:ascii="Calibri" w:hAnsi="Calibri" w:cs="Calibri"/>
          <w:lang w:val="en"/>
        </w:rPr>
        <w:t>.</w:t>
      </w:r>
    </w:p>
    <w:p w14:paraId="09B5174D" w14:textId="6C85CE9E" w:rsidR="00680F6D" w:rsidRDefault="00680F6D" w:rsidP="009509B0">
      <w:pPr>
        <w:autoSpaceDE w:val="0"/>
        <w:autoSpaceDN w:val="0"/>
        <w:adjustRightInd w:val="0"/>
        <w:spacing w:after="200" w:line="276" w:lineRule="auto"/>
        <w:rPr>
          <w:rFonts w:ascii="Calibri" w:hAnsi="Calibri" w:cs="Calibri"/>
          <w:lang w:val="en"/>
        </w:rPr>
      </w:pPr>
      <w:r>
        <w:rPr>
          <w:rFonts w:ascii="Calibri" w:hAnsi="Calibri" w:cs="Calibri"/>
          <w:lang w:val="en"/>
        </w:rPr>
        <w:t>(Alder,201</w:t>
      </w:r>
      <w:r w:rsidR="003800EA">
        <w:rPr>
          <w:rFonts w:ascii="Calibri" w:hAnsi="Calibri" w:cs="Calibri"/>
          <w:lang w:val="en"/>
        </w:rPr>
        <w:t>5</w:t>
      </w:r>
      <w:r>
        <w:rPr>
          <w:rFonts w:ascii="Calibri" w:hAnsi="Calibri" w:cs="Calibri"/>
          <w:lang w:val="en"/>
        </w:rPr>
        <w:t xml:space="preserve">) Says, </w:t>
      </w:r>
      <w:r w:rsidR="007D3A21">
        <w:rPr>
          <w:rFonts w:ascii="Calibri" w:hAnsi="Calibri" w:cs="Calibri"/>
          <w:lang w:val="en"/>
        </w:rPr>
        <w:t xml:space="preserve">that it is significant for judicial independence that judges have no obligation to advise the executive. Nonetheless, judges are here and there selected to do examinations or investigations into charges again the government or significant incidents. This conveys the danger of bargaining the independence of the </w:t>
      </w:r>
      <w:r w:rsidR="002C50F7">
        <w:rPr>
          <w:rFonts w:ascii="Calibri" w:hAnsi="Calibri" w:cs="Calibri"/>
          <w:lang w:val="en"/>
        </w:rPr>
        <w:t>judiciary</w:t>
      </w:r>
      <w:r w:rsidR="007D3A21">
        <w:rPr>
          <w:rFonts w:ascii="Calibri" w:hAnsi="Calibri" w:cs="Calibri"/>
          <w:lang w:val="en"/>
        </w:rPr>
        <w:t xml:space="preserve"> by causing them to appear involved with politics (</w:t>
      </w:r>
      <w:proofErr w:type="gramStart"/>
      <w:r w:rsidR="007D3A21">
        <w:rPr>
          <w:rFonts w:ascii="Calibri" w:hAnsi="Calibri" w:cs="Calibri"/>
          <w:lang w:val="en"/>
        </w:rPr>
        <w:t>e.g.</w:t>
      </w:r>
      <w:proofErr w:type="gramEnd"/>
      <w:r w:rsidR="007D3A21">
        <w:rPr>
          <w:rFonts w:ascii="Calibri" w:hAnsi="Calibri" w:cs="Calibri"/>
          <w:lang w:val="en"/>
        </w:rPr>
        <w:t xml:space="preserve"> the Scott Report into arms sales to Iraq (HC 1995-96, 115) and the Hutton Report into the death of a government adviser with regards to the choice to attack Iraq (HC 2004, 247)</w:t>
      </w:r>
      <w:sdt>
        <w:sdtPr>
          <w:rPr>
            <w:rFonts w:ascii="Calibri" w:hAnsi="Calibri" w:cs="Calibri"/>
            <w:lang w:val="en"/>
          </w:rPr>
          <w:id w:val="-1644505649"/>
          <w:citation/>
        </w:sdtPr>
        <w:sdtContent>
          <w:r w:rsidR="007D3A21">
            <w:rPr>
              <w:rFonts w:ascii="Calibri" w:hAnsi="Calibri" w:cs="Calibri"/>
              <w:lang w:val="en"/>
            </w:rPr>
            <w:fldChar w:fldCharType="begin"/>
          </w:r>
          <w:r w:rsidR="007D3A21">
            <w:rPr>
              <w:rFonts w:ascii="Calibri" w:hAnsi="Calibri" w:cs="Calibri"/>
            </w:rPr>
            <w:instrText xml:space="preserve"> CITATION Joh15 \l 2057 </w:instrText>
          </w:r>
          <w:r w:rsidR="007D3A21">
            <w:rPr>
              <w:rFonts w:ascii="Calibri" w:hAnsi="Calibri" w:cs="Calibri"/>
              <w:lang w:val="en"/>
            </w:rPr>
            <w:fldChar w:fldCharType="separate"/>
          </w:r>
          <w:r w:rsidR="0058237B">
            <w:rPr>
              <w:rFonts w:ascii="Calibri" w:hAnsi="Calibri" w:cs="Calibri"/>
              <w:noProof/>
            </w:rPr>
            <w:t xml:space="preserve"> </w:t>
          </w:r>
          <w:r w:rsidR="0058237B" w:rsidRPr="0058237B">
            <w:rPr>
              <w:rFonts w:ascii="Calibri" w:hAnsi="Calibri" w:cs="Calibri"/>
              <w:noProof/>
            </w:rPr>
            <w:t>(Alder, 2015)</w:t>
          </w:r>
          <w:r w:rsidR="007D3A21">
            <w:rPr>
              <w:rFonts w:ascii="Calibri" w:hAnsi="Calibri" w:cs="Calibri"/>
              <w:lang w:val="en"/>
            </w:rPr>
            <w:fldChar w:fldCharType="end"/>
          </w:r>
        </w:sdtContent>
      </w:sdt>
      <w:r w:rsidR="003800EA">
        <w:rPr>
          <w:rFonts w:ascii="Calibri" w:hAnsi="Calibri" w:cs="Calibri"/>
          <w:lang w:val="en"/>
        </w:rPr>
        <w:t>.</w:t>
      </w:r>
    </w:p>
    <w:p w14:paraId="6073BEE1" w14:textId="454AAB3D" w:rsidR="002E2744" w:rsidRDefault="0092685A" w:rsidP="00692B49">
      <w:pPr>
        <w:autoSpaceDE w:val="0"/>
        <w:autoSpaceDN w:val="0"/>
        <w:adjustRightInd w:val="0"/>
        <w:spacing w:after="200" w:line="276" w:lineRule="auto"/>
        <w:rPr>
          <w:rFonts w:ascii="Calibri" w:hAnsi="Calibri" w:cs="Calibri"/>
          <w:lang w:val="en"/>
        </w:rPr>
      </w:pPr>
      <w:r>
        <w:rPr>
          <w:rFonts w:ascii="Calibri" w:hAnsi="Calibri" w:cs="Calibri"/>
          <w:lang w:val="en"/>
        </w:rPr>
        <w:t>(King,2007)</w:t>
      </w:r>
      <w:r w:rsidR="001073D9">
        <w:rPr>
          <w:rFonts w:ascii="Calibri" w:hAnsi="Calibri" w:cs="Calibri"/>
          <w:lang w:val="en"/>
        </w:rPr>
        <w:t xml:space="preserve"> Is </w:t>
      </w:r>
      <w:r w:rsidR="00963FF4">
        <w:rPr>
          <w:rFonts w:ascii="Calibri" w:hAnsi="Calibri" w:cs="Calibri"/>
          <w:lang w:val="en"/>
        </w:rPr>
        <w:t xml:space="preserve">saying that </w:t>
      </w:r>
      <w:r w:rsidR="00420AFF">
        <w:rPr>
          <w:rFonts w:ascii="Calibri" w:hAnsi="Calibri" w:cs="Calibri"/>
          <w:lang w:val="en"/>
        </w:rPr>
        <w:t xml:space="preserve">a constitution, as a normal political doctrine </w:t>
      </w:r>
      <w:r w:rsidR="00870FCF">
        <w:rPr>
          <w:rFonts w:ascii="Calibri" w:hAnsi="Calibri" w:cs="Calibri"/>
          <w:lang w:val="en"/>
        </w:rPr>
        <w:t>it’s based on three points.</w:t>
      </w:r>
      <w:r w:rsidR="0099221F">
        <w:rPr>
          <w:rFonts w:ascii="Calibri" w:hAnsi="Calibri" w:cs="Calibri"/>
          <w:lang w:val="en"/>
        </w:rPr>
        <w:t xml:space="preserve"> The first point is </w:t>
      </w:r>
      <w:r w:rsidR="00E231D6">
        <w:rPr>
          <w:rFonts w:ascii="Calibri" w:hAnsi="Calibri" w:cs="Calibri"/>
          <w:lang w:val="en"/>
        </w:rPr>
        <w:t xml:space="preserve">that the principal purpose of </w:t>
      </w:r>
      <w:r w:rsidR="00C264E0">
        <w:rPr>
          <w:rFonts w:ascii="Calibri" w:hAnsi="Calibri" w:cs="Calibri"/>
          <w:lang w:val="en"/>
        </w:rPr>
        <w:t xml:space="preserve">any constitution </w:t>
      </w:r>
      <w:proofErr w:type="gramStart"/>
      <w:r w:rsidR="00C264E0">
        <w:rPr>
          <w:rFonts w:ascii="Calibri" w:hAnsi="Calibri" w:cs="Calibri"/>
          <w:lang w:val="en"/>
        </w:rPr>
        <w:t>have</w:t>
      </w:r>
      <w:proofErr w:type="gramEnd"/>
      <w:r w:rsidR="00C264E0">
        <w:rPr>
          <w:rFonts w:ascii="Calibri" w:hAnsi="Calibri" w:cs="Calibri"/>
          <w:lang w:val="en"/>
        </w:rPr>
        <w:t xml:space="preserve"> to be sure that </w:t>
      </w:r>
      <w:r w:rsidR="000A7349">
        <w:rPr>
          <w:rFonts w:ascii="Calibri" w:hAnsi="Calibri" w:cs="Calibri"/>
          <w:lang w:val="en"/>
        </w:rPr>
        <w:t xml:space="preserve">individuals and </w:t>
      </w:r>
      <w:r w:rsidR="002E63CC">
        <w:rPr>
          <w:rFonts w:ascii="Calibri" w:hAnsi="Calibri" w:cs="Calibri"/>
          <w:lang w:val="en"/>
        </w:rPr>
        <w:t>organizations</w:t>
      </w:r>
      <w:r w:rsidR="000A7349">
        <w:rPr>
          <w:rFonts w:ascii="Calibri" w:hAnsi="Calibri" w:cs="Calibri"/>
          <w:lang w:val="en"/>
        </w:rPr>
        <w:t xml:space="preserve"> </w:t>
      </w:r>
      <w:r w:rsidR="00E37081">
        <w:rPr>
          <w:rFonts w:ascii="Calibri" w:hAnsi="Calibri" w:cs="Calibri"/>
          <w:lang w:val="en"/>
        </w:rPr>
        <w:t>are protected from unfairness and abusive action by the state.</w:t>
      </w:r>
      <w:r w:rsidR="00774368">
        <w:rPr>
          <w:rFonts w:ascii="Calibri" w:hAnsi="Calibri" w:cs="Calibri"/>
          <w:lang w:val="en"/>
        </w:rPr>
        <w:t xml:space="preserve"> A good </w:t>
      </w:r>
      <w:r w:rsidR="00501FE2">
        <w:rPr>
          <w:rFonts w:ascii="Calibri" w:hAnsi="Calibri" w:cs="Calibri"/>
          <w:lang w:val="en"/>
        </w:rPr>
        <w:t xml:space="preserve">written constitution would be based on the rule of law and </w:t>
      </w:r>
      <w:r w:rsidR="00626CD4">
        <w:rPr>
          <w:rFonts w:ascii="Calibri" w:hAnsi="Calibri" w:cs="Calibri"/>
          <w:lang w:val="en"/>
        </w:rPr>
        <w:t xml:space="preserve">it would make it impossible for the rulers of the country </w:t>
      </w:r>
      <w:r w:rsidR="0065679D">
        <w:rPr>
          <w:rFonts w:ascii="Calibri" w:hAnsi="Calibri" w:cs="Calibri"/>
          <w:lang w:val="en"/>
        </w:rPr>
        <w:t>to abuse their powers</w:t>
      </w:r>
      <w:r w:rsidR="00DF295D">
        <w:rPr>
          <w:rFonts w:ascii="Calibri" w:hAnsi="Calibri" w:cs="Calibri"/>
          <w:lang w:val="en"/>
        </w:rPr>
        <w:t xml:space="preserve">. </w:t>
      </w:r>
      <w:r w:rsidR="006E4D75">
        <w:rPr>
          <w:rFonts w:ascii="Calibri" w:hAnsi="Calibri" w:cs="Calibri"/>
          <w:lang w:val="en"/>
        </w:rPr>
        <w:t xml:space="preserve">Second point </w:t>
      </w:r>
      <w:r w:rsidR="009E2041">
        <w:rPr>
          <w:rFonts w:ascii="Calibri" w:hAnsi="Calibri" w:cs="Calibri"/>
          <w:lang w:val="en"/>
        </w:rPr>
        <w:t>is worried of the organization of the state.</w:t>
      </w:r>
      <w:r w:rsidR="003F07C8">
        <w:rPr>
          <w:rFonts w:ascii="Calibri" w:hAnsi="Calibri" w:cs="Calibri"/>
          <w:lang w:val="en"/>
        </w:rPr>
        <w:t xml:space="preserve"> If the state </w:t>
      </w:r>
      <w:r w:rsidR="002511BB">
        <w:rPr>
          <w:rFonts w:ascii="Calibri" w:hAnsi="Calibri" w:cs="Calibri"/>
          <w:lang w:val="en"/>
        </w:rPr>
        <w:t>is minimized</w:t>
      </w:r>
      <w:r w:rsidR="00167F53">
        <w:rPr>
          <w:rFonts w:ascii="Calibri" w:hAnsi="Calibri" w:cs="Calibri"/>
          <w:lang w:val="en"/>
        </w:rPr>
        <w:t xml:space="preserve"> of acting unfair</w:t>
      </w:r>
      <w:r w:rsidR="001646E1">
        <w:rPr>
          <w:rFonts w:ascii="Calibri" w:hAnsi="Calibri" w:cs="Calibri"/>
          <w:lang w:val="en"/>
        </w:rPr>
        <w:t>, unprofessional or violating the rule of law.</w:t>
      </w:r>
      <w:r w:rsidR="00694111">
        <w:rPr>
          <w:rFonts w:ascii="Calibri" w:hAnsi="Calibri" w:cs="Calibri"/>
          <w:lang w:val="en"/>
        </w:rPr>
        <w:t xml:space="preserve"> There should </w:t>
      </w:r>
      <w:r w:rsidR="00EC19BC">
        <w:rPr>
          <w:rFonts w:ascii="Calibri" w:hAnsi="Calibri" w:cs="Calibri"/>
          <w:lang w:val="en"/>
        </w:rPr>
        <w:t xml:space="preserve">be said how to separate </w:t>
      </w:r>
      <w:r w:rsidR="00635255">
        <w:rPr>
          <w:rFonts w:ascii="Calibri" w:hAnsi="Calibri" w:cs="Calibri"/>
          <w:lang w:val="en"/>
        </w:rPr>
        <w:t xml:space="preserve">the organs and giving power and authority </w:t>
      </w:r>
      <w:r w:rsidR="0044343A">
        <w:rPr>
          <w:rFonts w:ascii="Calibri" w:hAnsi="Calibri" w:cs="Calibri"/>
          <w:lang w:val="en"/>
        </w:rPr>
        <w:t>between them.</w:t>
      </w:r>
      <w:r w:rsidR="006615FB">
        <w:rPr>
          <w:rFonts w:ascii="Calibri" w:hAnsi="Calibri" w:cs="Calibri"/>
          <w:lang w:val="en"/>
        </w:rPr>
        <w:t xml:space="preserve"> The most effective way to prevent the mi</w:t>
      </w:r>
      <w:r w:rsidR="0078607A">
        <w:rPr>
          <w:rFonts w:ascii="Calibri" w:hAnsi="Calibri" w:cs="Calibri"/>
          <w:lang w:val="en"/>
        </w:rPr>
        <w:t>suse of the power give</w:t>
      </w:r>
      <w:r w:rsidR="00A573AF">
        <w:rPr>
          <w:rFonts w:ascii="Calibri" w:hAnsi="Calibri" w:cs="Calibri"/>
          <w:lang w:val="en"/>
        </w:rPr>
        <w:t>n</w:t>
      </w:r>
      <w:r w:rsidR="004B728C">
        <w:rPr>
          <w:rFonts w:ascii="Calibri" w:hAnsi="Calibri" w:cs="Calibri"/>
          <w:lang w:val="en"/>
        </w:rPr>
        <w:t>, there should be certainty that the power is not intense.</w:t>
      </w:r>
      <w:r w:rsidR="000C347C">
        <w:rPr>
          <w:rFonts w:ascii="Calibri" w:hAnsi="Calibri" w:cs="Calibri"/>
          <w:lang w:val="en"/>
        </w:rPr>
        <w:t xml:space="preserve"> The constitution </w:t>
      </w:r>
      <w:r w:rsidR="00B30D2F">
        <w:rPr>
          <w:rFonts w:ascii="Calibri" w:hAnsi="Calibri" w:cs="Calibri"/>
          <w:lang w:val="en"/>
        </w:rPr>
        <w:t>is focusing on checking, balancing and separating the power</w:t>
      </w:r>
      <w:r w:rsidR="000D334F">
        <w:rPr>
          <w:rFonts w:ascii="Calibri" w:hAnsi="Calibri" w:cs="Calibri"/>
          <w:lang w:val="en"/>
        </w:rPr>
        <w:t>.</w:t>
      </w:r>
      <w:r w:rsidR="00234382">
        <w:rPr>
          <w:rFonts w:ascii="Calibri" w:hAnsi="Calibri" w:cs="Calibri"/>
          <w:lang w:val="en"/>
        </w:rPr>
        <w:t xml:space="preserve"> There is a strong l</w:t>
      </w:r>
      <w:r w:rsidR="003B093C">
        <w:rPr>
          <w:rFonts w:ascii="Calibri" w:hAnsi="Calibri" w:cs="Calibri"/>
          <w:lang w:val="en"/>
        </w:rPr>
        <w:t>egislative to check on the executive power</w:t>
      </w:r>
      <w:r w:rsidR="00184F03">
        <w:rPr>
          <w:rFonts w:ascii="Calibri" w:hAnsi="Calibri" w:cs="Calibri"/>
          <w:lang w:val="en"/>
        </w:rPr>
        <w:t xml:space="preserve"> and persists, on the independence of the judiciary from the </w:t>
      </w:r>
      <w:r w:rsidR="00E12BA5">
        <w:rPr>
          <w:rFonts w:ascii="Calibri" w:hAnsi="Calibri" w:cs="Calibri"/>
          <w:lang w:val="en"/>
        </w:rPr>
        <w:t>legislative and executive branches.</w:t>
      </w:r>
      <w:r w:rsidR="006730D5">
        <w:rPr>
          <w:rFonts w:ascii="Calibri" w:hAnsi="Calibri" w:cs="Calibri"/>
          <w:lang w:val="en"/>
        </w:rPr>
        <w:t xml:space="preserve"> The third point is </w:t>
      </w:r>
      <w:r w:rsidR="00B11F7C">
        <w:rPr>
          <w:rFonts w:ascii="Calibri" w:hAnsi="Calibri" w:cs="Calibri"/>
          <w:lang w:val="en"/>
        </w:rPr>
        <w:t xml:space="preserve">concerning of the relations </w:t>
      </w:r>
      <w:r w:rsidR="00E57FC1">
        <w:rPr>
          <w:rFonts w:ascii="Calibri" w:hAnsi="Calibri" w:cs="Calibri"/>
          <w:lang w:val="en"/>
        </w:rPr>
        <w:t xml:space="preserve">between the state and citizens. The rule of law </w:t>
      </w:r>
      <w:r w:rsidR="002057E8">
        <w:rPr>
          <w:rFonts w:ascii="Calibri" w:hAnsi="Calibri" w:cs="Calibri"/>
          <w:lang w:val="en"/>
        </w:rPr>
        <w:t>is holding to account the state in its relations with the citizens</w:t>
      </w:r>
      <w:sdt>
        <w:sdtPr>
          <w:rPr>
            <w:rFonts w:ascii="Calibri" w:hAnsi="Calibri" w:cs="Calibri"/>
            <w:lang w:val="en"/>
          </w:rPr>
          <w:id w:val="-1799282258"/>
          <w:citation/>
        </w:sdtPr>
        <w:sdtContent>
          <w:r w:rsidR="00F750BB">
            <w:rPr>
              <w:rFonts w:ascii="Calibri" w:hAnsi="Calibri" w:cs="Calibri"/>
              <w:lang w:val="en"/>
            </w:rPr>
            <w:fldChar w:fldCharType="begin"/>
          </w:r>
          <w:r w:rsidR="002E63CC">
            <w:rPr>
              <w:rFonts w:ascii="Calibri" w:hAnsi="Calibri" w:cs="Calibri"/>
            </w:rPr>
            <w:instrText xml:space="preserve">CITATION Ant \l 2057 </w:instrText>
          </w:r>
          <w:r w:rsidR="00F750BB">
            <w:rPr>
              <w:rFonts w:ascii="Calibri" w:hAnsi="Calibri" w:cs="Calibri"/>
              <w:lang w:val="en"/>
            </w:rPr>
            <w:fldChar w:fldCharType="separate"/>
          </w:r>
          <w:r w:rsidR="0058237B">
            <w:rPr>
              <w:rFonts w:ascii="Calibri" w:hAnsi="Calibri" w:cs="Calibri"/>
              <w:noProof/>
            </w:rPr>
            <w:t xml:space="preserve"> </w:t>
          </w:r>
          <w:r w:rsidR="0058237B" w:rsidRPr="0058237B">
            <w:rPr>
              <w:rFonts w:ascii="Calibri" w:hAnsi="Calibri" w:cs="Calibri"/>
              <w:noProof/>
            </w:rPr>
            <w:t>(King, 2007)</w:t>
          </w:r>
          <w:r w:rsidR="00F750BB">
            <w:rPr>
              <w:rFonts w:ascii="Calibri" w:hAnsi="Calibri" w:cs="Calibri"/>
              <w:lang w:val="en"/>
            </w:rPr>
            <w:fldChar w:fldCharType="end"/>
          </w:r>
        </w:sdtContent>
      </w:sdt>
      <w:r w:rsidR="002057E8">
        <w:rPr>
          <w:rFonts w:ascii="Calibri" w:hAnsi="Calibri" w:cs="Calibri"/>
          <w:lang w:val="en"/>
        </w:rPr>
        <w:t>.</w:t>
      </w:r>
    </w:p>
    <w:p w14:paraId="3626B02B" w14:textId="7F18D336" w:rsidR="005E34CE" w:rsidRDefault="005E34CE" w:rsidP="00692B49">
      <w:pPr>
        <w:autoSpaceDE w:val="0"/>
        <w:autoSpaceDN w:val="0"/>
        <w:adjustRightInd w:val="0"/>
        <w:spacing w:after="200" w:line="276" w:lineRule="auto"/>
        <w:rPr>
          <w:rFonts w:ascii="Calibri" w:hAnsi="Calibri" w:cs="Calibri"/>
          <w:lang w:val="en"/>
        </w:rPr>
      </w:pPr>
      <w:r>
        <w:rPr>
          <w:rFonts w:ascii="Calibri" w:hAnsi="Calibri" w:cs="Calibri"/>
          <w:lang w:val="en"/>
        </w:rPr>
        <w:t>(Masterman</w:t>
      </w:r>
      <w:r w:rsidR="00270A88">
        <w:rPr>
          <w:rFonts w:ascii="Calibri" w:hAnsi="Calibri" w:cs="Calibri"/>
          <w:lang w:val="en"/>
        </w:rPr>
        <w:t>,2010)</w:t>
      </w:r>
      <w:r w:rsidR="003C7B98">
        <w:rPr>
          <w:rFonts w:ascii="Calibri" w:hAnsi="Calibri" w:cs="Calibri"/>
          <w:lang w:val="en"/>
        </w:rPr>
        <w:t xml:space="preserve"> mentioned that the legislative supremacy of parliament </w:t>
      </w:r>
      <w:r w:rsidR="00316B79">
        <w:rPr>
          <w:rFonts w:ascii="Calibri" w:hAnsi="Calibri" w:cs="Calibri"/>
          <w:lang w:val="en"/>
        </w:rPr>
        <w:t>shown to give the executive branch</w:t>
      </w:r>
      <w:r w:rsidR="00FE3921">
        <w:rPr>
          <w:rFonts w:ascii="Calibri" w:hAnsi="Calibri" w:cs="Calibri"/>
          <w:lang w:val="en"/>
        </w:rPr>
        <w:t xml:space="preserve"> legislative power.</w:t>
      </w:r>
      <w:r w:rsidR="00520D78">
        <w:rPr>
          <w:rFonts w:ascii="Calibri" w:hAnsi="Calibri" w:cs="Calibri"/>
          <w:lang w:val="en"/>
        </w:rPr>
        <w:t xml:space="preserve"> The executive dominates the House of Commo</w:t>
      </w:r>
      <w:r w:rsidR="00773C00">
        <w:rPr>
          <w:rFonts w:ascii="Calibri" w:hAnsi="Calibri" w:cs="Calibri"/>
          <w:lang w:val="en"/>
        </w:rPr>
        <w:t>ns</w:t>
      </w:r>
      <w:r w:rsidR="00AE3FAD">
        <w:rPr>
          <w:rFonts w:ascii="Calibri" w:hAnsi="Calibri" w:cs="Calibri"/>
          <w:lang w:val="en"/>
        </w:rPr>
        <w:t xml:space="preserve"> even thou</w:t>
      </w:r>
      <w:r w:rsidR="008E07AD">
        <w:rPr>
          <w:rFonts w:ascii="Calibri" w:hAnsi="Calibri" w:cs="Calibri"/>
          <w:lang w:val="en"/>
        </w:rPr>
        <w:t xml:space="preserve"> by</w:t>
      </w:r>
      <w:r w:rsidR="00AE3FAD">
        <w:rPr>
          <w:rFonts w:ascii="Calibri" w:hAnsi="Calibri" w:cs="Calibri"/>
          <w:lang w:val="en"/>
        </w:rPr>
        <w:t xml:space="preserve"> legal principle </w:t>
      </w:r>
      <w:r w:rsidR="008E07AD">
        <w:rPr>
          <w:rFonts w:ascii="Calibri" w:hAnsi="Calibri" w:cs="Calibri"/>
          <w:lang w:val="en"/>
        </w:rPr>
        <w:t>the parliament is sovereign</w:t>
      </w:r>
      <w:r w:rsidR="000E593F">
        <w:rPr>
          <w:rFonts w:ascii="Calibri" w:hAnsi="Calibri" w:cs="Calibri"/>
          <w:lang w:val="en"/>
        </w:rPr>
        <w:t xml:space="preserve">, but </w:t>
      </w:r>
      <w:r w:rsidR="0086245B">
        <w:rPr>
          <w:rFonts w:ascii="Calibri" w:hAnsi="Calibri" w:cs="Calibri"/>
          <w:lang w:val="en"/>
        </w:rPr>
        <w:t>the suggestion that the executive controls both is nearer to the truth.</w:t>
      </w:r>
      <w:r w:rsidR="000602C9">
        <w:rPr>
          <w:rFonts w:ascii="Calibri" w:hAnsi="Calibri" w:cs="Calibri"/>
          <w:lang w:val="en"/>
        </w:rPr>
        <w:t xml:space="preserve"> Acting judges can be seen to </w:t>
      </w:r>
      <w:r w:rsidR="000E0E19">
        <w:rPr>
          <w:rFonts w:ascii="Calibri" w:hAnsi="Calibri" w:cs="Calibri"/>
          <w:lang w:val="en"/>
        </w:rPr>
        <w:t xml:space="preserve">execute </w:t>
      </w:r>
      <w:r w:rsidR="008B5B2B">
        <w:rPr>
          <w:rFonts w:ascii="Calibri" w:hAnsi="Calibri" w:cs="Calibri"/>
          <w:lang w:val="en"/>
        </w:rPr>
        <w:t>legislative functions.</w:t>
      </w:r>
      <w:r w:rsidR="000F0EDE">
        <w:rPr>
          <w:rFonts w:ascii="Calibri" w:hAnsi="Calibri" w:cs="Calibri"/>
          <w:lang w:val="en"/>
        </w:rPr>
        <w:t xml:space="preserve"> Law Lords </w:t>
      </w:r>
      <w:r w:rsidR="006D7A0A">
        <w:rPr>
          <w:rFonts w:ascii="Calibri" w:hAnsi="Calibri" w:cs="Calibri"/>
          <w:lang w:val="en"/>
        </w:rPr>
        <w:t>can take part in the legislative process as being member</w:t>
      </w:r>
      <w:r w:rsidR="00C63011">
        <w:rPr>
          <w:rFonts w:ascii="Calibri" w:hAnsi="Calibri" w:cs="Calibri"/>
          <w:lang w:val="en"/>
        </w:rPr>
        <w:t xml:space="preserve"> of the House of Lords</w:t>
      </w:r>
      <w:sdt>
        <w:sdtPr>
          <w:rPr>
            <w:rFonts w:ascii="Calibri" w:hAnsi="Calibri" w:cs="Calibri"/>
            <w:lang w:val="en"/>
          </w:rPr>
          <w:id w:val="-968817422"/>
          <w:citation/>
        </w:sdtPr>
        <w:sdtContent>
          <w:r w:rsidR="006D45E9">
            <w:rPr>
              <w:rFonts w:ascii="Calibri" w:hAnsi="Calibri" w:cs="Calibri"/>
              <w:lang w:val="en"/>
            </w:rPr>
            <w:fldChar w:fldCharType="begin"/>
          </w:r>
          <w:r w:rsidR="006D45E9">
            <w:rPr>
              <w:rFonts w:ascii="Calibri" w:hAnsi="Calibri" w:cs="Calibri"/>
            </w:rPr>
            <w:instrText xml:space="preserve"> CITATION Rog10 \l 2057 </w:instrText>
          </w:r>
          <w:r w:rsidR="006D45E9">
            <w:rPr>
              <w:rFonts w:ascii="Calibri" w:hAnsi="Calibri" w:cs="Calibri"/>
              <w:lang w:val="en"/>
            </w:rPr>
            <w:fldChar w:fldCharType="separate"/>
          </w:r>
          <w:r w:rsidR="0058237B">
            <w:rPr>
              <w:rFonts w:ascii="Calibri" w:hAnsi="Calibri" w:cs="Calibri"/>
              <w:noProof/>
            </w:rPr>
            <w:t xml:space="preserve"> </w:t>
          </w:r>
          <w:r w:rsidR="0058237B" w:rsidRPr="0058237B">
            <w:rPr>
              <w:rFonts w:ascii="Calibri" w:hAnsi="Calibri" w:cs="Calibri"/>
              <w:noProof/>
            </w:rPr>
            <w:t>(Masterman, 2010)</w:t>
          </w:r>
          <w:r w:rsidR="006D45E9">
            <w:rPr>
              <w:rFonts w:ascii="Calibri" w:hAnsi="Calibri" w:cs="Calibri"/>
              <w:lang w:val="en"/>
            </w:rPr>
            <w:fldChar w:fldCharType="end"/>
          </w:r>
        </w:sdtContent>
      </w:sdt>
      <w:r w:rsidR="006D45E9">
        <w:rPr>
          <w:rFonts w:ascii="Calibri" w:hAnsi="Calibri" w:cs="Calibri"/>
          <w:lang w:val="en"/>
        </w:rPr>
        <w:t>.</w:t>
      </w:r>
    </w:p>
    <w:p w14:paraId="22782EEF" w14:textId="36FECF57" w:rsidR="00D424D1" w:rsidRDefault="00B03A56" w:rsidP="00692B49">
      <w:pPr>
        <w:autoSpaceDE w:val="0"/>
        <w:autoSpaceDN w:val="0"/>
        <w:adjustRightInd w:val="0"/>
        <w:spacing w:after="200" w:line="276" w:lineRule="auto"/>
        <w:rPr>
          <w:rFonts w:ascii="Calibri" w:hAnsi="Calibri" w:cs="Calibri"/>
          <w:lang w:val="en"/>
        </w:rPr>
      </w:pPr>
      <w:r>
        <w:rPr>
          <w:rFonts w:ascii="Calibri" w:hAnsi="Calibri" w:cs="Calibri"/>
          <w:lang w:val="en"/>
        </w:rPr>
        <w:t>According to (</w:t>
      </w:r>
      <w:r w:rsidR="00314EC8">
        <w:rPr>
          <w:rFonts w:ascii="Calibri" w:hAnsi="Calibri" w:cs="Calibri"/>
          <w:lang w:val="en"/>
        </w:rPr>
        <w:t>Elliott,2001)</w:t>
      </w:r>
      <w:r w:rsidR="0012406D">
        <w:rPr>
          <w:rFonts w:ascii="Calibri" w:hAnsi="Calibri" w:cs="Calibri"/>
          <w:lang w:val="en"/>
        </w:rPr>
        <w:t xml:space="preserve"> Lord Irvine </w:t>
      </w:r>
      <w:r w:rsidR="00AE0C20">
        <w:rPr>
          <w:rFonts w:ascii="Calibri" w:hAnsi="Calibri" w:cs="Calibri"/>
          <w:lang w:val="en"/>
        </w:rPr>
        <w:t>as well</w:t>
      </w:r>
      <w:r w:rsidR="0012406D">
        <w:rPr>
          <w:rFonts w:ascii="Calibri" w:hAnsi="Calibri" w:cs="Calibri"/>
          <w:lang w:val="en"/>
        </w:rPr>
        <w:t xml:space="preserve"> underlined</w:t>
      </w:r>
      <w:r w:rsidR="00D243BD">
        <w:rPr>
          <w:rFonts w:ascii="Calibri" w:hAnsi="Calibri" w:cs="Calibri"/>
          <w:lang w:val="en"/>
        </w:rPr>
        <w:t xml:space="preserve"> the important role of the separation of powers in making the proper role of reviewing courts. He </w:t>
      </w:r>
      <w:r w:rsidR="00AE0C20">
        <w:rPr>
          <w:rFonts w:ascii="Calibri" w:hAnsi="Calibri" w:cs="Calibri"/>
          <w:lang w:val="en"/>
        </w:rPr>
        <w:t>points</w:t>
      </w:r>
      <w:r w:rsidR="00D243BD">
        <w:rPr>
          <w:rFonts w:ascii="Calibri" w:hAnsi="Calibri" w:cs="Calibri"/>
          <w:lang w:val="en"/>
        </w:rPr>
        <w:t xml:space="preserve"> out the intention of </w:t>
      </w:r>
      <w:r w:rsidR="0087779C">
        <w:rPr>
          <w:rFonts w:ascii="Calibri" w:hAnsi="Calibri" w:cs="Calibri"/>
          <w:lang w:val="en"/>
        </w:rPr>
        <w:t>Parliament that executive agencies, which are not judges, should be discreet</w:t>
      </w:r>
      <w:r w:rsidR="00E244AD">
        <w:rPr>
          <w:rFonts w:ascii="Calibri" w:hAnsi="Calibri" w:cs="Calibri"/>
          <w:lang w:val="en"/>
        </w:rPr>
        <w:t xml:space="preserve">. The judiciary’s lack of expertise in such matters, and willing of public power </w:t>
      </w:r>
      <w:r w:rsidR="006E55C5">
        <w:rPr>
          <w:rFonts w:ascii="Calibri" w:hAnsi="Calibri" w:cs="Calibri"/>
          <w:lang w:val="en"/>
        </w:rPr>
        <w:t>being executed by those who are democratically responsible</w:t>
      </w:r>
      <w:sdt>
        <w:sdtPr>
          <w:rPr>
            <w:rFonts w:ascii="Calibri" w:hAnsi="Calibri" w:cs="Calibri"/>
            <w:lang w:val="en"/>
          </w:rPr>
          <w:id w:val="-63028662"/>
          <w:citation/>
        </w:sdtPr>
        <w:sdtContent>
          <w:r w:rsidR="00D8782E">
            <w:rPr>
              <w:rFonts w:ascii="Calibri" w:hAnsi="Calibri" w:cs="Calibri"/>
              <w:lang w:val="en"/>
            </w:rPr>
            <w:fldChar w:fldCharType="begin"/>
          </w:r>
          <w:r w:rsidR="00D8782E">
            <w:rPr>
              <w:rFonts w:ascii="Calibri" w:hAnsi="Calibri" w:cs="Calibri"/>
            </w:rPr>
            <w:instrText xml:space="preserve"> CITATION Mar01 \l 2057 </w:instrText>
          </w:r>
          <w:r w:rsidR="00D8782E">
            <w:rPr>
              <w:rFonts w:ascii="Calibri" w:hAnsi="Calibri" w:cs="Calibri"/>
              <w:lang w:val="en"/>
            </w:rPr>
            <w:fldChar w:fldCharType="separate"/>
          </w:r>
          <w:r w:rsidR="0058237B">
            <w:rPr>
              <w:rFonts w:ascii="Calibri" w:hAnsi="Calibri" w:cs="Calibri"/>
              <w:noProof/>
            </w:rPr>
            <w:t xml:space="preserve"> </w:t>
          </w:r>
          <w:r w:rsidR="0058237B" w:rsidRPr="0058237B">
            <w:rPr>
              <w:rFonts w:ascii="Calibri" w:hAnsi="Calibri" w:cs="Calibri"/>
              <w:noProof/>
            </w:rPr>
            <w:t>(Elliott, 2001)</w:t>
          </w:r>
          <w:r w:rsidR="00D8782E">
            <w:rPr>
              <w:rFonts w:ascii="Calibri" w:hAnsi="Calibri" w:cs="Calibri"/>
              <w:lang w:val="en"/>
            </w:rPr>
            <w:fldChar w:fldCharType="end"/>
          </w:r>
        </w:sdtContent>
      </w:sdt>
      <w:r w:rsidR="00AE0C20">
        <w:rPr>
          <w:rFonts w:ascii="Calibri" w:hAnsi="Calibri" w:cs="Calibri"/>
          <w:lang w:val="en"/>
        </w:rPr>
        <w:t>.</w:t>
      </w:r>
    </w:p>
    <w:p w14:paraId="7C8D870D" w14:textId="67410FA8" w:rsidR="00692B49" w:rsidRDefault="0088335B" w:rsidP="0081754E">
      <w:pPr>
        <w:rPr>
          <w:rFonts w:ascii="Calibri" w:hAnsi="Calibri" w:cs="Calibri"/>
          <w:lang w:val="en"/>
        </w:rPr>
      </w:pPr>
      <w:r>
        <w:rPr>
          <w:rFonts w:ascii="Calibri" w:hAnsi="Calibri" w:cs="Calibri"/>
          <w:lang w:val="en"/>
        </w:rPr>
        <w:t>(</w:t>
      </w:r>
      <w:r w:rsidR="008C2019">
        <w:rPr>
          <w:rFonts w:ascii="Calibri" w:hAnsi="Calibri" w:cs="Calibri"/>
          <w:lang w:val="en"/>
        </w:rPr>
        <w:t>Thomas</w:t>
      </w:r>
      <w:r w:rsidR="00661A4C">
        <w:rPr>
          <w:rFonts w:ascii="Calibri" w:hAnsi="Calibri" w:cs="Calibri"/>
          <w:lang w:val="en"/>
        </w:rPr>
        <w:t xml:space="preserve"> &amp; Elliott</w:t>
      </w:r>
      <w:r w:rsidR="001E61CE">
        <w:rPr>
          <w:rFonts w:ascii="Calibri" w:hAnsi="Calibri" w:cs="Calibri"/>
          <w:lang w:val="en"/>
        </w:rPr>
        <w:t>,</w:t>
      </w:r>
      <w:r w:rsidR="00661A4C">
        <w:rPr>
          <w:rFonts w:ascii="Calibri" w:hAnsi="Calibri" w:cs="Calibri"/>
          <w:lang w:val="en"/>
        </w:rPr>
        <w:t xml:space="preserve"> </w:t>
      </w:r>
      <w:r w:rsidR="001E61CE">
        <w:rPr>
          <w:rFonts w:ascii="Calibri" w:hAnsi="Calibri" w:cs="Calibri"/>
          <w:lang w:val="en"/>
        </w:rPr>
        <w:t xml:space="preserve">2017) are saying </w:t>
      </w:r>
      <w:r w:rsidR="003A35EC">
        <w:rPr>
          <w:rFonts w:ascii="Calibri" w:hAnsi="Calibri" w:cs="Calibri"/>
          <w:lang w:val="en"/>
        </w:rPr>
        <w:t xml:space="preserve">that appointing a judge is a </w:t>
      </w:r>
      <w:r w:rsidR="00B648CD">
        <w:rPr>
          <w:rFonts w:ascii="Calibri" w:hAnsi="Calibri" w:cs="Calibri"/>
          <w:lang w:val="en"/>
        </w:rPr>
        <w:t>constitution importance and public interest</w:t>
      </w:r>
      <w:r w:rsidR="00D40022">
        <w:rPr>
          <w:rFonts w:ascii="Calibri" w:hAnsi="Calibri" w:cs="Calibri"/>
          <w:lang w:val="en"/>
        </w:rPr>
        <w:t xml:space="preserve">. The judicial appointment should be made </w:t>
      </w:r>
      <w:r w:rsidR="002D2DE0">
        <w:rPr>
          <w:rFonts w:ascii="Calibri" w:hAnsi="Calibri" w:cs="Calibri"/>
          <w:lang w:val="en"/>
        </w:rPr>
        <w:t>based on the principle of judicial independence, merit</w:t>
      </w:r>
      <w:r w:rsidR="003C1DFF">
        <w:rPr>
          <w:rFonts w:ascii="Calibri" w:hAnsi="Calibri" w:cs="Calibri"/>
          <w:lang w:val="en"/>
        </w:rPr>
        <w:t>, accountability and diversity. It is vital for maintaining public</w:t>
      </w:r>
      <w:r w:rsidR="00197AB3">
        <w:rPr>
          <w:rFonts w:ascii="Calibri" w:hAnsi="Calibri" w:cs="Calibri"/>
          <w:lang w:val="en"/>
        </w:rPr>
        <w:t xml:space="preserve"> trust on the judiciary and the legal system.</w:t>
      </w:r>
      <w:r w:rsidR="00E80206">
        <w:rPr>
          <w:rFonts w:ascii="Calibri" w:hAnsi="Calibri" w:cs="Calibri"/>
          <w:lang w:val="en"/>
        </w:rPr>
        <w:t xml:space="preserve"> Politicians should play no role in appointing judges</w:t>
      </w:r>
      <w:r w:rsidR="002B249F">
        <w:rPr>
          <w:rFonts w:ascii="Calibri" w:hAnsi="Calibri" w:cs="Calibri"/>
          <w:lang w:val="en"/>
        </w:rPr>
        <w:t xml:space="preserve"> because </w:t>
      </w:r>
      <w:r w:rsidR="0088579C">
        <w:rPr>
          <w:rFonts w:ascii="Calibri" w:hAnsi="Calibri" w:cs="Calibri"/>
          <w:lang w:val="en"/>
        </w:rPr>
        <w:t>if politicians are involved it would question the independence of the judiciary.</w:t>
      </w:r>
      <w:r w:rsidR="007B53C6">
        <w:rPr>
          <w:rFonts w:ascii="Calibri" w:hAnsi="Calibri" w:cs="Calibri"/>
          <w:lang w:val="en"/>
        </w:rPr>
        <w:t xml:space="preserve"> The constitutional Reform Act 2005 </w:t>
      </w:r>
      <w:r w:rsidR="003F2FD0">
        <w:rPr>
          <w:rFonts w:ascii="Calibri" w:hAnsi="Calibri" w:cs="Calibri"/>
          <w:lang w:val="en"/>
        </w:rPr>
        <w:t xml:space="preserve">had an amendment </w:t>
      </w:r>
      <w:r w:rsidR="003120BC">
        <w:rPr>
          <w:rFonts w:ascii="Calibri" w:hAnsi="Calibri" w:cs="Calibri"/>
          <w:lang w:val="en"/>
        </w:rPr>
        <w:t xml:space="preserve">so that the president of the Supreme Court will be no longer participating </w:t>
      </w:r>
      <w:r w:rsidR="004A6676">
        <w:rPr>
          <w:rFonts w:ascii="Calibri" w:hAnsi="Calibri" w:cs="Calibri"/>
          <w:lang w:val="en"/>
        </w:rPr>
        <w:t>in the selection of commission for his or her successor</w:t>
      </w:r>
      <w:sdt>
        <w:sdtPr>
          <w:rPr>
            <w:rFonts w:ascii="Calibri" w:hAnsi="Calibri" w:cs="Calibri"/>
            <w:lang w:val="en"/>
          </w:rPr>
          <w:id w:val="-881315797"/>
          <w:citation/>
        </w:sdtPr>
        <w:sdtContent>
          <w:r w:rsidR="00E7542D">
            <w:rPr>
              <w:rFonts w:ascii="Calibri" w:hAnsi="Calibri" w:cs="Calibri"/>
              <w:lang w:val="en"/>
            </w:rPr>
            <w:fldChar w:fldCharType="begin"/>
          </w:r>
          <w:r w:rsidR="00EA0A36">
            <w:rPr>
              <w:rFonts w:ascii="Calibri" w:hAnsi="Calibri" w:cs="Calibri"/>
            </w:rPr>
            <w:instrText xml:space="preserve">CITATION Mar17 \l 2057 </w:instrText>
          </w:r>
          <w:r w:rsidR="00E7542D">
            <w:rPr>
              <w:rFonts w:ascii="Calibri" w:hAnsi="Calibri" w:cs="Calibri"/>
              <w:lang w:val="en"/>
            </w:rPr>
            <w:fldChar w:fldCharType="separate"/>
          </w:r>
          <w:r w:rsidR="0058237B">
            <w:rPr>
              <w:rFonts w:ascii="Calibri" w:hAnsi="Calibri" w:cs="Calibri"/>
              <w:noProof/>
            </w:rPr>
            <w:t xml:space="preserve"> </w:t>
          </w:r>
          <w:r w:rsidR="0058237B" w:rsidRPr="0058237B">
            <w:rPr>
              <w:rFonts w:ascii="Calibri" w:hAnsi="Calibri" w:cs="Calibri"/>
              <w:noProof/>
            </w:rPr>
            <w:t>(Thomas &amp; Elliott, 2017)</w:t>
          </w:r>
          <w:r w:rsidR="00E7542D">
            <w:rPr>
              <w:rFonts w:ascii="Calibri" w:hAnsi="Calibri" w:cs="Calibri"/>
              <w:lang w:val="en"/>
            </w:rPr>
            <w:fldChar w:fldCharType="end"/>
          </w:r>
        </w:sdtContent>
      </w:sdt>
      <w:r w:rsidR="004A6676">
        <w:rPr>
          <w:rFonts w:ascii="Calibri" w:hAnsi="Calibri" w:cs="Calibri"/>
          <w:lang w:val="en"/>
        </w:rPr>
        <w:t>.</w:t>
      </w:r>
    </w:p>
    <w:p w14:paraId="676A170A" w14:textId="00DA7B78" w:rsidR="00C602A5" w:rsidRDefault="00C602A5" w:rsidP="0081754E">
      <w:pPr>
        <w:rPr>
          <w:rFonts w:ascii="Calibri" w:hAnsi="Calibri" w:cs="Calibri"/>
        </w:rPr>
      </w:pPr>
      <w:sdt>
        <w:sdtPr>
          <w:rPr>
            <w:rFonts w:ascii="Calibri" w:hAnsi="Calibri" w:cs="Calibri"/>
          </w:rPr>
          <w:id w:val="2013252162"/>
          <w:citation/>
        </w:sdtPr>
        <w:sdtContent>
          <w:r>
            <w:rPr>
              <w:rFonts w:ascii="Calibri" w:hAnsi="Calibri" w:cs="Calibri"/>
            </w:rPr>
            <w:fldChar w:fldCharType="begin"/>
          </w:r>
          <w:r>
            <w:rPr>
              <w:rFonts w:ascii="Calibri" w:hAnsi="Calibri" w:cs="Calibri"/>
            </w:rPr>
            <w:instrText xml:space="preserve"> CITATION Pol07 \l 2057 </w:instrText>
          </w:r>
          <w:r>
            <w:rPr>
              <w:rFonts w:ascii="Calibri" w:hAnsi="Calibri" w:cs="Calibri"/>
            </w:rPr>
            <w:fldChar w:fldCharType="separate"/>
          </w:r>
          <w:r w:rsidR="0058237B" w:rsidRPr="0058237B">
            <w:rPr>
              <w:rFonts w:ascii="Calibri" w:hAnsi="Calibri" w:cs="Calibri"/>
              <w:noProof/>
            </w:rPr>
            <w:t>(Pollard, et al., 2007)</w:t>
          </w:r>
          <w:r>
            <w:rPr>
              <w:rFonts w:ascii="Calibri" w:hAnsi="Calibri" w:cs="Calibri"/>
            </w:rPr>
            <w:fldChar w:fldCharType="end"/>
          </w:r>
        </w:sdtContent>
      </w:sdt>
      <w:r w:rsidR="00395BDB">
        <w:rPr>
          <w:rFonts w:ascii="Calibri" w:hAnsi="Calibri" w:cs="Calibri"/>
        </w:rPr>
        <w:t xml:space="preserve"> mention that there is no</w:t>
      </w:r>
      <w:r w:rsidR="007A1BDD">
        <w:rPr>
          <w:rFonts w:ascii="Calibri" w:hAnsi="Calibri" w:cs="Calibri"/>
        </w:rPr>
        <w:t xml:space="preserve"> guaranteed </w:t>
      </w:r>
      <w:r w:rsidR="00330296">
        <w:rPr>
          <w:rFonts w:ascii="Calibri" w:hAnsi="Calibri" w:cs="Calibri"/>
        </w:rPr>
        <w:t xml:space="preserve">separation of powers which would restrict all member from the executive branch </w:t>
      </w:r>
      <w:r w:rsidR="003A5883">
        <w:rPr>
          <w:rFonts w:ascii="Calibri" w:hAnsi="Calibri" w:cs="Calibri"/>
        </w:rPr>
        <w:t>from also being in the legislature branch.</w:t>
      </w:r>
      <w:r w:rsidR="002A6583">
        <w:rPr>
          <w:rFonts w:ascii="Calibri" w:hAnsi="Calibri" w:cs="Calibri"/>
        </w:rPr>
        <w:t xml:space="preserve"> One member of the judiciary, The Lord Chancellor, </w:t>
      </w:r>
      <w:r w:rsidR="008267C0">
        <w:rPr>
          <w:rFonts w:ascii="Calibri" w:hAnsi="Calibri" w:cs="Calibri"/>
        </w:rPr>
        <w:t>the presiding office in the House of Lords</w:t>
      </w:r>
      <w:r w:rsidR="00283949">
        <w:rPr>
          <w:rFonts w:ascii="Calibri" w:hAnsi="Calibri" w:cs="Calibri"/>
        </w:rPr>
        <w:t>, and the country’s senior and powerful judge</w:t>
      </w:r>
      <w:sdt>
        <w:sdtPr>
          <w:rPr>
            <w:rFonts w:ascii="Calibri" w:hAnsi="Calibri" w:cs="Calibri"/>
          </w:rPr>
          <w:id w:val="-1292356971"/>
          <w:citation/>
        </w:sdtPr>
        <w:sdtContent>
          <w:r w:rsidR="002F6713">
            <w:rPr>
              <w:rFonts w:ascii="Calibri" w:hAnsi="Calibri" w:cs="Calibri"/>
            </w:rPr>
            <w:fldChar w:fldCharType="begin"/>
          </w:r>
          <w:r w:rsidR="002F6713">
            <w:rPr>
              <w:rFonts w:ascii="Calibri" w:hAnsi="Calibri" w:cs="Calibri"/>
            </w:rPr>
            <w:instrText xml:space="preserve"> CITATION Pol07 \l 2057 </w:instrText>
          </w:r>
          <w:r w:rsidR="002F6713">
            <w:rPr>
              <w:rFonts w:ascii="Calibri" w:hAnsi="Calibri" w:cs="Calibri"/>
            </w:rPr>
            <w:fldChar w:fldCharType="separate"/>
          </w:r>
          <w:r w:rsidR="0058237B">
            <w:rPr>
              <w:rFonts w:ascii="Calibri" w:hAnsi="Calibri" w:cs="Calibri"/>
              <w:noProof/>
            </w:rPr>
            <w:t xml:space="preserve"> </w:t>
          </w:r>
          <w:r w:rsidR="0058237B" w:rsidRPr="0058237B">
            <w:rPr>
              <w:rFonts w:ascii="Calibri" w:hAnsi="Calibri" w:cs="Calibri"/>
              <w:noProof/>
            </w:rPr>
            <w:t>(Pollard, et al., 2007)</w:t>
          </w:r>
          <w:r w:rsidR="002F6713">
            <w:rPr>
              <w:rFonts w:ascii="Calibri" w:hAnsi="Calibri" w:cs="Calibri"/>
            </w:rPr>
            <w:fldChar w:fldCharType="end"/>
          </w:r>
        </w:sdtContent>
      </w:sdt>
      <w:r w:rsidR="00283949">
        <w:rPr>
          <w:rFonts w:ascii="Calibri" w:hAnsi="Calibri" w:cs="Calibri"/>
        </w:rPr>
        <w:t>.</w:t>
      </w:r>
    </w:p>
    <w:p w14:paraId="54408BF2" w14:textId="6F60B28F" w:rsidR="004A05E7" w:rsidRDefault="00FC12F0" w:rsidP="0081754E">
      <w:pPr>
        <w:rPr>
          <w:rFonts w:ascii="Calibri" w:hAnsi="Calibri" w:cs="Calibri"/>
        </w:rPr>
      </w:pPr>
      <w:r>
        <w:rPr>
          <w:rFonts w:ascii="Calibri" w:hAnsi="Calibri" w:cs="Calibri"/>
        </w:rPr>
        <w:t>In an article on Financial Times</w:t>
      </w:r>
      <w:r w:rsidR="00660485">
        <w:rPr>
          <w:rFonts w:ascii="Calibri" w:hAnsi="Calibri" w:cs="Calibri"/>
        </w:rPr>
        <w:t xml:space="preserve"> (Green, 2020)</w:t>
      </w:r>
      <w:r w:rsidR="008B0D40">
        <w:rPr>
          <w:rFonts w:ascii="Calibri" w:hAnsi="Calibri" w:cs="Calibri"/>
        </w:rPr>
        <w:t xml:space="preserve"> said</w:t>
      </w:r>
      <w:r w:rsidR="00660485">
        <w:rPr>
          <w:rFonts w:ascii="Calibri" w:hAnsi="Calibri" w:cs="Calibri"/>
        </w:rPr>
        <w:t xml:space="preserve"> that in England and Wales </w:t>
      </w:r>
      <w:r w:rsidR="007F44D7">
        <w:rPr>
          <w:rFonts w:ascii="Calibri" w:hAnsi="Calibri" w:cs="Calibri"/>
        </w:rPr>
        <w:t>there was an overlap of law and politics always</w:t>
      </w:r>
      <w:r w:rsidR="006A015F">
        <w:rPr>
          <w:rFonts w:ascii="Calibri" w:hAnsi="Calibri" w:cs="Calibri"/>
        </w:rPr>
        <w:t xml:space="preserve"> and that British are good at hiding it.</w:t>
      </w:r>
      <w:r w:rsidR="00DC4794">
        <w:rPr>
          <w:rFonts w:ascii="Calibri" w:hAnsi="Calibri" w:cs="Calibri"/>
        </w:rPr>
        <w:t xml:space="preserve"> </w:t>
      </w:r>
      <w:r w:rsidR="00847D3D">
        <w:rPr>
          <w:rFonts w:ascii="Calibri" w:hAnsi="Calibri" w:cs="Calibri"/>
        </w:rPr>
        <w:t xml:space="preserve">Historical appoint of judges </w:t>
      </w:r>
      <w:r w:rsidR="004503A3">
        <w:rPr>
          <w:rFonts w:ascii="Calibri" w:hAnsi="Calibri" w:cs="Calibri"/>
        </w:rPr>
        <w:t>was made by the lord chief justice</w:t>
      </w:r>
      <w:r w:rsidR="00830BC4">
        <w:rPr>
          <w:rFonts w:ascii="Calibri" w:hAnsi="Calibri" w:cs="Calibri"/>
        </w:rPr>
        <w:t>, who took most serious criminal trials</w:t>
      </w:r>
      <w:r w:rsidR="002B7E0D">
        <w:rPr>
          <w:rFonts w:ascii="Calibri" w:hAnsi="Calibri" w:cs="Calibri"/>
        </w:rPr>
        <w:t>. There was more flow between the political and judicial establishment.</w:t>
      </w:r>
      <w:r w:rsidR="009D432A">
        <w:rPr>
          <w:rFonts w:ascii="Calibri" w:hAnsi="Calibri" w:cs="Calibri"/>
        </w:rPr>
        <w:t xml:space="preserve"> The old office of Lord chancellor </w:t>
      </w:r>
      <w:r w:rsidR="00457231">
        <w:rPr>
          <w:rFonts w:ascii="Calibri" w:hAnsi="Calibri" w:cs="Calibri"/>
        </w:rPr>
        <w:t>had the right to be in both the cabinet and as a judge in the most senior court.</w:t>
      </w:r>
      <w:r w:rsidR="005468C6">
        <w:rPr>
          <w:rFonts w:ascii="Calibri" w:hAnsi="Calibri" w:cs="Calibri"/>
        </w:rPr>
        <w:t xml:space="preserve"> When a judge is appointed</w:t>
      </w:r>
      <w:r w:rsidR="005024B6">
        <w:rPr>
          <w:rFonts w:ascii="Calibri" w:hAnsi="Calibri" w:cs="Calibri"/>
        </w:rPr>
        <w:t xml:space="preserve">, judges sometimes are as </w:t>
      </w:r>
      <w:r w:rsidR="00392BB7">
        <w:rPr>
          <w:rFonts w:ascii="Calibri" w:hAnsi="Calibri" w:cs="Calibri"/>
        </w:rPr>
        <w:t>lawmakers</w:t>
      </w:r>
      <w:r w:rsidR="005024B6">
        <w:rPr>
          <w:rFonts w:ascii="Calibri" w:hAnsi="Calibri" w:cs="Calibri"/>
        </w:rPr>
        <w:t xml:space="preserve"> and policymakers, but they</w:t>
      </w:r>
      <w:r w:rsidR="00804AD9">
        <w:rPr>
          <w:rFonts w:ascii="Calibri" w:hAnsi="Calibri" w:cs="Calibri"/>
        </w:rPr>
        <w:t xml:space="preserve"> cover it </w:t>
      </w:r>
      <w:r w:rsidR="00316886">
        <w:rPr>
          <w:rFonts w:ascii="Calibri" w:hAnsi="Calibri" w:cs="Calibri"/>
        </w:rPr>
        <w:t>as ‘’developing’’ existing law. For the last 20 years judges introduce</w:t>
      </w:r>
      <w:r w:rsidR="00D616E4">
        <w:rPr>
          <w:rFonts w:ascii="Calibri" w:hAnsi="Calibri" w:cs="Calibri"/>
        </w:rPr>
        <w:t>d</w:t>
      </w:r>
      <w:r w:rsidR="00316886">
        <w:rPr>
          <w:rFonts w:ascii="Calibri" w:hAnsi="Calibri" w:cs="Calibri"/>
        </w:rPr>
        <w:t xml:space="preserve"> </w:t>
      </w:r>
      <w:r w:rsidR="00392BB7">
        <w:rPr>
          <w:rFonts w:ascii="Calibri" w:hAnsi="Calibri" w:cs="Calibri"/>
        </w:rPr>
        <w:t>new privacy law</w:t>
      </w:r>
      <w:sdt>
        <w:sdtPr>
          <w:rPr>
            <w:rFonts w:ascii="Calibri" w:hAnsi="Calibri" w:cs="Calibri"/>
          </w:rPr>
          <w:id w:val="-880933698"/>
          <w:citation/>
        </w:sdtPr>
        <w:sdtContent>
          <w:r w:rsidR="00392BB7">
            <w:rPr>
              <w:rFonts w:ascii="Calibri" w:hAnsi="Calibri" w:cs="Calibri"/>
            </w:rPr>
            <w:fldChar w:fldCharType="begin"/>
          </w:r>
          <w:r w:rsidR="0058237B">
            <w:rPr>
              <w:rFonts w:ascii="Calibri" w:hAnsi="Calibri" w:cs="Calibri"/>
            </w:rPr>
            <w:instrText xml:space="preserve">CITATION Gre20 \l 2057 </w:instrText>
          </w:r>
          <w:r w:rsidR="00392BB7">
            <w:rPr>
              <w:rFonts w:ascii="Calibri" w:hAnsi="Calibri" w:cs="Calibri"/>
            </w:rPr>
            <w:fldChar w:fldCharType="separate"/>
          </w:r>
          <w:r w:rsidR="0058237B">
            <w:rPr>
              <w:rFonts w:ascii="Calibri" w:hAnsi="Calibri" w:cs="Calibri"/>
              <w:noProof/>
            </w:rPr>
            <w:t xml:space="preserve"> </w:t>
          </w:r>
          <w:r w:rsidR="0058237B" w:rsidRPr="0058237B">
            <w:rPr>
              <w:rFonts w:ascii="Calibri" w:hAnsi="Calibri" w:cs="Calibri"/>
              <w:noProof/>
            </w:rPr>
            <w:t>(Green, 2020)</w:t>
          </w:r>
          <w:r w:rsidR="00392BB7">
            <w:rPr>
              <w:rFonts w:ascii="Calibri" w:hAnsi="Calibri" w:cs="Calibri"/>
            </w:rPr>
            <w:fldChar w:fldCharType="end"/>
          </w:r>
        </w:sdtContent>
      </w:sdt>
      <w:r w:rsidR="00392BB7">
        <w:rPr>
          <w:rFonts w:ascii="Calibri" w:hAnsi="Calibri" w:cs="Calibri"/>
        </w:rPr>
        <w:t>.</w:t>
      </w:r>
    </w:p>
    <w:p w14:paraId="7D3F1C74" w14:textId="22051BE2" w:rsidR="008D0AA3" w:rsidRDefault="00246827" w:rsidP="0081754E">
      <w:pPr>
        <w:rPr>
          <w:rFonts w:ascii="Calibri" w:hAnsi="Calibri" w:cs="Calibri"/>
          <w:lang w:val="en"/>
        </w:rPr>
      </w:pPr>
      <w:r>
        <w:rPr>
          <w:rFonts w:ascii="Calibri" w:hAnsi="Calibri" w:cs="Calibri"/>
        </w:rPr>
        <w:t>(Neuberger</w:t>
      </w:r>
      <w:r w:rsidR="00CB6904">
        <w:rPr>
          <w:rFonts w:ascii="Calibri" w:hAnsi="Calibri" w:cs="Calibri"/>
        </w:rPr>
        <w:t xml:space="preserve">, 2018) In an article on Prospect Magazine </w:t>
      </w:r>
      <w:r w:rsidR="00C423A8">
        <w:rPr>
          <w:rFonts w:ascii="Calibri" w:hAnsi="Calibri" w:cs="Calibri"/>
          <w:lang w:val="en"/>
        </w:rPr>
        <w:t xml:space="preserve">Regarding the connection between the judiciary and the executive, one of the main elements of judges is in the field of public law, where judges shield residents from absurd or unlawful choices of the leader. (This force reaches out to alleged optional enactment, laws made by the leader with the position, and regularly the endorsement, of parliament.) The adjudicators' public law job has developed hugely </w:t>
      </w:r>
      <w:proofErr w:type="gramStart"/>
      <w:r w:rsidR="00C423A8">
        <w:rPr>
          <w:rFonts w:ascii="Calibri" w:hAnsi="Calibri" w:cs="Calibri"/>
          <w:lang w:val="en"/>
        </w:rPr>
        <w:t>in the course of</w:t>
      </w:r>
      <w:proofErr w:type="gramEnd"/>
      <w:r w:rsidR="00C423A8">
        <w:rPr>
          <w:rFonts w:ascii="Calibri" w:hAnsi="Calibri" w:cs="Calibri"/>
          <w:lang w:val="en"/>
        </w:rPr>
        <w:t xml:space="preserve"> recent years, incompletely in view of changes in cultural perspectives, halfway due to the extremely generous expansion in the chief's forces, and mostly in light of the death of the Human Rights Act 1998, which gives people numerous new and many improved rights. It is essential to the standard of law that individuals have rights against one another as well as have rights against the state, and it is likewise basic that those rights are enforceable through individuals approaching an autonomous legal executive</w:t>
      </w:r>
      <w:sdt>
        <w:sdtPr>
          <w:rPr>
            <w:rFonts w:ascii="Calibri" w:hAnsi="Calibri" w:cs="Calibri"/>
            <w:lang w:val="en"/>
          </w:rPr>
          <w:id w:val="504715186"/>
          <w:citation/>
        </w:sdtPr>
        <w:sdtContent>
          <w:r w:rsidR="00E741C0">
            <w:rPr>
              <w:rFonts w:ascii="Calibri" w:hAnsi="Calibri" w:cs="Calibri"/>
              <w:lang w:val="en"/>
            </w:rPr>
            <w:fldChar w:fldCharType="begin"/>
          </w:r>
          <w:r w:rsidR="0058237B">
            <w:rPr>
              <w:rFonts w:ascii="Calibri" w:hAnsi="Calibri" w:cs="Calibri"/>
            </w:rPr>
            <w:instrText xml:space="preserve">CITATION Neu18 \l 2057 </w:instrText>
          </w:r>
          <w:r w:rsidR="00E741C0">
            <w:rPr>
              <w:rFonts w:ascii="Calibri" w:hAnsi="Calibri" w:cs="Calibri"/>
              <w:lang w:val="en"/>
            </w:rPr>
            <w:fldChar w:fldCharType="separate"/>
          </w:r>
          <w:r w:rsidR="0058237B">
            <w:rPr>
              <w:rFonts w:ascii="Calibri" w:hAnsi="Calibri" w:cs="Calibri"/>
              <w:noProof/>
            </w:rPr>
            <w:t xml:space="preserve"> </w:t>
          </w:r>
          <w:r w:rsidR="0058237B" w:rsidRPr="0058237B">
            <w:rPr>
              <w:rFonts w:ascii="Calibri" w:hAnsi="Calibri" w:cs="Calibri"/>
              <w:noProof/>
            </w:rPr>
            <w:t>(Neuberger, 2018)</w:t>
          </w:r>
          <w:r w:rsidR="00E741C0">
            <w:rPr>
              <w:rFonts w:ascii="Calibri" w:hAnsi="Calibri" w:cs="Calibri"/>
              <w:lang w:val="en"/>
            </w:rPr>
            <w:fldChar w:fldCharType="end"/>
          </w:r>
        </w:sdtContent>
      </w:sdt>
      <w:r w:rsidR="00C423A8">
        <w:rPr>
          <w:rFonts w:ascii="Calibri" w:hAnsi="Calibri" w:cs="Calibri"/>
          <w:lang w:val="en"/>
        </w:rPr>
        <w:t>.</w:t>
      </w:r>
    </w:p>
    <w:p w14:paraId="7312809A" w14:textId="7907C09C" w:rsidR="00B84475" w:rsidRDefault="00923242" w:rsidP="0081754E">
      <w:pPr>
        <w:rPr>
          <w:rFonts w:ascii="Calibri" w:hAnsi="Calibri" w:cs="Calibri"/>
          <w:lang w:val="en"/>
        </w:rPr>
      </w:pPr>
      <w:r>
        <w:rPr>
          <w:rFonts w:ascii="Calibri" w:hAnsi="Calibri" w:cs="Calibri"/>
          <w:lang w:val="en"/>
        </w:rPr>
        <w:t>(</w:t>
      </w:r>
      <w:proofErr w:type="spellStart"/>
      <w:r>
        <w:rPr>
          <w:rFonts w:ascii="Calibri" w:hAnsi="Calibri" w:cs="Calibri"/>
          <w:lang w:val="en"/>
        </w:rPr>
        <w:t>Fouzder</w:t>
      </w:r>
      <w:proofErr w:type="spellEnd"/>
      <w:r>
        <w:rPr>
          <w:rFonts w:ascii="Calibri" w:hAnsi="Calibri" w:cs="Calibri"/>
          <w:lang w:val="en"/>
        </w:rPr>
        <w:t xml:space="preserve">, 2020) </w:t>
      </w:r>
      <w:r w:rsidR="00686C40">
        <w:rPr>
          <w:rFonts w:ascii="Calibri" w:hAnsi="Calibri" w:cs="Calibri"/>
          <w:lang w:val="en"/>
        </w:rPr>
        <w:t>has published</w:t>
      </w:r>
      <w:r w:rsidR="00DB22BE">
        <w:rPr>
          <w:rFonts w:ascii="Calibri" w:hAnsi="Calibri" w:cs="Calibri"/>
          <w:lang w:val="en"/>
        </w:rPr>
        <w:t xml:space="preserve"> an article on </w:t>
      </w:r>
      <w:r w:rsidR="007846CF">
        <w:rPr>
          <w:rFonts w:ascii="Calibri" w:hAnsi="Calibri" w:cs="Calibri"/>
          <w:lang w:val="en"/>
        </w:rPr>
        <w:t>L</w:t>
      </w:r>
      <w:r w:rsidR="00910FE3">
        <w:rPr>
          <w:rFonts w:ascii="Calibri" w:hAnsi="Calibri" w:cs="Calibri"/>
          <w:lang w:val="en"/>
        </w:rPr>
        <w:t xml:space="preserve">aw Gazette about introducing training </w:t>
      </w:r>
      <w:r w:rsidR="00244A35">
        <w:rPr>
          <w:rFonts w:ascii="Calibri" w:hAnsi="Calibri" w:cs="Calibri"/>
          <w:lang w:val="en"/>
        </w:rPr>
        <w:t>to tackle ‘implicit bias’.</w:t>
      </w:r>
      <w:r w:rsidR="0048247C">
        <w:rPr>
          <w:rFonts w:ascii="Calibri" w:hAnsi="Calibri" w:cs="Calibri"/>
          <w:lang w:val="en"/>
        </w:rPr>
        <w:t xml:space="preserve"> By 202</w:t>
      </w:r>
      <w:r w:rsidR="00440DC8">
        <w:rPr>
          <w:rFonts w:ascii="Calibri" w:hAnsi="Calibri" w:cs="Calibri"/>
          <w:lang w:val="en"/>
        </w:rPr>
        <w:t>2</w:t>
      </w:r>
      <w:r w:rsidR="0048247C">
        <w:rPr>
          <w:rFonts w:ascii="Calibri" w:hAnsi="Calibri" w:cs="Calibri"/>
          <w:lang w:val="en"/>
        </w:rPr>
        <w:t>, all judicial offices will</w:t>
      </w:r>
      <w:r w:rsidR="00173452">
        <w:rPr>
          <w:rFonts w:ascii="Calibri" w:hAnsi="Calibri" w:cs="Calibri"/>
          <w:lang w:val="en"/>
        </w:rPr>
        <w:t xml:space="preserve"> have</w:t>
      </w:r>
      <w:r w:rsidR="0048247C">
        <w:rPr>
          <w:rFonts w:ascii="Calibri" w:hAnsi="Calibri" w:cs="Calibri"/>
          <w:lang w:val="en"/>
        </w:rPr>
        <w:t xml:space="preserve"> </w:t>
      </w:r>
      <w:r w:rsidR="00440DC8">
        <w:rPr>
          <w:rFonts w:ascii="Calibri" w:hAnsi="Calibri" w:cs="Calibri"/>
          <w:lang w:val="en"/>
        </w:rPr>
        <w:t xml:space="preserve">the training </w:t>
      </w:r>
      <w:r w:rsidR="00173452">
        <w:rPr>
          <w:rFonts w:ascii="Calibri" w:hAnsi="Calibri" w:cs="Calibri"/>
          <w:lang w:val="en"/>
        </w:rPr>
        <w:t xml:space="preserve">this will help to get a </w:t>
      </w:r>
      <w:r w:rsidR="003C1FBA">
        <w:rPr>
          <w:rFonts w:ascii="Calibri" w:hAnsi="Calibri" w:cs="Calibri"/>
          <w:lang w:val="en"/>
        </w:rPr>
        <w:t xml:space="preserve">mor advanced understanding </w:t>
      </w:r>
      <w:r w:rsidR="0070573E">
        <w:rPr>
          <w:rFonts w:ascii="Calibri" w:hAnsi="Calibri" w:cs="Calibri"/>
          <w:lang w:val="en"/>
        </w:rPr>
        <w:t>of diversity and inclusion</w:t>
      </w:r>
      <w:sdt>
        <w:sdtPr>
          <w:rPr>
            <w:rFonts w:ascii="Calibri" w:hAnsi="Calibri" w:cs="Calibri"/>
            <w:lang w:val="en"/>
          </w:rPr>
          <w:id w:val="2135519226"/>
          <w:citation/>
        </w:sdtPr>
        <w:sdtContent>
          <w:r w:rsidR="00793C04">
            <w:rPr>
              <w:rFonts w:ascii="Calibri" w:hAnsi="Calibri" w:cs="Calibri"/>
              <w:lang w:val="en"/>
            </w:rPr>
            <w:fldChar w:fldCharType="begin"/>
          </w:r>
          <w:r w:rsidR="0058237B">
            <w:rPr>
              <w:rFonts w:ascii="Calibri" w:hAnsi="Calibri" w:cs="Calibri"/>
            </w:rPr>
            <w:instrText xml:space="preserve">CITATION Fou20 \l 2057 </w:instrText>
          </w:r>
          <w:r w:rsidR="00793C04">
            <w:rPr>
              <w:rFonts w:ascii="Calibri" w:hAnsi="Calibri" w:cs="Calibri"/>
              <w:lang w:val="en"/>
            </w:rPr>
            <w:fldChar w:fldCharType="separate"/>
          </w:r>
          <w:r w:rsidR="0058237B">
            <w:rPr>
              <w:rFonts w:ascii="Calibri" w:hAnsi="Calibri" w:cs="Calibri"/>
              <w:noProof/>
            </w:rPr>
            <w:t xml:space="preserve"> </w:t>
          </w:r>
          <w:r w:rsidR="0058237B" w:rsidRPr="0058237B">
            <w:rPr>
              <w:rFonts w:ascii="Calibri" w:hAnsi="Calibri" w:cs="Calibri"/>
              <w:noProof/>
            </w:rPr>
            <w:t>(Fouzder, 2020)</w:t>
          </w:r>
          <w:r w:rsidR="00793C04">
            <w:rPr>
              <w:rFonts w:ascii="Calibri" w:hAnsi="Calibri" w:cs="Calibri"/>
              <w:lang w:val="en"/>
            </w:rPr>
            <w:fldChar w:fldCharType="end"/>
          </w:r>
        </w:sdtContent>
      </w:sdt>
      <w:r w:rsidR="0070573E">
        <w:rPr>
          <w:rFonts w:ascii="Calibri" w:hAnsi="Calibri" w:cs="Calibri"/>
          <w:lang w:val="en"/>
        </w:rPr>
        <w:t>.</w:t>
      </w:r>
    </w:p>
    <w:p w14:paraId="6C67C803" w14:textId="4E057ADD" w:rsidR="006F577C" w:rsidRDefault="00C82734" w:rsidP="0081754E">
      <w:pPr>
        <w:rPr>
          <w:rFonts w:ascii="Calibri" w:hAnsi="Calibri" w:cs="Calibri"/>
          <w:lang w:val="en"/>
        </w:rPr>
      </w:pPr>
      <w:r>
        <w:rPr>
          <w:rFonts w:ascii="Calibri" w:hAnsi="Calibri" w:cs="Calibri"/>
          <w:lang w:val="en"/>
        </w:rPr>
        <w:t>(</w:t>
      </w:r>
      <w:r w:rsidR="009F4081">
        <w:rPr>
          <w:rFonts w:ascii="Calibri" w:hAnsi="Calibri" w:cs="Calibri"/>
          <w:lang w:val="en"/>
        </w:rPr>
        <w:t>GOV UK</w:t>
      </w:r>
      <w:r>
        <w:rPr>
          <w:rFonts w:ascii="Calibri" w:hAnsi="Calibri" w:cs="Calibri"/>
          <w:lang w:val="en"/>
        </w:rPr>
        <w:t>, 2020)</w:t>
      </w:r>
      <w:r w:rsidR="00A41474">
        <w:rPr>
          <w:rFonts w:ascii="Calibri" w:hAnsi="Calibri" w:cs="Calibri"/>
          <w:lang w:val="en"/>
        </w:rPr>
        <w:t xml:space="preserve"> </w:t>
      </w:r>
      <w:r w:rsidR="009F4081">
        <w:rPr>
          <w:rFonts w:ascii="Calibri" w:hAnsi="Calibri" w:cs="Calibri"/>
          <w:lang w:val="en"/>
        </w:rPr>
        <w:t>Robert Buckland QC</w:t>
      </w:r>
      <w:r>
        <w:rPr>
          <w:rFonts w:ascii="Calibri" w:hAnsi="Calibri" w:cs="Calibri"/>
          <w:lang w:val="en"/>
        </w:rPr>
        <w:t xml:space="preserve"> </w:t>
      </w:r>
      <w:r w:rsidR="000E5A3D">
        <w:rPr>
          <w:rFonts w:ascii="Calibri" w:hAnsi="Calibri" w:cs="Calibri"/>
          <w:lang w:val="en"/>
        </w:rPr>
        <w:t>In a speech to the judiciary</w:t>
      </w:r>
      <w:r w:rsidR="0033353D">
        <w:rPr>
          <w:rFonts w:ascii="Calibri" w:hAnsi="Calibri" w:cs="Calibri"/>
          <w:lang w:val="en"/>
        </w:rPr>
        <w:t xml:space="preserve">, said </w:t>
      </w:r>
      <w:r w:rsidR="00A17A40">
        <w:rPr>
          <w:rFonts w:ascii="Calibri" w:hAnsi="Calibri" w:cs="Calibri"/>
          <w:lang w:val="en"/>
        </w:rPr>
        <w:t xml:space="preserve">that It is essential for the judiciary to be free from </w:t>
      </w:r>
      <w:r w:rsidR="00DD555B">
        <w:rPr>
          <w:rFonts w:ascii="Calibri" w:hAnsi="Calibri" w:cs="Calibri"/>
          <w:lang w:val="en"/>
        </w:rPr>
        <w:t xml:space="preserve">Parliament or the government </w:t>
      </w:r>
      <w:r w:rsidR="00C63CAD">
        <w:rPr>
          <w:rFonts w:ascii="Calibri" w:hAnsi="Calibri" w:cs="Calibri"/>
          <w:lang w:val="en"/>
        </w:rPr>
        <w:t xml:space="preserve">and even from political motivation or influence. He stated that </w:t>
      </w:r>
      <w:r w:rsidR="009B226D">
        <w:rPr>
          <w:rFonts w:ascii="Calibri" w:hAnsi="Calibri" w:cs="Calibri"/>
          <w:lang w:val="en"/>
        </w:rPr>
        <w:t xml:space="preserve">will never appoint judges due to their political opinions or past. It </w:t>
      </w:r>
      <w:r w:rsidR="00E45F76">
        <w:rPr>
          <w:rFonts w:ascii="Calibri" w:hAnsi="Calibri" w:cs="Calibri"/>
          <w:lang w:val="en"/>
        </w:rPr>
        <w:t xml:space="preserve">is crucial </w:t>
      </w:r>
      <w:r w:rsidR="008528D0">
        <w:rPr>
          <w:rFonts w:ascii="Calibri" w:hAnsi="Calibri" w:cs="Calibri"/>
          <w:lang w:val="en"/>
        </w:rPr>
        <w:t>that judges make ruling on their merits in law alone and that he will always defend on that basis</w:t>
      </w:r>
      <w:sdt>
        <w:sdtPr>
          <w:rPr>
            <w:rFonts w:ascii="Calibri" w:hAnsi="Calibri" w:cs="Calibri"/>
            <w:lang w:val="en"/>
          </w:rPr>
          <w:id w:val="121588265"/>
          <w:citation/>
        </w:sdtPr>
        <w:sdtContent>
          <w:r w:rsidR="005A1E1E">
            <w:rPr>
              <w:rFonts w:ascii="Calibri" w:hAnsi="Calibri" w:cs="Calibri"/>
              <w:lang w:val="en"/>
            </w:rPr>
            <w:fldChar w:fldCharType="begin"/>
          </w:r>
          <w:r w:rsidR="005A1E1E">
            <w:rPr>
              <w:rFonts w:ascii="Calibri" w:hAnsi="Calibri" w:cs="Calibri"/>
            </w:rPr>
            <w:instrText xml:space="preserve"> CITATION GOV20 \l 2057 </w:instrText>
          </w:r>
          <w:r w:rsidR="005A1E1E">
            <w:rPr>
              <w:rFonts w:ascii="Calibri" w:hAnsi="Calibri" w:cs="Calibri"/>
              <w:lang w:val="en"/>
            </w:rPr>
            <w:fldChar w:fldCharType="separate"/>
          </w:r>
          <w:r w:rsidR="0058237B">
            <w:rPr>
              <w:rFonts w:ascii="Calibri" w:hAnsi="Calibri" w:cs="Calibri"/>
              <w:noProof/>
            </w:rPr>
            <w:t xml:space="preserve"> </w:t>
          </w:r>
          <w:r w:rsidR="0058237B" w:rsidRPr="0058237B">
            <w:rPr>
              <w:rFonts w:ascii="Calibri" w:hAnsi="Calibri" w:cs="Calibri"/>
              <w:noProof/>
            </w:rPr>
            <w:t>(GOV UK, 2020)</w:t>
          </w:r>
          <w:r w:rsidR="005A1E1E">
            <w:rPr>
              <w:rFonts w:ascii="Calibri" w:hAnsi="Calibri" w:cs="Calibri"/>
              <w:lang w:val="en"/>
            </w:rPr>
            <w:fldChar w:fldCharType="end"/>
          </w:r>
        </w:sdtContent>
      </w:sdt>
      <w:r w:rsidR="008528D0">
        <w:rPr>
          <w:rFonts w:ascii="Calibri" w:hAnsi="Calibri" w:cs="Calibri"/>
          <w:lang w:val="en"/>
        </w:rPr>
        <w:t>.</w:t>
      </w:r>
    </w:p>
    <w:p w14:paraId="1DE7399F" w14:textId="71D5438E" w:rsidR="00BF70A4" w:rsidRDefault="00A71C62" w:rsidP="0081754E">
      <w:pPr>
        <w:rPr>
          <w:rFonts w:ascii="Calibri" w:hAnsi="Calibri" w:cs="Calibri"/>
        </w:rPr>
      </w:pPr>
      <w:sdt>
        <w:sdtPr>
          <w:rPr>
            <w:rFonts w:ascii="Calibri" w:hAnsi="Calibri" w:cs="Calibri"/>
          </w:rPr>
          <w:id w:val="1100993203"/>
          <w:citation/>
        </w:sdtPr>
        <w:sdtContent>
          <w:r>
            <w:rPr>
              <w:rFonts w:ascii="Calibri" w:hAnsi="Calibri" w:cs="Calibri"/>
            </w:rPr>
            <w:fldChar w:fldCharType="begin"/>
          </w:r>
          <w:r>
            <w:rPr>
              <w:rFonts w:ascii="Calibri" w:hAnsi="Calibri" w:cs="Calibri"/>
            </w:rPr>
            <w:instrText xml:space="preserve"> CITATION Jow19 \l 2057 </w:instrText>
          </w:r>
          <w:r>
            <w:rPr>
              <w:rFonts w:ascii="Calibri" w:hAnsi="Calibri" w:cs="Calibri"/>
            </w:rPr>
            <w:fldChar w:fldCharType="separate"/>
          </w:r>
          <w:r w:rsidR="0058237B" w:rsidRPr="0058237B">
            <w:rPr>
              <w:rFonts w:ascii="Calibri" w:hAnsi="Calibri" w:cs="Calibri"/>
              <w:noProof/>
            </w:rPr>
            <w:t>(Jowell &amp; O'Cinneide, 2019)</w:t>
          </w:r>
          <w:r>
            <w:rPr>
              <w:rFonts w:ascii="Calibri" w:hAnsi="Calibri" w:cs="Calibri"/>
            </w:rPr>
            <w:fldChar w:fldCharType="end"/>
          </w:r>
        </w:sdtContent>
      </w:sdt>
      <w:r w:rsidR="0062796C">
        <w:rPr>
          <w:rFonts w:ascii="Calibri" w:hAnsi="Calibri" w:cs="Calibri"/>
        </w:rPr>
        <w:t xml:space="preserve"> according to them</w:t>
      </w:r>
      <w:r w:rsidR="005D100D">
        <w:rPr>
          <w:rFonts w:ascii="Calibri" w:hAnsi="Calibri" w:cs="Calibri"/>
        </w:rPr>
        <w:t xml:space="preserve"> the discovery of </w:t>
      </w:r>
      <w:r w:rsidR="00D941F3">
        <w:rPr>
          <w:rFonts w:ascii="Calibri" w:hAnsi="Calibri" w:cs="Calibri"/>
        </w:rPr>
        <w:t xml:space="preserve">this contextual approach questions how the </w:t>
      </w:r>
      <w:r w:rsidR="00586A60">
        <w:rPr>
          <w:rFonts w:ascii="Calibri" w:hAnsi="Calibri" w:cs="Calibri"/>
        </w:rPr>
        <w:t>separation of powers sits in the UK constitution.</w:t>
      </w:r>
      <w:r w:rsidR="0062796C">
        <w:rPr>
          <w:rFonts w:ascii="Calibri" w:hAnsi="Calibri" w:cs="Calibri"/>
        </w:rPr>
        <w:t xml:space="preserve"> </w:t>
      </w:r>
      <w:r w:rsidR="00586A60">
        <w:rPr>
          <w:rFonts w:ascii="Calibri" w:hAnsi="Calibri" w:cs="Calibri"/>
        </w:rPr>
        <w:t>W</w:t>
      </w:r>
      <w:r w:rsidR="0062796C">
        <w:rPr>
          <w:rFonts w:ascii="Calibri" w:hAnsi="Calibri" w:cs="Calibri"/>
        </w:rPr>
        <w:t xml:space="preserve">hen deciding </w:t>
      </w:r>
      <w:r w:rsidR="00EC31E9">
        <w:rPr>
          <w:rFonts w:ascii="Calibri" w:hAnsi="Calibri" w:cs="Calibri"/>
        </w:rPr>
        <w:t xml:space="preserve">to what length the judiciary wants to control actions </w:t>
      </w:r>
      <w:r w:rsidR="00BE0C41">
        <w:rPr>
          <w:rFonts w:ascii="Calibri" w:hAnsi="Calibri" w:cs="Calibri"/>
        </w:rPr>
        <w:t>of the executive or the legislature.</w:t>
      </w:r>
      <w:r w:rsidR="00EA4253">
        <w:rPr>
          <w:rFonts w:ascii="Calibri" w:hAnsi="Calibri" w:cs="Calibri"/>
        </w:rPr>
        <w:t xml:space="preserve"> The more important the rule of law </w:t>
      </w:r>
      <w:r w:rsidR="00906AA4">
        <w:rPr>
          <w:rFonts w:ascii="Calibri" w:hAnsi="Calibri" w:cs="Calibri"/>
        </w:rPr>
        <w:t>is the more legitimate the court is in developing legal controls over the executive and legislature</w:t>
      </w:r>
      <w:sdt>
        <w:sdtPr>
          <w:rPr>
            <w:rFonts w:ascii="Calibri" w:hAnsi="Calibri" w:cs="Calibri"/>
          </w:rPr>
          <w:id w:val="-2030327721"/>
          <w:citation/>
        </w:sdtPr>
        <w:sdtContent>
          <w:r w:rsidR="00EF28F3">
            <w:rPr>
              <w:rFonts w:ascii="Calibri" w:hAnsi="Calibri" w:cs="Calibri"/>
            </w:rPr>
            <w:fldChar w:fldCharType="begin"/>
          </w:r>
          <w:r w:rsidR="00EF28F3">
            <w:rPr>
              <w:rFonts w:ascii="Calibri" w:hAnsi="Calibri" w:cs="Calibri"/>
            </w:rPr>
            <w:instrText xml:space="preserve"> CITATION Jow19 \l 2057 </w:instrText>
          </w:r>
          <w:r w:rsidR="00EF28F3">
            <w:rPr>
              <w:rFonts w:ascii="Calibri" w:hAnsi="Calibri" w:cs="Calibri"/>
            </w:rPr>
            <w:fldChar w:fldCharType="separate"/>
          </w:r>
          <w:r w:rsidR="0058237B">
            <w:rPr>
              <w:rFonts w:ascii="Calibri" w:hAnsi="Calibri" w:cs="Calibri"/>
              <w:noProof/>
            </w:rPr>
            <w:t xml:space="preserve"> </w:t>
          </w:r>
          <w:r w:rsidR="0058237B" w:rsidRPr="0058237B">
            <w:rPr>
              <w:rFonts w:ascii="Calibri" w:hAnsi="Calibri" w:cs="Calibri"/>
              <w:noProof/>
            </w:rPr>
            <w:t>(Jowell &amp; O'Cinneide, 2019)</w:t>
          </w:r>
          <w:r w:rsidR="00EF28F3">
            <w:rPr>
              <w:rFonts w:ascii="Calibri" w:hAnsi="Calibri" w:cs="Calibri"/>
            </w:rPr>
            <w:fldChar w:fldCharType="end"/>
          </w:r>
        </w:sdtContent>
      </w:sdt>
      <w:r w:rsidR="00906AA4">
        <w:rPr>
          <w:rFonts w:ascii="Calibri" w:hAnsi="Calibri" w:cs="Calibri"/>
        </w:rPr>
        <w:t>.</w:t>
      </w:r>
    </w:p>
    <w:p w14:paraId="7F6A432A" w14:textId="39573241" w:rsidR="00FD0251" w:rsidRDefault="003B19A0" w:rsidP="0081754E">
      <w:pPr>
        <w:rPr>
          <w:rFonts w:ascii="Calibri" w:hAnsi="Calibri" w:cs="Calibri"/>
        </w:rPr>
      </w:pPr>
      <w:sdt>
        <w:sdtPr>
          <w:rPr>
            <w:rFonts w:ascii="Calibri" w:hAnsi="Calibri" w:cs="Calibri"/>
          </w:rPr>
          <w:id w:val="65457684"/>
          <w:citation/>
        </w:sdtPr>
        <w:sdtContent>
          <w:r>
            <w:rPr>
              <w:rFonts w:ascii="Calibri" w:hAnsi="Calibri" w:cs="Calibri"/>
            </w:rPr>
            <w:fldChar w:fldCharType="begin"/>
          </w:r>
          <w:r>
            <w:rPr>
              <w:rFonts w:ascii="Calibri" w:hAnsi="Calibri" w:cs="Calibri"/>
            </w:rPr>
            <w:instrText xml:space="preserve"> CITATION Gee15 \l 2057 </w:instrText>
          </w:r>
          <w:r>
            <w:rPr>
              <w:rFonts w:ascii="Calibri" w:hAnsi="Calibri" w:cs="Calibri"/>
            </w:rPr>
            <w:fldChar w:fldCharType="separate"/>
          </w:r>
          <w:r w:rsidR="0058237B" w:rsidRPr="0058237B">
            <w:rPr>
              <w:rFonts w:ascii="Calibri" w:hAnsi="Calibri" w:cs="Calibri"/>
              <w:noProof/>
            </w:rPr>
            <w:t>(Gee, et al., 2015)</w:t>
          </w:r>
          <w:r>
            <w:rPr>
              <w:rFonts w:ascii="Calibri" w:hAnsi="Calibri" w:cs="Calibri"/>
            </w:rPr>
            <w:fldChar w:fldCharType="end"/>
          </w:r>
        </w:sdtContent>
      </w:sdt>
      <w:r w:rsidR="00E625E9">
        <w:rPr>
          <w:rFonts w:ascii="Calibri" w:hAnsi="Calibri" w:cs="Calibri"/>
        </w:rPr>
        <w:t xml:space="preserve">are mentioning </w:t>
      </w:r>
      <w:r w:rsidR="008D5C85">
        <w:rPr>
          <w:rFonts w:ascii="Calibri" w:hAnsi="Calibri" w:cs="Calibri"/>
        </w:rPr>
        <w:t>that intimidation to the judicial independence can come from internal and external sources</w:t>
      </w:r>
      <w:r w:rsidR="00165F1E">
        <w:rPr>
          <w:rFonts w:ascii="Calibri" w:hAnsi="Calibri" w:cs="Calibri"/>
        </w:rPr>
        <w:t>. Judges can be influenced not just from outsiders</w:t>
      </w:r>
      <w:r w:rsidR="007D460E">
        <w:rPr>
          <w:rFonts w:ascii="Calibri" w:hAnsi="Calibri" w:cs="Calibri"/>
        </w:rPr>
        <w:t>, like politicians, but they also can be influenced by fellow judges.</w:t>
      </w:r>
      <w:r w:rsidR="00081D0B">
        <w:rPr>
          <w:rFonts w:ascii="Calibri" w:hAnsi="Calibri" w:cs="Calibri"/>
        </w:rPr>
        <w:t xml:space="preserve"> They also mention</w:t>
      </w:r>
      <w:r w:rsidR="004F4703">
        <w:rPr>
          <w:rFonts w:ascii="Calibri" w:hAnsi="Calibri" w:cs="Calibri"/>
        </w:rPr>
        <w:t xml:space="preserve"> that when Lord Chancellor is at the centre as an </w:t>
      </w:r>
      <w:r w:rsidR="002B2F19">
        <w:rPr>
          <w:rFonts w:ascii="Calibri" w:hAnsi="Calibri" w:cs="Calibri"/>
        </w:rPr>
        <w:t xml:space="preserve">essential buckle between the judiciary and the government, Lord Chancellor </w:t>
      </w:r>
      <w:r w:rsidR="001D2678">
        <w:rPr>
          <w:rFonts w:ascii="Calibri" w:hAnsi="Calibri" w:cs="Calibri"/>
        </w:rPr>
        <w:t>mostly were on judges’ side</w:t>
      </w:r>
      <w:sdt>
        <w:sdtPr>
          <w:rPr>
            <w:rFonts w:ascii="Calibri" w:hAnsi="Calibri" w:cs="Calibri"/>
          </w:rPr>
          <w:id w:val="12811639"/>
          <w:citation/>
        </w:sdtPr>
        <w:sdtContent>
          <w:r w:rsidR="00473892">
            <w:rPr>
              <w:rFonts w:ascii="Calibri" w:hAnsi="Calibri" w:cs="Calibri"/>
            </w:rPr>
            <w:fldChar w:fldCharType="begin"/>
          </w:r>
          <w:r w:rsidR="00473892">
            <w:rPr>
              <w:rFonts w:ascii="Calibri" w:hAnsi="Calibri" w:cs="Calibri"/>
            </w:rPr>
            <w:instrText xml:space="preserve"> CITATION Gee15 \l 2057 </w:instrText>
          </w:r>
          <w:r w:rsidR="00473892">
            <w:rPr>
              <w:rFonts w:ascii="Calibri" w:hAnsi="Calibri" w:cs="Calibri"/>
            </w:rPr>
            <w:fldChar w:fldCharType="separate"/>
          </w:r>
          <w:r w:rsidR="0058237B">
            <w:rPr>
              <w:rFonts w:ascii="Calibri" w:hAnsi="Calibri" w:cs="Calibri"/>
              <w:noProof/>
            </w:rPr>
            <w:t xml:space="preserve"> </w:t>
          </w:r>
          <w:r w:rsidR="0058237B" w:rsidRPr="0058237B">
            <w:rPr>
              <w:rFonts w:ascii="Calibri" w:hAnsi="Calibri" w:cs="Calibri"/>
              <w:noProof/>
            </w:rPr>
            <w:t>(Gee, et al., 2015)</w:t>
          </w:r>
          <w:r w:rsidR="00473892">
            <w:rPr>
              <w:rFonts w:ascii="Calibri" w:hAnsi="Calibri" w:cs="Calibri"/>
            </w:rPr>
            <w:fldChar w:fldCharType="end"/>
          </w:r>
        </w:sdtContent>
      </w:sdt>
      <w:r w:rsidR="001D2678">
        <w:rPr>
          <w:rFonts w:ascii="Calibri" w:hAnsi="Calibri" w:cs="Calibri"/>
        </w:rPr>
        <w:t>.</w:t>
      </w:r>
    </w:p>
    <w:p w14:paraId="13A22F7B" w14:textId="4E6AEA30" w:rsidR="001D102C" w:rsidRDefault="00D30EB0" w:rsidP="0081754E">
      <w:pPr>
        <w:rPr>
          <w:rFonts w:ascii="Calibri" w:hAnsi="Calibri" w:cs="Calibri"/>
        </w:rPr>
      </w:pPr>
      <w:sdt>
        <w:sdtPr>
          <w:rPr>
            <w:rFonts w:ascii="Calibri" w:hAnsi="Calibri" w:cs="Calibri"/>
          </w:rPr>
          <w:id w:val="221721603"/>
          <w:citation/>
        </w:sdtPr>
        <w:sdtContent>
          <w:r>
            <w:rPr>
              <w:rFonts w:ascii="Calibri" w:hAnsi="Calibri" w:cs="Calibri"/>
            </w:rPr>
            <w:fldChar w:fldCharType="begin"/>
          </w:r>
          <w:r>
            <w:rPr>
              <w:rFonts w:ascii="Calibri" w:hAnsi="Calibri" w:cs="Calibri"/>
            </w:rPr>
            <w:instrText xml:space="preserve"> CITATION LeS19 \l 2057 </w:instrText>
          </w:r>
          <w:r>
            <w:rPr>
              <w:rFonts w:ascii="Calibri" w:hAnsi="Calibri" w:cs="Calibri"/>
            </w:rPr>
            <w:fldChar w:fldCharType="separate"/>
          </w:r>
          <w:r w:rsidR="0058237B" w:rsidRPr="0058237B">
            <w:rPr>
              <w:rFonts w:ascii="Calibri" w:hAnsi="Calibri" w:cs="Calibri"/>
              <w:noProof/>
            </w:rPr>
            <w:t>(Le Sueur, et al., 2019)</w:t>
          </w:r>
          <w:r>
            <w:rPr>
              <w:rFonts w:ascii="Calibri" w:hAnsi="Calibri" w:cs="Calibri"/>
            </w:rPr>
            <w:fldChar w:fldCharType="end"/>
          </w:r>
        </w:sdtContent>
      </w:sdt>
      <w:r w:rsidR="007E7B6F">
        <w:rPr>
          <w:rFonts w:ascii="Calibri" w:hAnsi="Calibri" w:cs="Calibri"/>
        </w:rPr>
        <w:t xml:space="preserve"> </w:t>
      </w:r>
      <w:r w:rsidR="00F54E2A">
        <w:rPr>
          <w:rFonts w:ascii="Calibri" w:hAnsi="Calibri" w:cs="Calibri"/>
        </w:rPr>
        <w:t>there are mentions that Lord Cave served as Home Secretary for a short time</w:t>
      </w:r>
      <w:r w:rsidR="00742415">
        <w:rPr>
          <w:rFonts w:ascii="Calibri" w:hAnsi="Calibri" w:cs="Calibri"/>
        </w:rPr>
        <w:t xml:space="preserve"> at the end of first world war while being a Law Lord. Even though </w:t>
      </w:r>
      <w:r w:rsidR="00804535">
        <w:rPr>
          <w:rFonts w:ascii="Calibri" w:hAnsi="Calibri" w:cs="Calibri"/>
        </w:rPr>
        <w:t>judges are not allowed to be members of the House of Commons.</w:t>
      </w:r>
      <w:r w:rsidR="00CB5180">
        <w:rPr>
          <w:rFonts w:ascii="Calibri" w:hAnsi="Calibri" w:cs="Calibri"/>
        </w:rPr>
        <w:t xml:space="preserve"> Before 2005 the Lord Chancellor</w:t>
      </w:r>
      <w:r w:rsidR="00186FEA">
        <w:rPr>
          <w:rFonts w:ascii="Calibri" w:hAnsi="Calibri" w:cs="Calibri"/>
        </w:rPr>
        <w:t xml:space="preserve"> combined judicial, executive and legislative</w:t>
      </w:r>
      <w:sdt>
        <w:sdtPr>
          <w:rPr>
            <w:rFonts w:ascii="Calibri" w:hAnsi="Calibri" w:cs="Calibri"/>
          </w:rPr>
          <w:id w:val="1768499238"/>
          <w:citation/>
        </w:sdtPr>
        <w:sdtContent>
          <w:r w:rsidR="007458C8">
            <w:rPr>
              <w:rFonts w:ascii="Calibri" w:hAnsi="Calibri" w:cs="Calibri"/>
            </w:rPr>
            <w:fldChar w:fldCharType="begin"/>
          </w:r>
          <w:r w:rsidR="007458C8">
            <w:rPr>
              <w:rFonts w:ascii="Calibri" w:hAnsi="Calibri" w:cs="Calibri"/>
            </w:rPr>
            <w:instrText xml:space="preserve"> CITATION LeS19 \l 2057 </w:instrText>
          </w:r>
          <w:r w:rsidR="007458C8">
            <w:rPr>
              <w:rFonts w:ascii="Calibri" w:hAnsi="Calibri" w:cs="Calibri"/>
            </w:rPr>
            <w:fldChar w:fldCharType="separate"/>
          </w:r>
          <w:r w:rsidR="0058237B">
            <w:rPr>
              <w:rFonts w:ascii="Calibri" w:hAnsi="Calibri" w:cs="Calibri"/>
              <w:noProof/>
            </w:rPr>
            <w:t xml:space="preserve"> </w:t>
          </w:r>
          <w:r w:rsidR="0058237B" w:rsidRPr="0058237B">
            <w:rPr>
              <w:rFonts w:ascii="Calibri" w:hAnsi="Calibri" w:cs="Calibri"/>
              <w:noProof/>
            </w:rPr>
            <w:t>(Le Sueur, et al., 2019)</w:t>
          </w:r>
          <w:r w:rsidR="007458C8">
            <w:rPr>
              <w:rFonts w:ascii="Calibri" w:hAnsi="Calibri" w:cs="Calibri"/>
            </w:rPr>
            <w:fldChar w:fldCharType="end"/>
          </w:r>
        </w:sdtContent>
      </w:sdt>
      <w:r w:rsidR="00186FEA">
        <w:rPr>
          <w:rFonts w:ascii="Calibri" w:hAnsi="Calibri" w:cs="Calibri"/>
        </w:rPr>
        <w:t>.</w:t>
      </w:r>
    </w:p>
    <w:p w14:paraId="21F7C8FA" w14:textId="2675DA0B" w:rsidR="00BD066B" w:rsidRDefault="00BD066B" w:rsidP="0081754E">
      <w:pPr>
        <w:rPr>
          <w:rFonts w:ascii="Calibri" w:hAnsi="Calibri" w:cs="Calibri"/>
          <w:lang w:val="en"/>
        </w:rPr>
      </w:pPr>
      <w:r>
        <w:rPr>
          <w:rFonts w:ascii="Calibri" w:hAnsi="Calibri" w:cs="Calibri"/>
          <w:lang w:val="en"/>
        </w:rPr>
        <w:t>In conclusion, as mentioned above (Barnett,2009) judges are subordinate to parli</w:t>
      </w:r>
      <w:r w:rsidR="00940B9B">
        <w:rPr>
          <w:rFonts w:ascii="Calibri" w:hAnsi="Calibri" w:cs="Calibri"/>
          <w:lang w:val="en"/>
        </w:rPr>
        <w:t>a</w:t>
      </w:r>
      <w:r>
        <w:rPr>
          <w:rFonts w:ascii="Calibri" w:hAnsi="Calibri" w:cs="Calibri"/>
          <w:lang w:val="en"/>
        </w:rPr>
        <w:t>ment.</w:t>
      </w:r>
      <w:r w:rsidR="00940B9B">
        <w:rPr>
          <w:rFonts w:ascii="Calibri" w:hAnsi="Calibri" w:cs="Calibri"/>
          <w:lang w:val="en"/>
        </w:rPr>
        <w:t xml:space="preserve"> J</w:t>
      </w:r>
      <w:r>
        <w:rPr>
          <w:rFonts w:ascii="Calibri" w:hAnsi="Calibri" w:cs="Calibri"/>
          <w:lang w:val="en"/>
        </w:rPr>
        <w:t xml:space="preserve">udges do add to the lawmaking process. As well as the common law includes those lawful principles and methods that are regular to entire nation. It was the judges who built up the law through their decisions. According to (Alder, 2015) It is significant for the judicial independence that judges have no obligation to advise the executive. By including the judges in investigations into charges against the government would question their independence if appeared to be involved with </w:t>
      </w:r>
      <w:r w:rsidR="008A72D1">
        <w:rPr>
          <w:rFonts w:ascii="Calibri" w:hAnsi="Calibri" w:cs="Calibri"/>
          <w:lang w:val="en"/>
        </w:rPr>
        <w:t>politics. (</w:t>
      </w:r>
      <w:r>
        <w:rPr>
          <w:rFonts w:ascii="Calibri" w:hAnsi="Calibri" w:cs="Calibri"/>
          <w:lang w:val="en"/>
        </w:rPr>
        <w:t>King, 2007) a normal political doctrine is based on three points. Protection against unfairness and abusive action by the state. based on the rule of law making it impossible for the rulers of the country to abuse their power. In the article on Financial Time the author mentioned that when the judge is appointed it can be as lawmaker or policymaker, but they say it is developing the existing law. Even though the judges introduced new privacy law. There is no obvious overlap between the judiciary and executive.</w:t>
      </w:r>
    </w:p>
    <w:sdt>
      <w:sdtPr>
        <w:id w:val="259881022"/>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704995F9" w14:textId="0FA6A96F" w:rsidR="008A72D1" w:rsidRDefault="008A72D1">
          <w:pPr>
            <w:pStyle w:val="Heading1"/>
          </w:pPr>
          <w:r>
            <w:t>References</w:t>
          </w:r>
        </w:p>
        <w:sdt>
          <w:sdtPr>
            <w:id w:val="-573587230"/>
            <w:bibliography/>
          </w:sdtPr>
          <w:sdtContent>
            <w:p w14:paraId="1D5CB104" w14:textId="77777777" w:rsidR="0058237B" w:rsidRDefault="008A72D1" w:rsidP="0058237B">
              <w:pPr>
                <w:pStyle w:val="Bibliography"/>
                <w:rPr>
                  <w:noProof/>
                  <w:sz w:val="24"/>
                  <w:szCs w:val="24"/>
                  <w:lang w:val="en-US"/>
                </w:rPr>
              </w:pPr>
              <w:r>
                <w:fldChar w:fldCharType="begin"/>
              </w:r>
              <w:r>
                <w:instrText xml:space="preserve"> BIBLIOGRAPHY </w:instrText>
              </w:r>
              <w:r>
                <w:fldChar w:fldCharType="separate"/>
              </w:r>
              <w:r w:rsidR="0058237B">
                <w:rPr>
                  <w:noProof/>
                  <w:lang w:val="en-US"/>
                </w:rPr>
                <w:t xml:space="preserve">Alder, J., 2015. </w:t>
              </w:r>
              <w:r w:rsidR="0058237B">
                <w:rPr>
                  <w:i/>
                  <w:iCs/>
                  <w:noProof/>
                  <w:lang w:val="en-US"/>
                </w:rPr>
                <w:t xml:space="preserve">Constitutional &amp; Administrative Law. </w:t>
              </w:r>
              <w:r w:rsidR="0058237B">
                <w:rPr>
                  <w:noProof/>
                  <w:lang w:val="en-US"/>
                </w:rPr>
                <w:t>Tenth ed. s.l.:s.n.</w:t>
              </w:r>
            </w:p>
            <w:p w14:paraId="07FF9C2E" w14:textId="77777777" w:rsidR="0058237B" w:rsidRDefault="0058237B" w:rsidP="0058237B">
              <w:pPr>
                <w:pStyle w:val="Bibliography"/>
                <w:rPr>
                  <w:noProof/>
                  <w:lang w:val="en-US"/>
                </w:rPr>
              </w:pPr>
              <w:r>
                <w:rPr>
                  <w:noProof/>
                  <w:lang w:val="en-US"/>
                </w:rPr>
                <w:t xml:space="preserve">All Answers Ltd., 2018. </w:t>
              </w:r>
              <w:r>
                <w:rPr>
                  <w:i/>
                  <w:iCs/>
                  <w:noProof/>
                  <w:lang w:val="en-US"/>
                </w:rPr>
                <w:t xml:space="preserve">LawTeacher. </w:t>
              </w:r>
              <w:r>
                <w:rPr>
                  <w:noProof/>
                  <w:lang w:val="en-US"/>
                </w:rPr>
                <w:t xml:space="preserve">[Online] </w:t>
              </w:r>
              <w:r>
                <w:rPr>
                  <w:noProof/>
                  <w:lang w:val="en-US"/>
                </w:rPr>
                <w:br/>
                <w:t xml:space="preserve">Available at: </w:t>
              </w:r>
              <w:r>
                <w:rPr>
                  <w:noProof/>
                  <w:u w:val="single"/>
                  <w:lang w:val="en-US"/>
                </w:rPr>
                <w:t>https://www.lawteacher.net/free-law-essays/administrative-law/separation-of-powers-in-the-uk-administrative-law-essay.php?vref=1</w:t>
              </w:r>
              <w:r>
                <w:rPr>
                  <w:noProof/>
                  <w:lang w:val="en-US"/>
                </w:rPr>
                <w:br/>
                <w:t>[Accessed 22 November 2020].</w:t>
              </w:r>
            </w:p>
            <w:p w14:paraId="74174D40" w14:textId="77777777" w:rsidR="0058237B" w:rsidRDefault="0058237B" w:rsidP="0058237B">
              <w:pPr>
                <w:pStyle w:val="Bibliography"/>
                <w:rPr>
                  <w:noProof/>
                  <w:lang w:val="en-US"/>
                </w:rPr>
              </w:pPr>
              <w:r>
                <w:rPr>
                  <w:noProof/>
                  <w:lang w:val="en-US"/>
                </w:rPr>
                <w:t xml:space="preserve">Barnett, H., 2009. </w:t>
              </w:r>
              <w:r>
                <w:rPr>
                  <w:i/>
                  <w:iCs/>
                  <w:noProof/>
                  <w:lang w:val="en-US"/>
                </w:rPr>
                <w:t xml:space="preserve">Understanding Public Law. </w:t>
              </w:r>
              <w:r>
                <w:rPr>
                  <w:noProof/>
                  <w:lang w:val="en-US"/>
                </w:rPr>
                <w:t>s.l.:s.n.</w:t>
              </w:r>
            </w:p>
            <w:p w14:paraId="3CFB8776" w14:textId="77777777" w:rsidR="0058237B" w:rsidRDefault="0058237B" w:rsidP="0058237B">
              <w:pPr>
                <w:pStyle w:val="Bibliography"/>
                <w:rPr>
                  <w:noProof/>
                  <w:lang w:val="en-US"/>
                </w:rPr>
              </w:pPr>
              <w:r>
                <w:rPr>
                  <w:noProof/>
                  <w:lang w:val="en-US"/>
                </w:rPr>
                <w:t xml:space="preserve">Barnett, H., 2017. </w:t>
              </w:r>
              <w:r>
                <w:rPr>
                  <w:i/>
                  <w:iCs/>
                  <w:noProof/>
                  <w:lang w:val="en-US"/>
                </w:rPr>
                <w:t xml:space="preserve">Constitutional and Administrative Law. </w:t>
              </w:r>
              <w:r>
                <w:rPr>
                  <w:noProof/>
                  <w:lang w:val="en-US"/>
                </w:rPr>
                <w:t>Twelfth ed. s.l.:s.n.</w:t>
              </w:r>
            </w:p>
            <w:p w14:paraId="18889369" w14:textId="77777777" w:rsidR="0058237B" w:rsidRDefault="0058237B" w:rsidP="0058237B">
              <w:pPr>
                <w:pStyle w:val="Bibliography"/>
                <w:rPr>
                  <w:noProof/>
                  <w:lang w:val="en-US"/>
                </w:rPr>
              </w:pPr>
              <w:r>
                <w:rPr>
                  <w:noProof/>
                  <w:lang w:val="en-US"/>
                </w:rPr>
                <w:t xml:space="preserve">Courts and Tribunals Judiciary, 2020. </w:t>
              </w:r>
              <w:r>
                <w:rPr>
                  <w:i/>
                  <w:iCs/>
                  <w:noProof/>
                  <w:lang w:val="en-US"/>
                </w:rPr>
                <w:t xml:space="preserve">Judiciary. </w:t>
              </w:r>
              <w:r>
                <w:rPr>
                  <w:noProof/>
                  <w:lang w:val="en-US"/>
                </w:rPr>
                <w:t xml:space="preserve">[Online] </w:t>
              </w:r>
              <w:r>
                <w:rPr>
                  <w:noProof/>
                  <w:lang w:val="en-US"/>
                </w:rPr>
                <w:br/>
                <w:t xml:space="preserve">Available at: </w:t>
              </w:r>
              <w:r>
                <w:rPr>
                  <w:noProof/>
                  <w:u w:val="single"/>
                  <w:lang w:val="en-US"/>
                </w:rPr>
                <w:t>https://www.judiciary.uk/about-the-judiciary/the-judiciary-the-government-and-the-constitution/jud-acc-ind/independence/</w:t>
              </w:r>
              <w:r>
                <w:rPr>
                  <w:noProof/>
                  <w:lang w:val="en-US"/>
                </w:rPr>
                <w:br/>
                <w:t>[Accessed 20 November 2020].</w:t>
              </w:r>
            </w:p>
            <w:p w14:paraId="4A8BD8F1" w14:textId="77777777" w:rsidR="0058237B" w:rsidRDefault="0058237B" w:rsidP="0058237B">
              <w:pPr>
                <w:pStyle w:val="Bibliography"/>
                <w:rPr>
                  <w:noProof/>
                  <w:lang w:val="en-US"/>
                </w:rPr>
              </w:pPr>
              <w:r>
                <w:rPr>
                  <w:noProof/>
                  <w:lang w:val="en-US"/>
                </w:rPr>
                <w:t xml:space="preserve">Courts and Tribunals Judiciary, 2020. </w:t>
              </w:r>
              <w:r>
                <w:rPr>
                  <w:i/>
                  <w:iCs/>
                  <w:noProof/>
                  <w:lang w:val="en-US"/>
                </w:rPr>
                <w:t xml:space="preserve">Judiciary. </w:t>
              </w:r>
              <w:r>
                <w:rPr>
                  <w:noProof/>
                  <w:lang w:val="en-US"/>
                </w:rPr>
                <w:t xml:space="preserve">[Online] </w:t>
              </w:r>
              <w:r>
                <w:rPr>
                  <w:noProof/>
                  <w:lang w:val="en-US"/>
                </w:rPr>
                <w:br/>
                <w:t xml:space="preserve">Available at: </w:t>
              </w:r>
              <w:r>
                <w:rPr>
                  <w:noProof/>
                  <w:u w:val="single"/>
                  <w:lang w:val="en-US"/>
                </w:rPr>
                <w:t>https://www.judiciary.uk/about-the-judiciary/the-judiciary-the-government-and-the-constitution/jud-acc-ind/justice-sys-and-constitution/</w:t>
              </w:r>
              <w:r>
                <w:rPr>
                  <w:noProof/>
                  <w:lang w:val="en-US"/>
                </w:rPr>
                <w:br/>
                <w:t>[Accessed 20 november 2020].</w:t>
              </w:r>
            </w:p>
            <w:p w14:paraId="720E7F6C" w14:textId="77777777" w:rsidR="0058237B" w:rsidRDefault="0058237B" w:rsidP="0058237B">
              <w:pPr>
                <w:pStyle w:val="Bibliography"/>
                <w:rPr>
                  <w:noProof/>
                  <w:lang w:val="en-US"/>
                </w:rPr>
              </w:pPr>
              <w:r>
                <w:rPr>
                  <w:noProof/>
                  <w:lang w:val="en-US"/>
                </w:rPr>
                <w:t xml:space="preserve">Elliott, M., 2001. </w:t>
              </w:r>
              <w:r>
                <w:rPr>
                  <w:i/>
                  <w:iCs/>
                  <w:noProof/>
                  <w:lang w:val="en-US"/>
                </w:rPr>
                <w:t xml:space="preserve">The Constitutional Foundations of Judicial Review. </w:t>
              </w:r>
              <w:r>
                <w:rPr>
                  <w:noProof/>
                  <w:lang w:val="en-US"/>
                </w:rPr>
                <w:t>s.l.:Bloomsbury Publishing.</w:t>
              </w:r>
            </w:p>
            <w:p w14:paraId="313B4553" w14:textId="77777777" w:rsidR="0058237B" w:rsidRDefault="0058237B" w:rsidP="0058237B">
              <w:pPr>
                <w:pStyle w:val="Bibliography"/>
                <w:rPr>
                  <w:noProof/>
                  <w:lang w:val="en-US"/>
                </w:rPr>
              </w:pPr>
              <w:r>
                <w:rPr>
                  <w:noProof/>
                  <w:lang w:val="en-US"/>
                </w:rPr>
                <w:t xml:space="preserve">Fouzder, M., 2020. </w:t>
              </w:r>
              <w:r>
                <w:rPr>
                  <w:i/>
                  <w:iCs/>
                  <w:noProof/>
                  <w:lang w:val="en-US"/>
                </w:rPr>
                <w:t xml:space="preserve">Judicial induction training to takle 'implicit bias'. </w:t>
              </w:r>
              <w:r>
                <w:rPr>
                  <w:noProof/>
                  <w:lang w:val="en-US"/>
                </w:rPr>
                <w:t xml:space="preserve">[Online] </w:t>
              </w:r>
              <w:r>
                <w:rPr>
                  <w:noProof/>
                  <w:lang w:val="en-US"/>
                </w:rPr>
                <w:br/>
                <w:t xml:space="preserve">Available at: </w:t>
              </w:r>
              <w:r>
                <w:rPr>
                  <w:noProof/>
                  <w:u w:val="single"/>
                  <w:lang w:val="en-US"/>
                </w:rPr>
                <w:t>https://www.lawgazette.co.uk/news/judicial-induction-training-to-tackle-implicit-bias/5106322.article</w:t>
              </w:r>
            </w:p>
            <w:p w14:paraId="49DF5AFE" w14:textId="77777777" w:rsidR="0058237B" w:rsidRDefault="0058237B" w:rsidP="0058237B">
              <w:pPr>
                <w:pStyle w:val="Bibliography"/>
                <w:rPr>
                  <w:noProof/>
                  <w:lang w:val="en-US"/>
                </w:rPr>
              </w:pPr>
              <w:r>
                <w:rPr>
                  <w:noProof/>
                  <w:lang w:val="en-US"/>
                </w:rPr>
                <w:t xml:space="preserve">Gee, G., Hazell, R., Malleson, K. &amp; O'Brien, P., 2015. </w:t>
              </w:r>
              <w:r>
                <w:rPr>
                  <w:i/>
                  <w:iCs/>
                  <w:noProof/>
                  <w:lang w:val="en-US"/>
                </w:rPr>
                <w:t xml:space="preserve">The Politics of Judicial Independence in the UK's Changing Constitution. </w:t>
              </w:r>
              <w:r>
                <w:rPr>
                  <w:noProof/>
                  <w:lang w:val="en-US"/>
                </w:rPr>
                <w:t>s.l.:Cambridge University Press.</w:t>
              </w:r>
            </w:p>
            <w:p w14:paraId="18B293F3" w14:textId="77777777" w:rsidR="0058237B" w:rsidRDefault="0058237B" w:rsidP="0058237B">
              <w:pPr>
                <w:pStyle w:val="Bibliography"/>
                <w:rPr>
                  <w:noProof/>
                  <w:lang w:val="en-US"/>
                </w:rPr>
              </w:pPr>
              <w:r>
                <w:rPr>
                  <w:noProof/>
                  <w:lang w:val="en-US"/>
                </w:rPr>
                <w:t xml:space="preserve">GOV UK, 2020. </w:t>
              </w:r>
              <w:r>
                <w:rPr>
                  <w:i/>
                  <w:iCs/>
                  <w:noProof/>
                  <w:lang w:val="en-US"/>
                </w:rPr>
                <w:t xml:space="preserve">Lord Chancellor’s Mansion House speech to the judiciary. </w:t>
              </w:r>
              <w:r>
                <w:rPr>
                  <w:noProof/>
                  <w:lang w:val="en-US"/>
                </w:rPr>
                <w:t>s.l.:Gov.uk.</w:t>
              </w:r>
            </w:p>
            <w:p w14:paraId="15E2844E" w14:textId="77777777" w:rsidR="0058237B" w:rsidRDefault="0058237B" w:rsidP="0058237B">
              <w:pPr>
                <w:pStyle w:val="Bibliography"/>
                <w:rPr>
                  <w:noProof/>
                  <w:lang w:val="en-US"/>
                </w:rPr>
              </w:pPr>
              <w:r>
                <w:rPr>
                  <w:noProof/>
                  <w:lang w:val="en-US"/>
                </w:rPr>
                <w:t xml:space="preserve">Green, D. A., 2020. </w:t>
              </w:r>
              <w:r>
                <w:rPr>
                  <w:i/>
                  <w:iCs/>
                  <w:noProof/>
                  <w:lang w:val="en-US"/>
                </w:rPr>
                <w:t xml:space="preserve">The realities of politics and the judiciary. </w:t>
              </w:r>
              <w:r>
                <w:rPr>
                  <w:noProof/>
                  <w:lang w:val="en-US"/>
                </w:rPr>
                <w:t xml:space="preserve">[Online] </w:t>
              </w:r>
              <w:r>
                <w:rPr>
                  <w:noProof/>
                  <w:lang w:val="en-US"/>
                </w:rPr>
                <w:br/>
                <w:t xml:space="preserve">Available at: </w:t>
              </w:r>
              <w:r>
                <w:rPr>
                  <w:noProof/>
                  <w:u w:val="single"/>
                  <w:lang w:val="en-US"/>
                </w:rPr>
                <w:t>https://www.ft.com/content/b8a549dd-b6eb-49e1-8988-e225641aff9b</w:t>
              </w:r>
            </w:p>
            <w:p w14:paraId="2DFA7290" w14:textId="77777777" w:rsidR="0058237B" w:rsidRDefault="0058237B" w:rsidP="0058237B">
              <w:pPr>
                <w:pStyle w:val="Bibliography"/>
                <w:rPr>
                  <w:noProof/>
                  <w:lang w:val="en-US"/>
                </w:rPr>
              </w:pPr>
              <w:r>
                <w:rPr>
                  <w:noProof/>
                  <w:lang w:val="en-US"/>
                </w:rPr>
                <w:t xml:space="preserve">House of Lords, 2007. </w:t>
              </w:r>
              <w:r>
                <w:rPr>
                  <w:i/>
                  <w:iCs/>
                  <w:noProof/>
                  <w:lang w:val="en-US"/>
                </w:rPr>
                <w:t xml:space="preserve">Relations between the executive, the judiciary and Parliament. </w:t>
              </w:r>
              <w:r>
                <w:rPr>
                  <w:noProof/>
                  <w:lang w:val="en-US"/>
                </w:rPr>
                <w:t>HL Paper 151 ed. s.l.:The Authority of the House of Lords.</w:t>
              </w:r>
            </w:p>
            <w:p w14:paraId="7C09CA10" w14:textId="77777777" w:rsidR="0058237B" w:rsidRDefault="0058237B" w:rsidP="0058237B">
              <w:pPr>
                <w:pStyle w:val="Bibliography"/>
                <w:rPr>
                  <w:noProof/>
                  <w:lang w:val="en-US"/>
                </w:rPr>
              </w:pPr>
              <w:r>
                <w:rPr>
                  <w:noProof/>
                  <w:lang w:val="en-US"/>
                </w:rPr>
                <w:t xml:space="preserve">Jowell, J. &amp; O'Cinneide, C., 2019. </w:t>
              </w:r>
              <w:r>
                <w:rPr>
                  <w:i/>
                  <w:iCs/>
                  <w:noProof/>
                  <w:lang w:val="en-US"/>
                </w:rPr>
                <w:t xml:space="preserve">The Changing Constitution. </w:t>
              </w:r>
              <w:r>
                <w:rPr>
                  <w:noProof/>
                  <w:lang w:val="en-US"/>
                </w:rPr>
                <w:t>Ninth ed. s.l.:Oxford University Press.</w:t>
              </w:r>
            </w:p>
            <w:p w14:paraId="1E99BA28" w14:textId="77777777" w:rsidR="0058237B" w:rsidRDefault="0058237B" w:rsidP="0058237B">
              <w:pPr>
                <w:pStyle w:val="Bibliography"/>
                <w:rPr>
                  <w:noProof/>
                  <w:lang w:val="en-US"/>
                </w:rPr>
              </w:pPr>
              <w:r>
                <w:rPr>
                  <w:noProof/>
                  <w:lang w:val="en-US"/>
                </w:rPr>
                <w:t xml:space="preserve">King, A., 2007. </w:t>
              </w:r>
              <w:r>
                <w:rPr>
                  <w:i/>
                  <w:iCs/>
                  <w:noProof/>
                  <w:lang w:val="en-US"/>
                </w:rPr>
                <w:t xml:space="preserve">The British Constitution. </w:t>
              </w:r>
              <w:r>
                <w:rPr>
                  <w:noProof/>
                  <w:lang w:val="en-US"/>
                </w:rPr>
                <w:t>s.l.:Oxford University Press.</w:t>
              </w:r>
            </w:p>
            <w:p w14:paraId="0A874B34" w14:textId="77777777" w:rsidR="0058237B" w:rsidRDefault="0058237B" w:rsidP="0058237B">
              <w:pPr>
                <w:pStyle w:val="Bibliography"/>
                <w:rPr>
                  <w:noProof/>
                  <w:lang w:val="en-US"/>
                </w:rPr>
              </w:pPr>
              <w:r>
                <w:rPr>
                  <w:noProof/>
                  <w:lang w:val="en-US"/>
                </w:rPr>
                <w:t xml:space="preserve">Le Sueur, A., Sunkin, M. &amp; Murkens, J. E. K., 2019. </w:t>
              </w:r>
              <w:r>
                <w:rPr>
                  <w:i/>
                  <w:iCs/>
                  <w:noProof/>
                  <w:lang w:val="en-US"/>
                </w:rPr>
                <w:t xml:space="preserve">Public Law. </w:t>
              </w:r>
              <w:r>
                <w:rPr>
                  <w:noProof/>
                  <w:lang w:val="en-US"/>
                </w:rPr>
                <w:t>s.l.:Oxford University Press.</w:t>
              </w:r>
            </w:p>
            <w:p w14:paraId="035CC5FD" w14:textId="77777777" w:rsidR="0058237B" w:rsidRDefault="0058237B" w:rsidP="0058237B">
              <w:pPr>
                <w:pStyle w:val="Bibliography"/>
                <w:rPr>
                  <w:noProof/>
                  <w:lang w:val="en-US"/>
                </w:rPr>
              </w:pPr>
              <w:r>
                <w:rPr>
                  <w:noProof/>
                  <w:lang w:val="en-US"/>
                </w:rPr>
                <w:t xml:space="preserve">Masterman, R., 2010. The Human Rights Act 1998 and the separation of powers. </w:t>
              </w:r>
              <w:r>
                <w:rPr>
                  <w:i/>
                  <w:iCs/>
                  <w:noProof/>
                  <w:lang w:val="en-US"/>
                </w:rPr>
                <w:t xml:space="preserve">In The Separation of Powers in the contemporary Constitution, </w:t>
              </w:r>
              <w:r>
                <w:rPr>
                  <w:noProof/>
                  <w:lang w:val="en-US"/>
                </w:rPr>
                <w:t>Volume Judicial Competence and Independecen in the United Kingdom, pp. 33-59.</w:t>
              </w:r>
            </w:p>
            <w:p w14:paraId="192421F3" w14:textId="77777777" w:rsidR="0058237B" w:rsidRDefault="0058237B" w:rsidP="0058237B">
              <w:pPr>
                <w:pStyle w:val="Bibliography"/>
                <w:rPr>
                  <w:noProof/>
                  <w:lang w:val="en-US"/>
                </w:rPr>
              </w:pPr>
              <w:r>
                <w:rPr>
                  <w:noProof/>
                  <w:lang w:val="en-US"/>
                </w:rPr>
                <w:t xml:space="preserve">Masterman, R., 2010. </w:t>
              </w:r>
              <w:r>
                <w:rPr>
                  <w:i/>
                  <w:iCs/>
                  <w:noProof/>
                  <w:lang w:val="en-US"/>
                </w:rPr>
                <w:t xml:space="preserve">The Separation of Powers in the Contemporary Constitution: Judicial Competence and Independence in the United Kingdom. </w:t>
              </w:r>
              <w:r>
                <w:rPr>
                  <w:noProof/>
                  <w:lang w:val="en-US"/>
                </w:rPr>
                <w:t>s.l.:Cambridge University Press.</w:t>
              </w:r>
            </w:p>
            <w:p w14:paraId="1A37331B" w14:textId="77777777" w:rsidR="0058237B" w:rsidRDefault="0058237B" w:rsidP="0058237B">
              <w:pPr>
                <w:pStyle w:val="Bibliography"/>
                <w:rPr>
                  <w:noProof/>
                  <w:lang w:val="en-US"/>
                </w:rPr>
              </w:pPr>
              <w:r>
                <w:rPr>
                  <w:noProof/>
                  <w:lang w:val="en-US"/>
                </w:rPr>
                <w:t xml:space="preserve">Neuberger, D., 2018. </w:t>
              </w:r>
              <w:r>
                <w:rPr>
                  <w:i/>
                  <w:iCs/>
                  <w:noProof/>
                  <w:lang w:val="en-US"/>
                </w:rPr>
                <w:t xml:space="preserve">David Neuberge: the power of the judges in the UK. </w:t>
              </w:r>
              <w:r>
                <w:rPr>
                  <w:noProof/>
                  <w:lang w:val="en-US"/>
                </w:rPr>
                <w:t xml:space="preserve">[Online] </w:t>
              </w:r>
              <w:r>
                <w:rPr>
                  <w:noProof/>
                  <w:lang w:val="en-US"/>
                </w:rPr>
                <w:br/>
                <w:t xml:space="preserve">Available at: </w:t>
              </w:r>
              <w:r>
                <w:rPr>
                  <w:noProof/>
                  <w:u w:val="single"/>
                  <w:lang w:val="en-US"/>
                </w:rPr>
                <w:t>https://www.prospectmagazine.co.uk/politics/david-neuberger-on-the-power-of-judges-in-the-uk</w:t>
              </w:r>
            </w:p>
            <w:p w14:paraId="52B065C1" w14:textId="77777777" w:rsidR="0058237B" w:rsidRDefault="0058237B" w:rsidP="0058237B">
              <w:pPr>
                <w:pStyle w:val="Bibliography"/>
                <w:rPr>
                  <w:noProof/>
                  <w:lang w:val="en-US"/>
                </w:rPr>
              </w:pPr>
              <w:r>
                <w:rPr>
                  <w:noProof/>
                  <w:lang w:val="en-US"/>
                </w:rPr>
                <w:t xml:space="preserve">Phillips, L., 2011. </w:t>
              </w:r>
              <w:r>
                <w:rPr>
                  <w:i/>
                  <w:iCs/>
                  <w:noProof/>
                  <w:lang w:val="en-US"/>
                </w:rPr>
                <w:t xml:space="preserve">Judicial Independence &amp; Accountability: A View from the Supreme Court. </w:t>
              </w:r>
              <w:r>
                <w:rPr>
                  <w:noProof/>
                  <w:lang w:val="en-US"/>
                </w:rPr>
                <w:t>s.l., s.n.</w:t>
              </w:r>
            </w:p>
            <w:p w14:paraId="543C79E0" w14:textId="77777777" w:rsidR="0058237B" w:rsidRDefault="0058237B" w:rsidP="0058237B">
              <w:pPr>
                <w:pStyle w:val="Bibliography"/>
                <w:rPr>
                  <w:noProof/>
                  <w:lang w:val="en-US"/>
                </w:rPr>
              </w:pPr>
              <w:r>
                <w:rPr>
                  <w:noProof/>
                  <w:lang w:val="en-US"/>
                </w:rPr>
                <w:t xml:space="preserve">Pollard, D., Parpworth, N. &amp; Hughes, D., 2007. </w:t>
              </w:r>
              <w:r>
                <w:rPr>
                  <w:i/>
                  <w:iCs/>
                  <w:noProof/>
                  <w:lang w:val="en-US"/>
                </w:rPr>
                <w:t xml:space="preserve">Constitutional and Administrative Law. </w:t>
              </w:r>
              <w:r>
                <w:rPr>
                  <w:noProof/>
                  <w:lang w:val="en-US"/>
                </w:rPr>
                <w:t>The Fourth ed. s.l.:OUP Oxford.</w:t>
              </w:r>
            </w:p>
            <w:p w14:paraId="2F1C5B45" w14:textId="77777777" w:rsidR="0058237B" w:rsidRDefault="0058237B" w:rsidP="0058237B">
              <w:pPr>
                <w:pStyle w:val="Bibliography"/>
                <w:rPr>
                  <w:noProof/>
                  <w:lang w:val="en-US"/>
                </w:rPr>
              </w:pPr>
              <w:r>
                <w:rPr>
                  <w:noProof/>
                  <w:lang w:val="en-US"/>
                </w:rPr>
                <w:t xml:space="preserve">Thomas, R. &amp; Elliott, M., 2017. </w:t>
              </w:r>
              <w:r>
                <w:rPr>
                  <w:i/>
                  <w:iCs/>
                  <w:noProof/>
                  <w:lang w:val="en-US"/>
                </w:rPr>
                <w:t xml:space="preserve">Public Law. </w:t>
              </w:r>
              <w:r>
                <w:rPr>
                  <w:noProof/>
                  <w:lang w:val="en-US"/>
                </w:rPr>
                <w:t>s.l.:Oxford University Press.</w:t>
              </w:r>
            </w:p>
            <w:p w14:paraId="520B6299" w14:textId="2A621404" w:rsidR="008A72D1" w:rsidRDefault="008A72D1" w:rsidP="0058237B">
              <w:r>
                <w:rPr>
                  <w:b/>
                  <w:bCs/>
                  <w:noProof/>
                </w:rPr>
                <w:fldChar w:fldCharType="end"/>
              </w:r>
            </w:p>
          </w:sdtContent>
        </w:sdt>
      </w:sdtContent>
    </w:sdt>
    <w:p w14:paraId="123AAE9E" w14:textId="77777777" w:rsidR="008A72D1" w:rsidRPr="00F95A8E" w:rsidRDefault="008A72D1" w:rsidP="0081754E">
      <w:pPr>
        <w:rPr>
          <w:rFonts w:ascii="Calibri" w:hAnsi="Calibri" w:cs="Calibri"/>
        </w:rPr>
      </w:pPr>
    </w:p>
    <w:sectPr w:rsidR="008A72D1" w:rsidRPr="00F95A8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3943"/>
    <w:rsid w:val="00002E6C"/>
    <w:rsid w:val="000217A3"/>
    <w:rsid w:val="00041096"/>
    <w:rsid w:val="000602C9"/>
    <w:rsid w:val="00081D0B"/>
    <w:rsid w:val="000A7349"/>
    <w:rsid w:val="000C347C"/>
    <w:rsid w:val="000C5361"/>
    <w:rsid w:val="000D334F"/>
    <w:rsid w:val="000E0E19"/>
    <w:rsid w:val="000E593F"/>
    <w:rsid w:val="000E5A3D"/>
    <w:rsid w:val="000F0EDE"/>
    <w:rsid w:val="001073D9"/>
    <w:rsid w:val="0012406D"/>
    <w:rsid w:val="00124302"/>
    <w:rsid w:val="00131EFF"/>
    <w:rsid w:val="00143F3A"/>
    <w:rsid w:val="001646E1"/>
    <w:rsid w:val="00165F1E"/>
    <w:rsid w:val="00167F53"/>
    <w:rsid w:val="00173452"/>
    <w:rsid w:val="00184F03"/>
    <w:rsid w:val="00186FEA"/>
    <w:rsid w:val="0019191A"/>
    <w:rsid w:val="00197AB3"/>
    <w:rsid w:val="00197EBF"/>
    <w:rsid w:val="001D102C"/>
    <w:rsid w:val="001D2678"/>
    <w:rsid w:val="001E61CE"/>
    <w:rsid w:val="002057E8"/>
    <w:rsid w:val="00234382"/>
    <w:rsid w:val="00244A35"/>
    <w:rsid w:val="0024539D"/>
    <w:rsid w:val="00246827"/>
    <w:rsid w:val="002511BB"/>
    <w:rsid w:val="00270A88"/>
    <w:rsid w:val="00283949"/>
    <w:rsid w:val="002A6583"/>
    <w:rsid w:val="002B249F"/>
    <w:rsid w:val="002B2F19"/>
    <w:rsid w:val="002B4654"/>
    <w:rsid w:val="002B7E0D"/>
    <w:rsid w:val="002C50F7"/>
    <w:rsid w:val="002D2DE0"/>
    <w:rsid w:val="002E2744"/>
    <w:rsid w:val="002E63CC"/>
    <w:rsid w:val="002F6713"/>
    <w:rsid w:val="003120BC"/>
    <w:rsid w:val="00314EC8"/>
    <w:rsid w:val="00316886"/>
    <w:rsid w:val="00316B79"/>
    <w:rsid w:val="00330296"/>
    <w:rsid w:val="0033353D"/>
    <w:rsid w:val="00352BD8"/>
    <w:rsid w:val="003800EA"/>
    <w:rsid w:val="00382A84"/>
    <w:rsid w:val="00392BB7"/>
    <w:rsid w:val="00395BDB"/>
    <w:rsid w:val="003A35EC"/>
    <w:rsid w:val="003A5883"/>
    <w:rsid w:val="003B093C"/>
    <w:rsid w:val="003B19A0"/>
    <w:rsid w:val="003C1DFF"/>
    <w:rsid w:val="003C1FBA"/>
    <w:rsid w:val="003C7B98"/>
    <w:rsid w:val="003D70B7"/>
    <w:rsid w:val="003E0D4D"/>
    <w:rsid w:val="003F07C8"/>
    <w:rsid w:val="003F2B07"/>
    <w:rsid w:val="003F2FD0"/>
    <w:rsid w:val="00420AFF"/>
    <w:rsid w:val="00440DC8"/>
    <w:rsid w:val="0044343A"/>
    <w:rsid w:val="004503A3"/>
    <w:rsid w:val="00457231"/>
    <w:rsid w:val="004609AF"/>
    <w:rsid w:val="00473892"/>
    <w:rsid w:val="0048247C"/>
    <w:rsid w:val="004A05E7"/>
    <w:rsid w:val="004A6676"/>
    <w:rsid w:val="004B728C"/>
    <w:rsid w:val="004F4703"/>
    <w:rsid w:val="005001E2"/>
    <w:rsid w:val="00501FE2"/>
    <w:rsid w:val="005024B6"/>
    <w:rsid w:val="00510FA5"/>
    <w:rsid w:val="00520D78"/>
    <w:rsid w:val="00532D74"/>
    <w:rsid w:val="005468C6"/>
    <w:rsid w:val="0058237B"/>
    <w:rsid w:val="00584FC9"/>
    <w:rsid w:val="00586A60"/>
    <w:rsid w:val="005A1E1E"/>
    <w:rsid w:val="005D100D"/>
    <w:rsid w:val="005E34CE"/>
    <w:rsid w:val="00626CD4"/>
    <w:rsid w:val="0062796C"/>
    <w:rsid w:val="00635255"/>
    <w:rsid w:val="0064543F"/>
    <w:rsid w:val="0065679D"/>
    <w:rsid w:val="00660485"/>
    <w:rsid w:val="006615FB"/>
    <w:rsid w:val="00661A4C"/>
    <w:rsid w:val="006730D5"/>
    <w:rsid w:val="00676A5B"/>
    <w:rsid w:val="00680F6D"/>
    <w:rsid w:val="00686C40"/>
    <w:rsid w:val="00692B49"/>
    <w:rsid w:val="00694111"/>
    <w:rsid w:val="00697C69"/>
    <w:rsid w:val="006A015F"/>
    <w:rsid w:val="006C5D56"/>
    <w:rsid w:val="006D45E9"/>
    <w:rsid w:val="006D7A0A"/>
    <w:rsid w:val="006E4D75"/>
    <w:rsid w:val="006E55C5"/>
    <w:rsid w:val="006F577C"/>
    <w:rsid w:val="0070573E"/>
    <w:rsid w:val="00742415"/>
    <w:rsid w:val="007458C8"/>
    <w:rsid w:val="00747AD7"/>
    <w:rsid w:val="00773C00"/>
    <w:rsid w:val="00774368"/>
    <w:rsid w:val="007846CF"/>
    <w:rsid w:val="0078607A"/>
    <w:rsid w:val="007933BA"/>
    <w:rsid w:val="00793C04"/>
    <w:rsid w:val="007A1BDD"/>
    <w:rsid w:val="007B53C6"/>
    <w:rsid w:val="007D3A21"/>
    <w:rsid w:val="007D460E"/>
    <w:rsid w:val="007E7B6F"/>
    <w:rsid w:val="007F44D7"/>
    <w:rsid w:val="007F47F8"/>
    <w:rsid w:val="00804535"/>
    <w:rsid w:val="00804AD9"/>
    <w:rsid w:val="0081754E"/>
    <w:rsid w:val="008267C0"/>
    <w:rsid w:val="00830BC4"/>
    <w:rsid w:val="00847D3D"/>
    <w:rsid w:val="008528D0"/>
    <w:rsid w:val="0086245B"/>
    <w:rsid w:val="00870FCF"/>
    <w:rsid w:val="0087779C"/>
    <w:rsid w:val="008817F9"/>
    <w:rsid w:val="0088335B"/>
    <w:rsid w:val="0088579C"/>
    <w:rsid w:val="008A72D1"/>
    <w:rsid w:val="008B0D40"/>
    <w:rsid w:val="008B5B2B"/>
    <w:rsid w:val="008C2019"/>
    <w:rsid w:val="008D0AA3"/>
    <w:rsid w:val="008D5C85"/>
    <w:rsid w:val="008E07AD"/>
    <w:rsid w:val="00906AA4"/>
    <w:rsid w:val="00910FE3"/>
    <w:rsid w:val="00923242"/>
    <w:rsid w:val="0092685A"/>
    <w:rsid w:val="00940B9B"/>
    <w:rsid w:val="009509B0"/>
    <w:rsid w:val="00963FF4"/>
    <w:rsid w:val="0099221F"/>
    <w:rsid w:val="009935C7"/>
    <w:rsid w:val="009B226D"/>
    <w:rsid w:val="009C00B9"/>
    <w:rsid w:val="009C52FF"/>
    <w:rsid w:val="009D432A"/>
    <w:rsid w:val="009E2041"/>
    <w:rsid w:val="009F4081"/>
    <w:rsid w:val="00A17A40"/>
    <w:rsid w:val="00A41474"/>
    <w:rsid w:val="00A573AF"/>
    <w:rsid w:val="00A71C62"/>
    <w:rsid w:val="00A7428B"/>
    <w:rsid w:val="00A77E3A"/>
    <w:rsid w:val="00A82BBA"/>
    <w:rsid w:val="00A830C8"/>
    <w:rsid w:val="00A96BD3"/>
    <w:rsid w:val="00AE0C20"/>
    <w:rsid w:val="00AE1A79"/>
    <w:rsid w:val="00AE3FAD"/>
    <w:rsid w:val="00B03A56"/>
    <w:rsid w:val="00B11F7C"/>
    <w:rsid w:val="00B240E9"/>
    <w:rsid w:val="00B30D2F"/>
    <w:rsid w:val="00B322B4"/>
    <w:rsid w:val="00B648CD"/>
    <w:rsid w:val="00B84475"/>
    <w:rsid w:val="00BB7AEF"/>
    <w:rsid w:val="00BD066B"/>
    <w:rsid w:val="00BE0C41"/>
    <w:rsid w:val="00BF062C"/>
    <w:rsid w:val="00BF70A4"/>
    <w:rsid w:val="00C264E0"/>
    <w:rsid w:val="00C423A8"/>
    <w:rsid w:val="00C602A5"/>
    <w:rsid w:val="00C63011"/>
    <w:rsid w:val="00C63CAD"/>
    <w:rsid w:val="00C82734"/>
    <w:rsid w:val="00CB5180"/>
    <w:rsid w:val="00CB6904"/>
    <w:rsid w:val="00CC0798"/>
    <w:rsid w:val="00CD79FF"/>
    <w:rsid w:val="00D03585"/>
    <w:rsid w:val="00D243BD"/>
    <w:rsid w:val="00D30EB0"/>
    <w:rsid w:val="00D40022"/>
    <w:rsid w:val="00D424D1"/>
    <w:rsid w:val="00D616E4"/>
    <w:rsid w:val="00D86F1D"/>
    <w:rsid w:val="00D8782E"/>
    <w:rsid w:val="00D93CA9"/>
    <w:rsid w:val="00D941F3"/>
    <w:rsid w:val="00DB22BE"/>
    <w:rsid w:val="00DC4794"/>
    <w:rsid w:val="00DD555B"/>
    <w:rsid w:val="00DF295D"/>
    <w:rsid w:val="00E06CCC"/>
    <w:rsid w:val="00E12BA5"/>
    <w:rsid w:val="00E13943"/>
    <w:rsid w:val="00E231D6"/>
    <w:rsid w:val="00E244AD"/>
    <w:rsid w:val="00E37081"/>
    <w:rsid w:val="00E45F76"/>
    <w:rsid w:val="00E57FC1"/>
    <w:rsid w:val="00E625E9"/>
    <w:rsid w:val="00E741C0"/>
    <w:rsid w:val="00E7542D"/>
    <w:rsid w:val="00E80206"/>
    <w:rsid w:val="00EA0A36"/>
    <w:rsid w:val="00EA4253"/>
    <w:rsid w:val="00EC19BC"/>
    <w:rsid w:val="00EC31E9"/>
    <w:rsid w:val="00EF28F3"/>
    <w:rsid w:val="00F21CB5"/>
    <w:rsid w:val="00F54E2A"/>
    <w:rsid w:val="00F750BB"/>
    <w:rsid w:val="00F84ED7"/>
    <w:rsid w:val="00F95A8E"/>
    <w:rsid w:val="00FC12F0"/>
    <w:rsid w:val="00FD0251"/>
    <w:rsid w:val="00FE39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3A4DF1"/>
  <w15:chartTrackingRefBased/>
  <w15:docId w15:val="{7D5AFAF1-9F5D-4F9A-AA4D-FCDC3887C1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F47F8"/>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394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3943"/>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7F47F8"/>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7F47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358340">
      <w:bodyDiv w:val="1"/>
      <w:marLeft w:val="0"/>
      <w:marRight w:val="0"/>
      <w:marTop w:val="0"/>
      <w:marBottom w:val="0"/>
      <w:divBdr>
        <w:top w:val="none" w:sz="0" w:space="0" w:color="auto"/>
        <w:left w:val="none" w:sz="0" w:space="0" w:color="auto"/>
        <w:bottom w:val="none" w:sz="0" w:space="0" w:color="auto"/>
        <w:right w:val="none" w:sz="0" w:space="0" w:color="auto"/>
      </w:divBdr>
    </w:div>
    <w:div w:id="26879447">
      <w:bodyDiv w:val="1"/>
      <w:marLeft w:val="0"/>
      <w:marRight w:val="0"/>
      <w:marTop w:val="0"/>
      <w:marBottom w:val="0"/>
      <w:divBdr>
        <w:top w:val="none" w:sz="0" w:space="0" w:color="auto"/>
        <w:left w:val="none" w:sz="0" w:space="0" w:color="auto"/>
        <w:bottom w:val="none" w:sz="0" w:space="0" w:color="auto"/>
        <w:right w:val="none" w:sz="0" w:space="0" w:color="auto"/>
      </w:divBdr>
    </w:div>
    <w:div w:id="71702064">
      <w:bodyDiv w:val="1"/>
      <w:marLeft w:val="0"/>
      <w:marRight w:val="0"/>
      <w:marTop w:val="0"/>
      <w:marBottom w:val="0"/>
      <w:divBdr>
        <w:top w:val="none" w:sz="0" w:space="0" w:color="auto"/>
        <w:left w:val="none" w:sz="0" w:space="0" w:color="auto"/>
        <w:bottom w:val="none" w:sz="0" w:space="0" w:color="auto"/>
        <w:right w:val="none" w:sz="0" w:space="0" w:color="auto"/>
      </w:divBdr>
    </w:div>
    <w:div w:id="75059334">
      <w:bodyDiv w:val="1"/>
      <w:marLeft w:val="0"/>
      <w:marRight w:val="0"/>
      <w:marTop w:val="0"/>
      <w:marBottom w:val="0"/>
      <w:divBdr>
        <w:top w:val="none" w:sz="0" w:space="0" w:color="auto"/>
        <w:left w:val="none" w:sz="0" w:space="0" w:color="auto"/>
        <w:bottom w:val="none" w:sz="0" w:space="0" w:color="auto"/>
        <w:right w:val="none" w:sz="0" w:space="0" w:color="auto"/>
      </w:divBdr>
    </w:div>
    <w:div w:id="85006803">
      <w:bodyDiv w:val="1"/>
      <w:marLeft w:val="0"/>
      <w:marRight w:val="0"/>
      <w:marTop w:val="0"/>
      <w:marBottom w:val="0"/>
      <w:divBdr>
        <w:top w:val="none" w:sz="0" w:space="0" w:color="auto"/>
        <w:left w:val="none" w:sz="0" w:space="0" w:color="auto"/>
        <w:bottom w:val="none" w:sz="0" w:space="0" w:color="auto"/>
        <w:right w:val="none" w:sz="0" w:space="0" w:color="auto"/>
      </w:divBdr>
    </w:div>
    <w:div w:id="96368364">
      <w:bodyDiv w:val="1"/>
      <w:marLeft w:val="0"/>
      <w:marRight w:val="0"/>
      <w:marTop w:val="0"/>
      <w:marBottom w:val="0"/>
      <w:divBdr>
        <w:top w:val="none" w:sz="0" w:space="0" w:color="auto"/>
        <w:left w:val="none" w:sz="0" w:space="0" w:color="auto"/>
        <w:bottom w:val="none" w:sz="0" w:space="0" w:color="auto"/>
        <w:right w:val="none" w:sz="0" w:space="0" w:color="auto"/>
      </w:divBdr>
    </w:div>
    <w:div w:id="112674303">
      <w:bodyDiv w:val="1"/>
      <w:marLeft w:val="0"/>
      <w:marRight w:val="0"/>
      <w:marTop w:val="0"/>
      <w:marBottom w:val="0"/>
      <w:divBdr>
        <w:top w:val="none" w:sz="0" w:space="0" w:color="auto"/>
        <w:left w:val="none" w:sz="0" w:space="0" w:color="auto"/>
        <w:bottom w:val="none" w:sz="0" w:space="0" w:color="auto"/>
        <w:right w:val="none" w:sz="0" w:space="0" w:color="auto"/>
      </w:divBdr>
    </w:div>
    <w:div w:id="124354425">
      <w:bodyDiv w:val="1"/>
      <w:marLeft w:val="0"/>
      <w:marRight w:val="0"/>
      <w:marTop w:val="0"/>
      <w:marBottom w:val="0"/>
      <w:divBdr>
        <w:top w:val="none" w:sz="0" w:space="0" w:color="auto"/>
        <w:left w:val="none" w:sz="0" w:space="0" w:color="auto"/>
        <w:bottom w:val="none" w:sz="0" w:space="0" w:color="auto"/>
        <w:right w:val="none" w:sz="0" w:space="0" w:color="auto"/>
      </w:divBdr>
    </w:div>
    <w:div w:id="127550225">
      <w:bodyDiv w:val="1"/>
      <w:marLeft w:val="0"/>
      <w:marRight w:val="0"/>
      <w:marTop w:val="0"/>
      <w:marBottom w:val="0"/>
      <w:divBdr>
        <w:top w:val="none" w:sz="0" w:space="0" w:color="auto"/>
        <w:left w:val="none" w:sz="0" w:space="0" w:color="auto"/>
        <w:bottom w:val="none" w:sz="0" w:space="0" w:color="auto"/>
        <w:right w:val="none" w:sz="0" w:space="0" w:color="auto"/>
      </w:divBdr>
    </w:div>
    <w:div w:id="139080490">
      <w:bodyDiv w:val="1"/>
      <w:marLeft w:val="0"/>
      <w:marRight w:val="0"/>
      <w:marTop w:val="0"/>
      <w:marBottom w:val="0"/>
      <w:divBdr>
        <w:top w:val="none" w:sz="0" w:space="0" w:color="auto"/>
        <w:left w:val="none" w:sz="0" w:space="0" w:color="auto"/>
        <w:bottom w:val="none" w:sz="0" w:space="0" w:color="auto"/>
        <w:right w:val="none" w:sz="0" w:space="0" w:color="auto"/>
      </w:divBdr>
    </w:div>
    <w:div w:id="140541364">
      <w:bodyDiv w:val="1"/>
      <w:marLeft w:val="0"/>
      <w:marRight w:val="0"/>
      <w:marTop w:val="0"/>
      <w:marBottom w:val="0"/>
      <w:divBdr>
        <w:top w:val="none" w:sz="0" w:space="0" w:color="auto"/>
        <w:left w:val="none" w:sz="0" w:space="0" w:color="auto"/>
        <w:bottom w:val="none" w:sz="0" w:space="0" w:color="auto"/>
        <w:right w:val="none" w:sz="0" w:space="0" w:color="auto"/>
      </w:divBdr>
    </w:div>
    <w:div w:id="147407209">
      <w:bodyDiv w:val="1"/>
      <w:marLeft w:val="0"/>
      <w:marRight w:val="0"/>
      <w:marTop w:val="0"/>
      <w:marBottom w:val="0"/>
      <w:divBdr>
        <w:top w:val="none" w:sz="0" w:space="0" w:color="auto"/>
        <w:left w:val="none" w:sz="0" w:space="0" w:color="auto"/>
        <w:bottom w:val="none" w:sz="0" w:space="0" w:color="auto"/>
        <w:right w:val="none" w:sz="0" w:space="0" w:color="auto"/>
      </w:divBdr>
    </w:div>
    <w:div w:id="184175756">
      <w:bodyDiv w:val="1"/>
      <w:marLeft w:val="0"/>
      <w:marRight w:val="0"/>
      <w:marTop w:val="0"/>
      <w:marBottom w:val="0"/>
      <w:divBdr>
        <w:top w:val="none" w:sz="0" w:space="0" w:color="auto"/>
        <w:left w:val="none" w:sz="0" w:space="0" w:color="auto"/>
        <w:bottom w:val="none" w:sz="0" w:space="0" w:color="auto"/>
        <w:right w:val="none" w:sz="0" w:space="0" w:color="auto"/>
      </w:divBdr>
    </w:div>
    <w:div w:id="218126731">
      <w:bodyDiv w:val="1"/>
      <w:marLeft w:val="0"/>
      <w:marRight w:val="0"/>
      <w:marTop w:val="0"/>
      <w:marBottom w:val="0"/>
      <w:divBdr>
        <w:top w:val="none" w:sz="0" w:space="0" w:color="auto"/>
        <w:left w:val="none" w:sz="0" w:space="0" w:color="auto"/>
        <w:bottom w:val="none" w:sz="0" w:space="0" w:color="auto"/>
        <w:right w:val="none" w:sz="0" w:space="0" w:color="auto"/>
      </w:divBdr>
    </w:div>
    <w:div w:id="290786727">
      <w:bodyDiv w:val="1"/>
      <w:marLeft w:val="0"/>
      <w:marRight w:val="0"/>
      <w:marTop w:val="0"/>
      <w:marBottom w:val="0"/>
      <w:divBdr>
        <w:top w:val="none" w:sz="0" w:space="0" w:color="auto"/>
        <w:left w:val="none" w:sz="0" w:space="0" w:color="auto"/>
        <w:bottom w:val="none" w:sz="0" w:space="0" w:color="auto"/>
        <w:right w:val="none" w:sz="0" w:space="0" w:color="auto"/>
      </w:divBdr>
    </w:div>
    <w:div w:id="330262448">
      <w:bodyDiv w:val="1"/>
      <w:marLeft w:val="0"/>
      <w:marRight w:val="0"/>
      <w:marTop w:val="0"/>
      <w:marBottom w:val="0"/>
      <w:divBdr>
        <w:top w:val="none" w:sz="0" w:space="0" w:color="auto"/>
        <w:left w:val="none" w:sz="0" w:space="0" w:color="auto"/>
        <w:bottom w:val="none" w:sz="0" w:space="0" w:color="auto"/>
        <w:right w:val="none" w:sz="0" w:space="0" w:color="auto"/>
      </w:divBdr>
    </w:div>
    <w:div w:id="339696275">
      <w:bodyDiv w:val="1"/>
      <w:marLeft w:val="0"/>
      <w:marRight w:val="0"/>
      <w:marTop w:val="0"/>
      <w:marBottom w:val="0"/>
      <w:divBdr>
        <w:top w:val="none" w:sz="0" w:space="0" w:color="auto"/>
        <w:left w:val="none" w:sz="0" w:space="0" w:color="auto"/>
        <w:bottom w:val="none" w:sz="0" w:space="0" w:color="auto"/>
        <w:right w:val="none" w:sz="0" w:space="0" w:color="auto"/>
      </w:divBdr>
    </w:div>
    <w:div w:id="357507816">
      <w:bodyDiv w:val="1"/>
      <w:marLeft w:val="0"/>
      <w:marRight w:val="0"/>
      <w:marTop w:val="0"/>
      <w:marBottom w:val="0"/>
      <w:divBdr>
        <w:top w:val="none" w:sz="0" w:space="0" w:color="auto"/>
        <w:left w:val="none" w:sz="0" w:space="0" w:color="auto"/>
        <w:bottom w:val="none" w:sz="0" w:space="0" w:color="auto"/>
        <w:right w:val="none" w:sz="0" w:space="0" w:color="auto"/>
      </w:divBdr>
    </w:div>
    <w:div w:id="428936680">
      <w:bodyDiv w:val="1"/>
      <w:marLeft w:val="0"/>
      <w:marRight w:val="0"/>
      <w:marTop w:val="0"/>
      <w:marBottom w:val="0"/>
      <w:divBdr>
        <w:top w:val="none" w:sz="0" w:space="0" w:color="auto"/>
        <w:left w:val="none" w:sz="0" w:space="0" w:color="auto"/>
        <w:bottom w:val="none" w:sz="0" w:space="0" w:color="auto"/>
        <w:right w:val="none" w:sz="0" w:space="0" w:color="auto"/>
      </w:divBdr>
    </w:div>
    <w:div w:id="433207438">
      <w:bodyDiv w:val="1"/>
      <w:marLeft w:val="0"/>
      <w:marRight w:val="0"/>
      <w:marTop w:val="0"/>
      <w:marBottom w:val="0"/>
      <w:divBdr>
        <w:top w:val="none" w:sz="0" w:space="0" w:color="auto"/>
        <w:left w:val="none" w:sz="0" w:space="0" w:color="auto"/>
        <w:bottom w:val="none" w:sz="0" w:space="0" w:color="auto"/>
        <w:right w:val="none" w:sz="0" w:space="0" w:color="auto"/>
      </w:divBdr>
    </w:div>
    <w:div w:id="520094777">
      <w:bodyDiv w:val="1"/>
      <w:marLeft w:val="0"/>
      <w:marRight w:val="0"/>
      <w:marTop w:val="0"/>
      <w:marBottom w:val="0"/>
      <w:divBdr>
        <w:top w:val="none" w:sz="0" w:space="0" w:color="auto"/>
        <w:left w:val="none" w:sz="0" w:space="0" w:color="auto"/>
        <w:bottom w:val="none" w:sz="0" w:space="0" w:color="auto"/>
        <w:right w:val="none" w:sz="0" w:space="0" w:color="auto"/>
      </w:divBdr>
    </w:div>
    <w:div w:id="527792886">
      <w:bodyDiv w:val="1"/>
      <w:marLeft w:val="0"/>
      <w:marRight w:val="0"/>
      <w:marTop w:val="0"/>
      <w:marBottom w:val="0"/>
      <w:divBdr>
        <w:top w:val="none" w:sz="0" w:space="0" w:color="auto"/>
        <w:left w:val="none" w:sz="0" w:space="0" w:color="auto"/>
        <w:bottom w:val="none" w:sz="0" w:space="0" w:color="auto"/>
        <w:right w:val="none" w:sz="0" w:space="0" w:color="auto"/>
      </w:divBdr>
    </w:div>
    <w:div w:id="545139065">
      <w:bodyDiv w:val="1"/>
      <w:marLeft w:val="0"/>
      <w:marRight w:val="0"/>
      <w:marTop w:val="0"/>
      <w:marBottom w:val="0"/>
      <w:divBdr>
        <w:top w:val="none" w:sz="0" w:space="0" w:color="auto"/>
        <w:left w:val="none" w:sz="0" w:space="0" w:color="auto"/>
        <w:bottom w:val="none" w:sz="0" w:space="0" w:color="auto"/>
        <w:right w:val="none" w:sz="0" w:space="0" w:color="auto"/>
      </w:divBdr>
    </w:div>
    <w:div w:id="546067712">
      <w:bodyDiv w:val="1"/>
      <w:marLeft w:val="0"/>
      <w:marRight w:val="0"/>
      <w:marTop w:val="0"/>
      <w:marBottom w:val="0"/>
      <w:divBdr>
        <w:top w:val="none" w:sz="0" w:space="0" w:color="auto"/>
        <w:left w:val="none" w:sz="0" w:space="0" w:color="auto"/>
        <w:bottom w:val="none" w:sz="0" w:space="0" w:color="auto"/>
        <w:right w:val="none" w:sz="0" w:space="0" w:color="auto"/>
      </w:divBdr>
    </w:div>
    <w:div w:id="574778137">
      <w:bodyDiv w:val="1"/>
      <w:marLeft w:val="0"/>
      <w:marRight w:val="0"/>
      <w:marTop w:val="0"/>
      <w:marBottom w:val="0"/>
      <w:divBdr>
        <w:top w:val="none" w:sz="0" w:space="0" w:color="auto"/>
        <w:left w:val="none" w:sz="0" w:space="0" w:color="auto"/>
        <w:bottom w:val="none" w:sz="0" w:space="0" w:color="auto"/>
        <w:right w:val="none" w:sz="0" w:space="0" w:color="auto"/>
      </w:divBdr>
    </w:div>
    <w:div w:id="577443498">
      <w:bodyDiv w:val="1"/>
      <w:marLeft w:val="0"/>
      <w:marRight w:val="0"/>
      <w:marTop w:val="0"/>
      <w:marBottom w:val="0"/>
      <w:divBdr>
        <w:top w:val="none" w:sz="0" w:space="0" w:color="auto"/>
        <w:left w:val="none" w:sz="0" w:space="0" w:color="auto"/>
        <w:bottom w:val="none" w:sz="0" w:space="0" w:color="auto"/>
        <w:right w:val="none" w:sz="0" w:space="0" w:color="auto"/>
      </w:divBdr>
    </w:div>
    <w:div w:id="601572217">
      <w:bodyDiv w:val="1"/>
      <w:marLeft w:val="0"/>
      <w:marRight w:val="0"/>
      <w:marTop w:val="0"/>
      <w:marBottom w:val="0"/>
      <w:divBdr>
        <w:top w:val="none" w:sz="0" w:space="0" w:color="auto"/>
        <w:left w:val="none" w:sz="0" w:space="0" w:color="auto"/>
        <w:bottom w:val="none" w:sz="0" w:space="0" w:color="auto"/>
        <w:right w:val="none" w:sz="0" w:space="0" w:color="auto"/>
      </w:divBdr>
    </w:div>
    <w:div w:id="624655197">
      <w:bodyDiv w:val="1"/>
      <w:marLeft w:val="0"/>
      <w:marRight w:val="0"/>
      <w:marTop w:val="0"/>
      <w:marBottom w:val="0"/>
      <w:divBdr>
        <w:top w:val="none" w:sz="0" w:space="0" w:color="auto"/>
        <w:left w:val="none" w:sz="0" w:space="0" w:color="auto"/>
        <w:bottom w:val="none" w:sz="0" w:space="0" w:color="auto"/>
        <w:right w:val="none" w:sz="0" w:space="0" w:color="auto"/>
      </w:divBdr>
    </w:div>
    <w:div w:id="640231375">
      <w:bodyDiv w:val="1"/>
      <w:marLeft w:val="0"/>
      <w:marRight w:val="0"/>
      <w:marTop w:val="0"/>
      <w:marBottom w:val="0"/>
      <w:divBdr>
        <w:top w:val="none" w:sz="0" w:space="0" w:color="auto"/>
        <w:left w:val="none" w:sz="0" w:space="0" w:color="auto"/>
        <w:bottom w:val="none" w:sz="0" w:space="0" w:color="auto"/>
        <w:right w:val="none" w:sz="0" w:space="0" w:color="auto"/>
      </w:divBdr>
    </w:div>
    <w:div w:id="644435857">
      <w:bodyDiv w:val="1"/>
      <w:marLeft w:val="0"/>
      <w:marRight w:val="0"/>
      <w:marTop w:val="0"/>
      <w:marBottom w:val="0"/>
      <w:divBdr>
        <w:top w:val="none" w:sz="0" w:space="0" w:color="auto"/>
        <w:left w:val="none" w:sz="0" w:space="0" w:color="auto"/>
        <w:bottom w:val="none" w:sz="0" w:space="0" w:color="auto"/>
        <w:right w:val="none" w:sz="0" w:space="0" w:color="auto"/>
      </w:divBdr>
    </w:div>
    <w:div w:id="647513959">
      <w:bodyDiv w:val="1"/>
      <w:marLeft w:val="0"/>
      <w:marRight w:val="0"/>
      <w:marTop w:val="0"/>
      <w:marBottom w:val="0"/>
      <w:divBdr>
        <w:top w:val="none" w:sz="0" w:space="0" w:color="auto"/>
        <w:left w:val="none" w:sz="0" w:space="0" w:color="auto"/>
        <w:bottom w:val="none" w:sz="0" w:space="0" w:color="auto"/>
        <w:right w:val="none" w:sz="0" w:space="0" w:color="auto"/>
      </w:divBdr>
    </w:div>
    <w:div w:id="677538151">
      <w:bodyDiv w:val="1"/>
      <w:marLeft w:val="0"/>
      <w:marRight w:val="0"/>
      <w:marTop w:val="0"/>
      <w:marBottom w:val="0"/>
      <w:divBdr>
        <w:top w:val="none" w:sz="0" w:space="0" w:color="auto"/>
        <w:left w:val="none" w:sz="0" w:space="0" w:color="auto"/>
        <w:bottom w:val="none" w:sz="0" w:space="0" w:color="auto"/>
        <w:right w:val="none" w:sz="0" w:space="0" w:color="auto"/>
      </w:divBdr>
    </w:div>
    <w:div w:id="700134157">
      <w:bodyDiv w:val="1"/>
      <w:marLeft w:val="0"/>
      <w:marRight w:val="0"/>
      <w:marTop w:val="0"/>
      <w:marBottom w:val="0"/>
      <w:divBdr>
        <w:top w:val="none" w:sz="0" w:space="0" w:color="auto"/>
        <w:left w:val="none" w:sz="0" w:space="0" w:color="auto"/>
        <w:bottom w:val="none" w:sz="0" w:space="0" w:color="auto"/>
        <w:right w:val="none" w:sz="0" w:space="0" w:color="auto"/>
      </w:divBdr>
    </w:div>
    <w:div w:id="717051057">
      <w:bodyDiv w:val="1"/>
      <w:marLeft w:val="0"/>
      <w:marRight w:val="0"/>
      <w:marTop w:val="0"/>
      <w:marBottom w:val="0"/>
      <w:divBdr>
        <w:top w:val="none" w:sz="0" w:space="0" w:color="auto"/>
        <w:left w:val="none" w:sz="0" w:space="0" w:color="auto"/>
        <w:bottom w:val="none" w:sz="0" w:space="0" w:color="auto"/>
        <w:right w:val="none" w:sz="0" w:space="0" w:color="auto"/>
      </w:divBdr>
    </w:div>
    <w:div w:id="737821025">
      <w:bodyDiv w:val="1"/>
      <w:marLeft w:val="0"/>
      <w:marRight w:val="0"/>
      <w:marTop w:val="0"/>
      <w:marBottom w:val="0"/>
      <w:divBdr>
        <w:top w:val="none" w:sz="0" w:space="0" w:color="auto"/>
        <w:left w:val="none" w:sz="0" w:space="0" w:color="auto"/>
        <w:bottom w:val="none" w:sz="0" w:space="0" w:color="auto"/>
        <w:right w:val="none" w:sz="0" w:space="0" w:color="auto"/>
      </w:divBdr>
    </w:div>
    <w:div w:id="750734317">
      <w:bodyDiv w:val="1"/>
      <w:marLeft w:val="0"/>
      <w:marRight w:val="0"/>
      <w:marTop w:val="0"/>
      <w:marBottom w:val="0"/>
      <w:divBdr>
        <w:top w:val="none" w:sz="0" w:space="0" w:color="auto"/>
        <w:left w:val="none" w:sz="0" w:space="0" w:color="auto"/>
        <w:bottom w:val="none" w:sz="0" w:space="0" w:color="auto"/>
        <w:right w:val="none" w:sz="0" w:space="0" w:color="auto"/>
      </w:divBdr>
    </w:div>
    <w:div w:id="822311943">
      <w:bodyDiv w:val="1"/>
      <w:marLeft w:val="0"/>
      <w:marRight w:val="0"/>
      <w:marTop w:val="0"/>
      <w:marBottom w:val="0"/>
      <w:divBdr>
        <w:top w:val="none" w:sz="0" w:space="0" w:color="auto"/>
        <w:left w:val="none" w:sz="0" w:space="0" w:color="auto"/>
        <w:bottom w:val="none" w:sz="0" w:space="0" w:color="auto"/>
        <w:right w:val="none" w:sz="0" w:space="0" w:color="auto"/>
      </w:divBdr>
    </w:div>
    <w:div w:id="825902841">
      <w:bodyDiv w:val="1"/>
      <w:marLeft w:val="0"/>
      <w:marRight w:val="0"/>
      <w:marTop w:val="0"/>
      <w:marBottom w:val="0"/>
      <w:divBdr>
        <w:top w:val="none" w:sz="0" w:space="0" w:color="auto"/>
        <w:left w:val="none" w:sz="0" w:space="0" w:color="auto"/>
        <w:bottom w:val="none" w:sz="0" w:space="0" w:color="auto"/>
        <w:right w:val="none" w:sz="0" w:space="0" w:color="auto"/>
      </w:divBdr>
    </w:div>
    <w:div w:id="830828667">
      <w:bodyDiv w:val="1"/>
      <w:marLeft w:val="0"/>
      <w:marRight w:val="0"/>
      <w:marTop w:val="0"/>
      <w:marBottom w:val="0"/>
      <w:divBdr>
        <w:top w:val="none" w:sz="0" w:space="0" w:color="auto"/>
        <w:left w:val="none" w:sz="0" w:space="0" w:color="auto"/>
        <w:bottom w:val="none" w:sz="0" w:space="0" w:color="auto"/>
        <w:right w:val="none" w:sz="0" w:space="0" w:color="auto"/>
      </w:divBdr>
    </w:div>
    <w:div w:id="831800892">
      <w:bodyDiv w:val="1"/>
      <w:marLeft w:val="0"/>
      <w:marRight w:val="0"/>
      <w:marTop w:val="0"/>
      <w:marBottom w:val="0"/>
      <w:divBdr>
        <w:top w:val="none" w:sz="0" w:space="0" w:color="auto"/>
        <w:left w:val="none" w:sz="0" w:space="0" w:color="auto"/>
        <w:bottom w:val="none" w:sz="0" w:space="0" w:color="auto"/>
        <w:right w:val="none" w:sz="0" w:space="0" w:color="auto"/>
      </w:divBdr>
    </w:div>
    <w:div w:id="847526050">
      <w:bodyDiv w:val="1"/>
      <w:marLeft w:val="0"/>
      <w:marRight w:val="0"/>
      <w:marTop w:val="0"/>
      <w:marBottom w:val="0"/>
      <w:divBdr>
        <w:top w:val="none" w:sz="0" w:space="0" w:color="auto"/>
        <w:left w:val="none" w:sz="0" w:space="0" w:color="auto"/>
        <w:bottom w:val="none" w:sz="0" w:space="0" w:color="auto"/>
        <w:right w:val="none" w:sz="0" w:space="0" w:color="auto"/>
      </w:divBdr>
    </w:div>
    <w:div w:id="858929556">
      <w:bodyDiv w:val="1"/>
      <w:marLeft w:val="0"/>
      <w:marRight w:val="0"/>
      <w:marTop w:val="0"/>
      <w:marBottom w:val="0"/>
      <w:divBdr>
        <w:top w:val="none" w:sz="0" w:space="0" w:color="auto"/>
        <w:left w:val="none" w:sz="0" w:space="0" w:color="auto"/>
        <w:bottom w:val="none" w:sz="0" w:space="0" w:color="auto"/>
        <w:right w:val="none" w:sz="0" w:space="0" w:color="auto"/>
      </w:divBdr>
    </w:div>
    <w:div w:id="943151991">
      <w:bodyDiv w:val="1"/>
      <w:marLeft w:val="0"/>
      <w:marRight w:val="0"/>
      <w:marTop w:val="0"/>
      <w:marBottom w:val="0"/>
      <w:divBdr>
        <w:top w:val="none" w:sz="0" w:space="0" w:color="auto"/>
        <w:left w:val="none" w:sz="0" w:space="0" w:color="auto"/>
        <w:bottom w:val="none" w:sz="0" w:space="0" w:color="auto"/>
        <w:right w:val="none" w:sz="0" w:space="0" w:color="auto"/>
      </w:divBdr>
    </w:div>
    <w:div w:id="949820551">
      <w:bodyDiv w:val="1"/>
      <w:marLeft w:val="0"/>
      <w:marRight w:val="0"/>
      <w:marTop w:val="0"/>
      <w:marBottom w:val="0"/>
      <w:divBdr>
        <w:top w:val="none" w:sz="0" w:space="0" w:color="auto"/>
        <w:left w:val="none" w:sz="0" w:space="0" w:color="auto"/>
        <w:bottom w:val="none" w:sz="0" w:space="0" w:color="auto"/>
        <w:right w:val="none" w:sz="0" w:space="0" w:color="auto"/>
      </w:divBdr>
    </w:div>
    <w:div w:id="954754410">
      <w:bodyDiv w:val="1"/>
      <w:marLeft w:val="0"/>
      <w:marRight w:val="0"/>
      <w:marTop w:val="0"/>
      <w:marBottom w:val="0"/>
      <w:divBdr>
        <w:top w:val="none" w:sz="0" w:space="0" w:color="auto"/>
        <w:left w:val="none" w:sz="0" w:space="0" w:color="auto"/>
        <w:bottom w:val="none" w:sz="0" w:space="0" w:color="auto"/>
        <w:right w:val="none" w:sz="0" w:space="0" w:color="auto"/>
      </w:divBdr>
    </w:div>
    <w:div w:id="967663314">
      <w:bodyDiv w:val="1"/>
      <w:marLeft w:val="0"/>
      <w:marRight w:val="0"/>
      <w:marTop w:val="0"/>
      <w:marBottom w:val="0"/>
      <w:divBdr>
        <w:top w:val="none" w:sz="0" w:space="0" w:color="auto"/>
        <w:left w:val="none" w:sz="0" w:space="0" w:color="auto"/>
        <w:bottom w:val="none" w:sz="0" w:space="0" w:color="auto"/>
        <w:right w:val="none" w:sz="0" w:space="0" w:color="auto"/>
      </w:divBdr>
    </w:div>
    <w:div w:id="977221668">
      <w:bodyDiv w:val="1"/>
      <w:marLeft w:val="0"/>
      <w:marRight w:val="0"/>
      <w:marTop w:val="0"/>
      <w:marBottom w:val="0"/>
      <w:divBdr>
        <w:top w:val="none" w:sz="0" w:space="0" w:color="auto"/>
        <w:left w:val="none" w:sz="0" w:space="0" w:color="auto"/>
        <w:bottom w:val="none" w:sz="0" w:space="0" w:color="auto"/>
        <w:right w:val="none" w:sz="0" w:space="0" w:color="auto"/>
      </w:divBdr>
    </w:div>
    <w:div w:id="989136959">
      <w:bodyDiv w:val="1"/>
      <w:marLeft w:val="0"/>
      <w:marRight w:val="0"/>
      <w:marTop w:val="0"/>
      <w:marBottom w:val="0"/>
      <w:divBdr>
        <w:top w:val="none" w:sz="0" w:space="0" w:color="auto"/>
        <w:left w:val="none" w:sz="0" w:space="0" w:color="auto"/>
        <w:bottom w:val="none" w:sz="0" w:space="0" w:color="auto"/>
        <w:right w:val="none" w:sz="0" w:space="0" w:color="auto"/>
      </w:divBdr>
    </w:div>
    <w:div w:id="1040320960">
      <w:bodyDiv w:val="1"/>
      <w:marLeft w:val="0"/>
      <w:marRight w:val="0"/>
      <w:marTop w:val="0"/>
      <w:marBottom w:val="0"/>
      <w:divBdr>
        <w:top w:val="none" w:sz="0" w:space="0" w:color="auto"/>
        <w:left w:val="none" w:sz="0" w:space="0" w:color="auto"/>
        <w:bottom w:val="none" w:sz="0" w:space="0" w:color="auto"/>
        <w:right w:val="none" w:sz="0" w:space="0" w:color="auto"/>
      </w:divBdr>
    </w:div>
    <w:div w:id="1059788521">
      <w:bodyDiv w:val="1"/>
      <w:marLeft w:val="0"/>
      <w:marRight w:val="0"/>
      <w:marTop w:val="0"/>
      <w:marBottom w:val="0"/>
      <w:divBdr>
        <w:top w:val="none" w:sz="0" w:space="0" w:color="auto"/>
        <w:left w:val="none" w:sz="0" w:space="0" w:color="auto"/>
        <w:bottom w:val="none" w:sz="0" w:space="0" w:color="auto"/>
        <w:right w:val="none" w:sz="0" w:space="0" w:color="auto"/>
      </w:divBdr>
    </w:div>
    <w:div w:id="1063522409">
      <w:bodyDiv w:val="1"/>
      <w:marLeft w:val="0"/>
      <w:marRight w:val="0"/>
      <w:marTop w:val="0"/>
      <w:marBottom w:val="0"/>
      <w:divBdr>
        <w:top w:val="none" w:sz="0" w:space="0" w:color="auto"/>
        <w:left w:val="none" w:sz="0" w:space="0" w:color="auto"/>
        <w:bottom w:val="none" w:sz="0" w:space="0" w:color="auto"/>
        <w:right w:val="none" w:sz="0" w:space="0" w:color="auto"/>
      </w:divBdr>
    </w:div>
    <w:div w:id="1069578663">
      <w:bodyDiv w:val="1"/>
      <w:marLeft w:val="0"/>
      <w:marRight w:val="0"/>
      <w:marTop w:val="0"/>
      <w:marBottom w:val="0"/>
      <w:divBdr>
        <w:top w:val="none" w:sz="0" w:space="0" w:color="auto"/>
        <w:left w:val="none" w:sz="0" w:space="0" w:color="auto"/>
        <w:bottom w:val="none" w:sz="0" w:space="0" w:color="auto"/>
        <w:right w:val="none" w:sz="0" w:space="0" w:color="auto"/>
      </w:divBdr>
    </w:div>
    <w:div w:id="1148790081">
      <w:bodyDiv w:val="1"/>
      <w:marLeft w:val="0"/>
      <w:marRight w:val="0"/>
      <w:marTop w:val="0"/>
      <w:marBottom w:val="0"/>
      <w:divBdr>
        <w:top w:val="none" w:sz="0" w:space="0" w:color="auto"/>
        <w:left w:val="none" w:sz="0" w:space="0" w:color="auto"/>
        <w:bottom w:val="none" w:sz="0" w:space="0" w:color="auto"/>
        <w:right w:val="none" w:sz="0" w:space="0" w:color="auto"/>
      </w:divBdr>
    </w:div>
    <w:div w:id="1197426969">
      <w:bodyDiv w:val="1"/>
      <w:marLeft w:val="0"/>
      <w:marRight w:val="0"/>
      <w:marTop w:val="0"/>
      <w:marBottom w:val="0"/>
      <w:divBdr>
        <w:top w:val="none" w:sz="0" w:space="0" w:color="auto"/>
        <w:left w:val="none" w:sz="0" w:space="0" w:color="auto"/>
        <w:bottom w:val="none" w:sz="0" w:space="0" w:color="auto"/>
        <w:right w:val="none" w:sz="0" w:space="0" w:color="auto"/>
      </w:divBdr>
    </w:div>
    <w:div w:id="1207643614">
      <w:bodyDiv w:val="1"/>
      <w:marLeft w:val="0"/>
      <w:marRight w:val="0"/>
      <w:marTop w:val="0"/>
      <w:marBottom w:val="0"/>
      <w:divBdr>
        <w:top w:val="none" w:sz="0" w:space="0" w:color="auto"/>
        <w:left w:val="none" w:sz="0" w:space="0" w:color="auto"/>
        <w:bottom w:val="none" w:sz="0" w:space="0" w:color="auto"/>
        <w:right w:val="none" w:sz="0" w:space="0" w:color="auto"/>
      </w:divBdr>
    </w:div>
    <w:div w:id="1215505496">
      <w:bodyDiv w:val="1"/>
      <w:marLeft w:val="0"/>
      <w:marRight w:val="0"/>
      <w:marTop w:val="0"/>
      <w:marBottom w:val="0"/>
      <w:divBdr>
        <w:top w:val="none" w:sz="0" w:space="0" w:color="auto"/>
        <w:left w:val="none" w:sz="0" w:space="0" w:color="auto"/>
        <w:bottom w:val="none" w:sz="0" w:space="0" w:color="auto"/>
        <w:right w:val="none" w:sz="0" w:space="0" w:color="auto"/>
      </w:divBdr>
    </w:div>
    <w:div w:id="1237127296">
      <w:bodyDiv w:val="1"/>
      <w:marLeft w:val="0"/>
      <w:marRight w:val="0"/>
      <w:marTop w:val="0"/>
      <w:marBottom w:val="0"/>
      <w:divBdr>
        <w:top w:val="none" w:sz="0" w:space="0" w:color="auto"/>
        <w:left w:val="none" w:sz="0" w:space="0" w:color="auto"/>
        <w:bottom w:val="none" w:sz="0" w:space="0" w:color="auto"/>
        <w:right w:val="none" w:sz="0" w:space="0" w:color="auto"/>
      </w:divBdr>
    </w:div>
    <w:div w:id="1263490536">
      <w:bodyDiv w:val="1"/>
      <w:marLeft w:val="0"/>
      <w:marRight w:val="0"/>
      <w:marTop w:val="0"/>
      <w:marBottom w:val="0"/>
      <w:divBdr>
        <w:top w:val="none" w:sz="0" w:space="0" w:color="auto"/>
        <w:left w:val="none" w:sz="0" w:space="0" w:color="auto"/>
        <w:bottom w:val="none" w:sz="0" w:space="0" w:color="auto"/>
        <w:right w:val="none" w:sz="0" w:space="0" w:color="auto"/>
      </w:divBdr>
    </w:div>
    <w:div w:id="1296450935">
      <w:bodyDiv w:val="1"/>
      <w:marLeft w:val="0"/>
      <w:marRight w:val="0"/>
      <w:marTop w:val="0"/>
      <w:marBottom w:val="0"/>
      <w:divBdr>
        <w:top w:val="none" w:sz="0" w:space="0" w:color="auto"/>
        <w:left w:val="none" w:sz="0" w:space="0" w:color="auto"/>
        <w:bottom w:val="none" w:sz="0" w:space="0" w:color="auto"/>
        <w:right w:val="none" w:sz="0" w:space="0" w:color="auto"/>
      </w:divBdr>
    </w:div>
    <w:div w:id="1323923239">
      <w:bodyDiv w:val="1"/>
      <w:marLeft w:val="0"/>
      <w:marRight w:val="0"/>
      <w:marTop w:val="0"/>
      <w:marBottom w:val="0"/>
      <w:divBdr>
        <w:top w:val="none" w:sz="0" w:space="0" w:color="auto"/>
        <w:left w:val="none" w:sz="0" w:space="0" w:color="auto"/>
        <w:bottom w:val="none" w:sz="0" w:space="0" w:color="auto"/>
        <w:right w:val="none" w:sz="0" w:space="0" w:color="auto"/>
      </w:divBdr>
    </w:div>
    <w:div w:id="1325167165">
      <w:bodyDiv w:val="1"/>
      <w:marLeft w:val="0"/>
      <w:marRight w:val="0"/>
      <w:marTop w:val="0"/>
      <w:marBottom w:val="0"/>
      <w:divBdr>
        <w:top w:val="none" w:sz="0" w:space="0" w:color="auto"/>
        <w:left w:val="none" w:sz="0" w:space="0" w:color="auto"/>
        <w:bottom w:val="none" w:sz="0" w:space="0" w:color="auto"/>
        <w:right w:val="none" w:sz="0" w:space="0" w:color="auto"/>
      </w:divBdr>
    </w:div>
    <w:div w:id="1361517724">
      <w:bodyDiv w:val="1"/>
      <w:marLeft w:val="0"/>
      <w:marRight w:val="0"/>
      <w:marTop w:val="0"/>
      <w:marBottom w:val="0"/>
      <w:divBdr>
        <w:top w:val="none" w:sz="0" w:space="0" w:color="auto"/>
        <w:left w:val="none" w:sz="0" w:space="0" w:color="auto"/>
        <w:bottom w:val="none" w:sz="0" w:space="0" w:color="auto"/>
        <w:right w:val="none" w:sz="0" w:space="0" w:color="auto"/>
      </w:divBdr>
    </w:div>
    <w:div w:id="1372341527">
      <w:bodyDiv w:val="1"/>
      <w:marLeft w:val="0"/>
      <w:marRight w:val="0"/>
      <w:marTop w:val="0"/>
      <w:marBottom w:val="0"/>
      <w:divBdr>
        <w:top w:val="none" w:sz="0" w:space="0" w:color="auto"/>
        <w:left w:val="none" w:sz="0" w:space="0" w:color="auto"/>
        <w:bottom w:val="none" w:sz="0" w:space="0" w:color="auto"/>
        <w:right w:val="none" w:sz="0" w:space="0" w:color="auto"/>
      </w:divBdr>
    </w:div>
    <w:div w:id="1407267438">
      <w:bodyDiv w:val="1"/>
      <w:marLeft w:val="0"/>
      <w:marRight w:val="0"/>
      <w:marTop w:val="0"/>
      <w:marBottom w:val="0"/>
      <w:divBdr>
        <w:top w:val="none" w:sz="0" w:space="0" w:color="auto"/>
        <w:left w:val="none" w:sz="0" w:space="0" w:color="auto"/>
        <w:bottom w:val="none" w:sz="0" w:space="0" w:color="auto"/>
        <w:right w:val="none" w:sz="0" w:space="0" w:color="auto"/>
      </w:divBdr>
    </w:div>
    <w:div w:id="1424182279">
      <w:bodyDiv w:val="1"/>
      <w:marLeft w:val="0"/>
      <w:marRight w:val="0"/>
      <w:marTop w:val="0"/>
      <w:marBottom w:val="0"/>
      <w:divBdr>
        <w:top w:val="none" w:sz="0" w:space="0" w:color="auto"/>
        <w:left w:val="none" w:sz="0" w:space="0" w:color="auto"/>
        <w:bottom w:val="none" w:sz="0" w:space="0" w:color="auto"/>
        <w:right w:val="none" w:sz="0" w:space="0" w:color="auto"/>
      </w:divBdr>
    </w:div>
    <w:div w:id="1429426071">
      <w:bodyDiv w:val="1"/>
      <w:marLeft w:val="0"/>
      <w:marRight w:val="0"/>
      <w:marTop w:val="0"/>
      <w:marBottom w:val="0"/>
      <w:divBdr>
        <w:top w:val="none" w:sz="0" w:space="0" w:color="auto"/>
        <w:left w:val="none" w:sz="0" w:space="0" w:color="auto"/>
        <w:bottom w:val="none" w:sz="0" w:space="0" w:color="auto"/>
        <w:right w:val="none" w:sz="0" w:space="0" w:color="auto"/>
      </w:divBdr>
    </w:div>
    <w:div w:id="1464032047">
      <w:bodyDiv w:val="1"/>
      <w:marLeft w:val="0"/>
      <w:marRight w:val="0"/>
      <w:marTop w:val="0"/>
      <w:marBottom w:val="0"/>
      <w:divBdr>
        <w:top w:val="none" w:sz="0" w:space="0" w:color="auto"/>
        <w:left w:val="none" w:sz="0" w:space="0" w:color="auto"/>
        <w:bottom w:val="none" w:sz="0" w:space="0" w:color="auto"/>
        <w:right w:val="none" w:sz="0" w:space="0" w:color="auto"/>
      </w:divBdr>
    </w:div>
    <w:div w:id="1474298550">
      <w:bodyDiv w:val="1"/>
      <w:marLeft w:val="0"/>
      <w:marRight w:val="0"/>
      <w:marTop w:val="0"/>
      <w:marBottom w:val="0"/>
      <w:divBdr>
        <w:top w:val="none" w:sz="0" w:space="0" w:color="auto"/>
        <w:left w:val="none" w:sz="0" w:space="0" w:color="auto"/>
        <w:bottom w:val="none" w:sz="0" w:space="0" w:color="auto"/>
        <w:right w:val="none" w:sz="0" w:space="0" w:color="auto"/>
      </w:divBdr>
    </w:div>
    <w:div w:id="1489515062">
      <w:bodyDiv w:val="1"/>
      <w:marLeft w:val="0"/>
      <w:marRight w:val="0"/>
      <w:marTop w:val="0"/>
      <w:marBottom w:val="0"/>
      <w:divBdr>
        <w:top w:val="none" w:sz="0" w:space="0" w:color="auto"/>
        <w:left w:val="none" w:sz="0" w:space="0" w:color="auto"/>
        <w:bottom w:val="none" w:sz="0" w:space="0" w:color="auto"/>
        <w:right w:val="none" w:sz="0" w:space="0" w:color="auto"/>
      </w:divBdr>
    </w:div>
    <w:div w:id="1494757048">
      <w:bodyDiv w:val="1"/>
      <w:marLeft w:val="0"/>
      <w:marRight w:val="0"/>
      <w:marTop w:val="0"/>
      <w:marBottom w:val="0"/>
      <w:divBdr>
        <w:top w:val="none" w:sz="0" w:space="0" w:color="auto"/>
        <w:left w:val="none" w:sz="0" w:space="0" w:color="auto"/>
        <w:bottom w:val="none" w:sz="0" w:space="0" w:color="auto"/>
        <w:right w:val="none" w:sz="0" w:space="0" w:color="auto"/>
      </w:divBdr>
    </w:div>
    <w:div w:id="1501576045">
      <w:bodyDiv w:val="1"/>
      <w:marLeft w:val="0"/>
      <w:marRight w:val="0"/>
      <w:marTop w:val="0"/>
      <w:marBottom w:val="0"/>
      <w:divBdr>
        <w:top w:val="none" w:sz="0" w:space="0" w:color="auto"/>
        <w:left w:val="none" w:sz="0" w:space="0" w:color="auto"/>
        <w:bottom w:val="none" w:sz="0" w:space="0" w:color="auto"/>
        <w:right w:val="none" w:sz="0" w:space="0" w:color="auto"/>
      </w:divBdr>
    </w:div>
    <w:div w:id="1540050313">
      <w:bodyDiv w:val="1"/>
      <w:marLeft w:val="0"/>
      <w:marRight w:val="0"/>
      <w:marTop w:val="0"/>
      <w:marBottom w:val="0"/>
      <w:divBdr>
        <w:top w:val="none" w:sz="0" w:space="0" w:color="auto"/>
        <w:left w:val="none" w:sz="0" w:space="0" w:color="auto"/>
        <w:bottom w:val="none" w:sz="0" w:space="0" w:color="auto"/>
        <w:right w:val="none" w:sz="0" w:space="0" w:color="auto"/>
      </w:divBdr>
    </w:div>
    <w:div w:id="1561670210">
      <w:bodyDiv w:val="1"/>
      <w:marLeft w:val="0"/>
      <w:marRight w:val="0"/>
      <w:marTop w:val="0"/>
      <w:marBottom w:val="0"/>
      <w:divBdr>
        <w:top w:val="none" w:sz="0" w:space="0" w:color="auto"/>
        <w:left w:val="none" w:sz="0" w:space="0" w:color="auto"/>
        <w:bottom w:val="none" w:sz="0" w:space="0" w:color="auto"/>
        <w:right w:val="none" w:sz="0" w:space="0" w:color="auto"/>
      </w:divBdr>
    </w:div>
    <w:div w:id="1563060116">
      <w:bodyDiv w:val="1"/>
      <w:marLeft w:val="0"/>
      <w:marRight w:val="0"/>
      <w:marTop w:val="0"/>
      <w:marBottom w:val="0"/>
      <w:divBdr>
        <w:top w:val="none" w:sz="0" w:space="0" w:color="auto"/>
        <w:left w:val="none" w:sz="0" w:space="0" w:color="auto"/>
        <w:bottom w:val="none" w:sz="0" w:space="0" w:color="auto"/>
        <w:right w:val="none" w:sz="0" w:space="0" w:color="auto"/>
      </w:divBdr>
    </w:div>
    <w:div w:id="1598322868">
      <w:bodyDiv w:val="1"/>
      <w:marLeft w:val="0"/>
      <w:marRight w:val="0"/>
      <w:marTop w:val="0"/>
      <w:marBottom w:val="0"/>
      <w:divBdr>
        <w:top w:val="none" w:sz="0" w:space="0" w:color="auto"/>
        <w:left w:val="none" w:sz="0" w:space="0" w:color="auto"/>
        <w:bottom w:val="none" w:sz="0" w:space="0" w:color="auto"/>
        <w:right w:val="none" w:sz="0" w:space="0" w:color="auto"/>
      </w:divBdr>
    </w:div>
    <w:div w:id="1644122578">
      <w:bodyDiv w:val="1"/>
      <w:marLeft w:val="0"/>
      <w:marRight w:val="0"/>
      <w:marTop w:val="0"/>
      <w:marBottom w:val="0"/>
      <w:divBdr>
        <w:top w:val="none" w:sz="0" w:space="0" w:color="auto"/>
        <w:left w:val="none" w:sz="0" w:space="0" w:color="auto"/>
        <w:bottom w:val="none" w:sz="0" w:space="0" w:color="auto"/>
        <w:right w:val="none" w:sz="0" w:space="0" w:color="auto"/>
      </w:divBdr>
    </w:div>
    <w:div w:id="1707754831">
      <w:bodyDiv w:val="1"/>
      <w:marLeft w:val="0"/>
      <w:marRight w:val="0"/>
      <w:marTop w:val="0"/>
      <w:marBottom w:val="0"/>
      <w:divBdr>
        <w:top w:val="none" w:sz="0" w:space="0" w:color="auto"/>
        <w:left w:val="none" w:sz="0" w:space="0" w:color="auto"/>
        <w:bottom w:val="none" w:sz="0" w:space="0" w:color="auto"/>
        <w:right w:val="none" w:sz="0" w:space="0" w:color="auto"/>
      </w:divBdr>
    </w:div>
    <w:div w:id="1744642408">
      <w:bodyDiv w:val="1"/>
      <w:marLeft w:val="0"/>
      <w:marRight w:val="0"/>
      <w:marTop w:val="0"/>
      <w:marBottom w:val="0"/>
      <w:divBdr>
        <w:top w:val="none" w:sz="0" w:space="0" w:color="auto"/>
        <w:left w:val="none" w:sz="0" w:space="0" w:color="auto"/>
        <w:bottom w:val="none" w:sz="0" w:space="0" w:color="auto"/>
        <w:right w:val="none" w:sz="0" w:space="0" w:color="auto"/>
      </w:divBdr>
    </w:div>
    <w:div w:id="1779716840">
      <w:bodyDiv w:val="1"/>
      <w:marLeft w:val="0"/>
      <w:marRight w:val="0"/>
      <w:marTop w:val="0"/>
      <w:marBottom w:val="0"/>
      <w:divBdr>
        <w:top w:val="none" w:sz="0" w:space="0" w:color="auto"/>
        <w:left w:val="none" w:sz="0" w:space="0" w:color="auto"/>
        <w:bottom w:val="none" w:sz="0" w:space="0" w:color="auto"/>
        <w:right w:val="none" w:sz="0" w:space="0" w:color="auto"/>
      </w:divBdr>
    </w:div>
    <w:div w:id="1824463517">
      <w:bodyDiv w:val="1"/>
      <w:marLeft w:val="0"/>
      <w:marRight w:val="0"/>
      <w:marTop w:val="0"/>
      <w:marBottom w:val="0"/>
      <w:divBdr>
        <w:top w:val="none" w:sz="0" w:space="0" w:color="auto"/>
        <w:left w:val="none" w:sz="0" w:space="0" w:color="auto"/>
        <w:bottom w:val="none" w:sz="0" w:space="0" w:color="auto"/>
        <w:right w:val="none" w:sz="0" w:space="0" w:color="auto"/>
      </w:divBdr>
    </w:div>
    <w:div w:id="1824542340">
      <w:bodyDiv w:val="1"/>
      <w:marLeft w:val="0"/>
      <w:marRight w:val="0"/>
      <w:marTop w:val="0"/>
      <w:marBottom w:val="0"/>
      <w:divBdr>
        <w:top w:val="none" w:sz="0" w:space="0" w:color="auto"/>
        <w:left w:val="none" w:sz="0" w:space="0" w:color="auto"/>
        <w:bottom w:val="none" w:sz="0" w:space="0" w:color="auto"/>
        <w:right w:val="none" w:sz="0" w:space="0" w:color="auto"/>
      </w:divBdr>
    </w:div>
    <w:div w:id="1848863645">
      <w:bodyDiv w:val="1"/>
      <w:marLeft w:val="0"/>
      <w:marRight w:val="0"/>
      <w:marTop w:val="0"/>
      <w:marBottom w:val="0"/>
      <w:divBdr>
        <w:top w:val="none" w:sz="0" w:space="0" w:color="auto"/>
        <w:left w:val="none" w:sz="0" w:space="0" w:color="auto"/>
        <w:bottom w:val="none" w:sz="0" w:space="0" w:color="auto"/>
        <w:right w:val="none" w:sz="0" w:space="0" w:color="auto"/>
      </w:divBdr>
    </w:div>
    <w:div w:id="1915965971">
      <w:bodyDiv w:val="1"/>
      <w:marLeft w:val="0"/>
      <w:marRight w:val="0"/>
      <w:marTop w:val="0"/>
      <w:marBottom w:val="0"/>
      <w:divBdr>
        <w:top w:val="none" w:sz="0" w:space="0" w:color="auto"/>
        <w:left w:val="none" w:sz="0" w:space="0" w:color="auto"/>
        <w:bottom w:val="none" w:sz="0" w:space="0" w:color="auto"/>
        <w:right w:val="none" w:sz="0" w:space="0" w:color="auto"/>
      </w:divBdr>
    </w:div>
    <w:div w:id="1935741995">
      <w:bodyDiv w:val="1"/>
      <w:marLeft w:val="0"/>
      <w:marRight w:val="0"/>
      <w:marTop w:val="0"/>
      <w:marBottom w:val="0"/>
      <w:divBdr>
        <w:top w:val="none" w:sz="0" w:space="0" w:color="auto"/>
        <w:left w:val="none" w:sz="0" w:space="0" w:color="auto"/>
        <w:bottom w:val="none" w:sz="0" w:space="0" w:color="auto"/>
        <w:right w:val="none" w:sz="0" w:space="0" w:color="auto"/>
      </w:divBdr>
    </w:div>
    <w:div w:id="1943801838">
      <w:bodyDiv w:val="1"/>
      <w:marLeft w:val="0"/>
      <w:marRight w:val="0"/>
      <w:marTop w:val="0"/>
      <w:marBottom w:val="0"/>
      <w:divBdr>
        <w:top w:val="none" w:sz="0" w:space="0" w:color="auto"/>
        <w:left w:val="none" w:sz="0" w:space="0" w:color="auto"/>
        <w:bottom w:val="none" w:sz="0" w:space="0" w:color="auto"/>
        <w:right w:val="none" w:sz="0" w:space="0" w:color="auto"/>
      </w:divBdr>
    </w:div>
    <w:div w:id="1970161602">
      <w:bodyDiv w:val="1"/>
      <w:marLeft w:val="0"/>
      <w:marRight w:val="0"/>
      <w:marTop w:val="0"/>
      <w:marBottom w:val="0"/>
      <w:divBdr>
        <w:top w:val="none" w:sz="0" w:space="0" w:color="auto"/>
        <w:left w:val="none" w:sz="0" w:space="0" w:color="auto"/>
        <w:bottom w:val="none" w:sz="0" w:space="0" w:color="auto"/>
        <w:right w:val="none" w:sz="0" w:space="0" w:color="auto"/>
      </w:divBdr>
    </w:div>
    <w:div w:id="2015380568">
      <w:bodyDiv w:val="1"/>
      <w:marLeft w:val="0"/>
      <w:marRight w:val="0"/>
      <w:marTop w:val="0"/>
      <w:marBottom w:val="0"/>
      <w:divBdr>
        <w:top w:val="none" w:sz="0" w:space="0" w:color="auto"/>
        <w:left w:val="none" w:sz="0" w:space="0" w:color="auto"/>
        <w:bottom w:val="none" w:sz="0" w:space="0" w:color="auto"/>
        <w:right w:val="none" w:sz="0" w:space="0" w:color="auto"/>
      </w:divBdr>
    </w:div>
    <w:div w:id="2019968560">
      <w:bodyDiv w:val="1"/>
      <w:marLeft w:val="0"/>
      <w:marRight w:val="0"/>
      <w:marTop w:val="0"/>
      <w:marBottom w:val="0"/>
      <w:divBdr>
        <w:top w:val="none" w:sz="0" w:space="0" w:color="auto"/>
        <w:left w:val="none" w:sz="0" w:space="0" w:color="auto"/>
        <w:bottom w:val="none" w:sz="0" w:space="0" w:color="auto"/>
        <w:right w:val="none" w:sz="0" w:space="0" w:color="auto"/>
      </w:divBdr>
    </w:div>
    <w:div w:id="2024164116">
      <w:bodyDiv w:val="1"/>
      <w:marLeft w:val="0"/>
      <w:marRight w:val="0"/>
      <w:marTop w:val="0"/>
      <w:marBottom w:val="0"/>
      <w:divBdr>
        <w:top w:val="none" w:sz="0" w:space="0" w:color="auto"/>
        <w:left w:val="none" w:sz="0" w:space="0" w:color="auto"/>
        <w:bottom w:val="none" w:sz="0" w:space="0" w:color="auto"/>
        <w:right w:val="none" w:sz="0" w:space="0" w:color="auto"/>
      </w:divBdr>
    </w:div>
    <w:div w:id="2049641873">
      <w:bodyDiv w:val="1"/>
      <w:marLeft w:val="0"/>
      <w:marRight w:val="0"/>
      <w:marTop w:val="0"/>
      <w:marBottom w:val="0"/>
      <w:divBdr>
        <w:top w:val="none" w:sz="0" w:space="0" w:color="auto"/>
        <w:left w:val="none" w:sz="0" w:space="0" w:color="auto"/>
        <w:bottom w:val="none" w:sz="0" w:space="0" w:color="auto"/>
        <w:right w:val="none" w:sz="0" w:space="0" w:color="auto"/>
      </w:divBdr>
    </w:div>
    <w:div w:id="2052879990">
      <w:bodyDiv w:val="1"/>
      <w:marLeft w:val="0"/>
      <w:marRight w:val="0"/>
      <w:marTop w:val="0"/>
      <w:marBottom w:val="0"/>
      <w:divBdr>
        <w:top w:val="none" w:sz="0" w:space="0" w:color="auto"/>
        <w:left w:val="none" w:sz="0" w:space="0" w:color="auto"/>
        <w:bottom w:val="none" w:sz="0" w:space="0" w:color="auto"/>
        <w:right w:val="none" w:sz="0" w:space="0" w:color="auto"/>
      </w:divBdr>
    </w:div>
    <w:div w:id="2116635189">
      <w:bodyDiv w:val="1"/>
      <w:marLeft w:val="0"/>
      <w:marRight w:val="0"/>
      <w:marTop w:val="0"/>
      <w:marBottom w:val="0"/>
      <w:divBdr>
        <w:top w:val="none" w:sz="0" w:space="0" w:color="auto"/>
        <w:left w:val="none" w:sz="0" w:space="0" w:color="auto"/>
        <w:bottom w:val="none" w:sz="0" w:space="0" w:color="auto"/>
        <w:right w:val="none" w:sz="0" w:space="0" w:color="auto"/>
      </w:divBdr>
    </w:div>
    <w:div w:id="2125077065">
      <w:bodyDiv w:val="1"/>
      <w:marLeft w:val="0"/>
      <w:marRight w:val="0"/>
      <w:marTop w:val="0"/>
      <w:marBottom w:val="0"/>
      <w:divBdr>
        <w:top w:val="none" w:sz="0" w:space="0" w:color="auto"/>
        <w:left w:val="none" w:sz="0" w:space="0" w:color="auto"/>
        <w:bottom w:val="none" w:sz="0" w:space="0" w:color="auto"/>
        <w:right w:val="none" w:sz="0" w:space="0" w:color="auto"/>
      </w:divBdr>
    </w:div>
    <w:div w:id="2141728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customXml" Target="../customXml/item4.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8E20122F4455F4B9575FBE79886672E" ma:contentTypeVersion="4" ma:contentTypeDescription="Create a new document." ma:contentTypeScope="" ma:versionID="cfe7d7d66f5e85415b4d3db485b279ab">
  <xsd:schema xmlns:xsd="http://www.w3.org/2001/XMLSchema" xmlns:xs="http://www.w3.org/2001/XMLSchema" xmlns:p="http://schemas.microsoft.com/office/2006/metadata/properties" xmlns:ns3="1b88a2b3-a887-4da5-bc58-1cd6fd79184b" targetNamespace="http://schemas.microsoft.com/office/2006/metadata/properties" ma:root="true" ma:fieldsID="47455febd27c25adb7781b0a15a3ff4e" ns3:_="">
    <xsd:import namespace="1b88a2b3-a887-4da5-bc58-1cd6fd79184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88a2b3-a887-4da5-bc58-1cd6fd79184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Cou20</b:Tag>
    <b:SourceType>InternetSite</b:SourceType>
    <b:Guid>{C7C78046-56EF-4806-A311-8BEC9543B44A}</b:Guid>
    <b:Author>
      <b:Author>
        <b:Corporate>Courts and Tribunals Judiciary</b:Corporate>
      </b:Author>
    </b:Author>
    <b:Title>Judiciary</b:Title>
    <b:Year>2020</b:Year>
    <b:YearAccessed>2020</b:YearAccessed>
    <b:MonthAccessed>November</b:MonthAccessed>
    <b:DayAccessed>20</b:DayAccessed>
    <b:URL>https://www.judiciary.uk/about-the-judiciary/the-judiciary-the-government-and-the-constitution/jud-acc-ind/independence/</b:URL>
    <b:RefOrder>1</b:RefOrder>
  </b:Source>
  <b:Source>
    <b:Tag>Cou201</b:Tag>
    <b:SourceType>InternetSite</b:SourceType>
    <b:Guid>{D0DB91F8-A3D3-41E0-80E1-F187CB04951B}</b:Guid>
    <b:Author>
      <b:Author>
        <b:Corporate>Courts and Tribunals Judiciary</b:Corporate>
      </b:Author>
    </b:Author>
    <b:Title>Judiciary</b:Title>
    <b:Year>2020</b:Year>
    <b:YearAccessed>2020</b:YearAccessed>
    <b:MonthAccessed>november</b:MonthAccessed>
    <b:DayAccessed>20</b:DayAccessed>
    <b:URL>https://www.judiciary.uk/about-the-judiciary/the-judiciary-the-government-and-the-constitution/jud-acc-ind/justice-sys-and-constitution/</b:URL>
    <b:RefOrder>2</b:RefOrder>
  </b:Source>
  <b:Source>
    <b:Tag>Mas10</b:Tag>
    <b:SourceType>JournalArticle</b:SourceType>
    <b:Guid>{07E182D3-6235-4822-ACB9-218732D48FF1}</b:Guid>
    <b:Title>The Human Rights Act 1998 and the separation of powers</b:Title>
    <b:Year>2010</b:Year>
    <b:Author>
      <b:Author>
        <b:NameList>
          <b:Person>
            <b:Last>Masterman</b:Last>
            <b:First>Roger</b:First>
          </b:Person>
        </b:NameList>
      </b:Author>
    </b:Author>
    <b:JournalName>In The Separation of Powers in the contemporary Constitution</b:JournalName>
    <b:Pages>33-59</b:Pages>
    <b:Volume>Judicial Competence and Independecen in the United Kingdom</b:Volume>
    <b:Publisher>Cambridge University Press</b:Publisher>
    <b:RefOrder>3</b:RefOrder>
  </b:Source>
  <b:Source>
    <b:Tag>All18</b:Tag>
    <b:SourceType>InternetSite</b:SourceType>
    <b:Guid>{F8C64A58-05ED-4B9B-A385-1356E4726A4C}</b:Guid>
    <b:Author>
      <b:Author>
        <b:Corporate>All Answers Ltd.</b:Corporate>
      </b:Author>
    </b:Author>
    <b:Title>LawTeacher</b:Title>
    <b:Year>2018</b:Year>
    <b:YearAccessed>2020</b:YearAccessed>
    <b:MonthAccessed>November</b:MonthAccessed>
    <b:DayAccessed>22</b:DayAccessed>
    <b:URL> https://www.lawteacher.net/free-law-essays/administrative-law/separation-of-powers-in-the-uk-administrative-law-essay.php?vref=1</b:URL>
    <b:RefOrder>4</b:RefOrder>
  </b:Source>
  <b:Source>
    <b:Tag>Hou07</b:Tag>
    <b:SourceType>Misc</b:SourceType>
    <b:Guid>{1F2413D7-A0A2-47A3-9E90-B865A3751314}</b:Guid>
    <b:Title>Relations between the executive, the judiciary and Parliament</b:Title>
    <b:Year>2007</b:Year>
    <b:Author>
      <b:Author>
        <b:Corporate>House of Lords</b:Corporate>
      </b:Author>
    </b:Author>
    <b:Publisher>The Authority of the House of Lords</b:Publisher>
    <b:Edition>HL Paper 151</b:Edition>
    <b:RefOrder>5</b:RefOrder>
  </b:Source>
  <b:Source>
    <b:Tag>Hil17</b:Tag>
    <b:SourceType>Book</b:SourceType>
    <b:Guid>{D816629F-83E2-4C38-8DE4-A6CC9CC065BD}</b:Guid>
    <b:Title>Constitutional and Administrative Law </b:Title>
    <b:Year>2017</b:Year>
    <b:Author>
      <b:Author>
        <b:NameList>
          <b:Person>
            <b:Last>Barnett</b:Last>
            <b:First>Hilaire</b:First>
          </b:Person>
        </b:NameList>
      </b:Author>
    </b:Author>
    <b:Edition>Twelfth</b:Edition>
    <b:RefOrder>6</b:RefOrder>
  </b:Source>
  <b:Source>
    <b:Tag>Lor11</b:Tag>
    <b:SourceType>ConferenceProceedings</b:SourceType>
    <b:Guid>{B0A9D2F7-0802-459F-93BA-A071EE013A55}</b:Guid>
    <b:Title>Judicial Independence &amp; Accountability: A View from the Supreme Court</b:Title>
    <b:Year>2011</b:Year>
    <b:Author>
      <b:Author>
        <b:NameList>
          <b:Person>
            <b:Last>Phillips</b:Last>
            <b:First>Lord</b:First>
          </b:Person>
        </b:NameList>
      </b:Author>
    </b:Author>
    <b:RefOrder>7</b:RefOrder>
  </b:Source>
  <b:Source>
    <b:Tag>Hil09</b:Tag>
    <b:SourceType>Book</b:SourceType>
    <b:Guid>{A34414E4-672D-461E-9C54-2B4E2D28F5CD}</b:Guid>
    <b:Title>Understanding Public Law</b:Title>
    <b:Year>2009</b:Year>
    <b:Author>
      <b:Author>
        <b:NameList>
          <b:Person>
            <b:Last>Barnett</b:Last>
            <b:First>Hilaire</b:First>
          </b:Person>
        </b:NameList>
      </b:Author>
    </b:Author>
    <b:RefOrder>8</b:RefOrder>
  </b:Source>
  <b:Source>
    <b:Tag>Joh15</b:Tag>
    <b:SourceType>Book</b:SourceType>
    <b:Guid>{AD697109-D65E-4A51-B3D4-423AE104D05A}</b:Guid>
    <b:Author>
      <b:Author>
        <b:NameList>
          <b:Person>
            <b:Last>Alder</b:Last>
            <b:First>John</b:First>
          </b:Person>
        </b:NameList>
      </b:Author>
    </b:Author>
    <b:Title>Constitutional &amp; Administrative Law</b:Title>
    <b:Year>2015</b:Year>
    <b:Edition>Tenth </b:Edition>
    <b:RefOrder>9</b:RefOrder>
  </b:Source>
  <b:Source>
    <b:Tag>Ant</b:Tag>
    <b:SourceType>Book</b:SourceType>
    <b:Guid>{6E47BEF7-8731-494C-BF4E-E11061F9C45C}</b:Guid>
    <b:Author>
      <b:Author>
        <b:NameList>
          <b:Person>
            <b:Last>King</b:Last>
            <b:First>Anthony</b:First>
          </b:Person>
        </b:NameList>
      </b:Author>
    </b:Author>
    <b:Title>The British Constitution</b:Title>
    <b:Year>2007</b:Year>
    <b:Publisher>Oxford University Press</b:Publisher>
    <b:RefOrder>10</b:RefOrder>
  </b:Source>
  <b:Source>
    <b:Tag>Rog10</b:Tag>
    <b:SourceType>Book</b:SourceType>
    <b:Guid>{868D2A09-44C4-4852-8514-7BC86D0CB441}</b:Guid>
    <b:Author>
      <b:Author>
        <b:NameList>
          <b:Person>
            <b:Last>Masterman</b:Last>
            <b:First>Roger</b:First>
          </b:Person>
        </b:NameList>
      </b:Author>
    </b:Author>
    <b:Title>The Separation of Powers in the Contemporary Constitution: Judicial Competence and Independence in the United Kingdom</b:Title>
    <b:Year>2010</b:Year>
    <b:Publisher>Cambridge University Press</b:Publisher>
    <b:RefOrder>11</b:RefOrder>
  </b:Source>
  <b:Source>
    <b:Tag>Mar01</b:Tag>
    <b:SourceType>Book</b:SourceType>
    <b:Guid>{1FA34A37-A9FF-47A2-9E2D-08CE4B708CDC}</b:Guid>
    <b:Author>
      <b:Author>
        <b:NameList>
          <b:Person>
            <b:Last>Elliott</b:Last>
            <b:First>Mark</b:First>
          </b:Person>
        </b:NameList>
      </b:Author>
    </b:Author>
    <b:Title>The Constitutional Foundations of Judicial Review</b:Title>
    <b:Year>2001</b:Year>
    <b:Publisher>Bloomsbury Publishing</b:Publisher>
    <b:RefOrder>12</b:RefOrder>
  </b:Source>
  <b:Source>
    <b:Tag>Mar17</b:Tag>
    <b:SourceType>Book</b:SourceType>
    <b:Guid>{2AE42319-6197-478D-A75D-7B4461A4A432}</b:Guid>
    <b:Author>
      <b:Author>
        <b:NameList>
          <b:Person>
            <b:Last>Thomas</b:Last>
            <b:First>Robert</b:First>
          </b:Person>
          <b:Person>
            <b:Last>Elliott</b:Last>
            <b:First>Mark</b:First>
          </b:Person>
        </b:NameList>
      </b:Author>
    </b:Author>
    <b:Title>Public Law</b:Title>
    <b:Year>2017</b:Year>
    <b:Publisher>Oxford University Press</b:Publisher>
    <b:RefOrder>13</b:RefOrder>
  </b:Source>
  <b:Source>
    <b:Tag>Pol07</b:Tag>
    <b:SourceType>Book</b:SourceType>
    <b:Guid>{A2A42390-9F96-4D0E-ADA5-324084DE2FB3}</b:Guid>
    <b:Title>Constitutional and Administrative Law</b:Title>
    <b:Year>2007</b:Year>
    <b:Publisher>OUP Oxford</b:Publisher>
    <b:Edition>The Fourth</b:Edition>
    <b:Author>
      <b:Author>
        <b:NameList>
          <b:Person>
            <b:Last>Pollard</b:Last>
            <b:First>David</b:First>
          </b:Person>
          <b:Person>
            <b:Last>Parpworth</b:Last>
            <b:First>Neil</b:First>
          </b:Person>
          <b:Person>
            <b:Last>Hughes</b:Last>
            <b:First>David</b:First>
          </b:Person>
        </b:NameList>
      </b:Author>
    </b:Author>
    <b:RefOrder>14</b:RefOrder>
  </b:Source>
  <b:Source>
    <b:Tag>GOV20</b:Tag>
    <b:SourceType>Misc</b:SourceType>
    <b:Guid>{382723E1-AAEC-4B4C-A8E3-A8E21BE03A66}</b:Guid>
    <b:Author>
      <b:Author>
        <b:Corporate>GOV UK</b:Corporate>
      </b:Author>
    </b:Author>
    <b:Title>Lord Chancellor’s Mansion House speech to the judiciary</b:Title>
    <b:Year>2020</b:Year>
    <b:Publisher>Gov.uk</b:Publisher>
    <b:URL>https://www.gov.uk/government/speeches/lord-chancellors-mansion-house-speech-to-the-judiciary</b:URL>
    <b:RefOrder>18</b:RefOrder>
  </b:Source>
  <b:Source>
    <b:Tag>Jow19</b:Tag>
    <b:SourceType>Book</b:SourceType>
    <b:Guid>{E18455C9-AD17-4E9F-9F38-FB31084C6FE1}</b:Guid>
    <b:Title>The Changing Constitution</b:Title>
    <b:Year>2019</b:Year>
    <b:Publisher>Oxford University Press</b:Publisher>
    <b:Edition>Ninth</b:Edition>
    <b:Author>
      <b:Author>
        <b:NameList>
          <b:Person>
            <b:Last>Jowell</b:Last>
            <b:First>Jeffrey</b:First>
          </b:Person>
          <b:Person>
            <b:Last>O'Cinneide</b:Last>
            <b:First>Colm</b:First>
          </b:Person>
        </b:NameList>
      </b:Author>
    </b:Author>
    <b:RefOrder>19</b:RefOrder>
  </b:Source>
  <b:Source>
    <b:Tag>Gee15</b:Tag>
    <b:SourceType>Book</b:SourceType>
    <b:Guid>{E6DDA71E-218E-4FD5-8274-B9B4A24197FC}</b:Guid>
    <b:Title>The Politics of Judicial Independence in the UK's Changing Constitution</b:Title>
    <b:Year>2015</b:Year>
    <b:Publisher>Cambridge University Press</b:Publisher>
    <b:Author>
      <b:Author>
        <b:NameList>
          <b:Person>
            <b:Last>Gee</b:Last>
            <b:First>Graham</b:First>
          </b:Person>
          <b:Person>
            <b:Last>Hazell</b:Last>
            <b:First>Robert</b:First>
          </b:Person>
          <b:Person>
            <b:Last>Malleson</b:Last>
            <b:First>Kate</b:First>
          </b:Person>
          <b:Person>
            <b:Last>O'Brien</b:Last>
            <b:First>Patrick</b:First>
          </b:Person>
        </b:NameList>
      </b:Author>
    </b:Author>
    <b:RefOrder>20</b:RefOrder>
  </b:Source>
  <b:Source>
    <b:Tag>LeS19</b:Tag>
    <b:SourceType>Book</b:SourceType>
    <b:Guid>{775A4E69-EF75-4D43-A8D9-E2B19101A56C}</b:Guid>
    <b:Title>Public Law</b:Title>
    <b:Year>2019</b:Year>
    <b:Publisher>Oxford University Press</b:Publisher>
    <b:Author>
      <b:Author>
        <b:NameList>
          <b:Person>
            <b:Last>Le Sueur</b:Last>
            <b:First>Andrew</b:First>
          </b:Person>
          <b:Person>
            <b:Last>Sunkin</b:Last>
            <b:First>Maurice</b:First>
          </b:Person>
          <b:Person>
            <b:Last>Murkens</b:Last>
            <b:First>Jo Eric Khushal</b:First>
          </b:Person>
        </b:NameList>
      </b:Author>
    </b:Author>
    <b:RefOrder>21</b:RefOrder>
  </b:Source>
  <b:Source>
    <b:Tag>Gre20</b:Tag>
    <b:SourceType>InternetSite</b:SourceType>
    <b:Guid>{45247B13-E15A-4B3B-AA19-A0F06DB7BA89}</b:Guid>
    <b:Title>The realities of politics and the judiciary</b:Title>
    <b:Year>2020</b:Year>
    <b:Publisher>Financial Times</b:Publisher>
    <b:Author>
      <b:Author>
        <b:NameList>
          <b:Person>
            <b:Last>Green</b:Last>
            <b:First>David</b:First>
            <b:Middle>Allen</b:Middle>
          </b:Person>
        </b:NameList>
      </b:Author>
    </b:Author>
    <b:Month>September</b:Month>
    <b:Day>27</b:Day>
    <b:URL>https://www.ft.com/content/b8a549dd-b6eb-49e1-8988-e225641aff9b</b:URL>
    <b:RefOrder>15</b:RefOrder>
  </b:Source>
  <b:Source>
    <b:Tag>Fou20</b:Tag>
    <b:SourceType>InternetSite</b:SourceType>
    <b:Guid>{2B15812D-CF88-4792-9ADA-25E3040B34EB}</b:Guid>
    <b:Author>
      <b:Author>
        <b:NameList>
          <b:Person>
            <b:Last>Fouzder</b:Last>
            <b:First>Monidipa</b:First>
          </b:Person>
        </b:NameList>
      </b:Author>
    </b:Author>
    <b:Title>Judicial induction training to takle 'implicit bias'</b:Title>
    <b:Year>2020</b:Year>
    <b:Publisher>Law Gazette</b:Publisher>
    <b:URL>https://www.lawgazette.co.uk/news/judicial-induction-training-to-tackle-implicit-bias/5106322.article</b:URL>
    <b:RefOrder>17</b:RefOrder>
  </b:Source>
  <b:Source>
    <b:Tag>Neu18</b:Tag>
    <b:SourceType>InternetSite</b:SourceType>
    <b:Guid>{7F2DFA59-875D-444D-92BB-A9AD5A329525}</b:Guid>
    <b:Author>
      <b:Author>
        <b:NameList>
          <b:Person>
            <b:Last>Neuberger</b:Last>
            <b:First>David</b:First>
          </b:Person>
        </b:NameList>
      </b:Author>
    </b:Author>
    <b:Title>David Neuberge: the power of the judges in the UK</b:Title>
    <b:Year>2018</b:Year>
    <b:Publisher>Prospect Magazine</b:Publisher>
    <b:URL>https://www.prospectmagazine.co.uk/politics/david-neuberger-on-the-power-of-judges-in-the-uk</b:URL>
    <b:RefOrder>16</b:RefOrder>
  </b:Source>
</b:Sources>
</file>

<file path=customXml/itemProps1.xml><?xml version="1.0" encoding="utf-8"?>
<ds:datastoreItem xmlns:ds="http://schemas.openxmlformats.org/officeDocument/2006/customXml" ds:itemID="{2D902751-431F-4735-B5FA-2AFF6680E4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b88a2b3-a887-4da5-bc58-1cd6fd7918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784B03B-255B-4EE2-8661-1D443239F022}">
  <ds:schemaRefs>
    <ds:schemaRef ds:uri="http://schemas.microsoft.com/sharepoint/v3/contenttype/forms"/>
  </ds:schemaRefs>
</ds:datastoreItem>
</file>

<file path=customXml/itemProps3.xml><?xml version="1.0" encoding="utf-8"?>
<ds:datastoreItem xmlns:ds="http://schemas.openxmlformats.org/officeDocument/2006/customXml" ds:itemID="{826E8743-AF89-49A3-9C6C-81C58FD28048}">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1b88a2b3-a887-4da5-bc58-1cd6fd79184b"/>
    <ds:schemaRef ds:uri="http://www.w3.org/XML/1998/namespace"/>
    <ds:schemaRef ds:uri="http://purl.org/dc/dcmitype/"/>
  </ds:schemaRefs>
</ds:datastoreItem>
</file>

<file path=customXml/itemProps4.xml><?xml version="1.0" encoding="utf-8"?>
<ds:datastoreItem xmlns:ds="http://schemas.openxmlformats.org/officeDocument/2006/customXml" ds:itemID="{05B4D48C-9084-404E-8B8F-315EDE4C5C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2471</Words>
  <Characters>14088</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Georgian Razvan Carpaci</dc:creator>
  <cp:keywords/>
  <dc:description/>
  <cp:lastModifiedBy>Georgian Razvan Carpaci (1922309)</cp:lastModifiedBy>
  <cp:revision>2</cp:revision>
  <dcterms:created xsi:type="dcterms:W3CDTF">2020-11-27T23:30:00Z</dcterms:created>
  <dcterms:modified xsi:type="dcterms:W3CDTF">2020-11-27T23:30:00Z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0x010100A8E20122F4455F4B9575FBE79886672E</vt:lpwstr>
  </property>
</Properties>
</file>