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4BA52CE3" w14:textId="240113BE" w:rsidR="00DF1E4A" w:rsidRPr="00CD33A8" w:rsidRDefault="00074402" w:rsidP="006732C1">
      <w:pPr>
        <w:rPr>
          <w:rFonts w:asciiTheme="minorBidi" w:hAnsiTheme="minorBidi"/>
        </w:rPr>
      </w:pPr>
      <w:r w:rsidRPr="00CD33A8">
        <w:rPr>
          <w:rFonts w:asciiTheme="minorBidi" w:hAnsiTheme="minorBidi"/>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C0A84" w:rsidRDefault="00074402" w:rsidP="000C0A84">
      <w:pPr>
        <w:rPr>
          <w:sz w:val="24"/>
        </w:rPr>
      </w:pPr>
    </w:p>
    <w:p w14:paraId="4E267F2C" w14:textId="35E99859" w:rsidR="00074402" w:rsidRPr="006732C1" w:rsidRDefault="00074402" w:rsidP="00CD33A8">
      <w:pPr>
        <w:spacing w:line="360" w:lineRule="auto"/>
        <w:rPr>
          <w:rFonts w:asciiTheme="minorBidi" w:hAnsiTheme="minorBidi"/>
          <w:color w:val="FFFFFF" w:themeColor="background1"/>
        </w:rPr>
      </w:pPr>
    </w:p>
    <w:p w14:paraId="5D864E3F" w14:textId="04749E68" w:rsidR="00074402" w:rsidRPr="00CD33A8" w:rsidRDefault="00074402" w:rsidP="00CD33A8">
      <w:pPr>
        <w:spacing w:line="360" w:lineRule="auto"/>
        <w:rPr>
          <w:rFonts w:asciiTheme="minorBidi" w:hAnsiTheme="minorBidi"/>
        </w:rPr>
      </w:pPr>
    </w:p>
    <w:p w14:paraId="22F2817A" w14:textId="77777777" w:rsidR="00074402" w:rsidRPr="00CD33A8" w:rsidRDefault="00074402" w:rsidP="00CD33A8">
      <w:pPr>
        <w:tabs>
          <w:tab w:val="left" w:pos="6540"/>
        </w:tabs>
        <w:spacing w:line="360" w:lineRule="auto"/>
        <w:rPr>
          <w:rFonts w:asciiTheme="minorBidi" w:hAnsiTheme="minorBidi"/>
        </w:rPr>
      </w:pPr>
    </w:p>
    <w:p w14:paraId="7D557BA5" w14:textId="38C43CCC" w:rsidR="00CD33A8" w:rsidRPr="00EE50A9" w:rsidRDefault="00CD33A8" w:rsidP="00CD33A8">
      <w:pPr>
        <w:tabs>
          <w:tab w:val="left" w:pos="6540"/>
        </w:tabs>
        <w:spacing w:line="360" w:lineRule="auto"/>
        <w:rPr>
          <w:rFonts w:ascii="Arial" w:hAnsi="Arial" w:cs="Arial"/>
          <w:color w:val="E2DFCC" w:themeColor="background2"/>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D908AD" w:rsidRPr="00D908AD">
        <w:rPr>
          <w:rFonts w:ascii="Arial" w:hAnsi="Arial" w:cs="Arial"/>
          <w:sz w:val="28"/>
          <w:szCs w:val="28"/>
          <w:lang w:val="nl-NL"/>
        </w:rPr>
        <w:t xml:space="preserve">Introduction to Public Health </w:t>
      </w:r>
    </w:p>
    <w:p w14:paraId="537571AF" w14:textId="1EF46BE4"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D908AD" w:rsidRPr="00D908AD">
        <w:t xml:space="preserve"> </w:t>
      </w:r>
      <w:r w:rsidR="00D908AD" w:rsidRPr="00D908AD">
        <w:rPr>
          <w:rFonts w:ascii="Arial" w:hAnsi="Arial" w:cs="Arial"/>
          <w:sz w:val="28"/>
          <w:szCs w:val="28"/>
        </w:rPr>
        <w:t>(LCHS4008).</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12FBACF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0C22DC">
        <w:rPr>
          <w:rFonts w:ascii="Arial" w:hAnsi="Arial" w:cs="Arial"/>
          <w:sz w:val="28"/>
          <w:szCs w:val="28"/>
          <w:lang w:val="nl-NL"/>
        </w:rPr>
        <w:t xml:space="preserve"> Alketa Lata </w:t>
      </w:r>
    </w:p>
    <w:p w14:paraId="39AA4413" w14:textId="0497676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0C22DC">
        <w:rPr>
          <w:rFonts w:ascii="Arial" w:hAnsi="Arial" w:cs="Arial"/>
          <w:sz w:val="28"/>
          <w:szCs w:val="28"/>
          <w:lang w:val="nl-NL"/>
        </w:rPr>
        <w:t xml:space="preserve"> 2510172</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EF06412"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0C22DC">
        <w:rPr>
          <w:rFonts w:ascii="Arial" w:hAnsi="Arial" w:cs="Arial"/>
          <w:sz w:val="28"/>
          <w:szCs w:val="28"/>
        </w:rPr>
        <w:t xml:space="preserve"> </w:t>
      </w:r>
      <w:r w:rsidR="00990AE3" w:rsidRPr="00990AE3">
        <w:rPr>
          <w:rFonts w:ascii="Arial" w:hAnsi="Arial" w:cs="Arial"/>
          <w:sz w:val="28"/>
          <w:szCs w:val="28"/>
        </w:rPr>
        <w:t>Caroline Salami​</w:t>
      </w:r>
    </w:p>
    <w:p w14:paraId="39D08584" w14:textId="77777777" w:rsidR="00074402" w:rsidRPr="00CD33A8" w:rsidRDefault="00074402" w:rsidP="00CD33A8">
      <w:pPr>
        <w:tabs>
          <w:tab w:val="left" w:pos="6540"/>
        </w:tabs>
        <w:spacing w:line="360" w:lineRule="auto"/>
        <w:rPr>
          <w:rFonts w:asciiTheme="minorBidi" w:hAnsiTheme="minorBidi"/>
        </w:rPr>
      </w:pPr>
    </w:p>
    <w:p w14:paraId="5B66D125" w14:textId="77777777" w:rsidR="00074402" w:rsidRPr="00CD33A8" w:rsidRDefault="00074402" w:rsidP="00CD33A8">
      <w:pPr>
        <w:tabs>
          <w:tab w:val="left" w:pos="6540"/>
        </w:tabs>
        <w:spacing w:line="360" w:lineRule="auto"/>
        <w:rPr>
          <w:rFonts w:asciiTheme="minorBidi" w:hAnsiTheme="minorBidi"/>
        </w:rPr>
      </w:pPr>
    </w:p>
    <w:p w14:paraId="291524A2" w14:textId="2CBFF360" w:rsidR="00074402" w:rsidRPr="00CD33A8" w:rsidRDefault="00074402" w:rsidP="00CD33A8">
      <w:pPr>
        <w:tabs>
          <w:tab w:val="left" w:pos="6540"/>
        </w:tabs>
        <w:spacing w:line="360" w:lineRule="auto"/>
        <w:rPr>
          <w:rFonts w:asciiTheme="minorBidi" w:hAnsiTheme="minorBidi"/>
        </w:rPr>
      </w:pPr>
    </w:p>
    <w:p w14:paraId="5AE88297" w14:textId="24E6B718" w:rsidR="00B87E75" w:rsidRPr="00CD33A8" w:rsidRDefault="00B87E75" w:rsidP="00CD33A8">
      <w:pPr>
        <w:tabs>
          <w:tab w:val="left" w:pos="6540"/>
        </w:tabs>
        <w:spacing w:line="360" w:lineRule="auto"/>
        <w:rPr>
          <w:rFonts w:asciiTheme="minorBidi" w:hAnsiTheme="minorBidi"/>
        </w:rPr>
      </w:pPr>
    </w:p>
    <w:p w14:paraId="420ADE33" w14:textId="35FB1322" w:rsidR="00B87E75" w:rsidRPr="00CD33A8" w:rsidRDefault="00B87E75" w:rsidP="00CD33A8">
      <w:pPr>
        <w:spacing w:line="360" w:lineRule="auto"/>
        <w:rPr>
          <w:rFonts w:asciiTheme="minorBidi" w:hAnsiTheme="minorBidi"/>
        </w:rPr>
      </w:pPr>
      <w:r w:rsidRPr="00CD33A8">
        <w:rPr>
          <w:rFonts w:asciiTheme="minorBidi" w:hAnsiTheme="minorBidi"/>
        </w:rPr>
        <w:br w:type="page"/>
      </w:r>
    </w:p>
    <w:p w14:paraId="56506CB0" w14:textId="64C647D6" w:rsidR="004E1AD3" w:rsidRDefault="001C0416" w:rsidP="00B63438">
      <w:pPr>
        <w:rPr>
          <w:rFonts w:ascii="Arial" w:hAnsi="Arial" w:cs="Arial"/>
          <w:b/>
          <w:bCs/>
          <w:sz w:val="28"/>
          <w:szCs w:val="28"/>
        </w:rPr>
      </w:pPr>
      <w:r>
        <w:rPr>
          <w:rFonts w:ascii="Arial" w:hAnsi="Arial" w:cs="Arial"/>
          <w:b/>
          <w:bCs/>
          <w:sz w:val="28"/>
          <w:szCs w:val="28"/>
        </w:rPr>
        <w:lastRenderedPageBreak/>
        <w:t xml:space="preserve">    </w:t>
      </w:r>
      <w:r w:rsidR="00B63438" w:rsidRPr="0061190B">
        <w:rPr>
          <w:rFonts w:ascii="Arial" w:hAnsi="Arial" w:cs="Arial"/>
          <w:b/>
          <w:bCs/>
          <w:sz w:val="28"/>
          <w:szCs w:val="28"/>
        </w:rPr>
        <w:t>Table of content</w:t>
      </w:r>
      <w:r w:rsidR="0061190B" w:rsidRPr="0061190B">
        <w:rPr>
          <w:rFonts w:ascii="Arial" w:hAnsi="Arial" w:cs="Arial"/>
          <w:b/>
          <w:bCs/>
          <w:sz w:val="28"/>
          <w:szCs w:val="28"/>
        </w:rPr>
        <w:t>s</w:t>
      </w:r>
      <w:r w:rsidR="00B140D9">
        <w:rPr>
          <w:rFonts w:ascii="Arial" w:hAnsi="Arial" w:cs="Arial"/>
          <w:b/>
          <w:bCs/>
          <w:sz w:val="28"/>
          <w:szCs w:val="28"/>
        </w:rPr>
        <w:t xml:space="preserve">                                                               page/s</w:t>
      </w:r>
    </w:p>
    <w:p w14:paraId="7BFF8710" w14:textId="77777777" w:rsidR="003F664B" w:rsidRDefault="003F664B" w:rsidP="003F664B">
      <w:pPr>
        <w:rPr>
          <w:rFonts w:ascii="Arial" w:hAnsi="Arial" w:cs="Arial"/>
          <w:b/>
          <w:bCs/>
          <w:sz w:val="28"/>
          <w:szCs w:val="28"/>
        </w:rPr>
      </w:pPr>
    </w:p>
    <w:p w14:paraId="4C239BF9" w14:textId="42D1D3B9" w:rsidR="00E1727F" w:rsidRDefault="00E1727F" w:rsidP="00D95647">
      <w:pPr>
        <w:pStyle w:val="ListParagraph"/>
        <w:numPr>
          <w:ilvl w:val="0"/>
          <w:numId w:val="9"/>
        </w:numPr>
        <w:spacing w:line="360" w:lineRule="auto"/>
        <w:rPr>
          <w:rFonts w:ascii="Arial" w:hAnsi="Arial" w:cs="Arial"/>
          <w:b/>
          <w:bCs/>
          <w:sz w:val="24"/>
          <w:szCs w:val="24"/>
        </w:rPr>
      </w:pPr>
      <w:r w:rsidRPr="005C3E3E">
        <w:rPr>
          <w:rFonts w:ascii="Arial" w:hAnsi="Arial" w:cs="Arial"/>
          <w:b/>
          <w:bCs/>
          <w:sz w:val="24"/>
          <w:szCs w:val="24"/>
        </w:rPr>
        <w:t>Introduction</w:t>
      </w:r>
      <w:r w:rsidR="00E57D61" w:rsidRPr="005C3E3E">
        <w:rPr>
          <w:rFonts w:ascii="Arial" w:hAnsi="Arial" w:cs="Arial"/>
          <w:b/>
          <w:bCs/>
          <w:sz w:val="24"/>
          <w:szCs w:val="24"/>
        </w:rPr>
        <w:t>…………………………………………………………………</w:t>
      </w:r>
      <w:r w:rsidR="003D323B">
        <w:rPr>
          <w:rFonts w:ascii="Arial" w:hAnsi="Arial" w:cs="Arial"/>
          <w:b/>
          <w:bCs/>
          <w:sz w:val="24"/>
          <w:szCs w:val="24"/>
        </w:rPr>
        <w:t>.</w:t>
      </w:r>
      <w:r w:rsidR="00492ED0">
        <w:rPr>
          <w:rFonts w:ascii="Arial" w:hAnsi="Arial" w:cs="Arial"/>
          <w:b/>
          <w:bCs/>
          <w:sz w:val="24"/>
          <w:szCs w:val="24"/>
        </w:rPr>
        <w:t>3</w:t>
      </w:r>
    </w:p>
    <w:p w14:paraId="3A34EDBD" w14:textId="02D0F7FB" w:rsidR="00B01076" w:rsidRDefault="00B01076" w:rsidP="00CA1DA4">
      <w:pPr>
        <w:pStyle w:val="ListParagraph"/>
        <w:numPr>
          <w:ilvl w:val="0"/>
          <w:numId w:val="9"/>
        </w:numPr>
        <w:spacing w:line="360" w:lineRule="auto"/>
        <w:rPr>
          <w:rFonts w:ascii="Arial" w:hAnsi="Arial" w:cs="Arial"/>
          <w:b/>
          <w:bCs/>
          <w:sz w:val="24"/>
          <w:szCs w:val="24"/>
        </w:rPr>
      </w:pPr>
      <w:r w:rsidRPr="00B01076">
        <w:rPr>
          <w:rFonts w:ascii="Arial" w:hAnsi="Arial" w:cs="Arial"/>
          <w:b/>
          <w:bCs/>
          <w:sz w:val="24"/>
          <w:szCs w:val="24"/>
        </w:rPr>
        <w:t>Measuring, Monitoring, and Managing Stroke</w:t>
      </w:r>
      <w:r w:rsidR="00B60C45">
        <w:rPr>
          <w:rFonts w:ascii="Arial" w:hAnsi="Arial" w:cs="Arial"/>
          <w:b/>
          <w:bCs/>
          <w:sz w:val="24"/>
          <w:szCs w:val="24"/>
        </w:rPr>
        <w:t>…</w:t>
      </w:r>
      <w:r w:rsidR="00353421">
        <w:rPr>
          <w:rFonts w:ascii="Arial" w:hAnsi="Arial" w:cs="Arial"/>
          <w:b/>
          <w:bCs/>
          <w:sz w:val="24"/>
          <w:szCs w:val="24"/>
        </w:rPr>
        <w:t>…………………</w:t>
      </w:r>
      <w:r w:rsidR="00D832AD">
        <w:rPr>
          <w:rFonts w:ascii="Arial" w:hAnsi="Arial" w:cs="Arial"/>
          <w:b/>
          <w:bCs/>
          <w:sz w:val="24"/>
          <w:szCs w:val="24"/>
        </w:rPr>
        <w:t>...</w:t>
      </w:r>
      <w:r w:rsidR="00C30623">
        <w:rPr>
          <w:rFonts w:ascii="Arial" w:hAnsi="Arial" w:cs="Arial"/>
          <w:b/>
          <w:bCs/>
          <w:sz w:val="24"/>
          <w:szCs w:val="24"/>
        </w:rPr>
        <w:t>.</w:t>
      </w:r>
      <w:r w:rsidR="00994092">
        <w:rPr>
          <w:rFonts w:ascii="Arial" w:hAnsi="Arial" w:cs="Arial"/>
          <w:b/>
          <w:bCs/>
          <w:sz w:val="24"/>
          <w:szCs w:val="24"/>
        </w:rPr>
        <w:t>.</w:t>
      </w:r>
      <w:r w:rsidR="00C30623">
        <w:rPr>
          <w:rFonts w:ascii="Arial" w:hAnsi="Arial" w:cs="Arial"/>
          <w:b/>
          <w:bCs/>
          <w:sz w:val="24"/>
          <w:szCs w:val="24"/>
        </w:rPr>
        <w:t>3/4</w:t>
      </w:r>
    </w:p>
    <w:p w14:paraId="775716DA" w14:textId="3C9A27C8" w:rsidR="00493DA1" w:rsidRDefault="00493DA1" w:rsidP="00CA1DA4">
      <w:pPr>
        <w:pStyle w:val="ListParagraph"/>
        <w:numPr>
          <w:ilvl w:val="0"/>
          <w:numId w:val="9"/>
        </w:numPr>
        <w:spacing w:line="360" w:lineRule="auto"/>
        <w:rPr>
          <w:rFonts w:ascii="Arial" w:hAnsi="Arial" w:cs="Arial"/>
          <w:b/>
          <w:bCs/>
          <w:sz w:val="24"/>
          <w:szCs w:val="24"/>
        </w:rPr>
      </w:pPr>
      <w:r>
        <w:rPr>
          <w:rFonts w:ascii="Arial" w:hAnsi="Arial" w:cs="Arial"/>
          <w:b/>
          <w:bCs/>
          <w:sz w:val="24"/>
          <w:szCs w:val="24"/>
        </w:rPr>
        <w:t xml:space="preserve">Consequences of Stroke </w:t>
      </w:r>
      <w:r w:rsidR="00434E45">
        <w:rPr>
          <w:rFonts w:ascii="Arial" w:hAnsi="Arial" w:cs="Arial"/>
          <w:b/>
          <w:bCs/>
          <w:sz w:val="24"/>
          <w:szCs w:val="24"/>
        </w:rPr>
        <w:t>in the Community…………………………</w:t>
      </w:r>
      <w:r w:rsidR="00994092">
        <w:rPr>
          <w:rFonts w:ascii="Arial" w:hAnsi="Arial" w:cs="Arial"/>
          <w:b/>
          <w:bCs/>
          <w:sz w:val="24"/>
          <w:szCs w:val="24"/>
        </w:rPr>
        <w:t>..</w:t>
      </w:r>
      <w:r w:rsidR="009155AF">
        <w:rPr>
          <w:rFonts w:ascii="Arial" w:hAnsi="Arial" w:cs="Arial"/>
          <w:b/>
          <w:bCs/>
          <w:sz w:val="24"/>
          <w:szCs w:val="24"/>
        </w:rPr>
        <w:t xml:space="preserve"> </w:t>
      </w:r>
      <w:r w:rsidR="00C30623">
        <w:rPr>
          <w:rFonts w:ascii="Arial" w:hAnsi="Arial" w:cs="Arial"/>
          <w:b/>
          <w:bCs/>
          <w:sz w:val="24"/>
          <w:szCs w:val="24"/>
        </w:rPr>
        <w:t>5</w:t>
      </w:r>
    </w:p>
    <w:p w14:paraId="6C4681EB" w14:textId="74A066BC" w:rsidR="00925A17" w:rsidRDefault="00925A17" w:rsidP="00CA1DA4">
      <w:pPr>
        <w:pStyle w:val="ListParagraph"/>
        <w:numPr>
          <w:ilvl w:val="0"/>
          <w:numId w:val="9"/>
        </w:numPr>
        <w:spacing w:line="360" w:lineRule="auto"/>
        <w:rPr>
          <w:rFonts w:ascii="Arial" w:hAnsi="Arial" w:cs="Arial"/>
          <w:b/>
          <w:bCs/>
          <w:sz w:val="24"/>
          <w:szCs w:val="24"/>
        </w:rPr>
      </w:pPr>
      <w:r>
        <w:rPr>
          <w:rFonts w:ascii="Arial" w:hAnsi="Arial" w:cs="Arial"/>
          <w:b/>
          <w:bCs/>
          <w:sz w:val="24"/>
          <w:szCs w:val="24"/>
        </w:rPr>
        <w:t>Hea</w:t>
      </w:r>
      <w:r w:rsidR="00F37E22">
        <w:rPr>
          <w:rFonts w:ascii="Arial" w:hAnsi="Arial" w:cs="Arial"/>
          <w:b/>
          <w:bCs/>
          <w:sz w:val="24"/>
          <w:szCs w:val="24"/>
        </w:rPr>
        <w:t>lth and Social Care……………………………………………………</w:t>
      </w:r>
      <w:r w:rsidR="003D323B">
        <w:rPr>
          <w:rFonts w:ascii="Arial" w:hAnsi="Arial" w:cs="Arial"/>
          <w:b/>
          <w:bCs/>
          <w:sz w:val="24"/>
          <w:szCs w:val="24"/>
        </w:rPr>
        <w:t>..5</w:t>
      </w:r>
    </w:p>
    <w:p w14:paraId="47237A9E" w14:textId="48923E18" w:rsidR="007F55E4" w:rsidRDefault="007F55E4" w:rsidP="00D95647">
      <w:pPr>
        <w:pStyle w:val="ListParagraph"/>
        <w:numPr>
          <w:ilvl w:val="0"/>
          <w:numId w:val="9"/>
        </w:numPr>
        <w:spacing w:line="360" w:lineRule="auto"/>
        <w:rPr>
          <w:rFonts w:ascii="Arial" w:hAnsi="Arial" w:cs="Arial"/>
          <w:b/>
          <w:bCs/>
          <w:sz w:val="24"/>
          <w:szCs w:val="24"/>
        </w:rPr>
      </w:pPr>
      <w:r>
        <w:rPr>
          <w:rFonts w:ascii="Arial" w:hAnsi="Arial" w:cs="Arial"/>
          <w:b/>
          <w:bCs/>
          <w:sz w:val="24"/>
          <w:szCs w:val="24"/>
        </w:rPr>
        <w:t>Conclusion……………………………………………………………………</w:t>
      </w:r>
      <w:r w:rsidR="00543E23">
        <w:rPr>
          <w:rFonts w:ascii="Arial" w:hAnsi="Arial" w:cs="Arial"/>
          <w:b/>
          <w:bCs/>
          <w:sz w:val="24"/>
          <w:szCs w:val="24"/>
        </w:rPr>
        <w:t>6</w:t>
      </w:r>
    </w:p>
    <w:p w14:paraId="1444A568" w14:textId="2D650C0A" w:rsidR="007F55E4" w:rsidRPr="00FA08CF" w:rsidRDefault="007F55E4" w:rsidP="00D95647">
      <w:pPr>
        <w:pStyle w:val="ListParagraph"/>
        <w:numPr>
          <w:ilvl w:val="0"/>
          <w:numId w:val="9"/>
        </w:numPr>
        <w:spacing w:line="360" w:lineRule="auto"/>
        <w:rPr>
          <w:rFonts w:ascii="Arial" w:hAnsi="Arial" w:cs="Arial"/>
          <w:b/>
          <w:bCs/>
          <w:sz w:val="24"/>
          <w:szCs w:val="24"/>
        </w:rPr>
      </w:pPr>
      <w:r>
        <w:rPr>
          <w:rFonts w:ascii="Arial" w:hAnsi="Arial" w:cs="Arial"/>
          <w:b/>
          <w:bCs/>
          <w:sz w:val="24"/>
          <w:szCs w:val="24"/>
        </w:rPr>
        <w:t>References……………………………………………………………………</w:t>
      </w:r>
      <w:r w:rsidR="00543E23">
        <w:rPr>
          <w:rFonts w:ascii="Arial" w:hAnsi="Arial" w:cs="Arial"/>
          <w:b/>
          <w:bCs/>
          <w:sz w:val="24"/>
          <w:szCs w:val="24"/>
        </w:rPr>
        <w:t>7</w:t>
      </w:r>
    </w:p>
    <w:p w14:paraId="4DC529C5" w14:textId="77777777" w:rsidR="005C4A0B" w:rsidRDefault="005C4A0B" w:rsidP="003F664B">
      <w:pPr>
        <w:rPr>
          <w:rStyle w:val="Strong"/>
          <w:rFonts w:ascii="Arial" w:hAnsi="Arial" w:cs="Arial"/>
          <w:sz w:val="24"/>
          <w:szCs w:val="24"/>
        </w:rPr>
      </w:pPr>
    </w:p>
    <w:p w14:paraId="72471AFB" w14:textId="77777777" w:rsidR="006A6453" w:rsidRDefault="006A6453" w:rsidP="003F664B">
      <w:pPr>
        <w:rPr>
          <w:rStyle w:val="Strong"/>
          <w:rFonts w:ascii="Arial" w:hAnsi="Arial" w:cs="Arial"/>
          <w:sz w:val="24"/>
          <w:szCs w:val="24"/>
        </w:rPr>
      </w:pPr>
    </w:p>
    <w:p w14:paraId="3898E5B0" w14:textId="77777777" w:rsidR="00E57D61" w:rsidRPr="00E57D61" w:rsidRDefault="00E57D61" w:rsidP="003F664B">
      <w:pPr>
        <w:rPr>
          <w:rFonts w:ascii="Arial" w:hAnsi="Arial" w:cs="Arial"/>
          <w:b/>
          <w:bCs/>
          <w:sz w:val="24"/>
          <w:szCs w:val="24"/>
        </w:rPr>
      </w:pPr>
    </w:p>
    <w:p w14:paraId="2F8E41A4" w14:textId="77777777" w:rsidR="00E57D61" w:rsidRPr="00E57D61" w:rsidRDefault="00E57D61" w:rsidP="003F664B">
      <w:pPr>
        <w:rPr>
          <w:rFonts w:ascii="Arial" w:hAnsi="Arial" w:cs="Arial"/>
          <w:b/>
          <w:bCs/>
          <w:sz w:val="24"/>
          <w:szCs w:val="24"/>
        </w:rPr>
      </w:pPr>
    </w:p>
    <w:p w14:paraId="274EA458" w14:textId="77777777" w:rsidR="00C47313" w:rsidRDefault="00C47313" w:rsidP="00C63147">
      <w:pPr>
        <w:pStyle w:val="Heading1"/>
        <w:rPr>
          <w:b/>
          <w:bCs/>
        </w:rPr>
      </w:pPr>
    </w:p>
    <w:p w14:paraId="150F8ACF" w14:textId="77777777" w:rsidR="00C47313" w:rsidRDefault="00C47313" w:rsidP="00C63147">
      <w:pPr>
        <w:pStyle w:val="Heading1"/>
        <w:rPr>
          <w:b/>
          <w:bCs/>
        </w:rPr>
      </w:pPr>
    </w:p>
    <w:p w14:paraId="732E0552" w14:textId="77777777" w:rsidR="00C47313" w:rsidRDefault="00C47313" w:rsidP="00C63147">
      <w:pPr>
        <w:pStyle w:val="Heading1"/>
        <w:rPr>
          <w:b/>
          <w:bCs/>
        </w:rPr>
      </w:pPr>
    </w:p>
    <w:p w14:paraId="58AC4CC7" w14:textId="77777777" w:rsidR="00C47313" w:rsidRDefault="00C47313" w:rsidP="00C63147">
      <w:pPr>
        <w:pStyle w:val="Heading1"/>
        <w:rPr>
          <w:b/>
          <w:bCs/>
        </w:rPr>
      </w:pPr>
    </w:p>
    <w:p w14:paraId="576127CE" w14:textId="77777777" w:rsidR="00C47313" w:rsidRDefault="00C47313" w:rsidP="00C63147">
      <w:pPr>
        <w:pStyle w:val="Heading1"/>
        <w:rPr>
          <w:b/>
          <w:bCs/>
        </w:rPr>
      </w:pPr>
    </w:p>
    <w:p w14:paraId="684DF448" w14:textId="77777777" w:rsidR="00C47313" w:rsidRDefault="00C47313" w:rsidP="00C63147">
      <w:pPr>
        <w:pStyle w:val="Heading1"/>
        <w:rPr>
          <w:b/>
          <w:bCs/>
        </w:rPr>
      </w:pPr>
    </w:p>
    <w:p w14:paraId="75845A16" w14:textId="77777777" w:rsidR="00C47313" w:rsidRDefault="00C47313" w:rsidP="00C63147">
      <w:pPr>
        <w:pStyle w:val="Heading1"/>
        <w:rPr>
          <w:b/>
          <w:bCs/>
        </w:rPr>
      </w:pPr>
    </w:p>
    <w:p w14:paraId="7CE0F31E" w14:textId="77777777" w:rsidR="00C47313" w:rsidRDefault="00C47313" w:rsidP="00C63147">
      <w:pPr>
        <w:pStyle w:val="Heading1"/>
        <w:rPr>
          <w:b/>
          <w:bCs/>
        </w:rPr>
      </w:pPr>
    </w:p>
    <w:p w14:paraId="74C4B6C7" w14:textId="77777777" w:rsidR="00C47313" w:rsidRDefault="00C47313" w:rsidP="00C63147">
      <w:pPr>
        <w:pStyle w:val="Heading1"/>
        <w:rPr>
          <w:b/>
          <w:bCs/>
        </w:rPr>
      </w:pPr>
    </w:p>
    <w:p w14:paraId="6EE92BD1" w14:textId="77777777" w:rsidR="00B86983" w:rsidRDefault="00B86983" w:rsidP="00D77489">
      <w:pPr>
        <w:rPr>
          <w:rFonts w:ascii="Arial" w:hAnsi="Arial" w:cs="Arial"/>
          <w:b/>
          <w:bCs/>
          <w:sz w:val="24"/>
          <w:szCs w:val="24"/>
        </w:rPr>
      </w:pPr>
    </w:p>
    <w:p w14:paraId="5C297C52" w14:textId="77777777" w:rsidR="00B86983" w:rsidRDefault="00B86983" w:rsidP="00D77489">
      <w:pPr>
        <w:rPr>
          <w:rFonts w:ascii="Arial" w:hAnsi="Arial" w:cs="Arial"/>
          <w:b/>
          <w:bCs/>
          <w:sz w:val="24"/>
          <w:szCs w:val="24"/>
        </w:rPr>
      </w:pPr>
    </w:p>
    <w:p w14:paraId="2F15C1FC" w14:textId="6E9C09E5" w:rsidR="00B86983" w:rsidRDefault="00CA1CC8" w:rsidP="001B4477">
      <w:pPr>
        <w:pStyle w:val="Heading1"/>
        <w:rPr>
          <w:rFonts w:ascii="Arial" w:hAnsi="Arial" w:cs="Arial"/>
          <w:b/>
          <w:bCs/>
        </w:rPr>
      </w:pPr>
      <w:r>
        <w:rPr>
          <w:rFonts w:ascii="Arial" w:hAnsi="Arial" w:cs="Arial"/>
          <w:b/>
          <w:bCs/>
        </w:rPr>
        <w:lastRenderedPageBreak/>
        <w:t>Stroke</w:t>
      </w:r>
    </w:p>
    <w:p w14:paraId="3FF99ACA" w14:textId="77777777" w:rsidR="00CA1CC8" w:rsidRPr="00CA1CC8" w:rsidRDefault="00CA1CC8" w:rsidP="00CA1CC8"/>
    <w:p w14:paraId="08A31BCA" w14:textId="25E9DFAD" w:rsidR="00C63147" w:rsidRPr="00B60C45" w:rsidRDefault="00B60C45" w:rsidP="00B60C45">
      <w:pPr>
        <w:rPr>
          <w:rFonts w:ascii="Arial" w:hAnsi="Arial" w:cs="Arial"/>
          <w:b/>
          <w:bCs/>
          <w:sz w:val="24"/>
          <w:szCs w:val="24"/>
        </w:rPr>
      </w:pPr>
      <w:r w:rsidRPr="00B60C45">
        <w:rPr>
          <w:rFonts w:ascii="Arial" w:hAnsi="Arial" w:cs="Arial"/>
          <w:b/>
          <w:bCs/>
          <w:sz w:val="24"/>
          <w:szCs w:val="24"/>
        </w:rPr>
        <w:t>1)</w:t>
      </w:r>
      <w:r>
        <w:rPr>
          <w:rFonts w:ascii="Arial" w:hAnsi="Arial" w:cs="Arial"/>
          <w:b/>
          <w:bCs/>
          <w:sz w:val="24"/>
          <w:szCs w:val="24"/>
        </w:rPr>
        <w:t xml:space="preserve"> </w:t>
      </w:r>
      <w:r w:rsidRPr="007C1893">
        <w:rPr>
          <w:rFonts w:ascii="Arial" w:hAnsi="Arial" w:cs="Arial"/>
          <w:b/>
          <w:bCs/>
        </w:rPr>
        <w:t>INTRODUCTION</w:t>
      </w:r>
      <w:r w:rsidRPr="00D77489">
        <w:rPr>
          <w:rFonts w:ascii="Arial" w:hAnsi="Arial" w:cs="Arial"/>
          <w:b/>
          <w:bCs/>
          <w:sz w:val="24"/>
          <w:szCs w:val="24"/>
        </w:rPr>
        <w:t xml:space="preserve"> </w:t>
      </w:r>
    </w:p>
    <w:p w14:paraId="43F5B408" w14:textId="5003E1ED" w:rsidR="00E60F87" w:rsidRDefault="00B307FD" w:rsidP="00CB3013">
      <w:pPr>
        <w:rPr>
          <w:rFonts w:ascii="Arial" w:hAnsi="Arial" w:cs="Arial"/>
        </w:rPr>
      </w:pPr>
      <w:r w:rsidRPr="00C110F0">
        <w:rPr>
          <w:rFonts w:ascii="Arial" w:hAnsi="Arial" w:cs="Arial"/>
        </w:rPr>
        <w:t xml:space="preserve">Stroke is a </w:t>
      </w:r>
      <w:r w:rsidRPr="00715228">
        <w:rPr>
          <w:rFonts w:ascii="Arial" w:hAnsi="Arial" w:cs="Arial"/>
        </w:rPr>
        <w:t xml:space="preserve">serious non-communicable disease that occurs when the blood supply to part of the brain is suddenly interrupted, either </w:t>
      </w:r>
      <w:r w:rsidR="00C110F0" w:rsidRPr="00715228">
        <w:rPr>
          <w:rFonts w:ascii="Arial" w:hAnsi="Arial" w:cs="Arial"/>
        </w:rPr>
        <w:t xml:space="preserve">by a blocked blood vessel (ischaemic stroke) or by </w:t>
      </w:r>
      <w:r w:rsidRPr="00715228">
        <w:rPr>
          <w:rFonts w:ascii="Arial" w:hAnsi="Arial" w:cs="Arial"/>
        </w:rPr>
        <w:t>bleeding in the brain (haemorrhagic stroke), leading to rapid loss of brain function (W</w:t>
      </w:r>
      <w:r w:rsidR="00613B39">
        <w:rPr>
          <w:rFonts w:ascii="Arial" w:hAnsi="Arial" w:cs="Arial"/>
        </w:rPr>
        <w:t>o</w:t>
      </w:r>
      <w:r w:rsidR="00A35FEF">
        <w:rPr>
          <w:rFonts w:ascii="Arial" w:hAnsi="Arial" w:cs="Arial"/>
        </w:rPr>
        <w:t xml:space="preserve">rld </w:t>
      </w:r>
      <w:r w:rsidR="001947ED">
        <w:rPr>
          <w:rFonts w:ascii="Arial" w:hAnsi="Arial" w:cs="Arial"/>
        </w:rPr>
        <w:t>Health</w:t>
      </w:r>
      <w:r w:rsidR="00A35FEF">
        <w:rPr>
          <w:rFonts w:ascii="Arial" w:hAnsi="Arial" w:cs="Arial"/>
        </w:rPr>
        <w:t xml:space="preserve"> Organisation</w:t>
      </w:r>
      <w:r w:rsidRPr="00715228">
        <w:rPr>
          <w:rFonts w:ascii="Arial" w:hAnsi="Arial" w:cs="Arial"/>
        </w:rPr>
        <w:t>, 2025). The primary signs and symptoms include sudden facial drooping, arm weakness, and speech difficulties, which are commonly summarised by the FAST acronym—Face, Arms, Speech, Time (NHS England, 2024). Other symptoms may include sudden vision loss, confusion, dizziness, and severe headache. Stroke is a major public health concern due to its high incidence and long-term impact. Globally, there are approximately 11.9 million new cases each year, with an estimated 93.8 million people living with the consequences of stroke (Feigin et al., 2025). In the UK, over 113,000 individuals are affected annually, demonstrating the significant burden of this condition (King et al., 2020).</w:t>
      </w:r>
    </w:p>
    <w:p w14:paraId="4E81DF43" w14:textId="77777777" w:rsidR="00D0087A" w:rsidRDefault="00D0087A" w:rsidP="00CB3013">
      <w:pPr>
        <w:rPr>
          <w:rFonts w:ascii="Arial" w:hAnsi="Arial" w:cs="Arial"/>
        </w:rPr>
      </w:pPr>
    </w:p>
    <w:p w14:paraId="63CF2498" w14:textId="77777777" w:rsidR="00E61643" w:rsidRDefault="00AA6D42" w:rsidP="00391C6F">
      <w:pPr>
        <w:pStyle w:val="Heading1"/>
        <w:rPr>
          <w:rStyle w:val="Strong"/>
          <w:rFonts w:ascii="Arial" w:hAnsi="Arial" w:cs="Arial"/>
          <w:sz w:val="22"/>
          <w:szCs w:val="22"/>
        </w:rPr>
      </w:pPr>
      <w:r>
        <w:rPr>
          <w:rStyle w:val="Strong"/>
          <w:rFonts w:ascii="Arial" w:hAnsi="Arial" w:cs="Arial"/>
          <w:sz w:val="22"/>
          <w:szCs w:val="22"/>
        </w:rPr>
        <w:t>2</w:t>
      </w:r>
      <w:r w:rsidRPr="00AC7B2E">
        <w:rPr>
          <w:rStyle w:val="Strong"/>
          <w:rFonts w:ascii="Arial" w:hAnsi="Arial" w:cs="Arial"/>
          <w:sz w:val="22"/>
          <w:szCs w:val="22"/>
        </w:rPr>
        <w:t xml:space="preserve">) </w:t>
      </w:r>
      <w:r w:rsidR="00E61643" w:rsidRPr="00E61643">
        <w:rPr>
          <w:rStyle w:val="Strong"/>
          <w:rFonts w:ascii="Arial" w:hAnsi="Arial" w:cs="Arial"/>
          <w:sz w:val="22"/>
          <w:szCs w:val="22"/>
        </w:rPr>
        <w:t xml:space="preserve">Measuring, Monitoring, and Managing Stroke: </w:t>
      </w:r>
    </w:p>
    <w:p w14:paraId="1B3947C6" w14:textId="77777777" w:rsidR="00B7458A" w:rsidRPr="00E443DC" w:rsidRDefault="00B7458A" w:rsidP="00B7458A">
      <w:pPr>
        <w:pStyle w:val="gds-typography"/>
        <w:rPr>
          <w:rFonts w:ascii="Arial" w:hAnsi="Arial" w:cs="Arial"/>
          <w:sz w:val="22"/>
          <w:szCs w:val="22"/>
        </w:rPr>
      </w:pPr>
      <w:r w:rsidRPr="00E443DC">
        <w:rPr>
          <w:rFonts w:ascii="Arial" w:hAnsi="Arial" w:cs="Arial"/>
          <w:sz w:val="22"/>
          <w:szCs w:val="22"/>
        </w:rPr>
        <w:t>Accurately measuring and monitoring stroke is vital for understanding its impact, guiding resource allocation, and evaluating prevention and treatment strategies. Epidemiological surveillance forms the backbone of disease measurement, relying on several key indicators: incidence (the number of new cases), prevalence (the total number living with stroke), morbidity, and mortality rates.</w:t>
      </w:r>
    </w:p>
    <w:p w14:paraId="7F832708" w14:textId="735F496C" w:rsidR="00B7458A" w:rsidRPr="00E443DC" w:rsidRDefault="00B7458A" w:rsidP="00B7458A">
      <w:pPr>
        <w:pStyle w:val="gds-typography"/>
        <w:rPr>
          <w:rFonts w:ascii="Arial" w:hAnsi="Arial" w:cs="Arial"/>
          <w:sz w:val="22"/>
          <w:szCs w:val="22"/>
        </w:rPr>
      </w:pPr>
      <w:r w:rsidRPr="00E443DC">
        <w:rPr>
          <w:rFonts w:ascii="Arial" w:hAnsi="Arial" w:cs="Arial"/>
          <w:sz w:val="22"/>
          <w:szCs w:val="22"/>
        </w:rPr>
        <w:t xml:space="preserve">Globally, organisations such as the World Health </w:t>
      </w:r>
      <w:r w:rsidR="00E443DC">
        <w:rPr>
          <w:rFonts w:ascii="Arial" w:hAnsi="Arial" w:cs="Arial"/>
          <w:sz w:val="22"/>
          <w:szCs w:val="22"/>
        </w:rPr>
        <w:t>Organisation</w:t>
      </w:r>
      <w:r w:rsidRPr="00E443DC">
        <w:rPr>
          <w:rFonts w:ascii="Arial" w:hAnsi="Arial" w:cs="Arial"/>
          <w:sz w:val="22"/>
          <w:szCs w:val="22"/>
        </w:rPr>
        <w:t xml:space="preserve"> (WHO) and research initiatives like the Global Burden of Disease (GBD) Study aggregate data from population-based registries, hospital records, and death certificates to estimate the burden of stroke. These sources employ standardised definitions and methodologies to enable international comparisons. For example, the WHO uses International Classification of Diseases (ICD) codes to ensure consistency in recording stroke cases (WHO, 2025).</w:t>
      </w:r>
    </w:p>
    <w:p w14:paraId="657D4F45" w14:textId="0F5A7D2B" w:rsidR="00B7458A" w:rsidRPr="00E443DC" w:rsidRDefault="00B7458A" w:rsidP="00B7458A">
      <w:pPr>
        <w:pStyle w:val="gds-typography"/>
        <w:rPr>
          <w:rFonts w:ascii="Arial" w:hAnsi="Arial" w:cs="Arial"/>
          <w:sz w:val="22"/>
          <w:szCs w:val="22"/>
        </w:rPr>
      </w:pPr>
      <w:r w:rsidRPr="00E443DC">
        <w:rPr>
          <w:rFonts w:ascii="Arial" w:hAnsi="Arial" w:cs="Arial"/>
          <w:sz w:val="22"/>
          <w:szCs w:val="22"/>
        </w:rPr>
        <w:t xml:space="preserve">In the United Kingdom, the Sentinel Stroke National Audit Programme (SSNAP) is the principal system for monitoring stroke care. SSNAP collects real-time data on all stroke admissions across NHS hospitals, tracking variables such as onset-to-door time, treatment received, complications, and outcomes. Regular audits enable benchmarking against national standards and facilitate continuous quality improvement (King et al., 2020). SSNAP data are used by policymakers and clinicians to identify trends, highlight </w:t>
      </w:r>
      <w:r w:rsidR="00E443DC">
        <w:rPr>
          <w:rFonts w:ascii="Arial" w:hAnsi="Arial" w:cs="Arial"/>
          <w:sz w:val="22"/>
          <w:szCs w:val="22"/>
        </w:rPr>
        <w:t>regional disparities</w:t>
      </w:r>
      <w:r w:rsidRPr="00E443DC">
        <w:rPr>
          <w:rFonts w:ascii="Arial" w:hAnsi="Arial" w:cs="Arial"/>
          <w:sz w:val="22"/>
          <w:szCs w:val="22"/>
        </w:rPr>
        <w:t>, and inform service development.</w:t>
      </w:r>
    </w:p>
    <w:p w14:paraId="0C2F1662" w14:textId="35951C71" w:rsidR="00B7458A" w:rsidRPr="00DC1A18" w:rsidRDefault="00B7458A" w:rsidP="00953524">
      <w:pPr>
        <w:pStyle w:val="NoSpacing"/>
        <w:rPr>
          <w:rFonts w:ascii="Arial" w:hAnsi="Arial" w:cs="Arial"/>
        </w:rPr>
      </w:pPr>
      <w:r w:rsidRPr="00DC1A18">
        <w:rPr>
          <w:rFonts w:ascii="Arial" w:hAnsi="Arial" w:cs="Arial"/>
        </w:rPr>
        <w:t xml:space="preserve">Despite these robust systems, several challenges persist in measurement and monitoring. Underreporting can occur, particularly for less severe strokes that do not result in hospital admission. Variability in diagnostic criteria and data collection methods may introduce bias, especially in low- and middle-income countries. Additionally, the misclassification of stroke subtypes (ischaemic vs. haemorrhagic) can skew statistics and hinder comparison across studies. Recent advances in digital health, such as electronic health records and data linkage, are improving the accuracy, completeness, and timeliness of surveillance. Furthermore, the use of artificial intelligence and big data analytics </w:t>
      </w:r>
      <w:r w:rsidR="00E443DC" w:rsidRPr="00DC1A18">
        <w:rPr>
          <w:rFonts w:ascii="Arial" w:hAnsi="Arial" w:cs="Arial"/>
        </w:rPr>
        <w:t>enables more sophisticated analysis, early trend detection</w:t>
      </w:r>
      <w:r w:rsidRPr="00DC1A18">
        <w:rPr>
          <w:rFonts w:ascii="Arial" w:hAnsi="Arial" w:cs="Arial"/>
        </w:rPr>
        <w:t xml:space="preserve">, and </w:t>
      </w:r>
      <w:r w:rsidR="00AA6D42" w:rsidRPr="00DC1A18">
        <w:rPr>
          <w:rFonts w:ascii="Arial" w:hAnsi="Arial" w:cs="Arial"/>
        </w:rPr>
        <w:t xml:space="preserve">the </w:t>
      </w:r>
      <w:r w:rsidRPr="00DC1A18">
        <w:rPr>
          <w:rFonts w:ascii="Arial" w:hAnsi="Arial" w:cs="Arial"/>
        </w:rPr>
        <w:t>prediction of future burden.</w:t>
      </w:r>
    </w:p>
    <w:p w14:paraId="057A53E5" w14:textId="77777777" w:rsidR="00B7458A" w:rsidRPr="00E443DC" w:rsidRDefault="00B7458A" w:rsidP="00B7458A">
      <w:pPr>
        <w:pStyle w:val="gds-typography"/>
        <w:rPr>
          <w:rFonts w:ascii="Arial" w:hAnsi="Arial" w:cs="Arial"/>
          <w:sz w:val="22"/>
          <w:szCs w:val="22"/>
        </w:rPr>
      </w:pPr>
      <w:r w:rsidRPr="00E443DC">
        <w:rPr>
          <w:rFonts w:ascii="Arial" w:hAnsi="Arial" w:cs="Arial"/>
          <w:sz w:val="22"/>
          <w:szCs w:val="22"/>
        </w:rPr>
        <w:lastRenderedPageBreak/>
        <w:t>Controlling stroke requires a multi-tiered public health approach, including population-level interventions, targeted prevention for high-risk groups, acute clinical management, and long-term rehabilitation. The 'three Ps' of public health—protection, prevention, and promotion—provide a framework for these efforts.</w:t>
      </w:r>
    </w:p>
    <w:p w14:paraId="40F124B3" w14:textId="50E7A878" w:rsidR="00B7458A" w:rsidRPr="00E443DC" w:rsidRDefault="00B7458A" w:rsidP="00B7458A">
      <w:pPr>
        <w:pStyle w:val="gds-typography"/>
        <w:rPr>
          <w:rFonts w:ascii="Arial" w:hAnsi="Arial" w:cs="Arial"/>
          <w:sz w:val="22"/>
          <w:szCs w:val="22"/>
        </w:rPr>
      </w:pPr>
      <w:r w:rsidRPr="00E443DC">
        <w:rPr>
          <w:rFonts w:ascii="Arial" w:hAnsi="Arial" w:cs="Arial"/>
          <w:sz w:val="22"/>
          <w:szCs w:val="22"/>
        </w:rPr>
        <w:t xml:space="preserve">Protection focuses on reducing </w:t>
      </w:r>
      <w:r w:rsidR="00E443DC">
        <w:rPr>
          <w:rFonts w:ascii="Arial" w:hAnsi="Arial" w:cs="Arial"/>
          <w:sz w:val="22"/>
          <w:szCs w:val="22"/>
        </w:rPr>
        <w:t xml:space="preserve">the population's exposure to risk factors and ensuring a </w:t>
      </w:r>
      <w:r w:rsidRPr="00E443DC">
        <w:rPr>
          <w:rFonts w:ascii="Arial" w:hAnsi="Arial" w:cs="Arial"/>
          <w:sz w:val="22"/>
          <w:szCs w:val="22"/>
        </w:rPr>
        <w:t>rapid emergency response. A key example is the NHS Act FAST campaign, which educates the public on recognising stroke symptoms and seeking immediate medical attention. Early recognition and intervention are critical: timely thrombolysis or thrombectomy can significantly reduce mortality and long-term disability (NHS England, 2024).</w:t>
      </w:r>
    </w:p>
    <w:p w14:paraId="7E19BCD1" w14:textId="69773403" w:rsidR="00B7458A" w:rsidRPr="00E443DC" w:rsidRDefault="00B7458A" w:rsidP="00B7458A">
      <w:pPr>
        <w:pStyle w:val="gds-typography"/>
        <w:rPr>
          <w:rFonts w:ascii="Arial" w:hAnsi="Arial" w:cs="Arial"/>
          <w:sz w:val="22"/>
          <w:szCs w:val="22"/>
        </w:rPr>
      </w:pPr>
      <w:r w:rsidRPr="00E443DC">
        <w:rPr>
          <w:rFonts w:ascii="Arial" w:hAnsi="Arial" w:cs="Arial"/>
          <w:sz w:val="22"/>
          <w:szCs w:val="22"/>
        </w:rPr>
        <w:t xml:space="preserve">Environmental protection is also increasingly important, as research shows that air pollution is responsible for a significant proportion of </w:t>
      </w:r>
      <w:r w:rsidR="00E443DC">
        <w:rPr>
          <w:rFonts w:ascii="Arial" w:hAnsi="Arial" w:cs="Arial"/>
          <w:sz w:val="22"/>
          <w:szCs w:val="22"/>
        </w:rPr>
        <w:t>global stroke cases</w:t>
      </w:r>
      <w:r w:rsidRPr="00E443DC">
        <w:rPr>
          <w:rFonts w:ascii="Arial" w:hAnsi="Arial" w:cs="Arial"/>
          <w:sz w:val="22"/>
          <w:szCs w:val="22"/>
        </w:rPr>
        <w:t>. Governmental action on clean-air policies, emission controls, and urban planning helps reduce exposure to harmful pollutants. Routine screening for hypertension, the leading modifiable risk factor for stroke, is another cornerstone of protective strategy.</w:t>
      </w:r>
    </w:p>
    <w:p w14:paraId="3C6D9D4E" w14:textId="6F098A54" w:rsidR="00B7458A" w:rsidRPr="00E443DC" w:rsidRDefault="00B7458A" w:rsidP="00B7458A">
      <w:pPr>
        <w:pStyle w:val="gds-typography"/>
        <w:rPr>
          <w:rFonts w:ascii="Arial" w:hAnsi="Arial" w:cs="Arial"/>
          <w:sz w:val="22"/>
          <w:szCs w:val="22"/>
        </w:rPr>
      </w:pPr>
      <w:r w:rsidRPr="00E443DC">
        <w:rPr>
          <w:rFonts w:ascii="Arial" w:hAnsi="Arial" w:cs="Arial"/>
          <w:sz w:val="22"/>
          <w:szCs w:val="22"/>
        </w:rPr>
        <w:t xml:space="preserve">Prevention aims to reduce the incidence of stroke by addressing modifiable risk factors. According to the WHO, ten modifiable factors—including high blood pressure, smoking, high cholesterol, obesity, diabetes, physical inactivity, poor diet, excessive alcohol use, psychosocial stress, and air pollution—account for </w:t>
      </w:r>
      <w:r w:rsidR="00ED26CF" w:rsidRPr="00E443DC">
        <w:rPr>
          <w:rFonts w:ascii="Arial" w:hAnsi="Arial" w:cs="Arial"/>
          <w:sz w:val="22"/>
          <w:szCs w:val="22"/>
        </w:rPr>
        <w:t>most</w:t>
      </w:r>
      <w:r w:rsidRPr="00E443DC">
        <w:rPr>
          <w:rFonts w:ascii="Arial" w:hAnsi="Arial" w:cs="Arial"/>
          <w:sz w:val="22"/>
          <w:szCs w:val="22"/>
        </w:rPr>
        <w:t xml:space="preserve"> stroke cases (WHO, 2025). Public health interventions include smoking cessation initiatives, healthy eating campaigns, alcohol reduction efforts, and physical activity promotion. The NHS Long Term Plan in the UK prioritises cardiovascular disease prevention by improving the detection and treatment of hypertension, lipid disorders, and diabetes.</w:t>
      </w:r>
    </w:p>
    <w:p w14:paraId="54388B15" w14:textId="77777777" w:rsidR="00B7458A" w:rsidRPr="00E443DC" w:rsidRDefault="00B7458A" w:rsidP="00B7458A">
      <w:pPr>
        <w:pStyle w:val="gds-typography"/>
        <w:rPr>
          <w:rFonts w:ascii="Arial" w:hAnsi="Arial" w:cs="Arial"/>
          <w:sz w:val="22"/>
          <w:szCs w:val="22"/>
        </w:rPr>
      </w:pPr>
      <w:r w:rsidRPr="00E443DC">
        <w:rPr>
          <w:rFonts w:ascii="Arial" w:hAnsi="Arial" w:cs="Arial"/>
          <w:sz w:val="22"/>
          <w:szCs w:val="22"/>
        </w:rPr>
        <w:t>Community-based initiatives such as NHS Health Checks play a critical role in identifying individuals at high risk and providing tailored lifestyle advice. Preventive medical strategies include anticoagulation for atrial fibrillation, which markedly reduces the risk of ischaemic stroke. However, challenges remain: the uptake of preventive services is uneven across regions and socioeconomic groups, and adherence to lifestyle changes or medication regimens can be low. Health inequalities persist, with disadvantaged populations often experiencing both higher risk and poorer access to preventative care.</w:t>
      </w:r>
    </w:p>
    <w:p w14:paraId="183C84FD" w14:textId="77777777" w:rsidR="00B7458A" w:rsidRPr="00E443DC" w:rsidRDefault="00B7458A" w:rsidP="00B7458A">
      <w:pPr>
        <w:pStyle w:val="gds-typography"/>
        <w:rPr>
          <w:rFonts w:ascii="Arial" w:hAnsi="Arial" w:cs="Arial"/>
          <w:sz w:val="22"/>
          <w:szCs w:val="22"/>
        </w:rPr>
      </w:pPr>
      <w:r w:rsidRPr="00E443DC">
        <w:rPr>
          <w:rFonts w:ascii="Arial" w:hAnsi="Arial" w:cs="Arial"/>
          <w:sz w:val="22"/>
          <w:szCs w:val="22"/>
        </w:rPr>
        <w:t>Health promotion empowers people to make healthier choices and supports stroke survivors in recovery. Community education, awareness campaigns, and culturally tailored interventions help populations understand stroke risk factors and symptoms. Programmes that promote physical activity, healthy diets, and smoking cessation contribute to long-term risk reduction. Crucially, health promotion also includes supporting stroke survivors through ongoing rehabilitation, social care, and reintegration initiatives to improve quality of life and prevent recurrence.</w:t>
      </w:r>
    </w:p>
    <w:p w14:paraId="64C6A803" w14:textId="0385CFED" w:rsidR="00B7458A" w:rsidRPr="00E443DC" w:rsidRDefault="008330E4" w:rsidP="00B7458A">
      <w:pPr>
        <w:pStyle w:val="gds-typography"/>
        <w:rPr>
          <w:rFonts w:ascii="Arial" w:hAnsi="Arial" w:cs="Arial"/>
          <w:sz w:val="22"/>
          <w:szCs w:val="22"/>
        </w:rPr>
      </w:pPr>
      <w:r>
        <w:rPr>
          <w:rFonts w:ascii="Arial" w:hAnsi="Arial" w:cs="Arial"/>
          <w:sz w:val="22"/>
          <w:szCs w:val="22"/>
        </w:rPr>
        <w:t>Clinical control measures focus on prompt diagnosis and evidence-based management of acute stroke. Rapid neuroimaging (CT or MRI) informs appropriate treatment decisions, such as thrombolysis for ischaemic stroke or surgery for haemorrhagic stroke. National audits such as SSNAP ensure adherence to clinical guidelines, monitor performance, and improve</w:t>
      </w:r>
      <w:r w:rsidR="00096B50">
        <w:rPr>
          <w:rFonts w:ascii="Arial" w:hAnsi="Arial" w:cs="Arial"/>
          <w:sz w:val="22"/>
          <w:szCs w:val="22"/>
        </w:rPr>
        <w:t xml:space="preserve"> </w:t>
      </w:r>
      <w:r>
        <w:rPr>
          <w:rFonts w:ascii="Arial" w:hAnsi="Arial" w:cs="Arial"/>
          <w:sz w:val="22"/>
          <w:szCs w:val="22"/>
        </w:rPr>
        <w:t>care delivery. Long-term control includes secondary prevention (antihypertensive, antiplatelet, and anticoagulant medications) and multidisciplinary rehabilitation to address physical, cognitive, and psychological needs.</w:t>
      </w:r>
    </w:p>
    <w:p w14:paraId="6A7CB19D" w14:textId="77777777" w:rsidR="00ED26CF" w:rsidRDefault="00ED26CF" w:rsidP="00B7458A">
      <w:pPr>
        <w:pStyle w:val="gds-typography"/>
        <w:rPr>
          <w:rStyle w:val="Strong"/>
          <w:rFonts w:ascii="Arial" w:eastAsiaTheme="majorEastAsia" w:hAnsi="Arial" w:cs="Arial"/>
          <w:sz w:val="22"/>
          <w:szCs w:val="22"/>
        </w:rPr>
      </w:pPr>
    </w:p>
    <w:p w14:paraId="31252088" w14:textId="77777777" w:rsidR="001F58FE" w:rsidRDefault="001F58FE" w:rsidP="00B7458A">
      <w:pPr>
        <w:pStyle w:val="gds-typography"/>
        <w:rPr>
          <w:rStyle w:val="Strong"/>
          <w:rFonts w:ascii="Arial" w:eastAsiaTheme="majorEastAsia" w:hAnsi="Arial" w:cs="Arial"/>
          <w:sz w:val="22"/>
          <w:szCs w:val="22"/>
        </w:rPr>
      </w:pPr>
    </w:p>
    <w:p w14:paraId="34286D95" w14:textId="7282D1FC" w:rsidR="00B7458A" w:rsidRPr="00E443DC" w:rsidRDefault="00434E45" w:rsidP="00B7458A">
      <w:pPr>
        <w:pStyle w:val="gds-typography"/>
        <w:rPr>
          <w:rFonts w:ascii="Arial" w:hAnsi="Arial" w:cs="Arial"/>
          <w:sz w:val="22"/>
          <w:szCs w:val="22"/>
        </w:rPr>
      </w:pPr>
      <w:r>
        <w:rPr>
          <w:rStyle w:val="Strong"/>
          <w:rFonts w:ascii="Arial" w:eastAsiaTheme="majorEastAsia" w:hAnsi="Arial" w:cs="Arial"/>
          <w:sz w:val="22"/>
          <w:szCs w:val="22"/>
        </w:rPr>
        <w:lastRenderedPageBreak/>
        <w:t>3)</w:t>
      </w:r>
      <w:r w:rsidR="00552106">
        <w:rPr>
          <w:rStyle w:val="Strong"/>
          <w:rFonts w:ascii="Arial" w:eastAsiaTheme="majorEastAsia" w:hAnsi="Arial" w:cs="Arial"/>
          <w:sz w:val="22"/>
          <w:szCs w:val="22"/>
        </w:rPr>
        <w:t>CONSEQUENCES</w:t>
      </w:r>
      <w:r w:rsidR="00B7458A" w:rsidRPr="00E443DC">
        <w:rPr>
          <w:rStyle w:val="Strong"/>
          <w:rFonts w:ascii="Arial" w:eastAsiaTheme="majorEastAsia" w:hAnsi="Arial" w:cs="Arial"/>
          <w:sz w:val="22"/>
          <w:szCs w:val="22"/>
        </w:rPr>
        <w:t xml:space="preserve"> </w:t>
      </w:r>
      <w:r w:rsidR="006F1C94">
        <w:rPr>
          <w:rStyle w:val="Strong"/>
          <w:rFonts w:ascii="Arial" w:eastAsiaTheme="majorEastAsia" w:hAnsi="Arial" w:cs="Arial"/>
          <w:sz w:val="22"/>
          <w:szCs w:val="22"/>
        </w:rPr>
        <w:t>OF</w:t>
      </w:r>
      <w:r w:rsidR="00B7458A" w:rsidRPr="00E443DC">
        <w:rPr>
          <w:rStyle w:val="Strong"/>
          <w:rFonts w:ascii="Arial" w:eastAsiaTheme="majorEastAsia" w:hAnsi="Arial" w:cs="Arial"/>
          <w:sz w:val="22"/>
          <w:szCs w:val="22"/>
        </w:rPr>
        <w:t xml:space="preserve"> </w:t>
      </w:r>
      <w:r w:rsidR="006F1C94">
        <w:rPr>
          <w:rStyle w:val="Strong"/>
          <w:rFonts w:ascii="Arial" w:eastAsiaTheme="majorEastAsia" w:hAnsi="Arial" w:cs="Arial"/>
          <w:sz w:val="22"/>
          <w:szCs w:val="22"/>
        </w:rPr>
        <w:t>STROKE</w:t>
      </w:r>
      <w:r w:rsidR="00B7458A" w:rsidRPr="00E443DC">
        <w:rPr>
          <w:rStyle w:val="Strong"/>
          <w:rFonts w:ascii="Arial" w:eastAsiaTheme="majorEastAsia" w:hAnsi="Arial" w:cs="Arial"/>
          <w:sz w:val="22"/>
          <w:szCs w:val="22"/>
        </w:rPr>
        <w:t xml:space="preserve"> </w:t>
      </w:r>
      <w:r w:rsidR="00552106">
        <w:rPr>
          <w:rStyle w:val="Strong"/>
          <w:rFonts w:ascii="Arial" w:eastAsiaTheme="majorEastAsia" w:hAnsi="Arial" w:cs="Arial"/>
          <w:sz w:val="22"/>
          <w:szCs w:val="22"/>
        </w:rPr>
        <w:t>IN THE COMMUNITY</w:t>
      </w:r>
    </w:p>
    <w:p w14:paraId="0E00B597" w14:textId="3DDE9934" w:rsidR="00B7458A" w:rsidRPr="00E443DC" w:rsidRDefault="00B7458A" w:rsidP="00B7458A">
      <w:pPr>
        <w:pStyle w:val="gds-typography"/>
        <w:rPr>
          <w:rFonts w:ascii="Arial" w:hAnsi="Arial" w:cs="Arial"/>
          <w:sz w:val="22"/>
          <w:szCs w:val="22"/>
        </w:rPr>
      </w:pPr>
      <w:r w:rsidRPr="00E443DC">
        <w:rPr>
          <w:rFonts w:ascii="Arial" w:hAnsi="Arial" w:cs="Arial"/>
          <w:sz w:val="22"/>
          <w:szCs w:val="22"/>
        </w:rPr>
        <w:t>Stroke has consequences for individuals, families, and entire communities. For survivors, the immediate effects often include paralysis or weakness (hemiplegia), speech and language difficulties (aphasia), visual disturbances, cognitive impairment, and changes in personality or mood. Many people require help with daily activities, such as dressing, eating, or mobility, and may experience persistent fatigue or chronic pain.</w:t>
      </w:r>
    </w:p>
    <w:p w14:paraId="4C4307C5" w14:textId="77777777" w:rsidR="00B7458A" w:rsidRPr="00E443DC" w:rsidRDefault="00B7458A" w:rsidP="00B7458A">
      <w:pPr>
        <w:pStyle w:val="gds-typography"/>
        <w:rPr>
          <w:rFonts w:ascii="Arial" w:hAnsi="Arial" w:cs="Arial"/>
          <w:sz w:val="22"/>
          <w:szCs w:val="22"/>
        </w:rPr>
      </w:pPr>
      <w:r w:rsidRPr="00E443DC">
        <w:rPr>
          <w:rFonts w:ascii="Arial" w:hAnsi="Arial" w:cs="Arial"/>
          <w:sz w:val="22"/>
          <w:szCs w:val="22"/>
        </w:rPr>
        <w:t>The psychological impact is considerable, with depression, anxiety, and emotional lability being common sequelae. Stroke survivors frequently report a sense of loss—of independence, employment, and social roles. The stigma associated with disability can lead to social isolation and reduced participation in community life.</w:t>
      </w:r>
    </w:p>
    <w:p w14:paraId="428DE6F5" w14:textId="77777777" w:rsidR="00B7458A" w:rsidRPr="00E443DC" w:rsidRDefault="00B7458A" w:rsidP="00B7458A">
      <w:pPr>
        <w:pStyle w:val="gds-typography"/>
        <w:rPr>
          <w:rFonts w:ascii="Arial" w:hAnsi="Arial" w:cs="Arial"/>
          <w:sz w:val="22"/>
          <w:szCs w:val="22"/>
        </w:rPr>
      </w:pPr>
      <w:r w:rsidRPr="00E443DC">
        <w:rPr>
          <w:rFonts w:ascii="Arial" w:hAnsi="Arial" w:cs="Arial"/>
          <w:sz w:val="22"/>
          <w:szCs w:val="22"/>
        </w:rPr>
        <w:t>Families and informal carers face significant challenges, including emotional strain, financial hardship, and disruption to family dynamics. Carers may experience burnout, stress, and health problems of their own, particularly when support services are inadequate. The economic burden of stroke is substantial, encompassing healthcare costs, loss of productivity, and the need for long-term social care.</w:t>
      </w:r>
    </w:p>
    <w:p w14:paraId="58E22F67" w14:textId="18196460" w:rsidR="00B7458A" w:rsidRPr="00E443DC" w:rsidRDefault="00B7458A" w:rsidP="00B7458A">
      <w:pPr>
        <w:pStyle w:val="gds-typography"/>
        <w:rPr>
          <w:rFonts w:ascii="Arial" w:hAnsi="Arial" w:cs="Arial"/>
          <w:sz w:val="22"/>
          <w:szCs w:val="22"/>
        </w:rPr>
      </w:pPr>
      <w:r w:rsidRPr="00E443DC">
        <w:rPr>
          <w:rFonts w:ascii="Arial" w:hAnsi="Arial" w:cs="Arial"/>
          <w:sz w:val="22"/>
          <w:szCs w:val="22"/>
        </w:rPr>
        <w:t xml:space="preserve">At the community level, </w:t>
      </w:r>
      <w:r w:rsidR="00AA6D42">
        <w:rPr>
          <w:rFonts w:ascii="Arial" w:hAnsi="Arial" w:cs="Arial"/>
          <w:sz w:val="22"/>
          <w:szCs w:val="22"/>
        </w:rPr>
        <w:t>strokes place</w:t>
      </w:r>
      <w:r w:rsidRPr="00E443DC">
        <w:rPr>
          <w:rFonts w:ascii="Arial" w:hAnsi="Arial" w:cs="Arial"/>
          <w:sz w:val="22"/>
          <w:szCs w:val="22"/>
        </w:rPr>
        <w:t xml:space="preserve"> increased demand on healthcare and social services. Rehabilitation facilities, home adaptation services, community transport, and day centres are often required. Access to these services may be limited by geographic, economic, or cultural factors, creating further health inequalities.</w:t>
      </w:r>
    </w:p>
    <w:p w14:paraId="7841598E" w14:textId="3030809C" w:rsidR="00B7458A" w:rsidRPr="00D95647" w:rsidRDefault="00E85BE4" w:rsidP="00B7458A">
      <w:pPr>
        <w:pStyle w:val="gds-typography"/>
        <w:rPr>
          <w:rFonts w:ascii="Arial" w:hAnsi="Arial" w:cs="Arial"/>
          <w:sz w:val="22"/>
          <w:szCs w:val="22"/>
        </w:rPr>
      </w:pPr>
      <w:r>
        <w:rPr>
          <w:rStyle w:val="Strong"/>
          <w:rFonts w:ascii="Arial" w:eastAsiaTheme="majorEastAsia" w:hAnsi="Arial" w:cs="Arial"/>
          <w:sz w:val="22"/>
          <w:szCs w:val="22"/>
        </w:rPr>
        <w:t xml:space="preserve">4) </w:t>
      </w:r>
      <w:r w:rsidR="00B7458A" w:rsidRPr="00D95647">
        <w:rPr>
          <w:rStyle w:val="Strong"/>
          <w:rFonts w:ascii="Arial" w:eastAsiaTheme="majorEastAsia" w:hAnsi="Arial" w:cs="Arial"/>
          <w:sz w:val="22"/>
          <w:szCs w:val="22"/>
        </w:rPr>
        <w:t>H</w:t>
      </w:r>
      <w:r w:rsidR="00D95647" w:rsidRPr="00D95647">
        <w:rPr>
          <w:rStyle w:val="Strong"/>
          <w:rFonts w:ascii="Arial" w:eastAsiaTheme="majorEastAsia" w:hAnsi="Arial" w:cs="Arial"/>
          <w:sz w:val="22"/>
          <w:szCs w:val="22"/>
        </w:rPr>
        <w:t>EALTH AND SOCIAL CARE</w:t>
      </w:r>
    </w:p>
    <w:p w14:paraId="7E15A64D" w14:textId="3E4187C3" w:rsidR="00B7458A" w:rsidRPr="00E443DC" w:rsidRDefault="00B7458A" w:rsidP="00B7458A">
      <w:pPr>
        <w:pStyle w:val="gds-typography"/>
        <w:rPr>
          <w:rFonts w:ascii="Arial" w:hAnsi="Arial" w:cs="Arial"/>
          <w:sz w:val="22"/>
          <w:szCs w:val="22"/>
        </w:rPr>
      </w:pPr>
      <w:r w:rsidRPr="00E443DC">
        <w:rPr>
          <w:rFonts w:ascii="Arial" w:hAnsi="Arial" w:cs="Arial"/>
          <w:sz w:val="22"/>
          <w:szCs w:val="22"/>
        </w:rPr>
        <w:t>Meeting the needs of individuals affected by stroke necessitates a wide range of coordinated health and social care services. In th</w:t>
      </w:r>
      <w:r w:rsidR="005A3F87">
        <w:rPr>
          <w:rFonts w:ascii="Arial" w:hAnsi="Arial" w:cs="Arial"/>
          <w:sz w:val="22"/>
          <w:szCs w:val="22"/>
        </w:rPr>
        <w:t xml:space="preserve">is </w:t>
      </w:r>
      <w:r w:rsidR="00787E8D">
        <w:rPr>
          <w:rFonts w:ascii="Arial" w:hAnsi="Arial" w:cs="Arial"/>
          <w:sz w:val="22"/>
          <w:szCs w:val="22"/>
        </w:rPr>
        <w:t>situation</w:t>
      </w:r>
      <w:r w:rsidRPr="00E443DC">
        <w:rPr>
          <w:rFonts w:ascii="Arial" w:hAnsi="Arial" w:cs="Arial"/>
          <w:sz w:val="22"/>
          <w:szCs w:val="22"/>
        </w:rPr>
        <w:t>, emergency medical intervention, rapid hospital admission, and early rehabilitation are essential. Multidisciplinary teams—comprising doctors, nurses, physiotherapists, occupational therapists, speech and language therapists, and social workers—collaborate to deliver personalised, holistic care.</w:t>
      </w:r>
    </w:p>
    <w:p w14:paraId="1F99D2C8" w14:textId="2A2C6823" w:rsidR="00B7458A" w:rsidRPr="00E443DC" w:rsidRDefault="00B7458A" w:rsidP="00B7458A">
      <w:pPr>
        <w:pStyle w:val="gds-typography"/>
        <w:rPr>
          <w:rFonts w:ascii="Arial" w:hAnsi="Arial" w:cs="Arial"/>
          <w:sz w:val="22"/>
          <w:szCs w:val="22"/>
        </w:rPr>
      </w:pPr>
      <w:r w:rsidRPr="00E443DC">
        <w:rPr>
          <w:rFonts w:ascii="Arial" w:hAnsi="Arial" w:cs="Arial"/>
          <w:sz w:val="22"/>
          <w:szCs w:val="22"/>
        </w:rPr>
        <w:t xml:space="preserve">Long-term support focuses on maximising independence, managing ongoing symptoms, and preventing secondary complications. </w:t>
      </w:r>
      <w:r w:rsidR="00EB6E6B">
        <w:rPr>
          <w:rFonts w:ascii="Arial" w:hAnsi="Arial" w:cs="Arial"/>
          <w:sz w:val="22"/>
          <w:szCs w:val="22"/>
        </w:rPr>
        <w:t xml:space="preserve">Despite </w:t>
      </w:r>
      <w:r w:rsidRPr="00E443DC">
        <w:rPr>
          <w:rFonts w:ascii="Arial" w:hAnsi="Arial" w:cs="Arial"/>
          <w:sz w:val="22"/>
          <w:szCs w:val="22"/>
        </w:rPr>
        <w:t>regular physiotherapy, occupational and speech therapy, medication management, and monitoring for recurrence or complications</w:t>
      </w:r>
      <w:r w:rsidR="00EB6E6B">
        <w:rPr>
          <w:rFonts w:ascii="Arial" w:hAnsi="Arial" w:cs="Arial"/>
          <w:sz w:val="22"/>
          <w:szCs w:val="22"/>
        </w:rPr>
        <w:t>,</w:t>
      </w:r>
      <w:r w:rsidRPr="00E443DC">
        <w:rPr>
          <w:rFonts w:ascii="Arial" w:hAnsi="Arial" w:cs="Arial"/>
          <w:sz w:val="22"/>
          <w:szCs w:val="22"/>
        </w:rPr>
        <w:t xml:space="preserve"> </w:t>
      </w:r>
      <w:r w:rsidR="00EB6E6B">
        <w:rPr>
          <w:rFonts w:ascii="Arial" w:hAnsi="Arial" w:cs="Arial"/>
          <w:sz w:val="22"/>
          <w:szCs w:val="22"/>
        </w:rPr>
        <w:t>s</w:t>
      </w:r>
      <w:r w:rsidRPr="00E443DC">
        <w:rPr>
          <w:rFonts w:ascii="Arial" w:hAnsi="Arial" w:cs="Arial"/>
          <w:sz w:val="22"/>
          <w:szCs w:val="22"/>
        </w:rPr>
        <w:t xml:space="preserve">ocial care services, such as home care, personal assistants, and community support workers, </w:t>
      </w:r>
      <w:r w:rsidR="00EB6E6B">
        <w:rPr>
          <w:rFonts w:ascii="Arial" w:hAnsi="Arial" w:cs="Arial"/>
          <w:sz w:val="22"/>
          <w:szCs w:val="22"/>
        </w:rPr>
        <w:t xml:space="preserve">should </w:t>
      </w:r>
      <w:r w:rsidRPr="00E443DC">
        <w:rPr>
          <w:rFonts w:ascii="Arial" w:hAnsi="Arial" w:cs="Arial"/>
          <w:sz w:val="22"/>
          <w:szCs w:val="22"/>
        </w:rPr>
        <w:t>assist with daily living tasks and help maintain social engagement.</w:t>
      </w:r>
    </w:p>
    <w:p w14:paraId="6B381167" w14:textId="77777777" w:rsidR="00B7458A" w:rsidRPr="00E443DC" w:rsidRDefault="00B7458A" w:rsidP="00B7458A">
      <w:pPr>
        <w:pStyle w:val="gds-typography"/>
        <w:rPr>
          <w:rFonts w:ascii="Arial" w:hAnsi="Arial" w:cs="Arial"/>
          <w:sz w:val="22"/>
          <w:szCs w:val="22"/>
        </w:rPr>
      </w:pPr>
      <w:r w:rsidRPr="00E443DC">
        <w:rPr>
          <w:rFonts w:ascii="Arial" w:hAnsi="Arial" w:cs="Arial"/>
          <w:sz w:val="22"/>
          <w:szCs w:val="22"/>
        </w:rPr>
        <w:t>Mental health support is particularly important for addressing depression, anxiety, and adjustment difficulties that commonly follow stroke. Counselling, psychological therapy, and peer support groups can help survivors and their families cope with the emotional impact of the condition.</w:t>
      </w:r>
    </w:p>
    <w:p w14:paraId="610098F2" w14:textId="77777777" w:rsidR="00B7458A" w:rsidRPr="00E443DC" w:rsidRDefault="00B7458A" w:rsidP="00B7458A">
      <w:pPr>
        <w:pStyle w:val="gds-typography"/>
        <w:rPr>
          <w:rFonts w:ascii="Arial" w:hAnsi="Arial" w:cs="Arial"/>
          <w:sz w:val="22"/>
          <w:szCs w:val="22"/>
        </w:rPr>
      </w:pPr>
      <w:r w:rsidRPr="00E443DC">
        <w:rPr>
          <w:rFonts w:ascii="Arial" w:hAnsi="Arial" w:cs="Arial"/>
          <w:sz w:val="22"/>
          <w:szCs w:val="22"/>
        </w:rPr>
        <w:t>Practical support may involve home adaptations (e.g., installing ramps or bathroom aids), provision of mobility or communication aids, and access to transport or community activities. Carers also require support, including respite care, information, training, and financial assistance.</w:t>
      </w:r>
    </w:p>
    <w:p w14:paraId="6EF877EB" w14:textId="77777777" w:rsidR="00B7458A" w:rsidRPr="00E443DC" w:rsidRDefault="00B7458A" w:rsidP="00B7458A">
      <w:pPr>
        <w:pStyle w:val="gds-typography"/>
        <w:rPr>
          <w:rFonts w:ascii="Arial" w:hAnsi="Arial" w:cs="Arial"/>
          <w:sz w:val="22"/>
          <w:szCs w:val="22"/>
        </w:rPr>
      </w:pPr>
      <w:r w:rsidRPr="00E443DC">
        <w:rPr>
          <w:rFonts w:ascii="Arial" w:hAnsi="Arial" w:cs="Arial"/>
          <w:sz w:val="22"/>
          <w:szCs w:val="22"/>
        </w:rPr>
        <w:t>Effective care for stroke survivors is most successful when services are integrated and person-centred, with seamless transitions between hospital and community settings. Care pathways should be responsive to individual needs, culturally sensitive, and involve active participation from the person with stroke and their family.</w:t>
      </w:r>
    </w:p>
    <w:p w14:paraId="4D1D63D0" w14:textId="77777777" w:rsidR="00B7458A" w:rsidRDefault="00B7458A" w:rsidP="00B7458A">
      <w:pPr>
        <w:pStyle w:val="gds-typography"/>
        <w:rPr>
          <w:rFonts w:ascii="Arial" w:hAnsi="Arial" w:cs="Arial"/>
          <w:sz w:val="22"/>
          <w:szCs w:val="22"/>
        </w:rPr>
      </w:pPr>
      <w:r w:rsidRPr="00E443DC">
        <w:rPr>
          <w:rFonts w:ascii="Arial" w:hAnsi="Arial" w:cs="Arial"/>
          <w:sz w:val="22"/>
          <w:szCs w:val="22"/>
        </w:rPr>
        <w:lastRenderedPageBreak/>
        <w:t>Community engagement, advocacy, and anti-stigma initiatives can foster a more inclusive society, promoting recovery and reintegration for stroke survivors. Collaboration between statutory services, voluntary organisations, and peer networks ensures a holistic approach and maximises the potential for positive outcomes.</w:t>
      </w:r>
    </w:p>
    <w:p w14:paraId="323C1E99" w14:textId="0E342303" w:rsidR="001F5085" w:rsidRPr="00B51924" w:rsidRDefault="004F6C49" w:rsidP="00B7458A">
      <w:pPr>
        <w:pStyle w:val="gds-typography"/>
        <w:rPr>
          <w:rFonts w:ascii="Arial" w:hAnsi="Arial" w:cs="Arial"/>
          <w:b/>
          <w:bCs/>
        </w:rPr>
      </w:pPr>
      <w:r>
        <w:rPr>
          <w:rFonts w:ascii="Arial" w:hAnsi="Arial" w:cs="Arial"/>
          <w:b/>
          <w:bCs/>
        </w:rPr>
        <w:t>5</w:t>
      </w:r>
      <w:r w:rsidR="00B51924">
        <w:rPr>
          <w:rFonts w:ascii="Arial" w:hAnsi="Arial" w:cs="Arial"/>
          <w:b/>
          <w:bCs/>
        </w:rPr>
        <w:t xml:space="preserve">) </w:t>
      </w:r>
      <w:r w:rsidR="00FD09D6">
        <w:rPr>
          <w:rFonts w:ascii="Arial" w:hAnsi="Arial" w:cs="Arial"/>
          <w:b/>
          <w:bCs/>
        </w:rPr>
        <w:t>C</w:t>
      </w:r>
      <w:r w:rsidR="00D95647">
        <w:rPr>
          <w:rFonts w:ascii="Arial" w:hAnsi="Arial" w:cs="Arial"/>
          <w:b/>
          <w:bCs/>
        </w:rPr>
        <w:t>ONCLUSION</w:t>
      </w:r>
    </w:p>
    <w:p w14:paraId="765AA564" w14:textId="77777777" w:rsidR="001F5085" w:rsidRPr="001F5085" w:rsidRDefault="001F5085" w:rsidP="001F5085">
      <w:pPr>
        <w:pStyle w:val="gds-typography"/>
        <w:rPr>
          <w:rFonts w:ascii="Arial" w:hAnsi="Arial" w:cs="Arial"/>
          <w:sz w:val="22"/>
          <w:szCs w:val="22"/>
        </w:rPr>
      </w:pPr>
      <w:r w:rsidRPr="001F5085">
        <w:rPr>
          <w:rFonts w:ascii="Arial" w:hAnsi="Arial" w:cs="Arial"/>
          <w:sz w:val="22"/>
          <w:szCs w:val="22"/>
        </w:rPr>
        <w:t>In conclusion, stroke remains a leading cause of disability and death globally, with an estimated 11.9 million new cases each year and around 93.8 million people living with the long-term effects worldwide (Feigin et al., 2025). In the UK alone, more than 113,000 individuals are affected annually, and nearly one million people live with stroke-related disabilities (King et al., 2020). These figures highlight the substantial burden stroke imposes on individuals, families, and health and social care systems. Effective control and prevention rely on robust measurement and monitoring, public health initiatives, and access to high-quality acute and long-term care. Addressing health inequalities, improving early detection, and supporting survivors through integrated services are essential for reducing the impact of stroke. Continued investment in research, rehabilitation, and community-based support will be vital to improving outcomes and minimising the ongoing social and economic costs associated with this condition.</w:t>
      </w:r>
    </w:p>
    <w:p w14:paraId="7C087984" w14:textId="77777777" w:rsidR="001F5085" w:rsidRPr="00E443DC" w:rsidRDefault="001F5085" w:rsidP="00B7458A">
      <w:pPr>
        <w:pStyle w:val="gds-typography"/>
        <w:rPr>
          <w:rFonts w:ascii="Arial" w:hAnsi="Arial" w:cs="Arial"/>
          <w:sz w:val="22"/>
          <w:szCs w:val="22"/>
        </w:rPr>
      </w:pPr>
    </w:p>
    <w:p w14:paraId="3F9C9382" w14:textId="206CF51C" w:rsidR="00CB3013" w:rsidRPr="00E443DC" w:rsidRDefault="00CB3013" w:rsidP="00B7458A">
      <w:pPr>
        <w:spacing w:after="0" w:line="240" w:lineRule="auto"/>
        <w:rPr>
          <w:rFonts w:ascii="Arial" w:hAnsi="Arial" w:cs="Arial"/>
        </w:rPr>
      </w:pPr>
    </w:p>
    <w:p w14:paraId="0252F83A" w14:textId="77777777" w:rsidR="00CB3013" w:rsidRPr="00E443DC" w:rsidRDefault="00CB3013" w:rsidP="00E65055">
      <w:pPr>
        <w:rPr>
          <w:rFonts w:ascii="Arial" w:hAnsi="Arial" w:cs="Arial"/>
        </w:rPr>
      </w:pPr>
    </w:p>
    <w:p w14:paraId="5DB47418" w14:textId="0B4BCD5D" w:rsidR="00943B0F" w:rsidRPr="00E443DC" w:rsidRDefault="00943B0F" w:rsidP="00F839CD">
      <w:pPr>
        <w:rPr>
          <w:rFonts w:ascii="Arial" w:hAnsi="Arial" w:cs="Arial"/>
        </w:rPr>
      </w:pPr>
    </w:p>
    <w:p w14:paraId="6ED6A22B" w14:textId="77777777" w:rsidR="00943B0F" w:rsidRPr="00E443DC" w:rsidRDefault="00943B0F" w:rsidP="00943B0F">
      <w:pPr>
        <w:rPr>
          <w:rFonts w:ascii="Arial" w:hAnsi="Arial" w:cs="Arial"/>
        </w:rPr>
      </w:pPr>
    </w:p>
    <w:p w14:paraId="405A6A1C" w14:textId="21F20DE1" w:rsidR="00A94D75" w:rsidRPr="00E443DC" w:rsidRDefault="00A94D75" w:rsidP="00645D64">
      <w:pPr>
        <w:rPr>
          <w:rFonts w:ascii="Arial" w:hAnsi="Arial" w:cs="Arial"/>
        </w:rPr>
      </w:pPr>
    </w:p>
    <w:p w14:paraId="13E00080" w14:textId="137FF22A" w:rsidR="00B87E75" w:rsidRPr="00E443DC" w:rsidRDefault="00B87E75" w:rsidP="00CD33A8">
      <w:pPr>
        <w:spacing w:line="360" w:lineRule="auto"/>
        <w:rPr>
          <w:rFonts w:ascii="Arial" w:hAnsi="Arial" w:cs="Arial"/>
        </w:rPr>
      </w:pPr>
    </w:p>
    <w:p w14:paraId="7AE771D5" w14:textId="1C06E45A" w:rsidR="00B87E75" w:rsidRPr="00E443DC" w:rsidRDefault="00B87E75" w:rsidP="00CD33A8">
      <w:pPr>
        <w:spacing w:line="360" w:lineRule="auto"/>
        <w:rPr>
          <w:rFonts w:ascii="Arial" w:hAnsi="Arial" w:cs="Arial"/>
        </w:rPr>
      </w:pPr>
    </w:p>
    <w:p w14:paraId="4F7320CB" w14:textId="000D21B8" w:rsidR="00B87E75" w:rsidRPr="00E443DC" w:rsidRDefault="00B87E75" w:rsidP="00CD33A8">
      <w:pPr>
        <w:spacing w:line="360" w:lineRule="auto"/>
        <w:rPr>
          <w:rFonts w:ascii="Arial" w:hAnsi="Arial" w:cs="Arial"/>
        </w:rPr>
      </w:pPr>
      <w:r w:rsidRPr="00E443DC">
        <w:rPr>
          <w:rFonts w:ascii="Arial" w:hAnsi="Arial" w:cs="Arial"/>
        </w:rPr>
        <w:br w:type="page"/>
      </w:r>
    </w:p>
    <w:p w14:paraId="3A610B51" w14:textId="0852BEA3" w:rsidR="006423E7" w:rsidRPr="006423E7" w:rsidRDefault="004F6C49" w:rsidP="006423E7">
      <w:pPr>
        <w:tabs>
          <w:tab w:val="left" w:pos="6540"/>
        </w:tabs>
        <w:spacing w:line="360" w:lineRule="auto"/>
        <w:rPr>
          <w:rFonts w:asciiTheme="minorBidi" w:hAnsiTheme="minorBidi"/>
          <w:b/>
          <w:bCs/>
          <w:sz w:val="28"/>
          <w:szCs w:val="28"/>
        </w:rPr>
      </w:pPr>
      <w:r>
        <w:rPr>
          <w:rFonts w:asciiTheme="minorBidi" w:hAnsiTheme="minorBidi"/>
          <w:b/>
          <w:bCs/>
          <w:sz w:val="28"/>
          <w:szCs w:val="28"/>
        </w:rPr>
        <w:lastRenderedPageBreak/>
        <w:t>6)</w:t>
      </w:r>
      <w:r w:rsidR="00704216">
        <w:rPr>
          <w:rFonts w:asciiTheme="minorBidi" w:hAnsiTheme="minorBidi"/>
          <w:b/>
          <w:bCs/>
          <w:sz w:val="28"/>
          <w:szCs w:val="28"/>
        </w:rPr>
        <w:t xml:space="preserve"> </w:t>
      </w:r>
      <w:r w:rsidR="00F353CC" w:rsidRPr="00842957">
        <w:rPr>
          <w:rFonts w:asciiTheme="minorBidi" w:hAnsiTheme="minorBidi"/>
          <w:b/>
          <w:bCs/>
          <w:sz w:val="28"/>
          <w:szCs w:val="28"/>
        </w:rPr>
        <w:t xml:space="preserve">References </w:t>
      </w:r>
    </w:p>
    <w:p w14:paraId="2BC9B852" w14:textId="77777777" w:rsidR="00E76D5E" w:rsidRDefault="00E76D5E" w:rsidP="007576E4">
      <w:pPr>
        <w:pStyle w:val="NormalWeb"/>
        <w:spacing w:before="0" w:beforeAutospacing="0" w:after="240" w:afterAutospacing="0" w:line="360" w:lineRule="auto"/>
      </w:pPr>
    </w:p>
    <w:p w14:paraId="17141B00" w14:textId="1D4E0B7F" w:rsidR="001B0D38" w:rsidRPr="005B420C" w:rsidRDefault="001B0D38" w:rsidP="001B0D38">
      <w:pPr>
        <w:tabs>
          <w:tab w:val="left" w:pos="6540"/>
        </w:tabs>
        <w:spacing w:line="360" w:lineRule="auto"/>
        <w:rPr>
          <w:rFonts w:ascii="Arial" w:hAnsi="Arial" w:cs="Arial"/>
          <w:color w:val="FFFFFF" w:themeColor="background1"/>
        </w:rPr>
      </w:pPr>
      <w:r w:rsidRPr="006D215D">
        <w:rPr>
          <w:rFonts w:asciiTheme="minorBidi" w:hAnsiTheme="minorBidi"/>
        </w:rPr>
        <w:t xml:space="preserve">Feigin (2024). World Stroke </w:t>
      </w:r>
      <w:r>
        <w:rPr>
          <w:rFonts w:asciiTheme="minorBidi" w:hAnsiTheme="minorBidi"/>
        </w:rPr>
        <w:t>Organisation</w:t>
      </w:r>
      <w:r w:rsidRPr="006D215D">
        <w:rPr>
          <w:rFonts w:asciiTheme="minorBidi" w:hAnsiTheme="minorBidi"/>
        </w:rPr>
        <w:t xml:space="preserve"> (WSO): Global Stroke Fact Sheet 2025. </w:t>
      </w:r>
      <w:r w:rsidRPr="00402389">
        <w:rPr>
          <w:rFonts w:ascii="Arial" w:hAnsi="Arial" w:cs="Arial"/>
          <w:i/>
          <w:iCs/>
        </w:rPr>
        <w:t>International Journal of Stroke</w:t>
      </w:r>
      <w:r w:rsidRPr="00402389">
        <w:rPr>
          <w:rFonts w:ascii="Arial" w:hAnsi="Arial" w:cs="Arial"/>
        </w:rPr>
        <w:t>, 20(2</w:t>
      </w:r>
      <w:r w:rsidRPr="006D215D">
        <w:rPr>
          <w:rFonts w:asciiTheme="minorBidi" w:hAnsiTheme="minorBidi"/>
        </w:rPr>
        <w:t>). Doi</w:t>
      </w:r>
      <w:r w:rsidRPr="00772041">
        <w:rPr>
          <w:rFonts w:asciiTheme="minorBidi" w:hAnsiTheme="minorBidi"/>
          <w:color w:val="0070C0"/>
        </w:rPr>
        <w:t xml:space="preserve">: </w:t>
      </w:r>
      <w:hyperlink r:id="rId9" w:history="1">
        <w:r w:rsidRPr="00772041">
          <w:rPr>
            <w:rStyle w:val="Hyperlink"/>
            <w:rFonts w:asciiTheme="minorBidi" w:hAnsiTheme="minorBidi"/>
            <w:color w:val="0070C0"/>
          </w:rPr>
          <w:t>https://doi.org/10.1177/17474930241308142</w:t>
        </w:r>
      </w:hyperlink>
      <w:r w:rsidRPr="005B420C">
        <w:rPr>
          <w:rFonts w:asciiTheme="minorBidi" w:hAnsiTheme="minorBidi"/>
          <w:color w:val="FFFFFF" w:themeColor="background1"/>
        </w:rPr>
        <w:t xml:space="preserve">. </w:t>
      </w:r>
      <w:r w:rsidR="005B420C" w:rsidRPr="005B420C">
        <w:rPr>
          <w:rFonts w:asciiTheme="minorBidi" w:hAnsiTheme="minorBidi"/>
          <w:color w:val="FFFFFF" w:themeColor="background1"/>
        </w:rPr>
        <w:t xml:space="preserve">[ Assessed 5th of April 2026]                        </w:t>
      </w:r>
    </w:p>
    <w:p w14:paraId="795C974D" w14:textId="77777777" w:rsidR="001B0D38" w:rsidRPr="006C38FF" w:rsidRDefault="001B0D38" w:rsidP="001B0D38">
      <w:pPr>
        <w:spacing w:line="360" w:lineRule="auto"/>
        <w:rPr>
          <w:rFonts w:ascii="Arial" w:hAnsi="Arial" w:cs="Arial"/>
        </w:rPr>
      </w:pPr>
      <w:r w:rsidRPr="001F029C">
        <w:rPr>
          <w:rFonts w:asciiTheme="minorBidi" w:hAnsiTheme="minorBidi"/>
        </w:rPr>
        <w:t xml:space="preserve">King, D. (2020). The Future </w:t>
      </w:r>
      <w:r>
        <w:rPr>
          <w:rFonts w:asciiTheme="minorBidi" w:hAnsiTheme="minorBidi"/>
        </w:rPr>
        <w:t>Incidence</w:t>
      </w:r>
      <w:r w:rsidRPr="001F029C">
        <w:rPr>
          <w:rFonts w:asciiTheme="minorBidi" w:hAnsiTheme="minorBidi"/>
        </w:rPr>
        <w:t xml:space="preserve">, Prevalence and Costs of Stroke in the UK. </w:t>
      </w:r>
      <w:r w:rsidRPr="001F029C">
        <w:rPr>
          <w:rFonts w:asciiTheme="minorBidi" w:hAnsiTheme="minorBidi"/>
          <w:i/>
          <w:iCs/>
        </w:rPr>
        <w:t>Age and Ageing</w:t>
      </w:r>
      <w:r w:rsidRPr="001F029C">
        <w:rPr>
          <w:rFonts w:asciiTheme="minorBidi" w:hAnsiTheme="minorBidi"/>
        </w:rPr>
        <w:t xml:space="preserve">, 49(2), pp.277–282. </w:t>
      </w:r>
      <w:r>
        <w:rPr>
          <w:rFonts w:asciiTheme="minorBidi" w:hAnsiTheme="minorBidi"/>
        </w:rPr>
        <w:t>DOI: HTTPS</w:t>
      </w:r>
      <w:r w:rsidRPr="00850262">
        <w:rPr>
          <w:rFonts w:asciiTheme="minorBidi" w:hAnsiTheme="minorBidi"/>
          <w:color w:val="056E9F" w:themeColor="accent6" w:themeShade="80"/>
        </w:rPr>
        <w:t xml:space="preserve">: </w:t>
      </w:r>
      <w:hyperlink r:id="rId10" w:history="1">
        <w:r w:rsidRPr="00850262">
          <w:rPr>
            <w:rStyle w:val="Hyperlink"/>
            <w:rFonts w:asciiTheme="minorBidi" w:hAnsiTheme="minorBidi"/>
            <w:color w:val="056E9F" w:themeColor="accent6" w:themeShade="80"/>
          </w:rPr>
          <w:t>HTTPs</w:t>
        </w:r>
        <w:r w:rsidRPr="001F029C">
          <w:rPr>
            <w:rStyle w:val="Hyperlink"/>
            <w:rFonts w:asciiTheme="minorBidi" w:hAnsiTheme="minorBidi"/>
            <w:color w:val="056E9F" w:themeColor="accent6" w:themeShade="80"/>
          </w:rPr>
          <w:t>://doi.org/10.1093/ageing/afz163</w:t>
        </w:r>
      </w:hyperlink>
      <w:r w:rsidRPr="001F029C">
        <w:rPr>
          <w:rFonts w:asciiTheme="minorBidi" w:hAnsiTheme="minorBidi"/>
        </w:rPr>
        <w:t>.</w:t>
      </w:r>
      <w:r>
        <w:rPr>
          <w:rFonts w:asciiTheme="minorBidi" w:hAnsiTheme="minorBidi"/>
        </w:rPr>
        <w:t xml:space="preserve"> </w:t>
      </w:r>
      <w:r>
        <w:rPr>
          <w:rFonts w:ascii="Times New Roman" w:hAnsi="Times New Roman" w:cs="Times New Roman"/>
        </w:rPr>
        <w:t>[</w:t>
      </w:r>
      <w:r>
        <w:rPr>
          <w:rFonts w:ascii="Arial" w:hAnsi="Arial" w:cs="Arial"/>
        </w:rPr>
        <w:t>Assessed 5</w:t>
      </w:r>
      <w:r w:rsidRPr="00402389">
        <w:rPr>
          <w:rFonts w:ascii="Arial" w:hAnsi="Arial" w:cs="Arial"/>
          <w:vertAlign w:val="superscript"/>
        </w:rPr>
        <w:t>th</w:t>
      </w:r>
      <w:r>
        <w:rPr>
          <w:rFonts w:ascii="Arial" w:hAnsi="Arial" w:cs="Arial"/>
        </w:rPr>
        <w:t xml:space="preserve"> of April 2026</w:t>
      </w:r>
      <w:r>
        <w:rPr>
          <w:rFonts w:ascii="Times New Roman" w:hAnsi="Times New Roman" w:cs="Times New Roman"/>
        </w:rPr>
        <w:t>]</w:t>
      </w:r>
    </w:p>
    <w:p w14:paraId="70257009" w14:textId="77777777" w:rsidR="001B0D38" w:rsidRPr="00DA7059" w:rsidRDefault="001B0D38" w:rsidP="001B0D38">
      <w:pPr>
        <w:spacing w:line="360" w:lineRule="auto"/>
        <w:rPr>
          <w:rFonts w:asciiTheme="minorBidi" w:hAnsiTheme="minorBidi"/>
          <w:color w:val="FFFFFF" w:themeColor="background1"/>
        </w:rPr>
      </w:pPr>
      <w:r w:rsidRPr="003C063B">
        <w:rPr>
          <w:rFonts w:asciiTheme="minorBidi" w:hAnsiTheme="minorBidi"/>
        </w:rPr>
        <w:t xml:space="preserve">Leshargie, C.T., Bore, M.G., Dalton, H., Thapa, S., Berhe, F.T., Kassa, Z.Y., Nezenega, Z.S., Aychiluhm, S.B., Astawesegn, F.H., Demissie, B.W., Mengist, T.Y. </w:t>
      </w:r>
      <w:r>
        <w:rPr>
          <w:rFonts w:asciiTheme="minorBidi" w:hAnsiTheme="minorBidi"/>
        </w:rPr>
        <w:t>&amp;</w:t>
      </w:r>
      <w:r w:rsidRPr="003C063B">
        <w:rPr>
          <w:rFonts w:asciiTheme="minorBidi" w:hAnsiTheme="minorBidi"/>
        </w:rPr>
        <w:t xml:space="preserve"> Ahmed, K.Y. (2025). Digital Health Interventions for Cardiometabolic Health Outcomes in Rural and Remote Australia: A Systematic Review. </w:t>
      </w:r>
      <w:r w:rsidRPr="003C063B">
        <w:rPr>
          <w:rFonts w:asciiTheme="minorBidi" w:hAnsiTheme="minorBidi"/>
          <w:i/>
          <w:iCs/>
        </w:rPr>
        <w:t>Australian Journal of Rural Health</w:t>
      </w:r>
      <w:r w:rsidRPr="003C063B">
        <w:rPr>
          <w:rFonts w:asciiTheme="minorBidi" w:hAnsiTheme="minorBidi"/>
        </w:rPr>
        <w:t xml:space="preserve">, 33(6). Doi: </w:t>
      </w:r>
      <w:hyperlink r:id="rId11" w:history="1">
        <w:r w:rsidRPr="00772041">
          <w:rPr>
            <w:rStyle w:val="Hyperlink"/>
            <w:rFonts w:asciiTheme="minorBidi" w:hAnsiTheme="minorBidi"/>
            <w:color w:val="0070C0"/>
          </w:rPr>
          <w:t>https://doi.org/10.1111/ajr.70130</w:t>
        </w:r>
      </w:hyperlink>
      <w:r w:rsidRPr="00DA7059">
        <w:rPr>
          <w:rFonts w:asciiTheme="minorBidi" w:hAnsiTheme="minorBidi"/>
          <w:color w:val="FFFFFF" w:themeColor="background1"/>
        </w:rPr>
        <w:t xml:space="preserve">. </w:t>
      </w:r>
      <w:r w:rsidRPr="00DA7059">
        <w:rPr>
          <w:rFonts w:ascii="Times New Roman" w:hAnsi="Times New Roman" w:cs="Times New Roman"/>
          <w:color w:val="FFFFFF" w:themeColor="background1"/>
        </w:rPr>
        <w:t>[</w:t>
      </w:r>
      <w:r w:rsidRPr="00DA7059">
        <w:rPr>
          <w:rFonts w:ascii="Arial" w:hAnsi="Arial" w:cs="Arial"/>
          <w:color w:val="FFFFFF" w:themeColor="background1"/>
        </w:rPr>
        <w:t xml:space="preserve">Assessed </w:t>
      </w:r>
      <w:r w:rsidRPr="00DA7059">
        <w:rPr>
          <w:rFonts w:asciiTheme="minorBidi" w:hAnsiTheme="minorBidi"/>
          <w:color w:val="FFFFFF" w:themeColor="background1"/>
        </w:rPr>
        <w:t>11</w:t>
      </w:r>
      <w:r w:rsidRPr="00DA7059">
        <w:rPr>
          <w:rFonts w:asciiTheme="minorBidi" w:hAnsiTheme="minorBidi"/>
          <w:color w:val="FFFFFF" w:themeColor="background1"/>
          <w:vertAlign w:val="superscript"/>
        </w:rPr>
        <w:t>th</w:t>
      </w:r>
      <w:r w:rsidRPr="00DA7059">
        <w:rPr>
          <w:rFonts w:asciiTheme="minorBidi" w:hAnsiTheme="minorBidi"/>
          <w:color w:val="FFFFFF" w:themeColor="background1"/>
        </w:rPr>
        <w:t xml:space="preserve"> of April 2026</w:t>
      </w:r>
      <w:r w:rsidRPr="00DA7059">
        <w:rPr>
          <w:rFonts w:ascii="Times New Roman" w:hAnsi="Times New Roman" w:cs="Times New Roman"/>
          <w:color w:val="FFFFFF" w:themeColor="background1"/>
        </w:rPr>
        <w:t>]</w:t>
      </w:r>
    </w:p>
    <w:p w14:paraId="67480E44" w14:textId="77777777" w:rsidR="001B0D38" w:rsidRDefault="001B0D38" w:rsidP="001B0D38">
      <w:pPr>
        <w:spacing w:line="360" w:lineRule="auto"/>
        <w:rPr>
          <w:rFonts w:asciiTheme="minorBidi" w:hAnsiTheme="minorBidi"/>
        </w:rPr>
      </w:pPr>
      <w:r w:rsidRPr="00196238">
        <w:rPr>
          <w:rFonts w:asciiTheme="minorBidi" w:hAnsiTheme="minorBidi"/>
        </w:rPr>
        <w:t xml:space="preserve">NHS (2024). </w:t>
      </w:r>
      <w:r w:rsidRPr="00196238">
        <w:rPr>
          <w:rFonts w:asciiTheme="minorBidi" w:hAnsiTheme="minorBidi"/>
          <w:i/>
          <w:iCs/>
        </w:rPr>
        <w:t>NHS England» NHS launches major new stroke campaign as thousands delay calling 999 by nearly 90 minutes</w:t>
      </w:r>
      <w:r w:rsidRPr="00196238">
        <w:rPr>
          <w:rFonts w:asciiTheme="minorBidi" w:hAnsiTheme="minorBidi"/>
        </w:rPr>
        <w:t xml:space="preserve">. [online] England.nhs.uk. Available at: </w:t>
      </w:r>
      <w:hyperlink r:id="rId12" w:history="1">
        <w:r w:rsidRPr="00B91D23">
          <w:rPr>
            <w:rStyle w:val="Hyperlink"/>
            <w:rFonts w:ascii="Arial" w:hAnsi="Arial" w:cs="Arial"/>
            <w:color w:val="0070C0"/>
          </w:rPr>
          <w:t>https://www.england.nhs.uk/2024/11/nhs-launches-major-new-stroke-campaign-as-thousands-delay-calling-999-by-nearly-90-minutes</w:t>
        </w:r>
        <w:r w:rsidRPr="00B91D23">
          <w:rPr>
            <w:rStyle w:val="Hyperlink"/>
            <w:rFonts w:asciiTheme="minorBidi" w:hAnsiTheme="minorBidi"/>
            <w:color w:val="0070C0"/>
          </w:rPr>
          <w:t>/</w:t>
        </w:r>
      </w:hyperlink>
      <w:r w:rsidRPr="00B91D23">
        <w:rPr>
          <w:rFonts w:asciiTheme="minorBidi" w:hAnsiTheme="minorBidi"/>
          <w:color w:val="0070C0"/>
        </w:rPr>
        <w:t xml:space="preserve">. </w:t>
      </w:r>
      <w:r w:rsidRPr="00D972D7">
        <w:rPr>
          <w:rFonts w:ascii="Times New Roman" w:hAnsi="Times New Roman" w:cs="Times New Roman"/>
          <w:color w:val="FFFFFF" w:themeColor="background1"/>
        </w:rPr>
        <w:t>[</w:t>
      </w:r>
      <w:r w:rsidRPr="00D972D7">
        <w:rPr>
          <w:rFonts w:asciiTheme="minorBidi" w:hAnsiTheme="minorBidi"/>
          <w:color w:val="FFFFFF" w:themeColor="background1"/>
        </w:rPr>
        <w:t>Assessed 11</w:t>
      </w:r>
      <w:r w:rsidRPr="00D972D7">
        <w:rPr>
          <w:rFonts w:asciiTheme="minorBidi" w:hAnsiTheme="minorBidi"/>
          <w:color w:val="FFFFFF" w:themeColor="background1"/>
          <w:vertAlign w:val="superscript"/>
        </w:rPr>
        <w:t>th</w:t>
      </w:r>
      <w:r w:rsidRPr="00D972D7">
        <w:rPr>
          <w:rFonts w:asciiTheme="minorBidi" w:hAnsiTheme="minorBidi"/>
          <w:color w:val="FFFFFF" w:themeColor="background1"/>
        </w:rPr>
        <w:t xml:space="preserve"> of April 2026</w:t>
      </w:r>
      <w:r w:rsidRPr="00D972D7">
        <w:rPr>
          <w:rFonts w:ascii="Times New Roman" w:hAnsi="Times New Roman" w:cs="Times New Roman"/>
          <w:color w:val="FFFFFF" w:themeColor="background1"/>
        </w:rPr>
        <w:t>]</w:t>
      </w:r>
    </w:p>
    <w:p w14:paraId="5258306D" w14:textId="77777777" w:rsidR="001B0D38" w:rsidRDefault="001B0D38" w:rsidP="001B0D38">
      <w:pPr>
        <w:spacing w:line="360" w:lineRule="auto"/>
        <w:rPr>
          <w:rFonts w:asciiTheme="minorBidi" w:hAnsiTheme="minorBidi"/>
        </w:rPr>
      </w:pPr>
      <w:r w:rsidRPr="009F19AC">
        <w:rPr>
          <w:rFonts w:asciiTheme="minorBidi" w:hAnsiTheme="minorBidi"/>
        </w:rPr>
        <w:t xml:space="preserve">Qian, N., Lu, C., Wei, T., Yang, W., Wang, H., Chen, H., Li, J., Zhu, S., Wang, W. </w:t>
      </w:r>
      <w:r>
        <w:rPr>
          <w:rFonts w:asciiTheme="minorBidi" w:hAnsiTheme="minorBidi"/>
        </w:rPr>
        <w:t>&amp;</w:t>
      </w:r>
      <w:r w:rsidRPr="009F19AC">
        <w:rPr>
          <w:rFonts w:asciiTheme="minorBidi" w:hAnsiTheme="minorBidi"/>
        </w:rPr>
        <w:t xml:space="preserve"> Shao, N. (2025). Epidemiological Trends and Forecasts in Stroke at </w:t>
      </w:r>
      <w:r>
        <w:rPr>
          <w:rFonts w:asciiTheme="minorBidi" w:hAnsiTheme="minorBidi"/>
        </w:rPr>
        <w:t>Global</w:t>
      </w:r>
      <w:r w:rsidRPr="009F19AC">
        <w:rPr>
          <w:rFonts w:asciiTheme="minorBidi" w:hAnsiTheme="minorBidi"/>
        </w:rPr>
        <w:t xml:space="preserve">, Regional and National Levels. </w:t>
      </w:r>
      <w:r w:rsidRPr="009F19AC">
        <w:rPr>
          <w:rFonts w:asciiTheme="minorBidi" w:hAnsiTheme="minorBidi"/>
          <w:i/>
          <w:iCs/>
        </w:rPr>
        <w:t>Journal of Stroke and Cerebrovascular Diseases</w:t>
      </w:r>
      <w:r w:rsidRPr="009F19AC">
        <w:rPr>
          <w:rFonts w:asciiTheme="minorBidi" w:hAnsiTheme="minorBidi"/>
        </w:rPr>
        <w:t xml:space="preserve">, [online] 34(8), p.108347. Doi: </w:t>
      </w:r>
      <w:hyperlink r:id="rId13" w:history="1">
        <w:r w:rsidRPr="00772041">
          <w:rPr>
            <w:rStyle w:val="Hyperlink"/>
            <w:rFonts w:asciiTheme="minorBidi" w:hAnsiTheme="minorBidi"/>
            <w:color w:val="0070C0"/>
          </w:rPr>
          <w:t>https://doi.org/10.1016/j.jstrokecerebrovasdis.2025.108347</w:t>
        </w:r>
      </w:hyperlink>
      <w:r w:rsidRPr="00C014D3">
        <w:rPr>
          <w:rFonts w:asciiTheme="minorBidi" w:hAnsiTheme="minorBidi"/>
          <w:color w:val="FFFFFF" w:themeColor="background1"/>
        </w:rPr>
        <w:t xml:space="preserve">. </w:t>
      </w:r>
      <w:r w:rsidRPr="00C014D3">
        <w:rPr>
          <w:rFonts w:ascii="Times New Roman" w:hAnsi="Times New Roman" w:cs="Times New Roman"/>
          <w:color w:val="FFFFFF" w:themeColor="background1"/>
        </w:rPr>
        <w:t>[</w:t>
      </w:r>
      <w:r w:rsidRPr="00C014D3">
        <w:rPr>
          <w:rFonts w:asciiTheme="minorBidi" w:hAnsiTheme="minorBidi"/>
          <w:color w:val="FFFFFF" w:themeColor="background1"/>
        </w:rPr>
        <w:t>Assessed 12th of April 2026</w:t>
      </w:r>
      <w:r w:rsidRPr="00C014D3">
        <w:rPr>
          <w:rFonts w:ascii="Times New Roman" w:hAnsi="Times New Roman" w:cs="Times New Roman"/>
          <w:color w:val="FFFFFF" w:themeColor="background1"/>
        </w:rPr>
        <w:t>]</w:t>
      </w:r>
    </w:p>
    <w:p w14:paraId="1C46AAC1" w14:textId="77777777" w:rsidR="001B0D38" w:rsidRDefault="001B0D38" w:rsidP="001B0D38">
      <w:pPr>
        <w:spacing w:line="360" w:lineRule="auto"/>
        <w:rPr>
          <w:rFonts w:asciiTheme="minorBidi" w:hAnsiTheme="minorBidi"/>
        </w:rPr>
      </w:pPr>
      <w:r w:rsidRPr="00F95041">
        <w:rPr>
          <w:rFonts w:asciiTheme="minorBidi" w:hAnsiTheme="minorBidi"/>
        </w:rPr>
        <w:t xml:space="preserve">Wannamethee, S.G., Shaper, A.G., Whincup, P.H. </w:t>
      </w:r>
      <w:r>
        <w:rPr>
          <w:rFonts w:asciiTheme="minorBidi" w:hAnsiTheme="minorBidi"/>
        </w:rPr>
        <w:t>&amp;</w:t>
      </w:r>
      <w:r w:rsidRPr="00F95041">
        <w:rPr>
          <w:rFonts w:asciiTheme="minorBidi" w:hAnsiTheme="minorBidi"/>
        </w:rPr>
        <w:t xml:space="preserve"> Walker, M. (1995). Smoking Cessation and the Risk of Stroke in </w:t>
      </w:r>
      <w:r>
        <w:rPr>
          <w:rFonts w:asciiTheme="minorBidi" w:hAnsiTheme="minorBidi"/>
        </w:rPr>
        <w:t>Middle-Aged</w:t>
      </w:r>
      <w:r w:rsidRPr="00F95041">
        <w:rPr>
          <w:rFonts w:asciiTheme="minorBidi" w:hAnsiTheme="minorBidi"/>
        </w:rPr>
        <w:t xml:space="preserve"> Men. </w:t>
      </w:r>
      <w:r w:rsidRPr="00F95041">
        <w:rPr>
          <w:rFonts w:asciiTheme="minorBidi" w:hAnsiTheme="minorBidi"/>
          <w:i/>
          <w:iCs/>
        </w:rPr>
        <w:t>JAMA</w:t>
      </w:r>
      <w:r w:rsidRPr="00F95041">
        <w:rPr>
          <w:rFonts w:asciiTheme="minorBidi" w:hAnsiTheme="minorBidi"/>
        </w:rPr>
        <w:t xml:space="preserve">, [online] 274(2), pp.155–160. Available at: </w:t>
      </w:r>
      <w:hyperlink r:id="rId14" w:history="1">
        <w:r w:rsidRPr="00F95041">
          <w:rPr>
            <w:rStyle w:val="Hyperlink"/>
            <w:rFonts w:asciiTheme="minorBidi" w:hAnsiTheme="minorBidi"/>
            <w:color w:val="0070C0"/>
          </w:rPr>
          <w:t>https://pubmed.ncbi.nlm.nih.gov/7596004/</w:t>
        </w:r>
      </w:hyperlink>
      <w:r w:rsidRPr="00F95041">
        <w:rPr>
          <w:rFonts w:asciiTheme="minorBidi" w:hAnsiTheme="minorBidi"/>
          <w:color w:val="0070C0"/>
        </w:rPr>
        <w:t>.</w:t>
      </w:r>
      <w:r>
        <w:rPr>
          <w:rFonts w:asciiTheme="minorBidi" w:hAnsiTheme="minorBidi"/>
          <w:color w:val="0070C0"/>
        </w:rPr>
        <w:t xml:space="preserve"> </w:t>
      </w:r>
      <w:r w:rsidRPr="00893642">
        <w:rPr>
          <w:rFonts w:ascii="Times New Roman" w:hAnsi="Times New Roman" w:cs="Times New Roman"/>
          <w:color w:val="FFFFFF" w:themeColor="background1"/>
        </w:rPr>
        <w:t>[</w:t>
      </w:r>
      <w:r w:rsidRPr="00893642">
        <w:rPr>
          <w:rFonts w:asciiTheme="minorBidi" w:hAnsiTheme="minorBidi"/>
          <w:color w:val="FFFFFF" w:themeColor="background1"/>
        </w:rPr>
        <w:t>Assessed 18</w:t>
      </w:r>
      <w:r w:rsidRPr="00893642">
        <w:rPr>
          <w:rFonts w:asciiTheme="minorBidi" w:hAnsiTheme="minorBidi"/>
          <w:color w:val="FFFFFF" w:themeColor="background1"/>
          <w:vertAlign w:val="superscript"/>
        </w:rPr>
        <w:t>th</w:t>
      </w:r>
      <w:r w:rsidRPr="00893642">
        <w:rPr>
          <w:rFonts w:asciiTheme="minorBidi" w:hAnsiTheme="minorBidi"/>
          <w:color w:val="FFFFFF" w:themeColor="background1"/>
        </w:rPr>
        <w:t xml:space="preserve"> of April</w:t>
      </w:r>
      <w:r>
        <w:rPr>
          <w:rFonts w:asciiTheme="minorBidi" w:hAnsiTheme="minorBidi"/>
          <w:color w:val="FFFFFF" w:themeColor="background1"/>
        </w:rPr>
        <w:t xml:space="preserve"> 2026</w:t>
      </w:r>
      <w:r w:rsidRPr="00893642">
        <w:rPr>
          <w:rFonts w:ascii="Times New Roman" w:hAnsi="Times New Roman" w:cs="Times New Roman"/>
          <w:color w:val="FFFFFF" w:themeColor="background1"/>
        </w:rPr>
        <w:t>]</w:t>
      </w:r>
    </w:p>
    <w:p w14:paraId="5E1169D4" w14:textId="77777777" w:rsidR="001B0D38" w:rsidRPr="00985EFE" w:rsidRDefault="001B0D38" w:rsidP="001B0D38">
      <w:pPr>
        <w:pStyle w:val="NormalWeb"/>
        <w:spacing w:before="0" w:beforeAutospacing="0" w:after="240" w:afterAutospacing="0" w:line="360" w:lineRule="auto"/>
        <w:rPr>
          <w:rFonts w:ascii="Arial" w:hAnsi="Arial" w:cs="Arial"/>
          <w:sz w:val="22"/>
          <w:szCs w:val="22"/>
        </w:rPr>
      </w:pPr>
      <w:r w:rsidRPr="00985EFE">
        <w:rPr>
          <w:rFonts w:ascii="Arial" w:hAnsi="Arial" w:cs="Arial"/>
          <w:sz w:val="22"/>
          <w:szCs w:val="22"/>
        </w:rPr>
        <w:t xml:space="preserve">World (2025a). </w:t>
      </w:r>
      <w:r w:rsidRPr="00985EFE">
        <w:rPr>
          <w:rFonts w:ascii="Arial" w:hAnsi="Arial" w:cs="Arial"/>
          <w:i/>
          <w:iCs/>
          <w:sz w:val="22"/>
          <w:szCs w:val="22"/>
        </w:rPr>
        <w:t>Stroke</w:t>
      </w:r>
      <w:r w:rsidRPr="00985EFE">
        <w:rPr>
          <w:rFonts w:ascii="Arial" w:hAnsi="Arial" w:cs="Arial"/>
          <w:sz w:val="22"/>
          <w:szCs w:val="22"/>
        </w:rPr>
        <w:t xml:space="preserve">. [online] Who.int. Available at: </w:t>
      </w:r>
      <w:hyperlink r:id="rId15" w:history="1">
        <w:r w:rsidRPr="00985EFE">
          <w:rPr>
            <w:rStyle w:val="Hyperlink"/>
            <w:rFonts w:ascii="Arial" w:hAnsi="Arial" w:cs="Arial"/>
            <w:color w:val="0070C0"/>
            <w:sz w:val="22"/>
            <w:szCs w:val="22"/>
          </w:rPr>
          <w:t>https://www.who.int/news-room/fact-sheets/detail/stroke</w:t>
        </w:r>
      </w:hyperlink>
      <w:r w:rsidRPr="00985EFE">
        <w:rPr>
          <w:rFonts w:ascii="Arial" w:hAnsi="Arial" w:cs="Arial"/>
          <w:sz w:val="22"/>
          <w:szCs w:val="22"/>
        </w:rPr>
        <w:t>.</w:t>
      </w:r>
      <w:r>
        <w:rPr>
          <w:rFonts w:ascii="Arial" w:hAnsi="Arial" w:cs="Arial"/>
          <w:sz w:val="22"/>
          <w:szCs w:val="22"/>
        </w:rPr>
        <w:t xml:space="preserve"> </w:t>
      </w:r>
      <w:r>
        <w:rPr>
          <w:sz w:val="22"/>
          <w:szCs w:val="22"/>
        </w:rPr>
        <w:t>[</w:t>
      </w:r>
      <w:r>
        <w:rPr>
          <w:rFonts w:ascii="Arial" w:hAnsi="Arial" w:cs="Arial"/>
          <w:sz w:val="22"/>
          <w:szCs w:val="22"/>
        </w:rPr>
        <w:t>Assessed 5</w:t>
      </w:r>
      <w:r w:rsidRPr="00C014D3">
        <w:rPr>
          <w:rFonts w:ascii="Arial" w:hAnsi="Arial" w:cs="Arial"/>
          <w:sz w:val="22"/>
          <w:szCs w:val="22"/>
          <w:vertAlign w:val="superscript"/>
        </w:rPr>
        <w:t>th</w:t>
      </w:r>
      <w:r>
        <w:rPr>
          <w:rFonts w:ascii="Arial" w:hAnsi="Arial" w:cs="Arial"/>
          <w:sz w:val="22"/>
          <w:szCs w:val="22"/>
        </w:rPr>
        <w:t xml:space="preserve"> of April 2026</w:t>
      </w:r>
      <w:r>
        <w:rPr>
          <w:sz w:val="22"/>
          <w:szCs w:val="22"/>
        </w:rPr>
        <w:t>]</w:t>
      </w:r>
    </w:p>
    <w:p w14:paraId="5D15E14D" w14:textId="77777777" w:rsidR="001B0D38" w:rsidRDefault="001B0D38" w:rsidP="001B0D38">
      <w:pPr>
        <w:spacing w:line="360" w:lineRule="auto"/>
        <w:rPr>
          <w:rFonts w:ascii="Times New Roman" w:hAnsi="Times New Roman" w:cs="Times New Roman"/>
          <w:color w:val="FFFFFF" w:themeColor="background1"/>
        </w:rPr>
      </w:pPr>
      <w:r w:rsidRPr="00793B1F">
        <w:rPr>
          <w:rFonts w:asciiTheme="minorBidi" w:hAnsiTheme="minorBidi"/>
        </w:rPr>
        <w:t xml:space="preserve">www.strokeaudit.org. (n.d.). </w:t>
      </w:r>
      <w:r w:rsidRPr="00793B1F">
        <w:rPr>
          <w:rFonts w:asciiTheme="minorBidi" w:hAnsiTheme="minorBidi"/>
          <w:i/>
          <w:iCs/>
        </w:rPr>
        <w:t>SSNAP - Results and reports</w:t>
      </w:r>
      <w:r w:rsidRPr="00793B1F">
        <w:rPr>
          <w:rFonts w:asciiTheme="minorBidi" w:hAnsiTheme="minorBidi"/>
        </w:rPr>
        <w:t xml:space="preserve">. [online] Available at: </w:t>
      </w:r>
      <w:hyperlink r:id="rId16" w:history="1">
        <w:r w:rsidRPr="00793B1F">
          <w:rPr>
            <w:rStyle w:val="Hyperlink"/>
            <w:rFonts w:asciiTheme="minorBidi" w:hAnsiTheme="minorBidi"/>
            <w:color w:val="0070C0"/>
          </w:rPr>
          <w:t>https://www.strokeaudit.org/Audits/Clinical-audit-information/Results-and-reports.aspx</w:t>
        </w:r>
      </w:hyperlink>
      <w:r w:rsidRPr="00793B1F">
        <w:rPr>
          <w:rFonts w:asciiTheme="minorBidi" w:hAnsiTheme="minorBidi"/>
          <w:color w:val="0070C0"/>
        </w:rPr>
        <w:t>.</w:t>
      </w:r>
      <w:r>
        <w:rPr>
          <w:rFonts w:asciiTheme="minorBidi" w:hAnsiTheme="minorBidi"/>
          <w:color w:val="0070C0"/>
        </w:rPr>
        <w:t xml:space="preserve"> </w:t>
      </w:r>
      <w:r w:rsidRPr="004F4948">
        <w:rPr>
          <w:rFonts w:ascii="Times New Roman" w:hAnsi="Times New Roman" w:cs="Times New Roman"/>
          <w:color w:val="FFFFFF" w:themeColor="background1"/>
        </w:rPr>
        <w:t>[</w:t>
      </w:r>
      <w:r w:rsidRPr="004F4948">
        <w:rPr>
          <w:rFonts w:asciiTheme="minorBidi" w:hAnsiTheme="minorBidi"/>
          <w:color w:val="FFFFFF" w:themeColor="background1"/>
        </w:rPr>
        <w:t>Assessed 5</w:t>
      </w:r>
      <w:r w:rsidRPr="004F4948">
        <w:rPr>
          <w:rFonts w:asciiTheme="minorBidi" w:hAnsiTheme="minorBidi"/>
          <w:color w:val="FFFFFF" w:themeColor="background1"/>
          <w:vertAlign w:val="superscript"/>
        </w:rPr>
        <w:t>th</w:t>
      </w:r>
      <w:r w:rsidRPr="004F4948">
        <w:rPr>
          <w:rFonts w:asciiTheme="minorBidi" w:hAnsiTheme="minorBidi"/>
          <w:color w:val="FFFFFF" w:themeColor="background1"/>
        </w:rPr>
        <w:t xml:space="preserve"> of April 2026</w:t>
      </w:r>
      <w:r w:rsidRPr="004F4948">
        <w:rPr>
          <w:rFonts w:ascii="Times New Roman" w:hAnsi="Times New Roman" w:cs="Times New Roman"/>
          <w:color w:val="FFFFFF" w:themeColor="background1"/>
        </w:rPr>
        <w:t>]</w:t>
      </w:r>
    </w:p>
    <w:p w14:paraId="2B712768" w14:textId="77777777" w:rsidR="001B0D38" w:rsidRDefault="001B0D38" w:rsidP="001B0D38">
      <w:pPr>
        <w:pStyle w:val="NormalWeb"/>
        <w:spacing w:before="0" w:beforeAutospacing="0" w:after="240" w:afterAutospacing="0" w:line="360" w:lineRule="auto"/>
        <w:rPr>
          <w:rFonts w:ascii="Arial" w:hAnsi="Arial" w:cs="Arial"/>
          <w:sz w:val="22"/>
          <w:szCs w:val="22"/>
        </w:rPr>
      </w:pPr>
    </w:p>
    <w:p w14:paraId="2F0191DB" w14:textId="77777777" w:rsidR="001B0D38" w:rsidRPr="001B0D38" w:rsidRDefault="001B0D38" w:rsidP="001B0D38">
      <w:pPr>
        <w:pStyle w:val="NormalWeb"/>
        <w:spacing w:before="0" w:beforeAutospacing="0" w:after="240" w:afterAutospacing="0" w:line="360" w:lineRule="auto"/>
        <w:rPr>
          <w:rFonts w:ascii="Arial" w:hAnsi="Arial" w:cs="Arial"/>
          <w:color w:val="FFFFFF" w:themeColor="background1"/>
          <w:sz w:val="22"/>
          <w:szCs w:val="22"/>
        </w:rPr>
      </w:pPr>
      <w:r w:rsidRPr="005E1DF0">
        <w:rPr>
          <w:rFonts w:ascii="Arial" w:hAnsi="Arial" w:cs="Arial"/>
          <w:sz w:val="22"/>
          <w:szCs w:val="22"/>
        </w:rPr>
        <w:lastRenderedPageBreak/>
        <w:t xml:space="preserve">IHME (2021). </w:t>
      </w:r>
      <w:r w:rsidRPr="005E1DF0">
        <w:rPr>
          <w:rFonts w:ascii="Arial" w:hAnsi="Arial" w:cs="Arial"/>
          <w:i/>
          <w:iCs/>
          <w:sz w:val="22"/>
          <w:szCs w:val="22"/>
        </w:rPr>
        <w:t>Global, regional, and National Burden of Stroke and Its Risk factors, 1990–2021 | Institute for Health Metrics and Evaluation</w:t>
      </w:r>
      <w:r w:rsidRPr="005E1DF0">
        <w:rPr>
          <w:rFonts w:ascii="Arial" w:hAnsi="Arial" w:cs="Arial"/>
          <w:sz w:val="22"/>
          <w:szCs w:val="22"/>
        </w:rPr>
        <w:t>. [online] Institute for Health Metrics and Evaluation. Available at</w:t>
      </w:r>
      <w:r w:rsidRPr="005E1DF0">
        <w:rPr>
          <w:rFonts w:ascii="Arial" w:hAnsi="Arial" w:cs="Arial"/>
          <w:color w:val="0070C0"/>
          <w:sz w:val="22"/>
          <w:szCs w:val="22"/>
        </w:rPr>
        <w:t xml:space="preserve">: </w:t>
      </w:r>
      <w:hyperlink r:id="rId17" w:history="1">
        <w:r w:rsidRPr="005E1DF0">
          <w:rPr>
            <w:rStyle w:val="Hyperlink"/>
            <w:rFonts w:ascii="Arial" w:hAnsi="Arial" w:cs="Arial"/>
            <w:color w:val="0070C0"/>
            <w:sz w:val="22"/>
            <w:szCs w:val="22"/>
          </w:rPr>
          <w:t>https://www.healthdata.org/research-analysis/library/global-regional-and-national-burden-stroke-and-its-risk-factors-1990-2021</w:t>
        </w:r>
      </w:hyperlink>
      <w:r w:rsidRPr="005E1DF0">
        <w:rPr>
          <w:rFonts w:ascii="Arial" w:hAnsi="Arial" w:cs="Arial"/>
          <w:color w:val="0070C0"/>
          <w:sz w:val="22"/>
          <w:szCs w:val="22"/>
        </w:rPr>
        <w:t>.</w:t>
      </w:r>
      <w:r>
        <w:rPr>
          <w:rFonts w:ascii="Arial" w:hAnsi="Arial" w:cs="Arial"/>
          <w:color w:val="0070C0"/>
          <w:sz w:val="22"/>
          <w:szCs w:val="22"/>
        </w:rPr>
        <w:t xml:space="preserve"> </w:t>
      </w:r>
      <w:r w:rsidRPr="001B0D38">
        <w:rPr>
          <w:color w:val="FFFFFF" w:themeColor="background1"/>
          <w:sz w:val="22"/>
          <w:szCs w:val="22"/>
        </w:rPr>
        <w:t>[</w:t>
      </w:r>
      <w:r w:rsidRPr="001B0D38">
        <w:rPr>
          <w:rFonts w:ascii="Arial" w:hAnsi="Arial" w:cs="Arial"/>
          <w:color w:val="FFFFFF" w:themeColor="background1"/>
          <w:sz w:val="22"/>
          <w:szCs w:val="22"/>
        </w:rPr>
        <w:t>Assessed 5</w:t>
      </w:r>
      <w:r w:rsidRPr="001B0D38">
        <w:rPr>
          <w:rFonts w:ascii="Arial" w:hAnsi="Arial" w:cs="Arial"/>
          <w:color w:val="FFFFFF" w:themeColor="background1"/>
          <w:sz w:val="22"/>
          <w:szCs w:val="22"/>
          <w:vertAlign w:val="superscript"/>
        </w:rPr>
        <w:t>th</w:t>
      </w:r>
      <w:r w:rsidRPr="001B0D38">
        <w:rPr>
          <w:rFonts w:ascii="Arial" w:hAnsi="Arial" w:cs="Arial"/>
          <w:color w:val="FFFFFF" w:themeColor="background1"/>
          <w:sz w:val="22"/>
          <w:szCs w:val="22"/>
        </w:rPr>
        <w:t xml:space="preserve"> of April 2026</w:t>
      </w:r>
      <w:r w:rsidRPr="001B0D38">
        <w:rPr>
          <w:color w:val="FFFFFF" w:themeColor="background1"/>
          <w:sz w:val="22"/>
          <w:szCs w:val="22"/>
        </w:rPr>
        <w:t>]</w:t>
      </w:r>
    </w:p>
    <w:p w14:paraId="6A454690" w14:textId="77777777" w:rsidR="001B0D38" w:rsidRDefault="001B0D38" w:rsidP="001B0D38">
      <w:pPr>
        <w:pStyle w:val="NormalWeb"/>
        <w:spacing w:before="0" w:beforeAutospacing="0" w:after="240" w:afterAutospacing="0" w:line="360" w:lineRule="auto"/>
      </w:pPr>
    </w:p>
    <w:p w14:paraId="7EB0F181" w14:textId="77777777" w:rsidR="001B0D38" w:rsidRPr="00CD60D8" w:rsidRDefault="001B0D38" w:rsidP="001B0D38">
      <w:pPr>
        <w:spacing w:line="360" w:lineRule="auto"/>
        <w:rPr>
          <w:rFonts w:ascii="Arial" w:hAnsi="Arial" w:cs="Arial"/>
          <w:color w:val="0070C0"/>
          <w14:textOutline w14:w="9525" w14:cap="rnd" w14:cmpd="sng" w14:algn="ctr">
            <w14:solidFill>
              <w14:schemeClr w14:val="bg1"/>
            </w14:solidFill>
            <w14:prstDash w14:val="solid"/>
            <w14:bevel/>
          </w14:textOutline>
        </w:rPr>
      </w:pPr>
    </w:p>
    <w:p w14:paraId="652DD0FB" w14:textId="77777777" w:rsidR="001B0D38" w:rsidRDefault="001B0D38" w:rsidP="001B0D38">
      <w:pPr>
        <w:spacing w:line="360" w:lineRule="auto"/>
        <w:rPr>
          <w:rFonts w:asciiTheme="minorBidi" w:hAnsiTheme="minorBidi"/>
        </w:rPr>
      </w:pPr>
    </w:p>
    <w:p w14:paraId="29B71569" w14:textId="77777777" w:rsidR="001B0D38" w:rsidRDefault="001B0D38" w:rsidP="001B0D38">
      <w:pPr>
        <w:spacing w:line="360" w:lineRule="auto"/>
        <w:rPr>
          <w:rFonts w:asciiTheme="minorBidi" w:hAnsiTheme="minorBidi"/>
        </w:rPr>
      </w:pPr>
    </w:p>
    <w:p w14:paraId="6FBD2A05" w14:textId="77777777" w:rsidR="001B0D38" w:rsidRPr="001F029C" w:rsidRDefault="001B0D38" w:rsidP="001B0D38">
      <w:pPr>
        <w:spacing w:line="360" w:lineRule="auto"/>
        <w:rPr>
          <w:rFonts w:asciiTheme="minorBidi" w:hAnsiTheme="minorBidi"/>
        </w:rPr>
      </w:pPr>
    </w:p>
    <w:p w14:paraId="4701E998" w14:textId="77777777" w:rsidR="001B0D38" w:rsidRDefault="001B0D38" w:rsidP="001B0D38">
      <w:pPr>
        <w:spacing w:line="360" w:lineRule="auto"/>
        <w:rPr>
          <w:rFonts w:asciiTheme="minorBidi" w:hAnsiTheme="minorBidi"/>
        </w:rPr>
      </w:pPr>
    </w:p>
    <w:p w14:paraId="2F6B35BA" w14:textId="77777777" w:rsidR="001B0D38" w:rsidRPr="00793B1F" w:rsidRDefault="001B0D38" w:rsidP="001B0D38">
      <w:pPr>
        <w:spacing w:line="360" w:lineRule="auto"/>
        <w:rPr>
          <w:rFonts w:asciiTheme="minorBidi" w:hAnsiTheme="minorBidi"/>
        </w:rPr>
      </w:pPr>
    </w:p>
    <w:p w14:paraId="3EF8DB51" w14:textId="77777777" w:rsidR="001B0D38" w:rsidRDefault="001B0D38" w:rsidP="001B0D38">
      <w:pPr>
        <w:spacing w:line="360" w:lineRule="auto"/>
        <w:rPr>
          <w:rFonts w:asciiTheme="minorBidi" w:hAnsiTheme="minorBidi"/>
        </w:rPr>
      </w:pPr>
    </w:p>
    <w:p w14:paraId="4287CCE4" w14:textId="77777777" w:rsidR="00846F42" w:rsidRPr="006708D4" w:rsidRDefault="00846F42" w:rsidP="006708D4">
      <w:pPr>
        <w:rPr>
          <w:rFonts w:asciiTheme="minorBidi" w:hAnsiTheme="minorBidi"/>
        </w:rPr>
      </w:pPr>
    </w:p>
    <w:p w14:paraId="6ED685B8" w14:textId="48BC73A5" w:rsidR="006F59C8" w:rsidRPr="006F59C8" w:rsidRDefault="006F59C8" w:rsidP="006F59C8">
      <w:pPr>
        <w:rPr>
          <w:rFonts w:asciiTheme="minorBidi" w:hAnsiTheme="minorBidi"/>
        </w:rPr>
      </w:pPr>
    </w:p>
    <w:p w14:paraId="16DA876F" w14:textId="77777777" w:rsidR="00A02F0B" w:rsidRDefault="00A02F0B" w:rsidP="009F19AC">
      <w:pPr>
        <w:rPr>
          <w:rFonts w:asciiTheme="minorBidi" w:hAnsiTheme="minorBidi"/>
        </w:rPr>
      </w:pPr>
    </w:p>
    <w:p w14:paraId="5E4F2613" w14:textId="77777777" w:rsidR="003C6BCE" w:rsidRDefault="003C6BCE" w:rsidP="009F19AC">
      <w:pPr>
        <w:rPr>
          <w:rFonts w:asciiTheme="minorBidi" w:hAnsiTheme="minorBidi"/>
        </w:rPr>
      </w:pPr>
    </w:p>
    <w:p w14:paraId="4BE59591" w14:textId="77777777" w:rsidR="003C6BCE" w:rsidRPr="009F19AC" w:rsidRDefault="003C6BCE" w:rsidP="009F19AC">
      <w:pPr>
        <w:rPr>
          <w:rFonts w:asciiTheme="minorBidi" w:hAnsiTheme="minorBidi"/>
        </w:rPr>
      </w:pPr>
    </w:p>
    <w:p w14:paraId="32F02B85" w14:textId="77777777" w:rsidR="009F19AC" w:rsidRDefault="009F19AC" w:rsidP="003C063B">
      <w:pPr>
        <w:rPr>
          <w:rFonts w:asciiTheme="minorBidi" w:hAnsiTheme="minorBidi"/>
        </w:rPr>
      </w:pPr>
    </w:p>
    <w:p w14:paraId="1CBE96EC" w14:textId="77777777" w:rsidR="00A22249" w:rsidRDefault="00A22249" w:rsidP="003C063B">
      <w:pPr>
        <w:rPr>
          <w:rFonts w:asciiTheme="minorBidi" w:hAnsiTheme="minorBidi"/>
        </w:rPr>
      </w:pPr>
    </w:p>
    <w:p w14:paraId="6B3668CD" w14:textId="77777777" w:rsidR="00A22249" w:rsidRDefault="00A22249" w:rsidP="003C063B">
      <w:pPr>
        <w:rPr>
          <w:rFonts w:asciiTheme="minorBidi" w:hAnsiTheme="minorBidi"/>
        </w:rPr>
      </w:pPr>
    </w:p>
    <w:p w14:paraId="2AAEBB80" w14:textId="77777777" w:rsidR="003C063B" w:rsidRPr="003C063B" w:rsidRDefault="003C063B" w:rsidP="003C063B">
      <w:pPr>
        <w:rPr>
          <w:rFonts w:asciiTheme="minorBidi" w:hAnsiTheme="minorBidi"/>
        </w:rPr>
      </w:pPr>
    </w:p>
    <w:p w14:paraId="1F2568A0" w14:textId="77777777" w:rsidR="00AE452A" w:rsidRDefault="00AE452A" w:rsidP="00196238">
      <w:pPr>
        <w:rPr>
          <w:rFonts w:asciiTheme="minorBidi" w:hAnsiTheme="minorBidi"/>
        </w:rPr>
      </w:pPr>
    </w:p>
    <w:p w14:paraId="102AA79B" w14:textId="77777777" w:rsidR="003C05AA" w:rsidRPr="00196238" w:rsidRDefault="003C05AA" w:rsidP="00196238">
      <w:pPr>
        <w:rPr>
          <w:rFonts w:asciiTheme="minorBidi" w:hAnsiTheme="minorBidi"/>
        </w:rPr>
      </w:pPr>
    </w:p>
    <w:p w14:paraId="2DAF7A4C" w14:textId="031A7DC4" w:rsidR="003F0185" w:rsidRPr="00F839CD" w:rsidRDefault="003F0185" w:rsidP="003F0185">
      <w:pPr>
        <w:rPr>
          <w:rFonts w:asciiTheme="minorBidi" w:hAnsiTheme="minorBidi"/>
        </w:rPr>
      </w:pPr>
    </w:p>
    <w:p w14:paraId="34E7FE2B" w14:textId="77777777" w:rsidR="00714771" w:rsidRDefault="00714771" w:rsidP="006D215D">
      <w:pPr>
        <w:tabs>
          <w:tab w:val="left" w:pos="6540"/>
        </w:tabs>
        <w:spacing w:line="360" w:lineRule="auto"/>
        <w:rPr>
          <w:rFonts w:asciiTheme="minorBidi" w:hAnsiTheme="minorBidi"/>
        </w:rPr>
      </w:pPr>
    </w:p>
    <w:p w14:paraId="5EF532F2" w14:textId="77777777" w:rsidR="00AC5011" w:rsidRDefault="00AC5011" w:rsidP="006D215D">
      <w:pPr>
        <w:tabs>
          <w:tab w:val="left" w:pos="6540"/>
        </w:tabs>
        <w:spacing w:line="360" w:lineRule="auto"/>
        <w:rPr>
          <w:rFonts w:asciiTheme="minorBidi" w:hAnsiTheme="minorBidi"/>
        </w:rPr>
      </w:pPr>
    </w:p>
    <w:p w14:paraId="64D16DDE" w14:textId="77777777" w:rsidR="006D215D" w:rsidRDefault="006D215D" w:rsidP="006D215D">
      <w:pPr>
        <w:tabs>
          <w:tab w:val="left" w:pos="6540"/>
        </w:tabs>
        <w:spacing w:line="360" w:lineRule="auto"/>
        <w:rPr>
          <w:rFonts w:asciiTheme="minorBidi" w:hAnsiTheme="minorBidi"/>
        </w:rPr>
      </w:pPr>
    </w:p>
    <w:p w14:paraId="00FCCCFF" w14:textId="77777777" w:rsidR="006D215D" w:rsidRPr="006D215D" w:rsidRDefault="006D215D" w:rsidP="006D215D">
      <w:pPr>
        <w:tabs>
          <w:tab w:val="left" w:pos="6540"/>
        </w:tabs>
        <w:spacing w:line="360" w:lineRule="auto"/>
        <w:rPr>
          <w:rFonts w:asciiTheme="minorBidi" w:hAnsiTheme="minorBidi"/>
        </w:rPr>
      </w:pPr>
    </w:p>
    <w:p w14:paraId="19DEB0DC" w14:textId="77777777" w:rsidR="000E24F2" w:rsidRDefault="000E24F2" w:rsidP="00D8153C">
      <w:pPr>
        <w:tabs>
          <w:tab w:val="left" w:pos="6540"/>
        </w:tabs>
        <w:spacing w:line="360" w:lineRule="auto"/>
        <w:rPr>
          <w:rFonts w:asciiTheme="minorBidi" w:hAnsiTheme="minorBidi"/>
        </w:rPr>
      </w:pPr>
    </w:p>
    <w:p w14:paraId="47EBBCBD" w14:textId="77777777" w:rsidR="00876842" w:rsidRDefault="00876842" w:rsidP="00D8153C">
      <w:pPr>
        <w:tabs>
          <w:tab w:val="left" w:pos="6540"/>
        </w:tabs>
        <w:spacing w:line="360" w:lineRule="auto"/>
        <w:rPr>
          <w:rFonts w:asciiTheme="minorBidi" w:hAnsiTheme="minorBidi"/>
        </w:rPr>
      </w:pPr>
    </w:p>
    <w:p w14:paraId="68128E05" w14:textId="77777777" w:rsidR="00D8153C" w:rsidRPr="00D8153C" w:rsidRDefault="00D8153C" w:rsidP="00D8153C">
      <w:pPr>
        <w:tabs>
          <w:tab w:val="left" w:pos="6540"/>
        </w:tabs>
        <w:spacing w:line="360" w:lineRule="auto"/>
        <w:rPr>
          <w:rFonts w:asciiTheme="minorBidi" w:hAnsiTheme="minorBidi"/>
        </w:rPr>
      </w:pPr>
    </w:p>
    <w:p w14:paraId="0112B4AC" w14:textId="77777777" w:rsidR="00842957" w:rsidRPr="00CD33A8" w:rsidRDefault="00842957" w:rsidP="00CD33A8">
      <w:pPr>
        <w:tabs>
          <w:tab w:val="left" w:pos="6540"/>
        </w:tabs>
        <w:spacing w:line="360" w:lineRule="auto"/>
        <w:rPr>
          <w:rFonts w:asciiTheme="minorBidi" w:hAnsiTheme="minorBidi"/>
        </w:rPr>
      </w:pPr>
    </w:p>
    <w:p w14:paraId="1A0D0BAD" w14:textId="77777777" w:rsidR="00E13A01" w:rsidRPr="00E13A01" w:rsidRDefault="00E13A01" w:rsidP="00E13A01">
      <w:pPr>
        <w:tabs>
          <w:tab w:val="left" w:pos="6540"/>
        </w:tabs>
        <w:spacing w:line="360" w:lineRule="auto"/>
        <w:rPr>
          <w:rFonts w:asciiTheme="minorBidi" w:hAnsiTheme="minorBidi"/>
          <w:color w:val="000000" w:themeColor="text1"/>
        </w:rPr>
      </w:pPr>
      <w:r w:rsidRPr="00E13A01">
        <w:rPr>
          <w:rFonts w:asciiTheme="minorBidi" w:hAnsiTheme="minorBidi"/>
          <w:color w:val="000000" w:themeColor="text1"/>
        </w:rPr>
        <w:t xml:space="preserve">World (2025). </w:t>
      </w:r>
      <w:r w:rsidRPr="00E13A01">
        <w:rPr>
          <w:rFonts w:asciiTheme="minorBidi" w:hAnsiTheme="minorBidi"/>
          <w:i/>
          <w:iCs/>
          <w:color w:val="000000" w:themeColor="text1"/>
        </w:rPr>
        <w:t>Stroke</w:t>
      </w:r>
      <w:r w:rsidRPr="00E13A01">
        <w:rPr>
          <w:rFonts w:asciiTheme="minorBidi" w:hAnsiTheme="minorBidi"/>
          <w:color w:val="000000" w:themeColor="text1"/>
        </w:rPr>
        <w:t>. [online] Who.int. Available at: https://www.who.int/news-room/fact-sheets/detail/stroke.</w:t>
      </w:r>
    </w:p>
    <w:p w14:paraId="63BFA01B" w14:textId="7935DD66" w:rsidR="00F36243" w:rsidRPr="00F12F79" w:rsidRDefault="000D5D36" w:rsidP="00842957">
      <w:pPr>
        <w:tabs>
          <w:tab w:val="left" w:pos="6540"/>
        </w:tabs>
        <w:spacing w:line="360" w:lineRule="auto"/>
        <w:rPr>
          <w:rFonts w:asciiTheme="minorBidi" w:hAnsiTheme="minorBidi"/>
          <w:color w:val="000000" w:themeColor="text1"/>
        </w:rPr>
      </w:pPr>
      <w:r w:rsidRPr="000D5D36">
        <w:rPr>
          <w:rFonts w:asciiTheme="minorBidi" w:hAnsiTheme="minorBidi"/>
          <w:color w:val="000000" w:themeColor="text1"/>
        </w:rPr>
        <w:t xml:space="preserve">World (2025). </w:t>
      </w:r>
      <w:r w:rsidRPr="000D5D36">
        <w:rPr>
          <w:rFonts w:asciiTheme="minorBidi" w:hAnsiTheme="minorBidi"/>
          <w:i/>
          <w:iCs/>
          <w:color w:val="000000" w:themeColor="text1"/>
        </w:rPr>
        <w:t>Stroke</w:t>
      </w:r>
      <w:r w:rsidRPr="000D5D36">
        <w:rPr>
          <w:rFonts w:asciiTheme="minorBidi" w:hAnsiTheme="minorBidi"/>
          <w:color w:val="000000" w:themeColor="text1"/>
        </w:rPr>
        <w:t>. [online] Who.int. Available at: https://www.who.int/news-r</w:t>
      </w:r>
    </w:p>
    <w:p w14:paraId="14E17A9F" w14:textId="77777777" w:rsidR="00842957" w:rsidRPr="00842957" w:rsidRDefault="00842957" w:rsidP="00842957">
      <w:pPr>
        <w:tabs>
          <w:tab w:val="left" w:pos="6540"/>
        </w:tabs>
        <w:spacing w:line="360" w:lineRule="auto"/>
        <w:rPr>
          <w:rFonts w:asciiTheme="minorBidi" w:hAnsiTheme="minorBidi"/>
          <w:color w:val="0070C0"/>
        </w:rPr>
      </w:pPr>
    </w:p>
    <w:p w14:paraId="4FEEB562" w14:textId="77777777" w:rsidR="00842957" w:rsidRPr="00842957" w:rsidRDefault="00842957" w:rsidP="00842957">
      <w:pPr>
        <w:tabs>
          <w:tab w:val="left" w:pos="6540"/>
        </w:tabs>
        <w:spacing w:line="360" w:lineRule="auto"/>
        <w:rPr>
          <w:rFonts w:asciiTheme="minorBidi" w:hAnsiTheme="minorBidi"/>
          <w:color w:val="0070C0"/>
        </w:rPr>
      </w:pPr>
    </w:p>
    <w:p w14:paraId="0AAAFFA2" w14:textId="77777777" w:rsidR="00842957" w:rsidRPr="00842957" w:rsidRDefault="00842957" w:rsidP="00842957">
      <w:pPr>
        <w:tabs>
          <w:tab w:val="left" w:pos="6540"/>
        </w:tabs>
        <w:spacing w:line="360" w:lineRule="auto"/>
        <w:rPr>
          <w:rFonts w:asciiTheme="minorBidi" w:hAnsiTheme="minorBidi"/>
          <w:color w:val="0070C0"/>
        </w:rPr>
      </w:pPr>
      <w:r w:rsidRPr="00842957">
        <w:rPr>
          <w:rFonts w:asciiTheme="minorBidi" w:hAnsiTheme="minorBidi"/>
          <w:color w:val="0070C0"/>
        </w:rPr>
        <w:t>‌</w:t>
      </w:r>
    </w:p>
    <w:p w14:paraId="444BAD02" w14:textId="77777777" w:rsidR="00814A9E" w:rsidRPr="00CD33A8" w:rsidRDefault="00814A9E" w:rsidP="00CD33A8">
      <w:pPr>
        <w:tabs>
          <w:tab w:val="left" w:pos="6540"/>
        </w:tabs>
        <w:spacing w:line="360" w:lineRule="auto"/>
        <w:rPr>
          <w:rFonts w:asciiTheme="minorBidi" w:hAnsiTheme="minorBidi"/>
        </w:rPr>
      </w:pPr>
    </w:p>
    <w:p w14:paraId="71022E41" w14:textId="77777777" w:rsidR="00814A9E" w:rsidRPr="00CD33A8" w:rsidRDefault="00814A9E" w:rsidP="00CD33A8">
      <w:pPr>
        <w:tabs>
          <w:tab w:val="left" w:pos="6540"/>
        </w:tabs>
        <w:spacing w:line="360" w:lineRule="auto"/>
        <w:rPr>
          <w:rFonts w:asciiTheme="minorBidi" w:hAnsiTheme="minorBidi"/>
        </w:rPr>
      </w:pPr>
    </w:p>
    <w:p w14:paraId="3EA3C7DD" w14:textId="2C373198" w:rsidR="00F66E1B" w:rsidRPr="00CD33A8" w:rsidRDefault="00F66E1B" w:rsidP="00CD33A8">
      <w:pPr>
        <w:tabs>
          <w:tab w:val="left" w:pos="6540"/>
        </w:tabs>
        <w:spacing w:line="360" w:lineRule="auto"/>
        <w:rPr>
          <w:rFonts w:asciiTheme="minorBidi" w:hAnsiTheme="minorBidi"/>
        </w:rPr>
      </w:pPr>
    </w:p>
    <w:p w14:paraId="5C76528F" w14:textId="77777777" w:rsidR="00F66E1B" w:rsidRPr="00CD33A8" w:rsidRDefault="00F66E1B" w:rsidP="00CD33A8">
      <w:pPr>
        <w:tabs>
          <w:tab w:val="left" w:pos="6540"/>
        </w:tabs>
        <w:spacing w:line="360" w:lineRule="auto"/>
        <w:rPr>
          <w:rFonts w:asciiTheme="minorBidi" w:hAnsiTheme="minorBidi"/>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1425F4AC" w14:textId="6695D929" w:rsidR="001D7C03" w:rsidRPr="00CD33A8" w:rsidRDefault="001D7C03" w:rsidP="00CD33A8">
      <w:pPr>
        <w:tabs>
          <w:tab w:val="left" w:pos="6540"/>
        </w:tabs>
        <w:spacing w:line="360" w:lineRule="auto"/>
        <w:rPr>
          <w:rFonts w:asciiTheme="minorBidi" w:hAnsiTheme="minorBidi"/>
        </w:rPr>
      </w:pPr>
    </w:p>
    <w:sectPr w:rsidR="001D7C03" w:rsidRPr="00CD33A8" w:rsidSect="00E620E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395F9" w14:textId="77777777" w:rsidR="00C03EB9" w:rsidRDefault="00C03EB9" w:rsidP="003E4ECF">
      <w:pPr>
        <w:spacing w:after="0" w:line="240" w:lineRule="auto"/>
      </w:pPr>
      <w:r>
        <w:separator/>
      </w:r>
    </w:p>
  </w:endnote>
  <w:endnote w:type="continuationSeparator" w:id="0">
    <w:p w14:paraId="04689556" w14:textId="77777777" w:rsidR="00C03EB9" w:rsidRDefault="00C03EB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rPr>
    </w:sdtEndPr>
    <w:sdtContent>
      <w:p w14:paraId="22F0D82E" w14:textId="45C034A5" w:rsidR="003E4ECF" w:rsidRPr="00E620E7" w:rsidRDefault="003E4ECF">
        <w:pPr>
          <w:pStyle w:val="Footer"/>
          <w:jc w:val="center"/>
          <w:rPr>
            <w:rFonts w:asciiTheme="minorBidi" w:hAnsiTheme="minorBidi"/>
          </w:rPr>
        </w:pPr>
        <w:r w:rsidRPr="00E620E7">
          <w:rPr>
            <w:rFonts w:asciiTheme="minorBidi" w:hAnsiTheme="minorBidi"/>
          </w:rPr>
          <w:fldChar w:fldCharType="begin"/>
        </w:r>
        <w:r w:rsidRPr="00E620E7">
          <w:rPr>
            <w:rFonts w:asciiTheme="minorBidi" w:hAnsiTheme="minorBidi"/>
          </w:rPr>
          <w:instrText xml:space="preserve"> PAGE   \* MERGEFORMAT </w:instrText>
        </w:r>
        <w:r w:rsidRPr="00E620E7">
          <w:rPr>
            <w:rFonts w:asciiTheme="minorBidi" w:hAnsiTheme="minorBidi"/>
          </w:rPr>
          <w:fldChar w:fldCharType="separate"/>
        </w:r>
        <w:r w:rsidRPr="00E620E7">
          <w:rPr>
            <w:rFonts w:asciiTheme="minorBidi" w:hAnsiTheme="minorBidi"/>
            <w:noProof/>
          </w:rPr>
          <w:t>2</w:t>
        </w:r>
        <w:r w:rsidRPr="00E620E7">
          <w:rPr>
            <w:rFonts w:asciiTheme="minorBidi" w:hAnsiTheme="minorBidi"/>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ABAF7" w14:textId="77777777" w:rsidR="00C03EB9" w:rsidRDefault="00C03EB9" w:rsidP="003E4ECF">
      <w:pPr>
        <w:spacing w:after="0" w:line="240" w:lineRule="auto"/>
      </w:pPr>
      <w:r>
        <w:separator/>
      </w:r>
    </w:p>
  </w:footnote>
  <w:footnote w:type="continuationSeparator" w:id="0">
    <w:p w14:paraId="1A840C17" w14:textId="77777777" w:rsidR="00C03EB9" w:rsidRDefault="00C03EB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711C"/>
    <w:multiLevelType w:val="hybridMultilevel"/>
    <w:tmpl w:val="057EF60A"/>
    <w:lvl w:ilvl="0" w:tplc="56A0B3B0">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2447B6E"/>
    <w:multiLevelType w:val="multilevel"/>
    <w:tmpl w:val="D136B6A0"/>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25458E7"/>
    <w:multiLevelType w:val="multilevel"/>
    <w:tmpl w:val="A98CD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480304"/>
    <w:multiLevelType w:val="hybridMultilevel"/>
    <w:tmpl w:val="DE8EA8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643CDA"/>
    <w:multiLevelType w:val="hybridMultilevel"/>
    <w:tmpl w:val="3CD646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E53206"/>
    <w:multiLevelType w:val="hybridMultilevel"/>
    <w:tmpl w:val="792605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157022"/>
    <w:multiLevelType w:val="hybridMultilevel"/>
    <w:tmpl w:val="0D2A4EC6"/>
    <w:lvl w:ilvl="0" w:tplc="56A0B3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6F2748"/>
    <w:multiLevelType w:val="hybridMultilevel"/>
    <w:tmpl w:val="FDC61B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C31327"/>
    <w:multiLevelType w:val="hybridMultilevel"/>
    <w:tmpl w:val="2DAEB5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4F1EB5"/>
    <w:multiLevelType w:val="hybridMultilevel"/>
    <w:tmpl w:val="088ACFF0"/>
    <w:lvl w:ilvl="0" w:tplc="9A74DBE8">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596466"/>
    <w:multiLevelType w:val="hybridMultilevel"/>
    <w:tmpl w:val="E8884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9234287">
    <w:abstractNumId w:val="8"/>
  </w:num>
  <w:num w:numId="2" w16cid:durableId="122115427">
    <w:abstractNumId w:val="3"/>
  </w:num>
  <w:num w:numId="3" w16cid:durableId="673268339">
    <w:abstractNumId w:val="2"/>
  </w:num>
  <w:num w:numId="4" w16cid:durableId="1176069489">
    <w:abstractNumId w:val="7"/>
  </w:num>
  <w:num w:numId="5" w16cid:durableId="1383359856">
    <w:abstractNumId w:val="9"/>
  </w:num>
  <w:num w:numId="6" w16cid:durableId="563880325">
    <w:abstractNumId w:val="6"/>
  </w:num>
  <w:num w:numId="7" w16cid:durableId="729616160">
    <w:abstractNumId w:val="10"/>
  </w:num>
  <w:num w:numId="8" w16cid:durableId="392629795">
    <w:abstractNumId w:val="0"/>
  </w:num>
  <w:num w:numId="9" w16cid:durableId="1558587821">
    <w:abstractNumId w:val="1"/>
  </w:num>
  <w:num w:numId="10" w16cid:durableId="429088031">
    <w:abstractNumId w:val="5"/>
  </w:num>
  <w:num w:numId="11" w16cid:durableId="13312988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6EA8"/>
    <w:rsid w:val="0004014E"/>
    <w:rsid w:val="000408BC"/>
    <w:rsid w:val="000473A8"/>
    <w:rsid w:val="000475DA"/>
    <w:rsid w:val="000572BF"/>
    <w:rsid w:val="00062E5B"/>
    <w:rsid w:val="00074402"/>
    <w:rsid w:val="000771FE"/>
    <w:rsid w:val="00094B6C"/>
    <w:rsid w:val="00096B50"/>
    <w:rsid w:val="000A1C7D"/>
    <w:rsid w:val="000C08B9"/>
    <w:rsid w:val="000C0A84"/>
    <w:rsid w:val="000C22DC"/>
    <w:rsid w:val="000C6783"/>
    <w:rsid w:val="000D26F3"/>
    <w:rsid w:val="000D5D36"/>
    <w:rsid w:val="000D6908"/>
    <w:rsid w:val="000E24F2"/>
    <w:rsid w:val="000E6B1D"/>
    <w:rsid w:val="0010779C"/>
    <w:rsid w:val="00126772"/>
    <w:rsid w:val="00133CFA"/>
    <w:rsid w:val="00142F88"/>
    <w:rsid w:val="00157167"/>
    <w:rsid w:val="00160FCF"/>
    <w:rsid w:val="00176A41"/>
    <w:rsid w:val="00190B48"/>
    <w:rsid w:val="001947ED"/>
    <w:rsid w:val="00196238"/>
    <w:rsid w:val="001B0D38"/>
    <w:rsid w:val="001B26CB"/>
    <w:rsid w:val="001B4477"/>
    <w:rsid w:val="001C0416"/>
    <w:rsid w:val="001D7C03"/>
    <w:rsid w:val="001F029C"/>
    <w:rsid w:val="001F5085"/>
    <w:rsid w:val="001F5688"/>
    <w:rsid w:val="001F58FE"/>
    <w:rsid w:val="00200598"/>
    <w:rsid w:val="00202989"/>
    <w:rsid w:val="00216C85"/>
    <w:rsid w:val="00231611"/>
    <w:rsid w:val="0024757B"/>
    <w:rsid w:val="002536CE"/>
    <w:rsid w:val="0026393A"/>
    <w:rsid w:val="00272DEA"/>
    <w:rsid w:val="00273EDD"/>
    <w:rsid w:val="00280325"/>
    <w:rsid w:val="00290DE5"/>
    <w:rsid w:val="00293FB2"/>
    <w:rsid w:val="002A28BC"/>
    <w:rsid w:val="002A5116"/>
    <w:rsid w:val="002C3965"/>
    <w:rsid w:val="002F733D"/>
    <w:rsid w:val="00304EED"/>
    <w:rsid w:val="00313680"/>
    <w:rsid w:val="00321C4C"/>
    <w:rsid w:val="00326909"/>
    <w:rsid w:val="00335836"/>
    <w:rsid w:val="003440B3"/>
    <w:rsid w:val="00353421"/>
    <w:rsid w:val="00355522"/>
    <w:rsid w:val="00360DE2"/>
    <w:rsid w:val="003725DB"/>
    <w:rsid w:val="00380206"/>
    <w:rsid w:val="00383270"/>
    <w:rsid w:val="00387D76"/>
    <w:rsid w:val="00390C82"/>
    <w:rsid w:val="00391C6F"/>
    <w:rsid w:val="00392BBC"/>
    <w:rsid w:val="00396308"/>
    <w:rsid w:val="003C05AA"/>
    <w:rsid w:val="003C063B"/>
    <w:rsid w:val="003C6BCE"/>
    <w:rsid w:val="003D1DFA"/>
    <w:rsid w:val="003D3111"/>
    <w:rsid w:val="003D323B"/>
    <w:rsid w:val="003D44E8"/>
    <w:rsid w:val="003E4ECF"/>
    <w:rsid w:val="003F0185"/>
    <w:rsid w:val="003F06F7"/>
    <w:rsid w:val="003F664B"/>
    <w:rsid w:val="003F68A4"/>
    <w:rsid w:val="003F796B"/>
    <w:rsid w:val="00402389"/>
    <w:rsid w:val="00406603"/>
    <w:rsid w:val="00407721"/>
    <w:rsid w:val="0041470A"/>
    <w:rsid w:val="00425B8F"/>
    <w:rsid w:val="0042726E"/>
    <w:rsid w:val="00434E45"/>
    <w:rsid w:val="00443CEB"/>
    <w:rsid w:val="00473016"/>
    <w:rsid w:val="00492ED0"/>
    <w:rsid w:val="00493DA1"/>
    <w:rsid w:val="004A60FA"/>
    <w:rsid w:val="004A736E"/>
    <w:rsid w:val="004C539A"/>
    <w:rsid w:val="004E19BD"/>
    <w:rsid w:val="004E1AD3"/>
    <w:rsid w:val="004E4401"/>
    <w:rsid w:val="004F1D0B"/>
    <w:rsid w:val="004F3B52"/>
    <w:rsid w:val="004F4948"/>
    <w:rsid w:val="004F5D55"/>
    <w:rsid w:val="004F6C49"/>
    <w:rsid w:val="00502021"/>
    <w:rsid w:val="00523718"/>
    <w:rsid w:val="005401E0"/>
    <w:rsid w:val="005404FC"/>
    <w:rsid w:val="00543E23"/>
    <w:rsid w:val="00552106"/>
    <w:rsid w:val="00566E6D"/>
    <w:rsid w:val="0058615D"/>
    <w:rsid w:val="0058664A"/>
    <w:rsid w:val="005907AF"/>
    <w:rsid w:val="005A1984"/>
    <w:rsid w:val="005A3F87"/>
    <w:rsid w:val="005A7215"/>
    <w:rsid w:val="005B420C"/>
    <w:rsid w:val="005C3E3E"/>
    <w:rsid w:val="005C4A0B"/>
    <w:rsid w:val="005E1DF0"/>
    <w:rsid w:val="005E7250"/>
    <w:rsid w:val="005F567E"/>
    <w:rsid w:val="0061190B"/>
    <w:rsid w:val="00613B39"/>
    <w:rsid w:val="00625093"/>
    <w:rsid w:val="0063100B"/>
    <w:rsid w:val="00632B24"/>
    <w:rsid w:val="006423E7"/>
    <w:rsid w:val="00645D64"/>
    <w:rsid w:val="00662F8B"/>
    <w:rsid w:val="006708D4"/>
    <w:rsid w:val="006732C1"/>
    <w:rsid w:val="006925AA"/>
    <w:rsid w:val="006A5CBF"/>
    <w:rsid w:val="006A6453"/>
    <w:rsid w:val="006B0F71"/>
    <w:rsid w:val="006C2DBE"/>
    <w:rsid w:val="006C38FF"/>
    <w:rsid w:val="006C6328"/>
    <w:rsid w:val="006D04F1"/>
    <w:rsid w:val="006D215D"/>
    <w:rsid w:val="006D3860"/>
    <w:rsid w:val="006F1C94"/>
    <w:rsid w:val="006F59C8"/>
    <w:rsid w:val="00701CA7"/>
    <w:rsid w:val="00704216"/>
    <w:rsid w:val="00706E1A"/>
    <w:rsid w:val="007107FA"/>
    <w:rsid w:val="007128B8"/>
    <w:rsid w:val="00714771"/>
    <w:rsid w:val="00715228"/>
    <w:rsid w:val="00721A76"/>
    <w:rsid w:val="00725177"/>
    <w:rsid w:val="00737245"/>
    <w:rsid w:val="007378D8"/>
    <w:rsid w:val="0075200B"/>
    <w:rsid w:val="007558BD"/>
    <w:rsid w:val="007576E4"/>
    <w:rsid w:val="00766A4B"/>
    <w:rsid w:val="00770262"/>
    <w:rsid w:val="00772041"/>
    <w:rsid w:val="0077697D"/>
    <w:rsid w:val="00787E8D"/>
    <w:rsid w:val="00792561"/>
    <w:rsid w:val="00793B1F"/>
    <w:rsid w:val="007A1B8D"/>
    <w:rsid w:val="007A79F8"/>
    <w:rsid w:val="007A7ED2"/>
    <w:rsid w:val="007B3BE3"/>
    <w:rsid w:val="007B4537"/>
    <w:rsid w:val="007C1893"/>
    <w:rsid w:val="007D53D0"/>
    <w:rsid w:val="007D5AF0"/>
    <w:rsid w:val="007D750D"/>
    <w:rsid w:val="007E0425"/>
    <w:rsid w:val="007F183F"/>
    <w:rsid w:val="007F55E4"/>
    <w:rsid w:val="007F6158"/>
    <w:rsid w:val="0080049D"/>
    <w:rsid w:val="00802E6D"/>
    <w:rsid w:val="008139BE"/>
    <w:rsid w:val="00814A9E"/>
    <w:rsid w:val="008330E4"/>
    <w:rsid w:val="00841CF5"/>
    <w:rsid w:val="00842957"/>
    <w:rsid w:val="00846F42"/>
    <w:rsid w:val="00850262"/>
    <w:rsid w:val="008572C1"/>
    <w:rsid w:val="00876842"/>
    <w:rsid w:val="008840CF"/>
    <w:rsid w:val="00893642"/>
    <w:rsid w:val="008A161A"/>
    <w:rsid w:val="008B27F1"/>
    <w:rsid w:val="008B6C9D"/>
    <w:rsid w:val="008E3943"/>
    <w:rsid w:val="008F1BF9"/>
    <w:rsid w:val="008F5391"/>
    <w:rsid w:val="0090040D"/>
    <w:rsid w:val="00905F58"/>
    <w:rsid w:val="009155AF"/>
    <w:rsid w:val="00925A17"/>
    <w:rsid w:val="009412B2"/>
    <w:rsid w:val="00941A3C"/>
    <w:rsid w:val="00943B0F"/>
    <w:rsid w:val="0095055E"/>
    <w:rsid w:val="00953524"/>
    <w:rsid w:val="009721F3"/>
    <w:rsid w:val="00972227"/>
    <w:rsid w:val="00973728"/>
    <w:rsid w:val="009772E9"/>
    <w:rsid w:val="00981F66"/>
    <w:rsid w:val="00985646"/>
    <w:rsid w:val="00985EFE"/>
    <w:rsid w:val="00990AE3"/>
    <w:rsid w:val="00994092"/>
    <w:rsid w:val="009C22BA"/>
    <w:rsid w:val="009D052C"/>
    <w:rsid w:val="009D1D1E"/>
    <w:rsid w:val="009D52C7"/>
    <w:rsid w:val="009F19AC"/>
    <w:rsid w:val="00A02F0B"/>
    <w:rsid w:val="00A035FD"/>
    <w:rsid w:val="00A06582"/>
    <w:rsid w:val="00A17DAB"/>
    <w:rsid w:val="00A22249"/>
    <w:rsid w:val="00A35FEF"/>
    <w:rsid w:val="00A53254"/>
    <w:rsid w:val="00A60981"/>
    <w:rsid w:val="00A85274"/>
    <w:rsid w:val="00A855CB"/>
    <w:rsid w:val="00A917E0"/>
    <w:rsid w:val="00A94D75"/>
    <w:rsid w:val="00AA416C"/>
    <w:rsid w:val="00AA6D42"/>
    <w:rsid w:val="00AC5011"/>
    <w:rsid w:val="00AC59F2"/>
    <w:rsid w:val="00AC7B2E"/>
    <w:rsid w:val="00AD23A0"/>
    <w:rsid w:val="00AD25FE"/>
    <w:rsid w:val="00AD6515"/>
    <w:rsid w:val="00AE452A"/>
    <w:rsid w:val="00AE7690"/>
    <w:rsid w:val="00B01076"/>
    <w:rsid w:val="00B02EE8"/>
    <w:rsid w:val="00B140D9"/>
    <w:rsid w:val="00B307FD"/>
    <w:rsid w:val="00B35216"/>
    <w:rsid w:val="00B51924"/>
    <w:rsid w:val="00B60C45"/>
    <w:rsid w:val="00B63438"/>
    <w:rsid w:val="00B66F51"/>
    <w:rsid w:val="00B7458A"/>
    <w:rsid w:val="00B766F6"/>
    <w:rsid w:val="00B826C7"/>
    <w:rsid w:val="00B8690F"/>
    <w:rsid w:val="00B86983"/>
    <w:rsid w:val="00B87B27"/>
    <w:rsid w:val="00B87E75"/>
    <w:rsid w:val="00B91D23"/>
    <w:rsid w:val="00BA46D5"/>
    <w:rsid w:val="00BB37E7"/>
    <w:rsid w:val="00BB6047"/>
    <w:rsid w:val="00BB6C5C"/>
    <w:rsid w:val="00BC0AF0"/>
    <w:rsid w:val="00BC43BF"/>
    <w:rsid w:val="00BD57C1"/>
    <w:rsid w:val="00BD58D5"/>
    <w:rsid w:val="00BF0082"/>
    <w:rsid w:val="00BF3D39"/>
    <w:rsid w:val="00C014D3"/>
    <w:rsid w:val="00C03EB9"/>
    <w:rsid w:val="00C110F0"/>
    <w:rsid w:val="00C22631"/>
    <w:rsid w:val="00C30623"/>
    <w:rsid w:val="00C420E8"/>
    <w:rsid w:val="00C47313"/>
    <w:rsid w:val="00C55A0D"/>
    <w:rsid w:val="00C63147"/>
    <w:rsid w:val="00C744C4"/>
    <w:rsid w:val="00C771C4"/>
    <w:rsid w:val="00C8048F"/>
    <w:rsid w:val="00C81C6D"/>
    <w:rsid w:val="00C9361B"/>
    <w:rsid w:val="00C957DD"/>
    <w:rsid w:val="00CA1CC8"/>
    <w:rsid w:val="00CA1DA4"/>
    <w:rsid w:val="00CB3013"/>
    <w:rsid w:val="00CB378C"/>
    <w:rsid w:val="00CC21EE"/>
    <w:rsid w:val="00CD0939"/>
    <w:rsid w:val="00CD33A8"/>
    <w:rsid w:val="00CD60D8"/>
    <w:rsid w:val="00CF4562"/>
    <w:rsid w:val="00D0087A"/>
    <w:rsid w:val="00D27072"/>
    <w:rsid w:val="00D36C4A"/>
    <w:rsid w:val="00D50B57"/>
    <w:rsid w:val="00D569EA"/>
    <w:rsid w:val="00D77489"/>
    <w:rsid w:val="00D8153C"/>
    <w:rsid w:val="00D82D82"/>
    <w:rsid w:val="00D832AD"/>
    <w:rsid w:val="00D908AD"/>
    <w:rsid w:val="00D95647"/>
    <w:rsid w:val="00D972D7"/>
    <w:rsid w:val="00DA7059"/>
    <w:rsid w:val="00DC0419"/>
    <w:rsid w:val="00DC1A18"/>
    <w:rsid w:val="00DC4EEC"/>
    <w:rsid w:val="00DE7DC0"/>
    <w:rsid w:val="00DF1E4A"/>
    <w:rsid w:val="00DF3FFD"/>
    <w:rsid w:val="00DF4E59"/>
    <w:rsid w:val="00E000D1"/>
    <w:rsid w:val="00E059A2"/>
    <w:rsid w:val="00E13A01"/>
    <w:rsid w:val="00E1727F"/>
    <w:rsid w:val="00E2449B"/>
    <w:rsid w:val="00E443DC"/>
    <w:rsid w:val="00E451E1"/>
    <w:rsid w:val="00E569FD"/>
    <w:rsid w:val="00E57D61"/>
    <w:rsid w:val="00E60F87"/>
    <w:rsid w:val="00E61643"/>
    <w:rsid w:val="00E620E7"/>
    <w:rsid w:val="00E65055"/>
    <w:rsid w:val="00E76AE7"/>
    <w:rsid w:val="00E76D5E"/>
    <w:rsid w:val="00E833B3"/>
    <w:rsid w:val="00E85BE4"/>
    <w:rsid w:val="00EB4F6D"/>
    <w:rsid w:val="00EB6E6B"/>
    <w:rsid w:val="00EC6206"/>
    <w:rsid w:val="00ED26CF"/>
    <w:rsid w:val="00EE50A9"/>
    <w:rsid w:val="00F12F79"/>
    <w:rsid w:val="00F13EAE"/>
    <w:rsid w:val="00F353CC"/>
    <w:rsid w:val="00F3617B"/>
    <w:rsid w:val="00F36243"/>
    <w:rsid w:val="00F37E22"/>
    <w:rsid w:val="00F43731"/>
    <w:rsid w:val="00F66E1B"/>
    <w:rsid w:val="00F700B2"/>
    <w:rsid w:val="00F839CD"/>
    <w:rsid w:val="00F878CC"/>
    <w:rsid w:val="00F902EF"/>
    <w:rsid w:val="00F91D22"/>
    <w:rsid w:val="00F9423E"/>
    <w:rsid w:val="00F95041"/>
    <w:rsid w:val="00FA08CF"/>
    <w:rsid w:val="00FA0F38"/>
    <w:rsid w:val="00FA5B03"/>
    <w:rsid w:val="00FB18D2"/>
    <w:rsid w:val="00FC20BE"/>
    <w:rsid w:val="00FD09D6"/>
    <w:rsid w:val="00FD1B6C"/>
    <w:rsid w:val="00FF10FD"/>
    <w:rsid w:val="00FF30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561"/>
  </w:style>
  <w:style w:type="paragraph" w:styleId="Heading1">
    <w:name w:val="heading 1"/>
    <w:basedOn w:val="Normal"/>
    <w:next w:val="Normal"/>
    <w:link w:val="Heading1Char"/>
    <w:uiPriority w:val="9"/>
    <w:qFormat/>
    <w:rsid w:val="00792561"/>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792561"/>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792561"/>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792561"/>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792561"/>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792561"/>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792561"/>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792561"/>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792561"/>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561"/>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792561"/>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792561"/>
    <w:rPr>
      <w:rFonts w:asciiTheme="majorHAnsi" w:eastAsiaTheme="majorEastAsia" w:hAnsiTheme="majorHAnsi" w:cstheme="majorBidi"/>
      <w:smallCaps/>
      <w:sz w:val="28"/>
      <w:szCs w:val="28"/>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customStyle="1" w:styleId="Heading4Char">
    <w:name w:val="Heading 4 Char"/>
    <w:basedOn w:val="DefaultParagraphFont"/>
    <w:link w:val="Heading4"/>
    <w:uiPriority w:val="9"/>
    <w:semiHidden/>
    <w:rsid w:val="00792561"/>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792561"/>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792561"/>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792561"/>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792561"/>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792561"/>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792561"/>
    <w:pPr>
      <w:spacing w:line="240" w:lineRule="auto"/>
    </w:pPr>
    <w:rPr>
      <w:b/>
      <w:bCs/>
      <w:smallCaps/>
      <w:color w:val="595959" w:themeColor="text1" w:themeTint="A6"/>
    </w:rPr>
  </w:style>
  <w:style w:type="paragraph" w:styleId="Title">
    <w:name w:val="Title"/>
    <w:basedOn w:val="Normal"/>
    <w:next w:val="Normal"/>
    <w:link w:val="TitleChar"/>
    <w:uiPriority w:val="10"/>
    <w:qFormat/>
    <w:rsid w:val="00792561"/>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792561"/>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792561"/>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792561"/>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792561"/>
    <w:rPr>
      <w:b/>
      <w:bCs/>
    </w:rPr>
  </w:style>
  <w:style w:type="character" w:styleId="Emphasis">
    <w:name w:val="Emphasis"/>
    <w:basedOn w:val="DefaultParagraphFont"/>
    <w:uiPriority w:val="20"/>
    <w:qFormat/>
    <w:rsid w:val="00792561"/>
    <w:rPr>
      <w:i/>
      <w:iCs/>
    </w:rPr>
  </w:style>
  <w:style w:type="paragraph" w:styleId="NoSpacing">
    <w:name w:val="No Spacing"/>
    <w:uiPriority w:val="1"/>
    <w:qFormat/>
    <w:rsid w:val="00792561"/>
    <w:pPr>
      <w:spacing w:after="0" w:line="240" w:lineRule="auto"/>
    </w:pPr>
  </w:style>
  <w:style w:type="paragraph" w:styleId="Quote">
    <w:name w:val="Quote"/>
    <w:basedOn w:val="Normal"/>
    <w:next w:val="Normal"/>
    <w:link w:val="QuoteChar"/>
    <w:uiPriority w:val="29"/>
    <w:qFormat/>
    <w:rsid w:val="00792561"/>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792561"/>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792561"/>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792561"/>
    <w:rPr>
      <w:color w:val="404040" w:themeColor="text1" w:themeTint="BF"/>
      <w:sz w:val="32"/>
      <w:szCs w:val="32"/>
    </w:rPr>
  </w:style>
  <w:style w:type="character" w:styleId="SubtleEmphasis">
    <w:name w:val="Subtle Emphasis"/>
    <w:basedOn w:val="DefaultParagraphFont"/>
    <w:uiPriority w:val="19"/>
    <w:qFormat/>
    <w:rsid w:val="00792561"/>
    <w:rPr>
      <w:i/>
      <w:iCs/>
      <w:color w:val="595959" w:themeColor="text1" w:themeTint="A6"/>
    </w:rPr>
  </w:style>
  <w:style w:type="character" w:styleId="IntenseEmphasis">
    <w:name w:val="Intense Emphasis"/>
    <w:basedOn w:val="DefaultParagraphFont"/>
    <w:uiPriority w:val="21"/>
    <w:qFormat/>
    <w:rsid w:val="00792561"/>
    <w:rPr>
      <w:b/>
      <w:bCs/>
      <w:i/>
      <w:iCs/>
    </w:rPr>
  </w:style>
  <w:style w:type="character" w:styleId="SubtleReference">
    <w:name w:val="Subtle Reference"/>
    <w:basedOn w:val="DefaultParagraphFont"/>
    <w:uiPriority w:val="31"/>
    <w:qFormat/>
    <w:rsid w:val="0079256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92561"/>
    <w:rPr>
      <w:b/>
      <w:bCs/>
      <w:caps w:val="0"/>
      <w:smallCaps/>
      <w:color w:val="auto"/>
      <w:spacing w:val="3"/>
      <w:u w:val="single"/>
    </w:rPr>
  </w:style>
  <w:style w:type="character" w:styleId="BookTitle">
    <w:name w:val="Book Title"/>
    <w:basedOn w:val="DefaultParagraphFont"/>
    <w:uiPriority w:val="33"/>
    <w:qFormat/>
    <w:rsid w:val="00792561"/>
    <w:rPr>
      <w:b/>
      <w:bCs/>
      <w:smallCaps/>
      <w:spacing w:val="7"/>
    </w:rPr>
  </w:style>
  <w:style w:type="paragraph" w:styleId="TOCHeading">
    <w:name w:val="TOC Heading"/>
    <w:basedOn w:val="Heading1"/>
    <w:next w:val="Normal"/>
    <w:uiPriority w:val="39"/>
    <w:semiHidden/>
    <w:unhideWhenUsed/>
    <w:qFormat/>
    <w:rsid w:val="00792561"/>
    <w:pPr>
      <w:outlineLvl w:val="9"/>
    </w:pPr>
  </w:style>
  <w:style w:type="character" w:styleId="Hyperlink">
    <w:name w:val="Hyperlink"/>
    <w:basedOn w:val="DefaultParagraphFont"/>
    <w:uiPriority w:val="99"/>
    <w:unhideWhenUsed/>
    <w:rsid w:val="00842957"/>
    <w:rPr>
      <w:color w:val="EE7B08" w:themeColor="hyperlink"/>
      <w:u w:val="single"/>
    </w:rPr>
  </w:style>
  <w:style w:type="character" w:styleId="UnresolvedMention">
    <w:name w:val="Unresolved Mention"/>
    <w:basedOn w:val="DefaultParagraphFont"/>
    <w:uiPriority w:val="99"/>
    <w:semiHidden/>
    <w:unhideWhenUsed/>
    <w:rsid w:val="00842957"/>
    <w:rPr>
      <w:color w:val="605E5C"/>
      <w:shd w:val="clear" w:color="auto" w:fill="E1DFDD"/>
    </w:rPr>
  </w:style>
  <w:style w:type="character" w:styleId="FollowedHyperlink">
    <w:name w:val="FollowedHyperlink"/>
    <w:basedOn w:val="DefaultParagraphFont"/>
    <w:uiPriority w:val="99"/>
    <w:semiHidden/>
    <w:unhideWhenUsed/>
    <w:rsid w:val="00876842"/>
    <w:rPr>
      <w:color w:val="977B2D" w:themeColor="followedHyperlink"/>
      <w:u w:val="single"/>
    </w:rPr>
  </w:style>
  <w:style w:type="paragraph" w:styleId="ListParagraph">
    <w:name w:val="List Paragraph"/>
    <w:basedOn w:val="Normal"/>
    <w:uiPriority w:val="34"/>
    <w:qFormat/>
    <w:rsid w:val="003440B3"/>
    <w:pPr>
      <w:ind w:left="720"/>
      <w:contextualSpacing/>
    </w:pPr>
  </w:style>
  <w:style w:type="paragraph" w:customStyle="1" w:styleId="gds-typography">
    <w:name w:val="gds-typography"/>
    <w:basedOn w:val="Normal"/>
    <w:rsid w:val="00B745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33C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16/j.jstrokecerebrovasdis.2025.108347"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2024/11/nhs-launches-major-new-stroke-campaign-as-thousands-delay-calling-999-by-nearly-90-minutes/" TargetMode="External"/><Relationship Id="rId17" Type="http://schemas.openxmlformats.org/officeDocument/2006/relationships/hyperlink" Target="https://www.healthdata.org/research-analysis/library/global-regional-and-national-burden-stroke-and-its-risk-factors-1990-2021" TargetMode="External"/><Relationship Id="rId2" Type="http://schemas.openxmlformats.org/officeDocument/2006/relationships/styles" Target="styles.xml"/><Relationship Id="rId16" Type="http://schemas.openxmlformats.org/officeDocument/2006/relationships/hyperlink" Target="https://www.strokeaudit.org/Audits/Clinical-audit-information/Results-and-reports.asp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ajr.70130" TargetMode="External"/><Relationship Id="rId5" Type="http://schemas.openxmlformats.org/officeDocument/2006/relationships/footnotes" Target="footnotes.xml"/><Relationship Id="rId15" Type="http://schemas.openxmlformats.org/officeDocument/2006/relationships/hyperlink" Target="https://www.who.int/news-room/fact-sheets/detail/stroke" TargetMode="External"/><Relationship Id="rId10" Type="http://schemas.openxmlformats.org/officeDocument/2006/relationships/hyperlink" Target="HTTPs://doi.org/10.1093/ageing/afz16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17474930241308142" TargetMode="External"/><Relationship Id="rId14" Type="http://schemas.openxmlformats.org/officeDocument/2006/relationships/hyperlink" Target="https://pubmed.ncbi.nlm.nih.gov/7596004/" TargetMode="Externa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565</TotalTime>
  <Pages>10</Pages>
  <Words>2323</Words>
  <Characters>13244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Alket Lata</cp:lastModifiedBy>
  <cp:revision>177</cp:revision>
  <dcterms:created xsi:type="dcterms:W3CDTF">2026-03-31T22:58:00Z</dcterms:created>
  <dcterms:modified xsi:type="dcterms:W3CDTF">2026-04-20T16:56:00Z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d3db2730-d092-46eb-8805-d5a72bb0d873</vt:lpwstr>
  </property>
</Properties>
</file>