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D34F4" w14:textId="28399C62" w:rsidR="000B4900" w:rsidRDefault="00B968F3" w:rsidP="00B968F3">
      <w:pPr>
        <w:jc w:val="center"/>
        <w:rPr>
          <w:u w:val="single"/>
        </w:rPr>
      </w:pPr>
      <w:r>
        <w:rPr>
          <w:u w:val="single"/>
        </w:rPr>
        <w:t xml:space="preserve">Write a critical appreciation of any saint’s Life associated with one of the Celtic regions. In your answer you should consider issues such as the text’s authorship, its purpose, transmission, key themes, literary and historical context. </w:t>
      </w:r>
    </w:p>
    <w:p w14:paraId="40E77D3D" w14:textId="77777777" w:rsidR="002A6C59" w:rsidRDefault="002A6C59" w:rsidP="002A6C59">
      <w:pPr>
        <w:spacing w:line="360" w:lineRule="auto"/>
      </w:pPr>
      <w:r>
        <w:t xml:space="preserve">When considering hagiographical texts there are many ways to critically evaluate this, both regarding the text itself but also its place alongside other texts of a similar nature. This essay’s focus is the </w:t>
      </w:r>
      <w:r>
        <w:rPr>
          <w:i/>
          <w:iCs/>
        </w:rPr>
        <w:t>Historia Divae Monacellae</w:t>
      </w:r>
      <w:r>
        <w:t xml:space="preserve">, which is concerned with the life of the Christian saint Melangell, the Welsh patron saint of hares. Melangell (if she existed at all) probably lived around the fifth to the eighth century, and her vita is one of only two Latin vitae relating to a female saint which has survived till the modern day. The aim of this essay is to critically assess the </w:t>
      </w:r>
      <w:r>
        <w:rPr>
          <w:i/>
          <w:iCs/>
        </w:rPr>
        <w:t>Historia</w:t>
      </w:r>
      <w:r>
        <w:t xml:space="preserve">, paying close attention to authorship, intended audience and themes within the text. The specific edition and translation of the text that this essay will primarily focus on is the translation by Huw Pryce in </w:t>
      </w:r>
      <w:r w:rsidRPr="00606A73">
        <w:rPr>
          <w:i/>
          <w:iCs/>
        </w:rPr>
        <w:t>The Montgomeryshire Collections</w:t>
      </w:r>
      <w:r>
        <w:t xml:space="preserve">, originally published in 1994. </w:t>
      </w:r>
    </w:p>
    <w:p w14:paraId="0BBC5E50" w14:textId="77777777" w:rsidR="002A6C59" w:rsidRDefault="002A6C59" w:rsidP="002A6C59">
      <w:pPr>
        <w:spacing w:line="360" w:lineRule="auto"/>
      </w:pPr>
      <w:r>
        <w:t xml:space="preserve">Melangell’s vita is very brief when compared to other texts about Welsh saints, leaving much of her life out of the story and instead focusing on the moment in which she saves a wild hare from a hunt. In ‘A New Edition of the </w:t>
      </w:r>
      <w:r>
        <w:rPr>
          <w:i/>
          <w:iCs/>
        </w:rPr>
        <w:t>Historia Divae Monacellae</w:t>
      </w:r>
      <w:r>
        <w:t xml:space="preserve">’ by Pryce, he explains that the ‘original manuscript containing the </w:t>
      </w:r>
      <w:r>
        <w:rPr>
          <w:i/>
          <w:iCs/>
        </w:rPr>
        <w:t xml:space="preserve">Historia Divae Monacellae </w:t>
      </w:r>
      <w:r>
        <w:t>is lost, but there survive three complete and two fragmentary manuscript copies’</w:t>
      </w:r>
      <w:r>
        <w:rPr>
          <w:rStyle w:val="FootnoteReference"/>
        </w:rPr>
        <w:footnoteReference w:id="1"/>
      </w:r>
      <w:r>
        <w:t>. In ‘Pennant Melangell: The Church and the Shrine’ C. A. Radford and W. J. Hemp state that the two versions of the text in existence today ‘must go back to a common source, if one is not actually derived from the other’</w:t>
      </w:r>
      <w:r>
        <w:rPr>
          <w:rStyle w:val="FootnoteReference"/>
        </w:rPr>
        <w:footnoteReference w:id="2"/>
      </w:r>
      <w:r>
        <w:t xml:space="preserve">. </w:t>
      </w:r>
    </w:p>
    <w:p w14:paraId="62EA3369" w14:textId="61F98280" w:rsidR="00F303CE" w:rsidRPr="00566B08" w:rsidRDefault="00F303CE" w:rsidP="00F303CE">
      <w:pPr>
        <w:spacing w:line="360" w:lineRule="auto"/>
      </w:pPr>
      <w:r>
        <w:t>Radford and Hemp estimate that the Life was probably written in the fourteenth or fifteenth century. The original manuscript is not available to study as copies of it have not survived. This adds difficulty to a critical assessment of the text as it is impossible to verify which text is more accurate to the original or consider why differences may have been added. It is interesting to note that the copies still in existence do differ from each other, however without the original manuscript to compare it is difficult to determine which text is accurate or why the changes have been made.</w:t>
      </w:r>
      <w:r>
        <w:rPr>
          <w:b/>
          <w:bCs/>
        </w:rPr>
        <w:t xml:space="preserve"> </w:t>
      </w:r>
      <w:r>
        <w:t>Pryce asserts that the differences between the texts ‘probably resulted from a combination of scribal errors and editoria</w:t>
      </w:r>
      <w:r>
        <w:t>l</w:t>
      </w:r>
      <w:r>
        <w:t xml:space="preserve"> emendations on the part of individual copyists’</w:t>
      </w:r>
      <w:r>
        <w:rPr>
          <w:rStyle w:val="FootnoteReference"/>
        </w:rPr>
        <w:footnoteReference w:id="3"/>
      </w:r>
      <w:r>
        <w:t xml:space="preserve">. </w:t>
      </w:r>
    </w:p>
    <w:p w14:paraId="2D3804D6" w14:textId="306853F9" w:rsidR="00A91B45" w:rsidRDefault="00F303CE" w:rsidP="00A91B45">
      <w:pPr>
        <w:spacing w:line="360" w:lineRule="auto"/>
      </w:pPr>
      <w:r>
        <w:t xml:space="preserve">The oldest manuscripts of the </w:t>
      </w:r>
      <w:r>
        <w:rPr>
          <w:i/>
          <w:iCs/>
        </w:rPr>
        <w:t>Historia</w:t>
      </w:r>
      <w:r>
        <w:t xml:space="preserve"> that have been listed in the </w:t>
      </w:r>
      <w:proofErr w:type="spellStart"/>
      <w:r>
        <w:rPr>
          <w:i/>
          <w:iCs/>
        </w:rPr>
        <w:t>Archaeologia</w:t>
      </w:r>
      <w:proofErr w:type="spellEnd"/>
      <w:r>
        <w:rPr>
          <w:i/>
          <w:iCs/>
        </w:rPr>
        <w:t xml:space="preserve"> </w:t>
      </w:r>
      <w:proofErr w:type="spellStart"/>
      <w:r>
        <w:rPr>
          <w:i/>
          <w:iCs/>
        </w:rPr>
        <w:t>Cambrensis</w:t>
      </w:r>
      <w:proofErr w:type="spellEnd"/>
      <w:r>
        <w:t xml:space="preserve"> hail from Ruabon and </w:t>
      </w:r>
      <w:proofErr w:type="spellStart"/>
      <w:r>
        <w:t>Llanfyllin</w:t>
      </w:r>
      <w:proofErr w:type="spellEnd"/>
      <w:r>
        <w:t xml:space="preserve"> respectively, with ties to closer locations through the copyists themselves. Ruabon is furthest from Pennant Melangell at just under 30 miles away, however </w:t>
      </w:r>
      <w:proofErr w:type="spellStart"/>
      <w:r>
        <w:lastRenderedPageBreak/>
        <w:t>Llanfyllin</w:t>
      </w:r>
      <w:proofErr w:type="spellEnd"/>
      <w:r>
        <w:t xml:space="preserve"> is less than half of this distance. The presence of such important documents relating to a Christian saint within such a close radius does evidence her cult’s locality and to some extent provides proof that the cult never grew to the status of that enjoyed by the likes of Mary Magdalene or even a more local saint like St David. As Alan Thacker comments in his work ‘</w:t>
      </w:r>
      <w:proofErr w:type="spellStart"/>
      <w:r>
        <w:t>Loca</w:t>
      </w:r>
      <w:proofErr w:type="spellEnd"/>
      <w:r>
        <w:t xml:space="preserve"> Sanctorum: The Significance of place in the Study of the Saints’, ‘All saints are in a sense local if they have had a physical existence and an identifiable place of burial or a site with which (for whatever reason) they have been strongly associated’</w:t>
      </w:r>
      <w:r>
        <w:rPr>
          <w:rStyle w:val="FootnoteReference"/>
        </w:rPr>
        <w:footnoteReference w:id="4"/>
      </w:r>
      <w:r>
        <w:t>. Melangell seems to fall in Thacker’s category of ‘intensely local tier of saints enshrined in village churches</w:t>
      </w:r>
      <w:r>
        <w:rPr>
          <w:rStyle w:val="FootnoteReference"/>
        </w:rPr>
        <w:footnoteReference w:id="5"/>
      </w:r>
      <w:r>
        <w:t xml:space="preserve">, with her cult being focused closely around the place where she lived for fifty-two years and was later buried. </w:t>
      </w:r>
    </w:p>
    <w:p w14:paraId="4FC0B5CD" w14:textId="77777777" w:rsidR="00F303CE" w:rsidRDefault="00F303CE" w:rsidP="00F303CE">
      <w:pPr>
        <w:spacing w:line="360" w:lineRule="auto"/>
      </w:pPr>
      <w:r>
        <w:t xml:space="preserve">It is feasible to assume that some of the audience intended to read/hear the </w:t>
      </w:r>
      <w:r>
        <w:rPr>
          <w:i/>
          <w:iCs/>
        </w:rPr>
        <w:t>Historia</w:t>
      </w:r>
      <w:r>
        <w:t xml:space="preserve"> were worshippers and that at least initially they would be local to Pennant Melangell. Radford and Hemp believe that while there are parts of the </w:t>
      </w:r>
      <w:r>
        <w:rPr>
          <w:i/>
          <w:iCs/>
        </w:rPr>
        <w:t>Historia</w:t>
      </w:r>
      <w:r>
        <w:t xml:space="preserve"> that have been added over time ‘the core of the legend is older and appears to be based on lessons read in church or on a sermon the theme, stripped of its homiletic content’</w:t>
      </w:r>
      <w:r>
        <w:rPr>
          <w:rStyle w:val="FootnoteReference"/>
        </w:rPr>
        <w:footnoteReference w:id="6"/>
      </w:r>
      <w:r>
        <w:t>. One would expect a primarily oral record to remain tied to the local area, as written records would help add legitimacy to the verbal story.</w:t>
      </w:r>
      <w:r w:rsidRPr="009614E9">
        <w:t xml:space="preserve"> </w:t>
      </w:r>
      <w:r>
        <w:t xml:space="preserve">This could also partially explain the lack of clear authorship of this text, as a commonly known local story may not have had a single author in the traditional sense, though a lack of original material to compare later copies against makes this impossible to confirm. </w:t>
      </w:r>
    </w:p>
    <w:p w14:paraId="2F0B5B41" w14:textId="77777777" w:rsidR="00F303CE" w:rsidRDefault="00F303CE" w:rsidP="00F303CE">
      <w:pPr>
        <w:spacing w:line="360" w:lineRule="auto"/>
      </w:pPr>
      <w:r>
        <w:t>However, another reality of Melangell’s cult being so remote is that the impact of her life on the Church and local area would have been more wide-ranging than merely being a fond local story. Michael Keulemans &amp; Lewis Burton discuss the lengths that pilgrims would have gone to in the past, referring to the ‘deep penitence’</w:t>
      </w:r>
      <w:r>
        <w:rPr>
          <w:rStyle w:val="FootnoteReference"/>
        </w:rPr>
        <w:footnoteReference w:id="7"/>
      </w:r>
      <w:r>
        <w:t xml:space="preserve"> expected of these travellers who would often be making a journey to a remote area. While records from the Middle Ages do not contain details of visitor numbers, Keulemans &amp; Burton point out that Melangell’s vita was ‘cherished by the locals, since in such a barren place pilgrims must have been a help to the local economy’</w:t>
      </w:r>
      <w:r>
        <w:rPr>
          <w:rStyle w:val="FootnoteReference"/>
        </w:rPr>
        <w:footnoteReference w:id="8"/>
      </w:r>
      <w:r>
        <w:t xml:space="preserve">. While transmission of her vita may have been slow due to the remote location of her church, spreading her Life to new audiences would ensure a flow of funds into the area through </w:t>
      </w:r>
      <w:r>
        <w:lastRenderedPageBreak/>
        <w:t>pilgrimage, which would have an impact on the wider area in terms of trade and hospitality. When considering the impact of a saint on their local area, it is impossible to separate the spiritual from the material, and it is likely that the continued economic boost to Pennant Melangell (and surrounding areas) has helped to preserve her vita.</w:t>
      </w:r>
    </w:p>
    <w:p w14:paraId="60D91AB0" w14:textId="77777777" w:rsidR="001C322D" w:rsidRDefault="001C322D" w:rsidP="001C322D">
      <w:pPr>
        <w:spacing w:line="360" w:lineRule="auto"/>
      </w:pPr>
      <w:r>
        <w:t xml:space="preserve">It is clear Melangell is closely attached to the land itself around Pennant, and thus it is natural that the intended audience of the </w:t>
      </w:r>
      <w:r>
        <w:rPr>
          <w:i/>
          <w:iCs/>
        </w:rPr>
        <w:t>Historia</w:t>
      </w:r>
      <w:r>
        <w:t xml:space="preserve"> would have known of Melangell and also taken to heart the warnings of the text around harming Melangell, as with the tradition of not killing hares within the parish boundary. </w:t>
      </w:r>
    </w:p>
    <w:p w14:paraId="03E1C6D4" w14:textId="77777777" w:rsidR="001C322D" w:rsidRPr="00164CA4" w:rsidRDefault="001C322D" w:rsidP="001C322D">
      <w:pPr>
        <w:spacing w:line="360" w:lineRule="auto"/>
      </w:pPr>
      <w:r>
        <w:t>However, the text itself is more than merely retelling the tale of a local saint and it does provide insight into the concerns of the author(s) at the time it was written. As Pryce states in his translation, these hagiographical texts are important as ‘cultural artefact[s] of the period of [their] composition’</w:t>
      </w:r>
      <w:r>
        <w:rPr>
          <w:rStyle w:val="FootnoteReference"/>
        </w:rPr>
        <w:footnoteReference w:id="9"/>
      </w:r>
      <w:r>
        <w:t>. It is curious that the text clearly refers to the ‘free tenants called abbots’</w:t>
      </w:r>
      <w:r>
        <w:rPr>
          <w:rStyle w:val="FootnoteReference"/>
        </w:rPr>
        <w:footnoteReference w:id="10"/>
      </w:r>
      <w:r>
        <w:t xml:space="preserve"> who are deemed to be the spiritual successors of Melangell and responsible for maintaining the sanctuary that Melangell herself is supposed to have established. The rights to land and legitimising the use of land for religious purposes or in service of religious communities was a contentious subject in the late middle ages and the impact of this is clearly seen in many hagiographical texts, which like Melangell’s </w:t>
      </w:r>
      <w:r>
        <w:rPr>
          <w:i/>
          <w:iCs/>
        </w:rPr>
        <w:t>Historia</w:t>
      </w:r>
      <w:r>
        <w:t xml:space="preserve"> use the history of the saint to justify their continued presence and legitimise ownership. </w:t>
      </w:r>
    </w:p>
    <w:p w14:paraId="07957448" w14:textId="77777777" w:rsidR="001C322D" w:rsidRDefault="001C322D" w:rsidP="001C322D">
      <w:pPr>
        <w:spacing w:line="360" w:lineRule="auto"/>
      </w:pPr>
      <w:r>
        <w:t xml:space="preserve">This is a common theme for vitae and </w:t>
      </w:r>
      <w:proofErr w:type="spellStart"/>
      <w:r>
        <w:rPr>
          <w:i/>
          <w:iCs/>
        </w:rPr>
        <w:t>bucheddau</w:t>
      </w:r>
      <w:proofErr w:type="spellEnd"/>
      <w:r>
        <w:t xml:space="preserve"> concerned with Welsh saints, as Jane Cartwright discusses in the introduction to </w:t>
      </w:r>
      <w:r w:rsidRPr="00327C2E">
        <w:rPr>
          <w:i/>
          <w:iCs/>
        </w:rPr>
        <w:t>Mary Magdalene and Her Sister Martha: An Edition and Translation of the Medieval Welsh Lives</w:t>
      </w:r>
      <w:r>
        <w:t xml:space="preserve">. She confirms that the </w:t>
      </w:r>
      <w:r>
        <w:rPr>
          <w:i/>
          <w:iCs/>
        </w:rPr>
        <w:t xml:space="preserve">Historia </w:t>
      </w:r>
      <w:r>
        <w:t>is ‘preoccupied with confirming the rights of sanctuary at Pennant Melangell rather than advertising the importance of Melangell’s twelfth-century Romanesque shrine and relics at her church’</w:t>
      </w:r>
      <w:r>
        <w:rPr>
          <w:rStyle w:val="FootnoteReference"/>
        </w:rPr>
        <w:footnoteReference w:id="11"/>
      </w:r>
      <w:r>
        <w:t xml:space="preserve">. This reinforcement at the end of the </w:t>
      </w:r>
      <w:r>
        <w:rPr>
          <w:i/>
          <w:iCs/>
        </w:rPr>
        <w:t>Historia</w:t>
      </w:r>
      <w:r>
        <w:t xml:space="preserve"> that ‘the said place of Pennant Melangell should be a perpetual sanctuary, asylum or most secure refuge of the wretched’</w:t>
      </w:r>
      <w:r>
        <w:rPr>
          <w:rStyle w:val="FootnoteReference"/>
        </w:rPr>
        <w:footnoteReference w:id="12"/>
      </w:r>
      <w:r>
        <w:t xml:space="preserve"> is, according to Pryce, ‘written in the interests… of the local laymen known as abbots who considered themselves to be the heirs of the saint’s lands and privileges’</w:t>
      </w:r>
      <w:r>
        <w:rPr>
          <w:rStyle w:val="FootnoteReference"/>
        </w:rPr>
        <w:footnoteReference w:id="13"/>
      </w:r>
      <w:r>
        <w:t xml:space="preserve">. </w:t>
      </w:r>
    </w:p>
    <w:p w14:paraId="4221F361" w14:textId="77777777" w:rsidR="001C322D" w:rsidRDefault="001C322D" w:rsidP="001C322D">
      <w:pPr>
        <w:spacing w:line="360" w:lineRule="auto"/>
      </w:pPr>
      <w:r>
        <w:lastRenderedPageBreak/>
        <w:t xml:space="preserve">It is impossible to consider Melangell’s life as a legitimate historical record given that the text itself is estimated to have been written many centuries after her death. This is in keeping with other hagiographical texts which like this one are designed to emphasise elements of the saint’s canon rather than provide an accurate historical detail of their lives. All vitae are formulaic and use familiar tropes and motifs which are shared between stories, and Melangell’s story is no exception to this rule. As Melangell is a female saint lines can immediately be drawn to other female saints of the same era- for example </w:t>
      </w:r>
      <w:proofErr w:type="spellStart"/>
      <w:r>
        <w:t>Gwenfrewy</w:t>
      </w:r>
      <w:proofErr w:type="spellEnd"/>
      <w:r>
        <w:t>, who is the only other female saint with an extant Latin vita, has several similar themes throughout.</w:t>
      </w:r>
    </w:p>
    <w:p w14:paraId="78F8BD99" w14:textId="273BB4F9" w:rsidR="00903589" w:rsidRPr="00903589" w:rsidRDefault="001C322D" w:rsidP="00903589">
      <w:pPr>
        <w:spacing w:line="360" w:lineRule="auto"/>
        <w:rPr>
          <w:iCs/>
        </w:rPr>
      </w:pPr>
      <w:r>
        <w:t>As Cartwright argues, the stories available to us of female saints and martyrs are generally chosen by their virginity, confirming ‘the usual hagiographic pattern of the martyred female saint who stoically refuses to marry a pagan suitor and then has to suffer an appalling array of tortures… to preserve her virginity and defend her Christian faith’</w:t>
      </w:r>
      <w:r>
        <w:rPr>
          <w:rStyle w:val="FootnoteReference"/>
        </w:rPr>
        <w:footnoteReference w:id="14"/>
      </w:r>
      <w:r>
        <w:t>. Rather than marrying a mortal man, these women generally consider themselves brides of Christ. Melangell too falls into this category, being ‘a true handmaiden of God’</w:t>
      </w:r>
      <w:r>
        <w:rPr>
          <w:rStyle w:val="FootnoteReference"/>
        </w:rPr>
        <w:footnoteReference w:id="15"/>
      </w:r>
      <w:r>
        <w:t xml:space="preserve">. Preservation of her virginity is a strong theme throughout the text, with repeated commentary on her nature as a virgin and her purity.  In ‘Dead Virgins: Feminine Sanctity in Medieval Wales’, Cartwright further argues that ‘for medieval Welsh society, the best kind of </w:t>
      </w:r>
      <w:r>
        <w:rPr>
          <w:i/>
          <w:iCs/>
        </w:rPr>
        <w:t xml:space="preserve">holy </w:t>
      </w:r>
      <w:r>
        <w:t xml:space="preserve">virgin was indeed a </w:t>
      </w:r>
      <w:r>
        <w:rPr>
          <w:i/>
          <w:iCs/>
        </w:rPr>
        <w:t>dead</w:t>
      </w:r>
      <w:r>
        <w:t xml:space="preserve"> virgin’</w:t>
      </w:r>
      <w:r>
        <w:rPr>
          <w:rStyle w:val="FootnoteReference"/>
        </w:rPr>
        <w:footnoteReference w:id="16"/>
      </w:r>
      <w:r>
        <w:t xml:space="preserve">. While alive, Melangell’s solitude maintains her sanctuary and her virginity, and as with all other female saints, her lifelong virginity could only truly </w:t>
      </w:r>
      <w:r>
        <w:rPr>
          <w:i/>
          <w:iCs/>
        </w:rPr>
        <w:t>be</w:t>
      </w:r>
      <w:r>
        <w:rPr>
          <w:iCs/>
        </w:rPr>
        <w:t xml:space="preserve"> lifelong after her death. </w:t>
      </w:r>
    </w:p>
    <w:p w14:paraId="798E8BC4" w14:textId="77777777" w:rsidR="00903589" w:rsidRPr="003968AB" w:rsidRDefault="00903589" w:rsidP="00903589">
      <w:pPr>
        <w:spacing w:line="360" w:lineRule="auto"/>
      </w:pPr>
      <w:r>
        <w:t xml:space="preserve">Another theme commonly found within hagiographies is that of the sole holy man or woman spending years alone in worship. Melangell lives in solitude; and claims to have not seen a man for fifteen years during her conversation with Brochwel </w:t>
      </w:r>
      <w:proofErr w:type="spellStart"/>
      <w:r>
        <w:t>Ysgithrog</w:t>
      </w:r>
      <w:proofErr w:type="spellEnd"/>
      <w:r>
        <w:t xml:space="preserve">. While not every woman would have been called to a life of solitude or permanent virginity, it was not wholly uncommon for there to be female hermits during the Middle Ages and later. Lloyd in his text </w:t>
      </w:r>
      <w:r>
        <w:rPr>
          <w:i/>
          <w:iCs/>
        </w:rPr>
        <w:t xml:space="preserve">A History of </w:t>
      </w:r>
      <w:r w:rsidRPr="003968AB">
        <w:t>Wales</w:t>
      </w:r>
      <w:r>
        <w:t xml:space="preserve"> </w:t>
      </w:r>
      <w:r w:rsidRPr="003968AB">
        <w:t>comments</w:t>
      </w:r>
      <w:r>
        <w:t xml:space="preserve"> ‘it is known that there were women anchorites, singular among all Welshwomen in that they also paid this “</w:t>
      </w:r>
      <w:proofErr w:type="spellStart"/>
      <w:r>
        <w:t>ebediw</w:t>
      </w:r>
      <w:proofErr w:type="spellEnd"/>
      <w:r>
        <w:t>” or heriot [tribute], which was otherwise only exacted from men’</w:t>
      </w:r>
      <w:r>
        <w:rPr>
          <w:rStyle w:val="FootnoteReference"/>
        </w:rPr>
        <w:footnoteReference w:id="17"/>
      </w:r>
      <w:r>
        <w:t xml:space="preserve">. Clearly it would not be so unusual for a woman to remain a virgin and dedicate herself to </w:t>
      </w:r>
      <w:r>
        <w:lastRenderedPageBreak/>
        <w:t xml:space="preserve">God, especially when considered alongside the other themes of virginity and sanctuary within the </w:t>
      </w:r>
      <w:r>
        <w:rPr>
          <w:i/>
          <w:iCs/>
        </w:rPr>
        <w:t>Historia</w:t>
      </w:r>
      <w:r>
        <w:t xml:space="preserve">. </w:t>
      </w:r>
    </w:p>
    <w:p w14:paraId="6C94E1B3" w14:textId="4B7A81EB" w:rsidR="00903589" w:rsidRDefault="00903589" w:rsidP="00903589">
      <w:pPr>
        <w:spacing w:line="360" w:lineRule="auto"/>
      </w:pPr>
      <w:r>
        <w:t xml:space="preserve">Notably, </w:t>
      </w:r>
      <w:r>
        <w:t>t</w:t>
      </w:r>
      <w:r>
        <w:t xml:space="preserve">he </w:t>
      </w:r>
      <w:r>
        <w:rPr>
          <w:i/>
          <w:iCs/>
        </w:rPr>
        <w:t xml:space="preserve">Historia </w:t>
      </w:r>
      <w:r>
        <w:t xml:space="preserve">lacks any </w:t>
      </w:r>
      <w:r>
        <w:t xml:space="preserve">intertextual links to other </w:t>
      </w:r>
      <w:proofErr w:type="spellStart"/>
      <w:r>
        <w:rPr>
          <w:i/>
          <w:iCs/>
        </w:rPr>
        <w:t>bucheddau</w:t>
      </w:r>
      <w:proofErr w:type="spellEnd"/>
      <w:r>
        <w:t xml:space="preserve"> or vitae. For example, information about the Celtic saint Non is mainly contained within the Life of St David, and St Beuno is a central part of St </w:t>
      </w:r>
      <w:proofErr w:type="spellStart"/>
      <w:r>
        <w:t>Gwenfrewy’s</w:t>
      </w:r>
      <w:proofErr w:type="spellEnd"/>
      <w:r>
        <w:t xml:space="preserve"> vita, bringing her back to life after her beheading. This lack of reference to other texts makes the </w:t>
      </w:r>
      <w:r>
        <w:rPr>
          <w:i/>
          <w:iCs/>
        </w:rPr>
        <w:t>Historia</w:t>
      </w:r>
      <w:r>
        <w:t xml:space="preserve"> quite unusual and it does stand out from the others due to this difference, with minimal relation to other texts. </w:t>
      </w:r>
    </w:p>
    <w:p w14:paraId="6B77E5E3" w14:textId="77777777" w:rsidR="00903589" w:rsidRDefault="00903589" w:rsidP="00903589">
      <w:pPr>
        <w:spacing w:line="360" w:lineRule="auto"/>
      </w:pPr>
      <w:r>
        <w:t xml:space="preserve">A final theme within the </w:t>
      </w:r>
      <w:r>
        <w:rPr>
          <w:i/>
          <w:iCs/>
        </w:rPr>
        <w:t>Historia</w:t>
      </w:r>
      <w:r>
        <w:t xml:space="preserve"> seen commonly in other vitae and </w:t>
      </w:r>
      <w:proofErr w:type="spellStart"/>
      <w:r>
        <w:t>bucheddau</w:t>
      </w:r>
      <w:proofErr w:type="spellEnd"/>
      <w:r>
        <w:t xml:space="preserve"> which is of note is the theme of divine retribution against transgressions. This is included in the </w:t>
      </w:r>
      <w:r>
        <w:rPr>
          <w:i/>
          <w:iCs/>
        </w:rPr>
        <w:t>Historia</w:t>
      </w:r>
      <w:r>
        <w:t xml:space="preserve"> as retribution against the sanctity of Pennant Melangell and the virgins Melangell had invited to live alongside her. The </w:t>
      </w:r>
      <w:r>
        <w:rPr>
          <w:i/>
          <w:iCs/>
        </w:rPr>
        <w:t>Historia</w:t>
      </w:r>
      <w:r>
        <w:t xml:space="preserve"> itself includes the information at the very end of the text: </w:t>
      </w:r>
    </w:p>
    <w:p w14:paraId="71BB1B11" w14:textId="77777777" w:rsidR="00903589" w:rsidRPr="00FA43B4" w:rsidRDefault="00903589" w:rsidP="00903589">
      <w:pPr>
        <w:spacing w:line="240" w:lineRule="auto"/>
        <w:ind w:left="397"/>
      </w:pPr>
      <w:r>
        <w:t xml:space="preserve">Then, as soon as the virgin </w:t>
      </w:r>
      <w:proofErr w:type="spellStart"/>
      <w:r>
        <w:t>Monacella</w:t>
      </w:r>
      <w:proofErr w:type="spellEnd"/>
      <w:r>
        <w:t xml:space="preserve"> herself departed from this life, a certain person by the name of Elise came to Pennant Melangell, who, desiring to ravish, seize and defile the same virgins, came to an end most wretchedly and perished suddenly.</w:t>
      </w:r>
      <w:r>
        <w:rPr>
          <w:rStyle w:val="FootnoteReference"/>
        </w:rPr>
        <w:footnoteReference w:id="18"/>
      </w:r>
    </w:p>
    <w:p w14:paraId="2F941F53" w14:textId="55745A92" w:rsidR="002A6C59" w:rsidRDefault="00903589" w:rsidP="00A91B45">
      <w:pPr>
        <w:spacing w:line="360" w:lineRule="auto"/>
      </w:pPr>
      <w:r>
        <w:t xml:space="preserve">While divine retribution is not necessarily an unfamiliar theme to many Christians who would have been familiar with the Bible, this is not as common in extant hagiographies from outside Wales. It could be argued that this theme is an addition to the </w:t>
      </w:r>
      <w:r>
        <w:rPr>
          <w:i/>
          <w:iCs/>
        </w:rPr>
        <w:t>Historia</w:t>
      </w:r>
      <w:r>
        <w:t xml:space="preserve"> as opposed to the main theme, due to the inclusion of this detail at the very end of the text, and with no real threat to Melangell directly. Unfortunately, without the original </w:t>
      </w:r>
      <w:r>
        <w:rPr>
          <w:i/>
          <w:iCs/>
        </w:rPr>
        <w:t>Historia Divae Monacellae</w:t>
      </w:r>
      <w:r>
        <w:t xml:space="preserve"> to refer to this is impossible to prove definitively</w:t>
      </w:r>
    </w:p>
    <w:p w14:paraId="591E53BE" w14:textId="77777777" w:rsidR="00A91B45" w:rsidRPr="005E7FA3" w:rsidRDefault="00A91B45" w:rsidP="00A91B45">
      <w:pPr>
        <w:spacing w:line="360" w:lineRule="auto"/>
      </w:pPr>
      <w:r>
        <w:t>There are many themes within this text which link to the wider canon of Welsh hagiographical texts. This is demonstrable in the building blocks used to tell Melangell’s story</w:t>
      </w:r>
      <w:r>
        <w:rPr>
          <w:i/>
          <w:iCs/>
        </w:rPr>
        <w:t>,</w:t>
      </w:r>
      <w:r>
        <w:t xml:space="preserve"> in particular the themes of solitude and female virginity. It is therefore plausible that the ultimate expectations of the </w:t>
      </w:r>
      <w:r>
        <w:rPr>
          <w:i/>
          <w:iCs/>
        </w:rPr>
        <w:t>Historia</w:t>
      </w:r>
      <w:r>
        <w:t xml:space="preserve"> are similar to other vitae, most importantly the attempts to legitimise an area of land in the name of the saint. A large proportion of the text is dedicated to the legitimacy of the lands around Pennant Melangell being used for religious purposes and this is in line with the attempts made in other texts to legitimise land usage. </w:t>
      </w:r>
    </w:p>
    <w:p w14:paraId="7B7F7D3B" w14:textId="77777777" w:rsidR="00A91B45" w:rsidRPr="00B67D2B" w:rsidRDefault="00A91B45" w:rsidP="00A91B45">
      <w:pPr>
        <w:spacing w:line="360" w:lineRule="auto"/>
      </w:pPr>
      <w:r>
        <w:t xml:space="preserve">However, this text does hold some significant differences from the other vitae in existence from this period. The most notable of these differences is related to the retribution against those who would insult or attack the saint, with Melangell’s ‘retribution’ insinuated as coming from God. This differs from other hagiographies which focus more on the attacker and their actions against </w:t>
      </w:r>
      <w:r>
        <w:lastRenderedPageBreak/>
        <w:t xml:space="preserve">the saint directly and generally go into more detail about their (generally violent) demise. Current consensus acknowledges the source from the text as likely taken from sermons given in the church itself, before being committed in writing later. Certainly, in comparison to other texts the story is less polished and has less of the narrative flair that can be found, for example, in Gregory’s translation of the </w:t>
      </w:r>
      <w:r>
        <w:rPr>
          <w:i/>
          <w:iCs/>
        </w:rPr>
        <w:t xml:space="preserve">Vita S. </w:t>
      </w:r>
      <w:proofErr w:type="spellStart"/>
      <w:r>
        <w:rPr>
          <w:i/>
          <w:iCs/>
        </w:rPr>
        <w:t>Wenefrede</w:t>
      </w:r>
      <w:proofErr w:type="spellEnd"/>
      <w:r>
        <w:rPr>
          <w:rStyle w:val="FootnoteReference"/>
          <w:i/>
          <w:iCs/>
        </w:rPr>
        <w:footnoteReference w:id="19"/>
      </w:r>
      <w:r>
        <w:t xml:space="preserve">. This lack of narration may be in part down to the localised cult of St Melangell; unlike other saints, Melangell’s cult had not spread far across Wales. </w:t>
      </w:r>
    </w:p>
    <w:p w14:paraId="64F43F23" w14:textId="77777777" w:rsidR="00A91B45" w:rsidRPr="006B758E" w:rsidRDefault="00A91B45" w:rsidP="00A91B45">
      <w:pPr>
        <w:spacing w:line="360" w:lineRule="auto"/>
      </w:pPr>
      <w:r>
        <w:t xml:space="preserve">These differences help to highlight the influence these other vitae have had on the </w:t>
      </w:r>
      <w:r>
        <w:rPr>
          <w:i/>
          <w:iCs/>
        </w:rPr>
        <w:t>Historia</w:t>
      </w:r>
      <w:r>
        <w:t xml:space="preserve"> during its creation as familiar motifs and ideals are highlighted in the text. Overall the </w:t>
      </w:r>
      <w:r>
        <w:rPr>
          <w:i/>
          <w:iCs/>
        </w:rPr>
        <w:t>Historia Divae Monacellae</w:t>
      </w:r>
      <w:r>
        <w:t xml:space="preserve"> forms an important part of the wider history of hagiographies for saints from the Middle Ages, as well as having its own individual value as a history of St Melangell. </w:t>
      </w:r>
    </w:p>
    <w:p w14:paraId="27074E86" w14:textId="5EEA4B92" w:rsidR="006E6C7A" w:rsidRDefault="006E6C7A"/>
    <w:p w14:paraId="79AE07EC" w14:textId="47852AA6" w:rsidR="006E6C7A" w:rsidRDefault="00A91B45">
      <w:r>
        <w:br w:type="page"/>
      </w:r>
    </w:p>
    <w:p w14:paraId="17C4A335" w14:textId="52B27CB9" w:rsidR="00B968F3" w:rsidRDefault="00B968F3" w:rsidP="00B968F3">
      <w:pPr>
        <w:jc w:val="center"/>
        <w:rPr>
          <w:u w:val="single"/>
        </w:rPr>
      </w:pPr>
      <w:r>
        <w:rPr>
          <w:u w:val="single"/>
        </w:rPr>
        <w:lastRenderedPageBreak/>
        <w:t xml:space="preserve">Bibliography </w:t>
      </w:r>
    </w:p>
    <w:p w14:paraId="0F6D7B52" w14:textId="5C0158D1" w:rsidR="00903589" w:rsidRDefault="00903589" w:rsidP="00B968F3">
      <w:r w:rsidRPr="00903589">
        <w:t>Cartwright,</w:t>
      </w:r>
      <w:r>
        <w:t xml:space="preserve"> Jane,</w:t>
      </w:r>
      <w:r w:rsidRPr="00903589">
        <w:t xml:space="preserve"> ‘Dead Virgins: Feminine Sanctity In Medieval Wales’, </w:t>
      </w:r>
      <w:r w:rsidRPr="00903589">
        <w:rPr>
          <w:i/>
          <w:iCs/>
        </w:rPr>
        <w:t xml:space="preserve">Medium </w:t>
      </w:r>
      <w:proofErr w:type="spellStart"/>
      <w:r w:rsidRPr="00903589">
        <w:rPr>
          <w:i/>
          <w:iCs/>
        </w:rPr>
        <w:t>Ævum</w:t>
      </w:r>
      <w:proofErr w:type="spellEnd"/>
      <w:r w:rsidRPr="00903589">
        <w:t>, 71(1) (2002), pp. 1-28.</w:t>
      </w:r>
    </w:p>
    <w:p w14:paraId="7806D44C" w14:textId="5A769C99" w:rsidR="00903589" w:rsidRPr="00903589" w:rsidRDefault="00903589" w:rsidP="00903589">
      <w:r w:rsidRPr="00903589">
        <w:t xml:space="preserve">Cartwright, Jane, </w:t>
      </w:r>
      <w:r w:rsidRPr="00903589">
        <w:rPr>
          <w:i/>
          <w:iCs/>
        </w:rPr>
        <w:t>Mary Magdalene and Her Sister Martha: An Edition and Translation of the Medieval Welsh Lives</w:t>
      </w:r>
      <w:r w:rsidRPr="00903589">
        <w:t>, (Washington, D.C.: The Catholic University of America Press, 2013)</w:t>
      </w:r>
      <w:r>
        <w:t>.</w:t>
      </w:r>
    </w:p>
    <w:p w14:paraId="45E3E606" w14:textId="77777777" w:rsidR="00903589" w:rsidRPr="00903589" w:rsidRDefault="00903589" w:rsidP="00903589">
      <w:r w:rsidRPr="00903589">
        <w:t xml:space="preserve">Gregory, James Ryan, ‘The Life Of St. Winifred: The </w:t>
      </w:r>
      <w:r w:rsidRPr="00903589">
        <w:rPr>
          <w:i/>
          <w:iCs/>
        </w:rPr>
        <w:t xml:space="preserve">Vita S. </w:t>
      </w:r>
      <w:proofErr w:type="spellStart"/>
      <w:r w:rsidRPr="00903589">
        <w:rPr>
          <w:i/>
          <w:iCs/>
        </w:rPr>
        <w:t>Wenefrede</w:t>
      </w:r>
      <w:proofErr w:type="spellEnd"/>
      <w:r w:rsidRPr="00903589">
        <w:t xml:space="preserve"> From BL Lansdowne MS 436’, </w:t>
      </w:r>
      <w:r w:rsidRPr="00903589">
        <w:rPr>
          <w:i/>
          <w:iCs/>
        </w:rPr>
        <w:t>Medieval Feminist Forum</w:t>
      </w:r>
      <w:r w:rsidRPr="00903589">
        <w:t xml:space="preserve">, 4 (2016), pp. 1-57. &lt;URL: </w:t>
      </w:r>
      <w:hyperlink r:id="rId6" w:history="1">
        <w:r w:rsidRPr="00903589">
          <w:rPr>
            <w:rStyle w:val="Hyperlink"/>
            <w:color w:val="156082" w:themeColor="accent1"/>
          </w:rPr>
          <w:t>https://scholarworks.wmich.edu/cgi/viewcontent.cgi?article=2033&amp;context=mff</w:t>
        </w:r>
      </w:hyperlink>
      <w:r w:rsidRPr="00903589">
        <w:t>&gt;, [Accessed: 28 February 2024].</w:t>
      </w:r>
    </w:p>
    <w:p w14:paraId="26ACF31F" w14:textId="77777777" w:rsidR="00903589" w:rsidRPr="00903589" w:rsidRDefault="00903589" w:rsidP="00903589">
      <w:r w:rsidRPr="00903589">
        <w:t xml:space="preserve">Keulemans, Michael and Lewis Burton, ‘Sacred Place And Pilgrimage: Modern Visitors To The Shrine Of St Melangell’ </w:t>
      </w:r>
      <w:r w:rsidRPr="00903589">
        <w:rPr>
          <w:i/>
          <w:iCs/>
        </w:rPr>
        <w:t xml:space="preserve">Rural Theology, </w:t>
      </w:r>
      <w:r w:rsidRPr="00903589">
        <w:t>4(2) (2006) pp. 99-110. &lt;DOI: 10.1179/rut_2006_4_2_003&gt;, [Accessed: 26 February 2024].</w:t>
      </w:r>
    </w:p>
    <w:p w14:paraId="47EA7F16" w14:textId="77777777" w:rsidR="00903589" w:rsidRPr="00903589" w:rsidRDefault="00903589" w:rsidP="00903589">
      <w:pPr>
        <w:rPr>
          <w:i/>
          <w:iCs/>
        </w:rPr>
      </w:pPr>
      <w:r w:rsidRPr="00903589">
        <w:t xml:space="preserve">Lloyd, John Edward, </w:t>
      </w:r>
      <w:r w:rsidRPr="00903589">
        <w:rPr>
          <w:i/>
          <w:iCs/>
        </w:rPr>
        <w:t xml:space="preserve">A History of Wales From The Earliest Times To The Edwardian Conquest, </w:t>
      </w:r>
      <w:r w:rsidRPr="00903589">
        <w:t>(London: Longmans, Green and Co, 1911)</w:t>
      </w:r>
      <w:r w:rsidRPr="00903589">
        <w:rPr>
          <w:i/>
          <w:iCs/>
        </w:rPr>
        <w:t>.</w:t>
      </w:r>
    </w:p>
    <w:p w14:paraId="0E83F97C" w14:textId="1D2503C8" w:rsidR="00903589" w:rsidRPr="00903589" w:rsidRDefault="00903589" w:rsidP="00B968F3">
      <w:pPr>
        <w:rPr>
          <w:i/>
          <w:iCs/>
        </w:rPr>
      </w:pPr>
      <w:r w:rsidRPr="00903589">
        <w:rPr>
          <w:shd w:val="clear" w:color="auto" w:fill="FFFFFF"/>
        </w:rPr>
        <w:t>Murphy, Luke John and Carly Ameen, ‘The Shifting Baselines of the British Hare Goddess’, </w:t>
      </w:r>
      <w:r w:rsidRPr="00903589">
        <w:rPr>
          <w:i/>
          <w:iCs/>
          <w:shd w:val="clear" w:color="auto" w:fill="FFFFFF"/>
        </w:rPr>
        <w:t>Open Archaeology</w:t>
      </w:r>
      <w:r w:rsidRPr="00903589">
        <w:rPr>
          <w:shd w:val="clear" w:color="auto" w:fill="FFFFFF"/>
        </w:rPr>
        <w:t>, vol. 6, no. 1, 2020, pp. 214-235. &lt;</w:t>
      </w:r>
      <w:hyperlink r:id="rId7" w:history="1">
        <w:r w:rsidRPr="00903589">
          <w:rPr>
            <w:rStyle w:val="Hyperlink"/>
            <w:color w:val="156082" w:themeColor="accent1"/>
            <w:shd w:val="clear" w:color="auto" w:fill="FFFFFF"/>
          </w:rPr>
          <w:t>https://doi.org/10.1515/opar-2020-0109</w:t>
        </w:r>
      </w:hyperlink>
      <w:r w:rsidRPr="00903589">
        <w:t>&gt;, [Accessed: 23 February 2024].</w:t>
      </w:r>
    </w:p>
    <w:p w14:paraId="47D6A32C" w14:textId="18E7CB43" w:rsidR="00E472A9" w:rsidRDefault="00A91B45" w:rsidP="00B968F3">
      <w:r w:rsidRPr="00903589">
        <w:t>Pryce</w:t>
      </w:r>
      <w:r w:rsidRPr="00903589">
        <w:t>, H.</w:t>
      </w:r>
      <w:r w:rsidRPr="00903589">
        <w:t xml:space="preserve"> ‘A New Edition Of The </w:t>
      </w:r>
      <w:r w:rsidRPr="00903589">
        <w:rPr>
          <w:i/>
          <w:iCs/>
        </w:rPr>
        <w:t>Historia Divae Monacellae</w:t>
      </w:r>
      <w:r w:rsidRPr="00903589">
        <w:t xml:space="preserve">’, </w:t>
      </w:r>
      <w:r w:rsidRPr="00903589">
        <w:rPr>
          <w:i/>
          <w:iCs/>
        </w:rPr>
        <w:t>The Montgomeryshire Collections: Relating To Montgomeryshire And Its Borders</w:t>
      </w:r>
      <w:r w:rsidRPr="00903589">
        <w:t>, 82 (1994) p</w:t>
      </w:r>
      <w:r w:rsidRPr="00903589">
        <w:t xml:space="preserve">p. 23-40. &lt;URL: </w:t>
      </w:r>
      <w:hyperlink r:id="rId8" w:history="1">
        <w:r w:rsidRPr="00903589">
          <w:rPr>
            <w:rStyle w:val="Hyperlink"/>
            <w:color w:val="156082" w:themeColor="accent1"/>
          </w:rPr>
          <w:t>http://hdl.handle.net/10107/1271085</w:t>
        </w:r>
      </w:hyperlink>
      <w:r w:rsidRPr="00903589">
        <w:t>&gt;, [Accessed: 2</w:t>
      </w:r>
      <w:r w:rsidR="002A6C59" w:rsidRPr="00903589">
        <w:t>1</w:t>
      </w:r>
      <w:r w:rsidRPr="00903589">
        <w:t xml:space="preserve"> February 2024].</w:t>
      </w:r>
    </w:p>
    <w:p w14:paraId="3F4D9B8F" w14:textId="37967FFF" w:rsidR="00903589" w:rsidRPr="00903589" w:rsidRDefault="00903589" w:rsidP="00B968F3">
      <w:r w:rsidRPr="00903589">
        <w:t xml:space="preserve">Radford, C. A. and W. J. Hemp, ‘Pennant Melangell: The Church And The Shrine’, </w:t>
      </w:r>
      <w:proofErr w:type="spellStart"/>
      <w:r w:rsidRPr="00903589">
        <w:rPr>
          <w:i/>
          <w:iCs/>
        </w:rPr>
        <w:t>Archaeologia</w:t>
      </w:r>
      <w:proofErr w:type="spellEnd"/>
      <w:r w:rsidRPr="00903589">
        <w:rPr>
          <w:i/>
          <w:iCs/>
        </w:rPr>
        <w:t xml:space="preserve"> </w:t>
      </w:r>
      <w:proofErr w:type="spellStart"/>
      <w:r w:rsidRPr="00903589">
        <w:rPr>
          <w:i/>
          <w:iCs/>
        </w:rPr>
        <w:t>Cambrensis</w:t>
      </w:r>
      <w:proofErr w:type="spellEnd"/>
      <w:r w:rsidRPr="00903589">
        <w:t xml:space="preserve">, 108 (1959), 81-114. &lt;URL: </w:t>
      </w:r>
      <w:hyperlink r:id="rId9" w:history="1">
        <w:r w:rsidRPr="00903589">
          <w:rPr>
            <w:rStyle w:val="Hyperlink"/>
            <w:color w:val="156082" w:themeColor="accent1"/>
          </w:rPr>
          <w:t>https://journals.library.wales/view/4718179/4742843/141#?xywh=-97%2C-923%2C3260%2C4591&amp;cv=141</w:t>
        </w:r>
      </w:hyperlink>
      <w:r w:rsidRPr="00903589">
        <w:t>&gt;, [Accessed: 21 February 2024].</w:t>
      </w:r>
    </w:p>
    <w:p w14:paraId="3F08639F" w14:textId="05D39D78" w:rsidR="00A91B45" w:rsidRPr="00903589" w:rsidRDefault="00A91B45" w:rsidP="00B968F3">
      <w:r w:rsidRPr="00903589">
        <w:t>Thacker,</w:t>
      </w:r>
      <w:r w:rsidRPr="00903589">
        <w:t xml:space="preserve"> A.,</w:t>
      </w:r>
      <w:r w:rsidRPr="00903589">
        <w:t xml:space="preserve"> ‘</w:t>
      </w:r>
      <w:proofErr w:type="spellStart"/>
      <w:r w:rsidRPr="00903589">
        <w:t>Loca</w:t>
      </w:r>
      <w:proofErr w:type="spellEnd"/>
      <w:r w:rsidRPr="00903589">
        <w:t xml:space="preserve"> Sanctorum: The Significance Of Place In The Study Of The Saints’ in</w:t>
      </w:r>
      <w:r w:rsidRPr="00903589">
        <w:t xml:space="preserve"> Thacker, A. and R. Sharpe (ed.)</w:t>
      </w:r>
      <w:r w:rsidRPr="00903589">
        <w:t xml:space="preserve"> </w:t>
      </w:r>
      <w:r w:rsidRPr="00903589">
        <w:rPr>
          <w:i/>
          <w:iCs/>
        </w:rPr>
        <w:t>Local Saints And Local Churches In The Early Medieval West</w:t>
      </w:r>
      <w:r w:rsidRPr="00903589">
        <w:t xml:space="preserve"> (Oxford: Oxford University Press, 2002)</w:t>
      </w:r>
      <w:r w:rsidRPr="00903589">
        <w:t>.</w:t>
      </w:r>
    </w:p>
    <w:sectPr w:rsidR="00A91B45" w:rsidRPr="0090358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B4813" w14:textId="77777777" w:rsidR="00564DD4" w:rsidRDefault="00564DD4" w:rsidP="00B968F3">
      <w:pPr>
        <w:spacing w:after="0" w:line="240" w:lineRule="auto"/>
      </w:pPr>
      <w:r>
        <w:separator/>
      </w:r>
    </w:p>
  </w:endnote>
  <w:endnote w:type="continuationSeparator" w:id="0">
    <w:p w14:paraId="7B8BD90E" w14:textId="77777777" w:rsidR="00564DD4" w:rsidRDefault="00564DD4" w:rsidP="00B96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9C0B6" w14:textId="77777777" w:rsidR="00564DD4" w:rsidRDefault="00564DD4" w:rsidP="00B968F3">
      <w:pPr>
        <w:spacing w:after="0" w:line="240" w:lineRule="auto"/>
      </w:pPr>
      <w:r>
        <w:separator/>
      </w:r>
    </w:p>
  </w:footnote>
  <w:footnote w:type="continuationSeparator" w:id="0">
    <w:p w14:paraId="76A8263E" w14:textId="77777777" w:rsidR="00564DD4" w:rsidRDefault="00564DD4" w:rsidP="00B968F3">
      <w:pPr>
        <w:spacing w:after="0" w:line="240" w:lineRule="auto"/>
      </w:pPr>
      <w:r>
        <w:continuationSeparator/>
      </w:r>
    </w:p>
  </w:footnote>
  <w:footnote w:id="1">
    <w:p w14:paraId="547ACBAC" w14:textId="77777777" w:rsidR="002A6C59" w:rsidRDefault="002A6C59" w:rsidP="002A6C59">
      <w:pPr>
        <w:pStyle w:val="FootnoteText"/>
      </w:pPr>
      <w:r>
        <w:rPr>
          <w:rStyle w:val="FootnoteReference"/>
        </w:rPr>
        <w:footnoteRef/>
      </w:r>
      <w:r>
        <w:t xml:space="preserve"> </w:t>
      </w:r>
      <w:bookmarkStart w:id="0" w:name="_Hlk161240142"/>
      <w:r>
        <w:t xml:space="preserve">H. Pryce, ‘A New Edition Of The </w:t>
      </w:r>
      <w:r>
        <w:rPr>
          <w:i/>
          <w:iCs/>
        </w:rPr>
        <w:t>Historia Divae Monacellae</w:t>
      </w:r>
      <w:r>
        <w:t xml:space="preserve">’, </w:t>
      </w:r>
      <w:r>
        <w:rPr>
          <w:i/>
          <w:iCs/>
        </w:rPr>
        <w:t>The Montgomeryshire Collections: Relating To Montgomeryshire And Its Borders</w:t>
      </w:r>
      <w:r>
        <w:t xml:space="preserve">, 82 (1994) p. 24. </w:t>
      </w:r>
      <w:bookmarkEnd w:id="0"/>
    </w:p>
  </w:footnote>
  <w:footnote w:id="2">
    <w:p w14:paraId="05E47090" w14:textId="77777777" w:rsidR="002A6C59" w:rsidRDefault="002A6C59" w:rsidP="002A6C59">
      <w:pPr>
        <w:pStyle w:val="FootnoteText"/>
      </w:pPr>
      <w:r>
        <w:rPr>
          <w:rStyle w:val="FootnoteReference"/>
        </w:rPr>
        <w:footnoteRef/>
      </w:r>
      <w:r>
        <w:t xml:space="preserve"> C. A. Radford and W. J. Hemp, ‘Pennant Melangell: The Church And The Shrine’, </w:t>
      </w:r>
      <w:proofErr w:type="spellStart"/>
      <w:r w:rsidRPr="00B12117">
        <w:rPr>
          <w:i/>
          <w:iCs/>
        </w:rPr>
        <w:t>Archaeologia</w:t>
      </w:r>
      <w:proofErr w:type="spellEnd"/>
      <w:r w:rsidRPr="00B12117">
        <w:rPr>
          <w:i/>
          <w:iCs/>
        </w:rPr>
        <w:t xml:space="preserve"> </w:t>
      </w:r>
      <w:proofErr w:type="spellStart"/>
      <w:r w:rsidRPr="00B12117">
        <w:rPr>
          <w:i/>
          <w:iCs/>
        </w:rPr>
        <w:t>Cambrensis</w:t>
      </w:r>
      <w:proofErr w:type="spellEnd"/>
      <w:r>
        <w:t xml:space="preserve">, 108 (1959), 81-114 (p. 82). </w:t>
      </w:r>
    </w:p>
  </w:footnote>
  <w:footnote w:id="3">
    <w:p w14:paraId="4DC325AD" w14:textId="77777777" w:rsidR="00F303CE" w:rsidRDefault="00F303CE" w:rsidP="00F303CE">
      <w:pPr>
        <w:pStyle w:val="FootnoteText"/>
      </w:pPr>
      <w:r>
        <w:rPr>
          <w:rStyle w:val="FootnoteReference"/>
        </w:rPr>
        <w:footnoteRef/>
      </w:r>
      <w:r>
        <w:t xml:space="preserve"> H. Pryce, ‘A New Edition Of The </w:t>
      </w:r>
      <w:r>
        <w:rPr>
          <w:i/>
          <w:iCs/>
        </w:rPr>
        <w:t>Historia Divae Monacellae</w:t>
      </w:r>
      <w:r>
        <w:t>’, p. 26.</w:t>
      </w:r>
    </w:p>
  </w:footnote>
  <w:footnote w:id="4">
    <w:p w14:paraId="56A59716" w14:textId="77777777" w:rsidR="00F303CE" w:rsidRPr="00DF7133" w:rsidRDefault="00F303CE" w:rsidP="00F303CE">
      <w:pPr>
        <w:pStyle w:val="FootnoteText"/>
      </w:pPr>
      <w:r>
        <w:rPr>
          <w:rStyle w:val="FootnoteReference"/>
        </w:rPr>
        <w:footnoteRef/>
      </w:r>
      <w:r>
        <w:t xml:space="preserve"> </w:t>
      </w:r>
      <w:bookmarkStart w:id="1" w:name="_Hlk161240950"/>
      <w:r>
        <w:t>A. Thacker, ‘</w:t>
      </w:r>
      <w:proofErr w:type="spellStart"/>
      <w:r>
        <w:t>Loca</w:t>
      </w:r>
      <w:proofErr w:type="spellEnd"/>
      <w:r>
        <w:t xml:space="preserve"> Sanctorum: The Significance Of Place In The Study Of The Saints’ in </w:t>
      </w:r>
      <w:r>
        <w:rPr>
          <w:i/>
          <w:iCs/>
        </w:rPr>
        <w:t xml:space="preserve">Local Saints And Local Churches In The Early Medieval West </w:t>
      </w:r>
      <w:r>
        <w:t xml:space="preserve">ed by A. Thacker and R. Sharpe (Oxford: Oxford University Press, 2002), pp. 1-43 (p. 1). </w:t>
      </w:r>
      <w:bookmarkEnd w:id="1"/>
    </w:p>
  </w:footnote>
  <w:footnote w:id="5">
    <w:p w14:paraId="29A213B7" w14:textId="77777777" w:rsidR="00F303CE" w:rsidRDefault="00F303CE" w:rsidP="00F303CE">
      <w:pPr>
        <w:pStyle w:val="FootnoteText"/>
      </w:pPr>
      <w:r>
        <w:rPr>
          <w:rStyle w:val="FootnoteReference"/>
        </w:rPr>
        <w:footnoteRef/>
      </w:r>
      <w:r>
        <w:t xml:space="preserve"> Thacker, p.30.</w:t>
      </w:r>
    </w:p>
  </w:footnote>
  <w:footnote w:id="6">
    <w:p w14:paraId="61B8A806" w14:textId="77777777" w:rsidR="00F303CE" w:rsidRDefault="00F303CE" w:rsidP="00F303CE">
      <w:pPr>
        <w:pStyle w:val="FootnoteText"/>
      </w:pPr>
      <w:r>
        <w:rPr>
          <w:rStyle w:val="FootnoteReference"/>
        </w:rPr>
        <w:footnoteRef/>
      </w:r>
      <w:r>
        <w:t xml:space="preserve"> C. A. Radford and W. J. Hemp, ‘Pennant Melangell: The Church And The Shrine’, p. 82. </w:t>
      </w:r>
    </w:p>
  </w:footnote>
  <w:footnote w:id="7">
    <w:p w14:paraId="0412DF1A" w14:textId="77777777" w:rsidR="00F303CE" w:rsidRPr="009614E9" w:rsidRDefault="00F303CE" w:rsidP="00F303CE">
      <w:pPr>
        <w:pStyle w:val="FootnoteText"/>
      </w:pPr>
      <w:r>
        <w:rPr>
          <w:rStyle w:val="FootnoteReference"/>
        </w:rPr>
        <w:footnoteRef/>
      </w:r>
      <w:r>
        <w:t xml:space="preserve"> </w:t>
      </w:r>
      <w:bookmarkStart w:id="2" w:name="_Hlk161240416"/>
      <w:r>
        <w:t xml:space="preserve">Michael Keulemans &amp; Lewis Burton, ‘Sacred Place And Pilgrimage: Modern Visitors To The Shrine OF At Melangell’ </w:t>
      </w:r>
      <w:r>
        <w:rPr>
          <w:i/>
          <w:iCs/>
        </w:rPr>
        <w:t xml:space="preserve">Rural Theology, </w:t>
      </w:r>
      <w:r>
        <w:t xml:space="preserve">4(2), p. 107. </w:t>
      </w:r>
      <w:bookmarkEnd w:id="2"/>
    </w:p>
  </w:footnote>
  <w:footnote w:id="8">
    <w:p w14:paraId="630591A7" w14:textId="77777777" w:rsidR="00F303CE" w:rsidRDefault="00F303CE" w:rsidP="00F303CE">
      <w:pPr>
        <w:pStyle w:val="FootnoteText"/>
      </w:pPr>
      <w:r>
        <w:rPr>
          <w:rStyle w:val="FootnoteReference"/>
        </w:rPr>
        <w:footnoteRef/>
      </w:r>
      <w:r>
        <w:t xml:space="preserve"> Michael Keulemans &amp; Lewis Burton, ‘Sacred Place And Pilgrimage: Modern Visitors To The Shrine OF At Melangell’, p.101.</w:t>
      </w:r>
    </w:p>
  </w:footnote>
  <w:footnote w:id="9">
    <w:p w14:paraId="0B9AA9A7" w14:textId="77777777" w:rsidR="001C322D" w:rsidRDefault="001C322D" w:rsidP="001C322D">
      <w:pPr>
        <w:pStyle w:val="FootnoteText"/>
      </w:pPr>
      <w:r>
        <w:rPr>
          <w:rStyle w:val="FootnoteReference"/>
        </w:rPr>
        <w:footnoteRef/>
      </w:r>
      <w:r>
        <w:t xml:space="preserve"> H. Pryce, ‘A New Edition Of The </w:t>
      </w:r>
      <w:r>
        <w:rPr>
          <w:i/>
          <w:iCs/>
        </w:rPr>
        <w:t>Historia Divae Monacellae</w:t>
      </w:r>
      <w:r>
        <w:t>’, p.36.</w:t>
      </w:r>
    </w:p>
  </w:footnote>
  <w:footnote w:id="10">
    <w:p w14:paraId="476B27AF" w14:textId="77777777" w:rsidR="001C322D" w:rsidRDefault="001C322D" w:rsidP="001C322D">
      <w:pPr>
        <w:pStyle w:val="FootnoteText"/>
      </w:pPr>
      <w:r>
        <w:rPr>
          <w:rStyle w:val="FootnoteReference"/>
        </w:rPr>
        <w:footnoteRef/>
      </w:r>
      <w:r>
        <w:t xml:space="preserve"> H. Pryce, ‘A New Edition Of The </w:t>
      </w:r>
      <w:r>
        <w:rPr>
          <w:i/>
          <w:iCs/>
        </w:rPr>
        <w:t>Historia Divae Monacellae</w:t>
      </w:r>
      <w:r>
        <w:t>’, p. 40.</w:t>
      </w:r>
    </w:p>
  </w:footnote>
  <w:footnote w:id="11">
    <w:p w14:paraId="74DE515E" w14:textId="77777777" w:rsidR="001C322D" w:rsidRDefault="001C322D" w:rsidP="001C322D">
      <w:pPr>
        <w:pStyle w:val="FootnoteText"/>
      </w:pPr>
      <w:r>
        <w:rPr>
          <w:rStyle w:val="FootnoteReference"/>
        </w:rPr>
        <w:footnoteRef/>
      </w:r>
      <w:r>
        <w:t xml:space="preserve"> </w:t>
      </w:r>
      <w:bookmarkStart w:id="3" w:name="_Hlk161258916"/>
      <w:r>
        <w:t xml:space="preserve">Jane Cartwright, </w:t>
      </w:r>
      <w:r w:rsidRPr="00327C2E">
        <w:rPr>
          <w:i/>
          <w:iCs/>
        </w:rPr>
        <w:t>Mary Magdalene and Her Sister Martha: An Edition and Translation of the Medieval Welsh Lives</w:t>
      </w:r>
      <w:r>
        <w:t xml:space="preserve">, (Washington, D.C.: The Catholic University of America Press, 2013) </w:t>
      </w:r>
      <w:bookmarkEnd w:id="3"/>
      <w:r>
        <w:t>p. 8.</w:t>
      </w:r>
    </w:p>
  </w:footnote>
  <w:footnote w:id="12">
    <w:p w14:paraId="0FE47977" w14:textId="77777777" w:rsidR="001C322D" w:rsidRDefault="001C322D" w:rsidP="001C322D">
      <w:pPr>
        <w:pStyle w:val="FootnoteText"/>
      </w:pPr>
      <w:r>
        <w:rPr>
          <w:rStyle w:val="FootnoteReference"/>
        </w:rPr>
        <w:footnoteRef/>
      </w:r>
      <w:r>
        <w:t xml:space="preserve"> H. Pryce, ‘A New Edition Of The </w:t>
      </w:r>
      <w:r>
        <w:rPr>
          <w:i/>
          <w:iCs/>
        </w:rPr>
        <w:t>Historia Divae Monacellae</w:t>
      </w:r>
      <w:r>
        <w:t>’, p. 40.</w:t>
      </w:r>
    </w:p>
  </w:footnote>
  <w:footnote w:id="13">
    <w:p w14:paraId="4B147683" w14:textId="77777777" w:rsidR="001C322D" w:rsidRDefault="001C322D" w:rsidP="001C322D">
      <w:pPr>
        <w:pStyle w:val="FootnoteText"/>
      </w:pPr>
      <w:r>
        <w:rPr>
          <w:rStyle w:val="FootnoteReference"/>
        </w:rPr>
        <w:footnoteRef/>
      </w:r>
      <w:r>
        <w:t xml:space="preserve"> H. Pryce, ‘A New Edition Of The </w:t>
      </w:r>
      <w:r>
        <w:rPr>
          <w:i/>
          <w:iCs/>
        </w:rPr>
        <w:t>Historia Divae Monacellae</w:t>
      </w:r>
      <w:r>
        <w:t>’, p.32.</w:t>
      </w:r>
    </w:p>
  </w:footnote>
  <w:footnote w:id="14">
    <w:p w14:paraId="4D8D20E7" w14:textId="77777777" w:rsidR="001C322D" w:rsidRDefault="001C322D" w:rsidP="001C322D">
      <w:pPr>
        <w:pStyle w:val="FootnoteText"/>
      </w:pPr>
      <w:r>
        <w:rPr>
          <w:rStyle w:val="FootnoteReference"/>
        </w:rPr>
        <w:footnoteRef/>
      </w:r>
      <w:r>
        <w:t xml:space="preserve"> Cartwright, </w:t>
      </w:r>
      <w:r w:rsidRPr="00752F82">
        <w:rPr>
          <w:i/>
          <w:iCs/>
        </w:rPr>
        <w:t>Mary Magdalene and Her Sister Martha: An Edition and Translation of the Medieval Welsh Lives</w:t>
      </w:r>
      <w:r>
        <w:t xml:space="preserve">, p.12. </w:t>
      </w:r>
    </w:p>
  </w:footnote>
  <w:footnote w:id="15">
    <w:p w14:paraId="3A342E63" w14:textId="77777777" w:rsidR="001C322D" w:rsidRDefault="001C322D" w:rsidP="001C322D">
      <w:pPr>
        <w:pStyle w:val="FootnoteText"/>
      </w:pPr>
      <w:r>
        <w:rPr>
          <w:rStyle w:val="FootnoteReference"/>
        </w:rPr>
        <w:footnoteRef/>
      </w:r>
      <w:r>
        <w:t xml:space="preserve"> </w:t>
      </w:r>
      <w:bookmarkStart w:id="4" w:name="_Hlk161261872"/>
      <w:r>
        <w:t xml:space="preserve">H. Pryce, ‘A New Edition Of The </w:t>
      </w:r>
      <w:r>
        <w:rPr>
          <w:i/>
          <w:iCs/>
        </w:rPr>
        <w:t>Historia Divae Monacellae</w:t>
      </w:r>
      <w:r>
        <w:t>’, P40.</w:t>
      </w:r>
      <w:bookmarkEnd w:id="4"/>
    </w:p>
  </w:footnote>
  <w:footnote w:id="16">
    <w:p w14:paraId="7EE45817" w14:textId="77777777" w:rsidR="001C322D" w:rsidRDefault="001C322D" w:rsidP="001C322D">
      <w:pPr>
        <w:pStyle w:val="FootnoteText"/>
      </w:pPr>
      <w:r>
        <w:rPr>
          <w:rStyle w:val="FootnoteReference"/>
        </w:rPr>
        <w:footnoteRef/>
      </w:r>
      <w:r>
        <w:t xml:space="preserve"> </w:t>
      </w:r>
      <w:bookmarkStart w:id="5" w:name="_Hlk161260000"/>
      <w:r>
        <w:t xml:space="preserve">Jane Cartwright, ‘Dead Virgins: Feminine Sanctity In Medieval Wales’, </w:t>
      </w:r>
      <w:r w:rsidRPr="00752F82">
        <w:rPr>
          <w:i/>
          <w:iCs/>
        </w:rPr>
        <w:t xml:space="preserve">Medium </w:t>
      </w:r>
      <w:proofErr w:type="spellStart"/>
      <w:r w:rsidRPr="00752F82">
        <w:rPr>
          <w:i/>
          <w:iCs/>
        </w:rPr>
        <w:t>Ævum</w:t>
      </w:r>
      <w:proofErr w:type="spellEnd"/>
      <w:r>
        <w:t>, 71(1) (2002), 1-28 (p. 21).</w:t>
      </w:r>
      <w:bookmarkEnd w:id="5"/>
    </w:p>
  </w:footnote>
  <w:footnote w:id="17">
    <w:p w14:paraId="26A387D7" w14:textId="77777777" w:rsidR="00903589" w:rsidRPr="006931D6" w:rsidRDefault="00903589" w:rsidP="00903589">
      <w:pPr>
        <w:pStyle w:val="FootnoteText"/>
      </w:pPr>
      <w:r>
        <w:rPr>
          <w:rStyle w:val="FootnoteReference"/>
        </w:rPr>
        <w:footnoteRef/>
      </w:r>
      <w:r>
        <w:t xml:space="preserve"> </w:t>
      </w:r>
      <w:bookmarkStart w:id="6" w:name="_Hlk161258349"/>
      <w:r>
        <w:t xml:space="preserve">John Edward Lloyd, </w:t>
      </w:r>
      <w:r>
        <w:rPr>
          <w:i/>
          <w:iCs/>
        </w:rPr>
        <w:t xml:space="preserve">A History Of Wales From The Earliest Times To The Edwardian Conquest, </w:t>
      </w:r>
      <w:r>
        <w:t>(London: Longmans, Green and Co, 1911)</w:t>
      </w:r>
      <w:r>
        <w:rPr>
          <w:i/>
          <w:iCs/>
        </w:rPr>
        <w:t xml:space="preserve"> p. 218. </w:t>
      </w:r>
      <w:bookmarkEnd w:id="6"/>
    </w:p>
  </w:footnote>
  <w:footnote w:id="18">
    <w:p w14:paraId="4E611806" w14:textId="77777777" w:rsidR="00903589" w:rsidRDefault="00903589" w:rsidP="00903589">
      <w:pPr>
        <w:pStyle w:val="FootnoteText"/>
      </w:pPr>
      <w:r>
        <w:rPr>
          <w:rStyle w:val="FootnoteReference"/>
        </w:rPr>
        <w:footnoteRef/>
      </w:r>
      <w:r>
        <w:t xml:space="preserve"> H. Pryce, ‘A New Edition Of The </w:t>
      </w:r>
      <w:r>
        <w:rPr>
          <w:i/>
          <w:iCs/>
        </w:rPr>
        <w:t>Historia Divae Monacellae</w:t>
      </w:r>
      <w:r>
        <w:t>’, P40.</w:t>
      </w:r>
    </w:p>
  </w:footnote>
  <w:footnote w:id="19">
    <w:p w14:paraId="0927018D" w14:textId="77777777" w:rsidR="00A91B45" w:rsidRDefault="00A91B45" w:rsidP="00A91B45">
      <w:pPr>
        <w:pStyle w:val="FootnoteText"/>
      </w:pPr>
      <w:r>
        <w:rPr>
          <w:rStyle w:val="FootnoteReference"/>
        </w:rPr>
        <w:footnoteRef/>
      </w:r>
      <w:r>
        <w:t xml:space="preserve"> </w:t>
      </w:r>
      <w:bookmarkStart w:id="7" w:name="_Hlk161250532"/>
      <w:r>
        <w:t xml:space="preserve">James Ryan Gregory, ‘The Life Of St. Winifred: The </w:t>
      </w:r>
      <w:r>
        <w:rPr>
          <w:i/>
          <w:iCs/>
        </w:rPr>
        <w:t xml:space="preserve">Vita S. </w:t>
      </w:r>
      <w:proofErr w:type="spellStart"/>
      <w:r>
        <w:rPr>
          <w:i/>
          <w:iCs/>
        </w:rPr>
        <w:t>Wenefrede</w:t>
      </w:r>
      <w:proofErr w:type="spellEnd"/>
      <w:r>
        <w:t xml:space="preserve"> From BL Lansdowne MS 436’, </w:t>
      </w:r>
      <w:r>
        <w:rPr>
          <w:i/>
          <w:iCs/>
        </w:rPr>
        <w:t>Medieval Feminist Forum</w:t>
      </w:r>
      <w:r>
        <w:t xml:space="preserve">, 4 (2016).  </w:t>
      </w:r>
      <w:bookmarkEnd w:id="7"/>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C0718" w14:textId="42C89968" w:rsidR="00B968F3" w:rsidRDefault="00B968F3">
    <w:pPr>
      <w:pStyle w:val="Header"/>
    </w:pPr>
    <w:r>
      <w:t>Liss Dark</w:t>
    </w:r>
    <w:r w:rsidR="00A91B45">
      <w:t xml:space="preserve"> 2306897</w:t>
    </w:r>
    <w:r>
      <w:tab/>
    </w:r>
    <w:r w:rsidR="00A91B45">
      <w:t xml:space="preserve">HPCS7005 </w:t>
    </w:r>
    <w:r>
      <w:t xml:space="preserve"> </w:t>
    </w:r>
    <w:r w:rsidR="00A91B45">
      <w:t xml:space="preserve">- Assignment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8F3"/>
    <w:rsid w:val="000B4900"/>
    <w:rsid w:val="000C487E"/>
    <w:rsid w:val="00137709"/>
    <w:rsid w:val="001C322D"/>
    <w:rsid w:val="002A6C59"/>
    <w:rsid w:val="00314473"/>
    <w:rsid w:val="003901AC"/>
    <w:rsid w:val="003F245B"/>
    <w:rsid w:val="0040235C"/>
    <w:rsid w:val="0045193D"/>
    <w:rsid w:val="004C674E"/>
    <w:rsid w:val="004D4F9D"/>
    <w:rsid w:val="00564DD4"/>
    <w:rsid w:val="005830B6"/>
    <w:rsid w:val="00643B9B"/>
    <w:rsid w:val="006E6C7A"/>
    <w:rsid w:val="00903589"/>
    <w:rsid w:val="00A54333"/>
    <w:rsid w:val="00A91B45"/>
    <w:rsid w:val="00B968F3"/>
    <w:rsid w:val="00C8106C"/>
    <w:rsid w:val="00CD230A"/>
    <w:rsid w:val="00D944A4"/>
    <w:rsid w:val="00E472A9"/>
    <w:rsid w:val="00E919EE"/>
    <w:rsid w:val="00F23083"/>
    <w:rsid w:val="00F30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14AB0"/>
  <w15:chartTrackingRefBased/>
  <w15:docId w15:val="{3303BCC3-7FD3-492D-9B7D-DE22BAE35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8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8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8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8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8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8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8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8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8F3"/>
    <w:rPr>
      <w:rFonts w:eastAsiaTheme="majorEastAsia" w:cstheme="majorBidi"/>
      <w:color w:val="272727" w:themeColor="text1" w:themeTint="D8"/>
    </w:rPr>
  </w:style>
  <w:style w:type="paragraph" w:styleId="Title">
    <w:name w:val="Title"/>
    <w:basedOn w:val="Normal"/>
    <w:next w:val="Normal"/>
    <w:link w:val="TitleChar"/>
    <w:uiPriority w:val="10"/>
    <w:qFormat/>
    <w:rsid w:val="00B96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8F3"/>
    <w:pPr>
      <w:spacing w:before="160"/>
      <w:jc w:val="center"/>
    </w:pPr>
    <w:rPr>
      <w:i/>
      <w:iCs/>
      <w:color w:val="404040" w:themeColor="text1" w:themeTint="BF"/>
    </w:rPr>
  </w:style>
  <w:style w:type="character" w:customStyle="1" w:styleId="QuoteChar">
    <w:name w:val="Quote Char"/>
    <w:basedOn w:val="DefaultParagraphFont"/>
    <w:link w:val="Quote"/>
    <w:uiPriority w:val="29"/>
    <w:rsid w:val="00B968F3"/>
    <w:rPr>
      <w:i/>
      <w:iCs/>
      <w:color w:val="404040" w:themeColor="text1" w:themeTint="BF"/>
    </w:rPr>
  </w:style>
  <w:style w:type="paragraph" w:styleId="ListParagraph">
    <w:name w:val="List Paragraph"/>
    <w:basedOn w:val="Normal"/>
    <w:uiPriority w:val="34"/>
    <w:qFormat/>
    <w:rsid w:val="00B968F3"/>
    <w:pPr>
      <w:ind w:left="720"/>
      <w:contextualSpacing/>
    </w:pPr>
  </w:style>
  <w:style w:type="character" w:styleId="IntenseEmphasis">
    <w:name w:val="Intense Emphasis"/>
    <w:basedOn w:val="DefaultParagraphFont"/>
    <w:uiPriority w:val="21"/>
    <w:qFormat/>
    <w:rsid w:val="00B968F3"/>
    <w:rPr>
      <w:i/>
      <w:iCs/>
      <w:color w:val="0F4761" w:themeColor="accent1" w:themeShade="BF"/>
    </w:rPr>
  </w:style>
  <w:style w:type="paragraph" w:styleId="IntenseQuote">
    <w:name w:val="Intense Quote"/>
    <w:basedOn w:val="Normal"/>
    <w:next w:val="Normal"/>
    <w:link w:val="IntenseQuoteChar"/>
    <w:uiPriority w:val="30"/>
    <w:qFormat/>
    <w:rsid w:val="00B968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8F3"/>
    <w:rPr>
      <w:i/>
      <w:iCs/>
      <w:color w:val="0F4761" w:themeColor="accent1" w:themeShade="BF"/>
    </w:rPr>
  </w:style>
  <w:style w:type="character" w:styleId="IntenseReference">
    <w:name w:val="Intense Reference"/>
    <w:basedOn w:val="DefaultParagraphFont"/>
    <w:uiPriority w:val="32"/>
    <w:qFormat/>
    <w:rsid w:val="00B968F3"/>
    <w:rPr>
      <w:b/>
      <w:bCs/>
      <w:smallCaps/>
      <w:color w:val="0F4761" w:themeColor="accent1" w:themeShade="BF"/>
      <w:spacing w:val="5"/>
    </w:rPr>
  </w:style>
  <w:style w:type="paragraph" w:styleId="Header">
    <w:name w:val="header"/>
    <w:basedOn w:val="Normal"/>
    <w:link w:val="HeaderChar"/>
    <w:uiPriority w:val="99"/>
    <w:unhideWhenUsed/>
    <w:rsid w:val="00B96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8F3"/>
  </w:style>
  <w:style w:type="paragraph" w:styleId="Footer">
    <w:name w:val="footer"/>
    <w:basedOn w:val="Normal"/>
    <w:link w:val="FooterChar"/>
    <w:uiPriority w:val="99"/>
    <w:unhideWhenUsed/>
    <w:rsid w:val="00B96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8F3"/>
  </w:style>
  <w:style w:type="character" w:styleId="Hyperlink">
    <w:name w:val="Hyperlink"/>
    <w:basedOn w:val="DefaultParagraphFont"/>
    <w:uiPriority w:val="99"/>
    <w:unhideWhenUsed/>
    <w:rsid w:val="003F245B"/>
    <w:rPr>
      <w:color w:val="467886" w:themeColor="hyperlink"/>
      <w:u w:val="single"/>
    </w:rPr>
  </w:style>
  <w:style w:type="character" w:styleId="UnresolvedMention">
    <w:name w:val="Unresolved Mention"/>
    <w:basedOn w:val="DefaultParagraphFont"/>
    <w:uiPriority w:val="99"/>
    <w:semiHidden/>
    <w:unhideWhenUsed/>
    <w:rsid w:val="003F245B"/>
    <w:rPr>
      <w:color w:val="605E5C"/>
      <w:shd w:val="clear" w:color="auto" w:fill="E1DFDD"/>
    </w:rPr>
  </w:style>
  <w:style w:type="paragraph" w:styleId="FootnoteText">
    <w:name w:val="footnote text"/>
    <w:basedOn w:val="Normal"/>
    <w:link w:val="FootnoteTextChar"/>
    <w:uiPriority w:val="99"/>
    <w:semiHidden/>
    <w:unhideWhenUsed/>
    <w:rsid w:val="00A91B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1B45"/>
    <w:rPr>
      <w:sz w:val="20"/>
      <w:szCs w:val="20"/>
    </w:rPr>
  </w:style>
  <w:style w:type="character" w:styleId="FootnoteReference">
    <w:name w:val="footnote reference"/>
    <w:basedOn w:val="DefaultParagraphFont"/>
    <w:uiPriority w:val="99"/>
    <w:semiHidden/>
    <w:unhideWhenUsed/>
    <w:rsid w:val="00A91B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dl.handle.net/10107/1271085" TargetMode="External"/><Relationship Id="rId3" Type="http://schemas.openxmlformats.org/officeDocument/2006/relationships/webSettings" Target="webSettings.xml"/><Relationship Id="rId7" Type="http://schemas.openxmlformats.org/officeDocument/2006/relationships/hyperlink" Target="https://doi.org/10.1515/opar-2020-010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works.wmich.edu/cgi/viewcontent.cgi?article=2033&amp;context=mf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journals.library.wales/view/4718179/4742843/141#?xywh=-97%2C-923%2C3260%2C4591&amp;cv=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TotalTime>
  <Pages>7</Pages>
  <Words>2711</Words>
  <Characters>13314</Characters>
  <Application>Microsoft Office Word</Application>
  <DocSecurity>0</DocSecurity>
  <Lines>190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dc:creator>
  <cp:keywords/>
  <dc:description/>
  <cp:lastModifiedBy>Liss Dark (2306897)</cp:lastModifiedBy>
  <cp:revision>11</cp:revision>
  <dcterms:created xsi:type="dcterms:W3CDTF">2024-02-21T17:51:00Z</dcterms:created>
  <dcterms:modified xsi:type="dcterms:W3CDTF">2024-03-13T22:50:00Z</dcterms:modified>
</cp:coreProperties>
</file>