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1567BE92" w14:textId="77777777" w:rsidR="00ED305F" w:rsidRDefault="00ED305F" w:rsidP="00ED305F">
            <w:pPr>
              <w:ind w:right="-957"/>
              <w:rPr>
                <w:rFonts w:ascii="Times New Roman" w:hAnsi="Times New Roman" w:cs="Times New Roman"/>
                <w:b/>
                <w:sz w:val="48"/>
              </w:rPr>
            </w:pPr>
            <w:r>
              <w:rPr>
                <w:rFonts w:ascii="Times New Roman" w:hAnsi="Times New Roman" w:cs="Times New Roman"/>
                <w:b/>
                <w:sz w:val="48"/>
              </w:rPr>
              <w:t>Learner’s name: Mellissa Watkins</w:t>
            </w:r>
          </w:p>
          <w:p w14:paraId="48069771" w14:textId="77777777" w:rsidR="00ED305F" w:rsidRDefault="00ED305F" w:rsidP="00ED305F">
            <w:pPr>
              <w:ind w:right="-957"/>
              <w:rPr>
                <w:rFonts w:ascii="Times New Roman" w:hAnsi="Times New Roman" w:cs="Times New Roman"/>
                <w:b/>
                <w:sz w:val="48"/>
              </w:rPr>
            </w:pPr>
          </w:p>
          <w:p w14:paraId="3FECB0ED" w14:textId="77777777" w:rsidR="00ED305F" w:rsidRDefault="00ED305F" w:rsidP="00ED305F">
            <w:pPr>
              <w:ind w:right="-957"/>
              <w:rPr>
                <w:rFonts w:ascii="Times New Roman" w:hAnsi="Times New Roman" w:cs="Times New Roman"/>
                <w:b/>
                <w:sz w:val="48"/>
              </w:rPr>
            </w:pPr>
            <w:r>
              <w:rPr>
                <w:rFonts w:ascii="Times New Roman" w:hAnsi="Times New Roman" w:cs="Times New Roman"/>
                <w:b/>
                <w:sz w:val="48"/>
              </w:rPr>
              <w:t>Email address: M.watkins@npt.gov.uk</w:t>
            </w:r>
          </w:p>
          <w:p w14:paraId="764C5CFF" w14:textId="77777777" w:rsidR="00ED305F" w:rsidRDefault="00ED305F" w:rsidP="00ED305F">
            <w:pPr>
              <w:ind w:right="-957"/>
              <w:rPr>
                <w:rFonts w:ascii="Times New Roman" w:hAnsi="Times New Roman" w:cs="Times New Roman"/>
                <w:b/>
                <w:sz w:val="48"/>
              </w:rPr>
            </w:pPr>
          </w:p>
          <w:p w14:paraId="6A9887DD" w14:textId="77777777" w:rsidR="00ED305F" w:rsidRPr="005D3F07" w:rsidRDefault="00ED305F" w:rsidP="00ED305F">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78A11268" w14:textId="77777777" w:rsidR="00ED305F" w:rsidRPr="005D3F07" w:rsidRDefault="00ED305F" w:rsidP="00ED305F">
            <w:pPr>
              <w:ind w:right="-957"/>
              <w:rPr>
                <w:rFonts w:ascii="Times New Roman" w:hAnsi="Times New Roman" w:cs="Times New Roman"/>
                <w:b/>
                <w:sz w:val="48"/>
              </w:rPr>
            </w:pPr>
            <w:r>
              <w:rPr>
                <w:rFonts w:ascii="Times New Roman" w:hAnsi="Times New Roman" w:cs="Times New Roman"/>
                <w:b/>
                <w:sz w:val="48"/>
              </w:rPr>
              <w:t>2316856</w:t>
            </w:r>
          </w:p>
          <w:p w14:paraId="5F84129B" w14:textId="564C19EA" w:rsidR="0085230E" w:rsidRPr="005D3F07" w:rsidRDefault="00ED305F" w:rsidP="00ED305F">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7E4B66F7" w14:textId="7E5ADA93" w:rsidR="0078603C" w:rsidRPr="00F326D4" w:rsidRDefault="0078603C" w:rsidP="0078603C">
            <w:pPr>
              <w:rPr>
                <w:rFonts w:asciiTheme="minorHAnsi" w:hAnsiTheme="minorHAnsi" w:cstheme="minorHAnsi"/>
                <w:sz w:val="24"/>
                <w:szCs w:val="24"/>
              </w:rPr>
            </w:pPr>
            <w:r w:rsidRPr="00F326D4">
              <w:rPr>
                <w:rFonts w:asciiTheme="minorHAnsi" w:hAnsiTheme="minorHAnsi" w:cstheme="minorHAnsi"/>
                <w:sz w:val="24"/>
                <w:szCs w:val="24"/>
              </w:rPr>
              <w:t>Section 126 of the Social Services and Well-being (Wales) Act 2014 (SSWBA) defines adults at risk is an individual over the age of 18 whom is 'experiencing or at risk of abuse or neglect and is unable to protect themselves from harm or neglect'. Whilst Wales follows the guidelines of SSWBA to determine an adult at risk, England follows the Care Act (2014) with similar guidance,</w:t>
            </w:r>
            <w:r w:rsidRPr="00F326D4">
              <w:rPr>
                <w:rFonts w:asciiTheme="minorHAnsi" w:hAnsiTheme="minorHAnsi" w:cstheme="minorHAnsi"/>
                <w:color w:val="auto"/>
                <w:sz w:val="24"/>
                <w:szCs w:val="24"/>
              </w:rPr>
              <w:t xml:space="preserve"> stating 'an adult is someone over 18 years old, who has care and support needs, is experiencing or at risk of abuse or neglect and unable to protect themselves from harm'. </w:t>
            </w:r>
            <w:r w:rsidRPr="00F326D4">
              <w:rPr>
                <w:rFonts w:asciiTheme="minorHAnsi" w:hAnsiTheme="minorHAnsi" w:cstheme="minorHAnsi"/>
                <w:sz w:val="24"/>
                <w:szCs w:val="24"/>
              </w:rPr>
              <w:t xml:space="preserve">The difference between England and Wales's legislation is in </w:t>
            </w:r>
            <w:proofErr w:type="gramStart"/>
            <w:r w:rsidRPr="00F326D4">
              <w:rPr>
                <w:rFonts w:asciiTheme="minorHAnsi" w:hAnsiTheme="minorHAnsi" w:cstheme="minorHAnsi"/>
                <w:sz w:val="24"/>
                <w:szCs w:val="24"/>
              </w:rPr>
              <w:t>Wales</w:t>
            </w:r>
            <w:proofErr w:type="gramEnd"/>
            <w:r w:rsidRPr="00F326D4">
              <w:rPr>
                <w:rFonts w:asciiTheme="minorHAnsi" w:hAnsiTheme="minorHAnsi" w:cstheme="minorHAnsi"/>
                <w:sz w:val="24"/>
                <w:szCs w:val="24"/>
              </w:rPr>
              <w:t xml:space="preserve"> adults and children are recognised under one legislation and Wales has the Independent Safeguarding Board to protect adults and children from harm, providing further safeguarding procedures and policies (National Independent Safeguarding Wales Board, 2017).</w:t>
            </w:r>
          </w:p>
          <w:p w14:paraId="69CEEA59" w14:textId="77777777" w:rsidR="0078603C" w:rsidRPr="00F326D4" w:rsidRDefault="0078603C" w:rsidP="0078603C">
            <w:pPr>
              <w:rPr>
                <w:rFonts w:asciiTheme="minorHAnsi" w:hAnsiTheme="minorHAnsi" w:cstheme="minorHAnsi"/>
                <w:sz w:val="24"/>
                <w:szCs w:val="24"/>
              </w:rPr>
            </w:pPr>
          </w:p>
          <w:p w14:paraId="2DBA190D" w14:textId="0064CF5D" w:rsidR="0078603C" w:rsidRPr="00F326D4" w:rsidRDefault="0078603C" w:rsidP="0078603C">
            <w:pPr>
              <w:rPr>
                <w:rFonts w:asciiTheme="minorHAnsi" w:hAnsiTheme="minorHAnsi" w:cstheme="minorHAnsi"/>
                <w:sz w:val="24"/>
                <w:szCs w:val="24"/>
              </w:rPr>
            </w:pPr>
            <w:r w:rsidRPr="00F326D4">
              <w:rPr>
                <w:rFonts w:asciiTheme="minorHAnsi" w:hAnsiTheme="minorHAnsi" w:cstheme="minorHAnsi"/>
                <w:sz w:val="24"/>
                <w:szCs w:val="24"/>
              </w:rPr>
              <w:t xml:space="preserve">SSWBA (2014) S126 continues to guide social workers on the duties of the local authority to enquire into any concerns of risk of harm, identify the care and support needs of the individual and providing the appropriate intervention. Risk of harm in adults can be identified under the categories; Physical, Emotional, Sexual, Psychological, Neglect or Financial (Wales Safeguarding Procedure, 2019). </w:t>
            </w:r>
          </w:p>
          <w:p w14:paraId="3C514D65" w14:textId="77777777" w:rsidR="0078603C" w:rsidRPr="00F326D4" w:rsidRDefault="0078603C" w:rsidP="0078603C">
            <w:pPr>
              <w:rPr>
                <w:rFonts w:asciiTheme="minorHAnsi" w:hAnsiTheme="minorHAnsi" w:cstheme="minorHAnsi"/>
                <w:sz w:val="24"/>
                <w:szCs w:val="24"/>
              </w:rPr>
            </w:pPr>
          </w:p>
          <w:p w14:paraId="575FE35C" w14:textId="74C5CF55" w:rsidR="0078603C" w:rsidRPr="00F326D4" w:rsidRDefault="0078603C" w:rsidP="0078603C">
            <w:pPr>
              <w:rPr>
                <w:rFonts w:asciiTheme="minorHAnsi" w:hAnsiTheme="minorHAnsi" w:cstheme="minorHAnsi"/>
                <w:sz w:val="24"/>
                <w:szCs w:val="24"/>
              </w:rPr>
            </w:pPr>
            <w:r w:rsidRPr="00F326D4">
              <w:rPr>
                <w:rFonts w:asciiTheme="minorHAnsi" w:hAnsiTheme="minorHAnsi" w:cstheme="minorHAnsi"/>
                <w:sz w:val="24"/>
                <w:szCs w:val="24"/>
              </w:rPr>
              <w:t>Working Together to Safeguard People and All Wales Safeguarding Procedure are frameworks to provide guidance not only for social workers but to all professionals. The principles of the framework advise that all individuals and agencies workin</w:t>
            </w:r>
            <w:r w:rsidR="00F90BEC" w:rsidRPr="00F326D4">
              <w:rPr>
                <w:rFonts w:asciiTheme="minorHAnsi" w:hAnsiTheme="minorHAnsi" w:cstheme="minorHAnsi"/>
                <w:sz w:val="24"/>
                <w:szCs w:val="24"/>
              </w:rPr>
              <w:t>g with the adults</w:t>
            </w:r>
            <w:r w:rsidRPr="00F326D4">
              <w:rPr>
                <w:rFonts w:asciiTheme="minorHAnsi" w:hAnsiTheme="minorHAnsi" w:cstheme="minorHAnsi"/>
                <w:sz w:val="24"/>
                <w:szCs w:val="24"/>
              </w:rPr>
              <w:t xml:space="preserve"> means taking responsibility and reporting </w:t>
            </w:r>
            <w:r w:rsidR="00F90BEC" w:rsidRPr="00F326D4">
              <w:rPr>
                <w:rFonts w:asciiTheme="minorHAnsi" w:hAnsiTheme="minorHAnsi" w:cstheme="minorHAnsi"/>
                <w:sz w:val="24"/>
                <w:szCs w:val="24"/>
              </w:rPr>
              <w:t>any</w:t>
            </w:r>
            <w:r w:rsidRPr="00F326D4">
              <w:rPr>
                <w:rFonts w:asciiTheme="minorHAnsi" w:hAnsiTheme="minorHAnsi" w:cstheme="minorHAnsi"/>
                <w:sz w:val="24"/>
                <w:szCs w:val="24"/>
              </w:rPr>
              <w:t xml:space="preserve"> concerns to adults' social services (</w:t>
            </w:r>
            <w:proofErr w:type="spellStart"/>
            <w:r w:rsidRPr="00F326D4">
              <w:rPr>
                <w:rFonts w:asciiTheme="minorHAnsi" w:hAnsiTheme="minorHAnsi" w:cstheme="minorHAnsi"/>
                <w:sz w:val="24"/>
                <w:szCs w:val="24"/>
              </w:rPr>
              <w:t>Offen</w:t>
            </w:r>
            <w:proofErr w:type="spellEnd"/>
            <w:r w:rsidRPr="00F326D4">
              <w:rPr>
                <w:rFonts w:asciiTheme="minorHAnsi" w:hAnsiTheme="minorHAnsi" w:cstheme="minorHAnsi"/>
                <w:sz w:val="24"/>
                <w:szCs w:val="24"/>
              </w:rPr>
              <w:t xml:space="preserve">, 2021). All agencies and services should have a specific </w:t>
            </w:r>
            <w:r w:rsidR="00F90BEC" w:rsidRPr="00F326D4">
              <w:rPr>
                <w:rFonts w:asciiTheme="minorHAnsi" w:hAnsiTheme="minorHAnsi" w:cstheme="minorHAnsi"/>
                <w:sz w:val="24"/>
                <w:szCs w:val="24"/>
              </w:rPr>
              <w:t>person</w:t>
            </w:r>
            <w:r w:rsidRPr="00F326D4">
              <w:rPr>
                <w:rFonts w:asciiTheme="minorHAnsi" w:hAnsiTheme="minorHAnsi" w:cstheme="minorHAnsi"/>
                <w:sz w:val="24"/>
                <w:szCs w:val="24"/>
              </w:rPr>
              <w:t xml:space="preserve"> as the 'Designated Safeguarding Person' (DSP), therefore anyone who has concerns </w:t>
            </w:r>
            <w:r w:rsidR="00F90BEC" w:rsidRPr="00F326D4">
              <w:rPr>
                <w:rFonts w:asciiTheme="minorHAnsi" w:hAnsiTheme="minorHAnsi" w:cstheme="minorHAnsi"/>
                <w:sz w:val="24"/>
                <w:szCs w:val="24"/>
              </w:rPr>
              <w:t>should contact</w:t>
            </w:r>
            <w:r w:rsidRPr="00F326D4">
              <w:rPr>
                <w:rFonts w:asciiTheme="minorHAnsi" w:hAnsiTheme="minorHAnsi" w:cstheme="minorHAnsi"/>
                <w:sz w:val="24"/>
                <w:szCs w:val="24"/>
              </w:rPr>
              <w:t xml:space="preserve"> the DSP</w:t>
            </w:r>
            <w:r w:rsidR="00F90BEC" w:rsidRPr="00F326D4">
              <w:rPr>
                <w:rFonts w:asciiTheme="minorHAnsi" w:hAnsiTheme="minorHAnsi" w:cstheme="minorHAnsi"/>
                <w:sz w:val="24"/>
                <w:szCs w:val="24"/>
              </w:rPr>
              <w:t xml:space="preserve">, who </w:t>
            </w:r>
            <w:r w:rsidRPr="00F326D4">
              <w:rPr>
                <w:rFonts w:asciiTheme="minorHAnsi" w:hAnsiTheme="minorHAnsi" w:cstheme="minorHAnsi"/>
                <w:sz w:val="24"/>
                <w:szCs w:val="24"/>
              </w:rPr>
              <w:t xml:space="preserve">should be trained to respond appropriately (SSWBA, 2014). The All Wales Safeguarding Procedure (2019) is a framework to </w:t>
            </w:r>
            <w:r w:rsidR="00F90BEC" w:rsidRPr="00F326D4">
              <w:rPr>
                <w:rFonts w:asciiTheme="minorHAnsi" w:hAnsiTheme="minorHAnsi" w:cstheme="minorHAnsi"/>
                <w:sz w:val="24"/>
                <w:szCs w:val="24"/>
              </w:rPr>
              <w:t>provide guidance for everyone</w:t>
            </w:r>
            <w:r w:rsidRPr="00F326D4">
              <w:rPr>
                <w:rFonts w:asciiTheme="minorHAnsi" w:hAnsiTheme="minorHAnsi" w:cstheme="minorHAnsi"/>
                <w:sz w:val="24"/>
                <w:szCs w:val="24"/>
              </w:rPr>
              <w:t xml:space="preserve">, </w:t>
            </w:r>
            <w:r w:rsidR="00F90BEC" w:rsidRPr="00F326D4">
              <w:rPr>
                <w:rFonts w:asciiTheme="minorHAnsi" w:hAnsiTheme="minorHAnsi" w:cstheme="minorHAnsi"/>
                <w:sz w:val="24"/>
                <w:szCs w:val="24"/>
              </w:rPr>
              <w:t>and</w:t>
            </w:r>
            <w:r w:rsidRPr="00F326D4">
              <w:rPr>
                <w:rFonts w:asciiTheme="minorHAnsi" w:hAnsiTheme="minorHAnsi" w:cstheme="minorHAnsi"/>
                <w:sz w:val="24"/>
                <w:szCs w:val="24"/>
              </w:rPr>
              <w:t xml:space="preserve"> is </w:t>
            </w:r>
            <w:r w:rsidR="00F90BEC" w:rsidRPr="00F326D4">
              <w:rPr>
                <w:rFonts w:asciiTheme="minorHAnsi" w:hAnsiTheme="minorHAnsi" w:cstheme="minorHAnsi"/>
                <w:sz w:val="24"/>
                <w:szCs w:val="24"/>
              </w:rPr>
              <w:t xml:space="preserve">accessible and </w:t>
            </w:r>
            <w:r w:rsidRPr="00F326D4">
              <w:rPr>
                <w:rFonts w:asciiTheme="minorHAnsi" w:hAnsiTheme="minorHAnsi" w:cstheme="minorHAnsi"/>
                <w:sz w:val="24"/>
                <w:szCs w:val="24"/>
              </w:rPr>
              <w:t>accessed via th</w:t>
            </w:r>
            <w:r w:rsidR="00F90BEC" w:rsidRPr="00F326D4">
              <w:rPr>
                <w:rFonts w:asciiTheme="minorHAnsi" w:hAnsiTheme="minorHAnsi" w:cstheme="minorHAnsi"/>
                <w:sz w:val="24"/>
                <w:szCs w:val="24"/>
              </w:rPr>
              <w:t>e internet or</w:t>
            </w:r>
            <w:r w:rsidRPr="00F326D4">
              <w:rPr>
                <w:rFonts w:asciiTheme="minorHAnsi" w:hAnsiTheme="minorHAnsi" w:cstheme="minorHAnsi"/>
                <w:sz w:val="24"/>
                <w:szCs w:val="24"/>
              </w:rPr>
              <w:t xml:space="preserve"> the app. </w:t>
            </w:r>
          </w:p>
          <w:p w14:paraId="75F7FF86" w14:textId="77777777" w:rsidR="0078603C" w:rsidRPr="00F326D4" w:rsidRDefault="0078603C" w:rsidP="0078603C">
            <w:pPr>
              <w:rPr>
                <w:rFonts w:asciiTheme="minorHAnsi" w:hAnsiTheme="minorHAnsi" w:cstheme="minorHAnsi"/>
                <w:sz w:val="24"/>
                <w:szCs w:val="24"/>
              </w:rPr>
            </w:pPr>
          </w:p>
          <w:p w14:paraId="14A21FE2" w14:textId="33E08A1A" w:rsidR="0078603C" w:rsidRPr="00F326D4" w:rsidRDefault="0078603C" w:rsidP="0078603C">
            <w:pPr>
              <w:rPr>
                <w:rFonts w:asciiTheme="minorHAnsi" w:hAnsiTheme="minorHAnsi" w:cstheme="minorHAnsi"/>
                <w:sz w:val="24"/>
                <w:szCs w:val="24"/>
              </w:rPr>
            </w:pPr>
            <w:r w:rsidRPr="00F326D4">
              <w:rPr>
                <w:rFonts w:asciiTheme="minorHAnsi" w:hAnsiTheme="minorHAnsi" w:cstheme="minorHAnsi"/>
                <w:sz w:val="24"/>
                <w:szCs w:val="24"/>
              </w:rPr>
              <w:t xml:space="preserve">It </w:t>
            </w:r>
            <w:r w:rsidR="00F90BEC" w:rsidRPr="00F326D4">
              <w:rPr>
                <w:rFonts w:asciiTheme="minorHAnsi" w:hAnsiTheme="minorHAnsi" w:cstheme="minorHAnsi"/>
                <w:sz w:val="24"/>
                <w:szCs w:val="24"/>
              </w:rPr>
              <w:t>is social services duty to</w:t>
            </w:r>
            <w:r w:rsidRPr="00F326D4">
              <w:rPr>
                <w:rFonts w:asciiTheme="minorHAnsi" w:hAnsiTheme="minorHAnsi" w:cstheme="minorHAnsi"/>
                <w:sz w:val="24"/>
                <w:szCs w:val="24"/>
              </w:rPr>
              <w:t xml:space="preserve"> respond to the report of an adult at risk of harm under S126 SSWBA (2014). </w:t>
            </w:r>
            <w:r w:rsidRPr="00F326D4">
              <w:rPr>
                <w:rFonts w:asciiTheme="minorHAnsi" w:hAnsiTheme="minorHAnsi" w:cstheme="minorHAnsi"/>
                <w:color w:val="auto"/>
                <w:sz w:val="24"/>
                <w:szCs w:val="24"/>
              </w:rPr>
              <w:t xml:space="preserve">When a referral has been received it is important to read the information thoroughly to determine if there is reasonable cause of concern and care and support needs identified. </w:t>
            </w:r>
            <w:r w:rsidRPr="00F326D4">
              <w:rPr>
                <w:rFonts w:asciiTheme="minorHAnsi" w:hAnsiTheme="minorHAnsi" w:cstheme="minorHAnsi"/>
                <w:sz w:val="24"/>
                <w:szCs w:val="24"/>
              </w:rPr>
              <w:t xml:space="preserve">Following </w:t>
            </w:r>
            <w:r w:rsidRPr="00F326D4">
              <w:rPr>
                <w:rFonts w:asciiTheme="minorHAnsi" w:hAnsiTheme="minorHAnsi" w:cstheme="minorHAnsi"/>
                <w:sz w:val="24"/>
                <w:szCs w:val="24"/>
              </w:rPr>
              <w:lastRenderedPageBreak/>
              <w:t>the information gathering s</w:t>
            </w:r>
            <w:r w:rsidR="00F90BEC" w:rsidRPr="00F326D4">
              <w:rPr>
                <w:rFonts w:asciiTheme="minorHAnsi" w:hAnsiTheme="minorHAnsi" w:cstheme="minorHAnsi"/>
                <w:sz w:val="24"/>
                <w:szCs w:val="24"/>
              </w:rPr>
              <w:t>tage, it is then</w:t>
            </w:r>
            <w:r w:rsidRPr="00F326D4">
              <w:rPr>
                <w:rFonts w:asciiTheme="minorHAnsi" w:hAnsiTheme="minorHAnsi" w:cstheme="minorHAnsi"/>
                <w:sz w:val="24"/>
                <w:szCs w:val="24"/>
              </w:rPr>
              <w:t xml:space="preserve"> identified what action is needed, depending on the concerns such as sexual abuse, physical injury or trafficking, a strategy discussion may be required to share information, identifying the level of risk and deciding the course of action or interim protection plan (Wales Safeguarding Procedure, 2019). </w:t>
            </w:r>
          </w:p>
          <w:p w14:paraId="0318E819" w14:textId="022C5E93" w:rsidR="00FC0334" w:rsidRPr="00F326D4" w:rsidRDefault="0078603C" w:rsidP="0078603C">
            <w:pPr>
              <w:jc w:val="both"/>
              <w:rPr>
                <w:rFonts w:asciiTheme="minorHAnsi" w:hAnsiTheme="minorHAnsi" w:cstheme="minorHAnsi"/>
                <w:sz w:val="24"/>
                <w:szCs w:val="24"/>
              </w:rPr>
            </w:pPr>
            <w:r w:rsidRPr="00F326D4">
              <w:rPr>
                <w:rFonts w:asciiTheme="minorHAnsi" w:hAnsiTheme="minorHAnsi" w:cstheme="minorHAnsi"/>
                <w:sz w:val="24"/>
                <w:szCs w:val="24"/>
              </w:rPr>
              <w:t>The European Convention of Human Rights (ECHR) is another important framework to consider in respect of adult services. Whilst 16 rights of the Human Rights Act (1998) has incorporated the rights from ECHR into British Law, the ECHR is an international agreement by 46 countries whom agree to protect specific rights such as article 14 right to be free from discrimination (European Courts of Human Rights, 2021). The principles of SSWBA (2014) include the duty to offer advocacy to adults in order to be supported to achieve the outcome and ensure their voice is heard. The Mental Capacity Act (MCA, 2005) ensure</w:t>
            </w:r>
            <w:r w:rsidR="00F90BEC" w:rsidRPr="00F326D4">
              <w:rPr>
                <w:rFonts w:asciiTheme="minorHAnsi" w:hAnsiTheme="minorHAnsi" w:cstheme="minorHAnsi"/>
                <w:sz w:val="24"/>
                <w:szCs w:val="24"/>
              </w:rPr>
              <w:t>s</w:t>
            </w:r>
            <w:r w:rsidRPr="00F326D4">
              <w:rPr>
                <w:rFonts w:asciiTheme="minorHAnsi" w:hAnsiTheme="minorHAnsi" w:cstheme="minorHAnsi"/>
                <w:sz w:val="24"/>
                <w:szCs w:val="24"/>
              </w:rPr>
              <w:t xml:space="preserve"> that the best interest of the individual is at the forefront of the decision-making when identifying safeguarding concerns, it is important to refer to the </w:t>
            </w:r>
            <w:proofErr w:type="gramStart"/>
            <w:r w:rsidRPr="00F326D4">
              <w:rPr>
                <w:rFonts w:asciiTheme="minorHAnsi" w:hAnsiTheme="minorHAnsi" w:cstheme="minorHAnsi"/>
                <w:sz w:val="24"/>
                <w:szCs w:val="24"/>
              </w:rPr>
              <w:t>MCA(</w:t>
            </w:r>
            <w:proofErr w:type="gramEnd"/>
            <w:r w:rsidRPr="00F326D4">
              <w:rPr>
                <w:rFonts w:asciiTheme="minorHAnsi" w:hAnsiTheme="minorHAnsi" w:cstheme="minorHAnsi"/>
                <w:sz w:val="24"/>
                <w:szCs w:val="24"/>
              </w:rPr>
              <w:t>2005) as the individual may lack capacity, understanding and lack of power to make decisions.</w:t>
            </w:r>
          </w:p>
          <w:p w14:paraId="6D8CB8AF" w14:textId="77777777" w:rsidR="00FC0334" w:rsidRPr="00F326D4" w:rsidRDefault="00FC0334" w:rsidP="00FF7EBB">
            <w:pPr>
              <w:jc w:val="both"/>
              <w:rPr>
                <w:rFonts w:asciiTheme="minorHAnsi" w:hAnsiTheme="minorHAnsi" w:cstheme="minorHAnsi"/>
                <w:sz w:val="24"/>
                <w:szCs w:val="24"/>
              </w:rPr>
            </w:pPr>
          </w:p>
          <w:p w14:paraId="60D8C669" w14:textId="1C6543B1" w:rsidR="00FC0334" w:rsidRPr="00F326D4" w:rsidRDefault="0078603C" w:rsidP="00FF7EBB">
            <w:pPr>
              <w:jc w:val="both"/>
              <w:rPr>
                <w:rFonts w:asciiTheme="minorHAnsi" w:hAnsiTheme="minorHAnsi" w:cstheme="minorHAnsi"/>
                <w:i/>
                <w:sz w:val="24"/>
                <w:szCs w:val="24"/>
              </w:rPr>
            </w:pPr>
            <w:r w:rsidRPr="00F326D4">
              <w:rPr>
                <w:rFonts w:asciiTheme="minorHAnsi" w:hAnsiTheme="minorHAnsi" w:cstheme="minorHAnsi"/>
                <w:i/>
                <w:sz w:val="24"/>
                <w:szCs w:val="24"/>
              </w:rPr>
              <w:t>5</w:t>
            </w:r>
            <w:r w:rsidR="00D31ECB" w:rsidRPr="00F326D4">
              <w:rPr>
                <w:rFonts w:asciiTheme="minorHAnsi" w:hAnsiTheme="minorHAnsi" w:cstheme="minorHAnsi"/>
                <w:i/>
                <w:sz w:val="24"/>
                <w:szCs w:val="24"/>
              </w:rPr>
              <w:t>56</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0C8C7D8F" w14:textId="14C2695C" w:rsidR="00685932" w:rsidRPr="00D975A2" w:rsidRDefault="00685932" w:rsidP="00685932">
            <w:pPr>
              <w:rPr>
                <w:rFonts w:asciiTheme="minorHAnsi" w:hAnsiTheme="minorHAnsi" w:cstheme="minorHAnsi"/>
                <w:sz w:val="24"/>
                <w:szCs w:val="24"/>
              </w:rPr>
            </w:pPr>
            <w:r w:rsidRPr="00D975A2">
              <w:rPr>
                <w:rFonts w:asciiTheme="minorHAnsi" w:hAnsiTheme="minorHAnsi" w:cstheme="minorHAnsi"/>
                <w:sz w:val="24"/>
                <w:szCs w:val="24"/>
              </w:rPr>
              <w:t>Social Services and Well-being (Wales) Act 2014 (SSWBA) is a legislation both children and adult services follow.</w:t>
            </w:r>
            <w:r w:rsidRPr="00D975A2">
              <w:rPr>
                <w:rFonts w:asciiTheme="minorHAnsi" w:hAnsiTheme="minorHAnsi" w:cstheme="minorHAnsi"/>
                <w:color w:val="auto"/>
                <w:sz w:val="24"/>
                <w:szCs w:val="24"/>
              </w:rPr>
              <w:t xml:space="preserve"> I feel one of t</w:t>
            </w:r>
            <w:bookmarkStart w:id="0" w:name="_GoBack"/>
            <w:bookmarkEnd w:id="0"/>
            <w:r w:rsidRPr="00D975A2">
              <w:rPr>
                <w:rFonts w:asciiTheme="minorHAnsi" w:hAnsiTheme="minorHAnsi" w:cstheme="minorHAnsi"/>
                <w:color w:val="auto"/>
                <w:sz w:val="24"/>
                <w:szCs w:val="24"/>
              </w:rPr>
              <w:t>he biggest differences between adults and children's safeguarding is consent</w:t>
            </w:r>
            <w:r w:rsidRPr="00D975A2">
              <w:rPr>
                <w:rFonts w:asciiTheme="minorHAnsi" w:hAnsiTheme="minorHAnsi" w:cstheme="minorHAnsi"/>
                <w:sz w:val="24"/>
                <w:szCs w:val="24"/>
              </w:rPr>
              <w:t>,</w:t>
            </w:r>
            <w:r w:rsidRPr="00D975A2">
              <w:rPr>
                <w:rFonts w:asciiTheme="minorHAnsi" w:hAnsiTheme="minorHAnsi" w:cstheme="minorHAnsi"/>
                <w:color w:val="auto"/>
                <w:sz w:val="24"/>
                <w:szCs w:val="24"/>
              </w:rPr>
              <w:t xml:space="preserve"> as under </w:t>
            </w:r>
            <w:r w:rsidRPr="00D975A2">
              <w:rPr>
                <w:rFonts w:asciiTheme="minorHAnsi" w:hAnsiTheme="minorHAnsi" w:cstheme="minorHAnsi"/>
                <w:sz w:val="24"/>
                <w:szCs w:val="24"/>
              </w:rPr>
              <w:t xml:space="preserve">the </w:t>
            </w:r>
            <w:r w:rsidRPr="00D975A2">
              <w:rPr>
                <w:rFonts w:asciiTheme="minorHAnsi" w:hAnsiTheme="minorHAnsi" w:cstheme="minorHAnsi"/>
                <w:color w:val="auto"/>
                <w:sz w:val="24"/>
                <w:szCs w:val="24"/>
              </w:rPr>
              <w:t>Children Act (1989) when a child is at risk of significant harm, consent is not needed to proceed with the investigation</w:t>
            </w:r>
            <w:r w:rsidRPr="00D975A2">
              <w:rPr>
                <w:rFonts w:asciiTheme="minorHAnsi" w:hAnsiTheme="minorHAnsi" w:cstheme="minorHAnsi"/>
                <w:sz w:val="24"/>
                <w:szCs w:val="24"/>
              </w:rPr>
              <w:t>,</w:t>
            </w:r>
            <w:r w:rsidRPr="00D975A2">
              <w:rPr>
                <w:rFonts w:asciiTheme="minorHAnsi" w:hAnsiTheme="minorHAnsi" w:cstheme="minorHAnsi"/>
                <w:color w:val="auto"/>
                <w:sz w:val="24"/>
                <w:szCs w:val="24"/>
              </w:rPr>
              <w:t xml:space="preserve"> </w:t>
            </w:r>
            <w:r w:rsidRPr="00D975A2">
              <w:rPr>
                <w:rFonts w:asciiTheme="minorHAnsi" w:hAnsiTheme="minorHAnsi" w:cstheme="minorHAnsi"/>
                <w:sz w:val="24"/>
                <w:szCs w:val="24"/>
              </w:rPr>
              <w:t>and instead</w:t>
            </w:r>
            <w:r w:rsidRPr="00D975A2">
              <w:rPr>
                <w:rFonts w:asciiTheme="minorHAnsi" w:hAnsiTheme="minorHAnsi" w:cstheme="minorHAnsi"/>
                <w:color w:val="auto"/>
                <w:sz w:val="24"/>
                <w:szCs w:val="24"/>
              </w:rPr>
              <w:t xml:space="preserve"> a social worker can follow the safeguarding timeframe to </w:t>
            </w:r>
            <w:r w:rsidRPr="00D975A2">
              <w:rPr>
                <w:rFonts w:asciiTheme="minorHAnsi" w:hAnsiTheme="minorHAnsi" w:cstheme="minorHAnsi"/>
                <w:sz w:val="24"/>
                <w:szCs w:val="24"/>
              </w:rPr>
              <w:t>investigate</w:t>
            </w:r>
            <w:r w:rsidRPr="00D975A2">
              <w:rPr>
                <w:rFonts w:asciiTheme="minorHAnsi" w:hAnsiTheme="minorHAnsi" w:cstheme="minorHAnsi"/>
                <w:color w:val="auto"/>
                <w:sz w:val="24"/>
                <w:szCs w:val="24"/>
              </w:rPr>
              <w:t xml:space="preserve"> the concerns or work in collaboration with police. Under Section 46 Children Act (1989)</w:t>
            </w:r>
            <w:r w:rsidRPr="00D975A2">
              <w:rPr>
                <w:rFonts w:asciiTheme="minorHAnsi" w:hAnsiTheme="minorHAnsi" w:cstheme="minorHAnsi"/>
                <w:sz w:val="24"/>
                <w:szCs w:val="24"/>
              </w:rPr>
              <w:t>, the police use the</w:t>
            </w:r>
            <w:r w:rsidRPr="00D975A2">
              <w:rPr>
                <w:rFonts w:asciiTheme="minorHAnsi" w:hAnsiTheme="minorHAnsi" w:cstheme="minorHAnsi"/>
                <w:color w:val="auto"/>
                <w:sz w:val="24"/>
                <w:szCs w:val="24"/>
              </w:rPr>
              <w:t xml:space="preserve"> police protection powers </w:t>
            </w:r>
            <w:r w:rsidRPr="00D975A2">
              <w:rPr>
                <w:rFonts w:asciiTheme="minorHAnsi" w:hAnsiTheme="minorHAnsi" w:cstheme="minorHAnsi"/>
                <w:sz w:val="24"/>
                <w:szCs w:val="24"/>
              </w:rPr>
              <w:t xml:space="preserve">(PPP) </w:t>
            </w:r>
            <w:r w:rsidRPr="00D975A2">
              <w:rPr>
                <w:rFonts w:asciiTheme="minorHAnsi" w:hAnsiTheme="minorHAnsi" w:cstheme="minorHAnsi"/>
                <w:color w:val="auto"/>
                <w:sz w:val="24"/>
                <w:szCs w:val="24"/>
              </w:rPr>
              <w:t>which is the legal right to remove or prevent the removal of a child when there is significant risk of harm</w:t>
            </w:r>
            <w:r w:rsidRPr="00D975A2">
              <w:rPr>
                <w:rFonts w:asciiTheme="minorHAnsi" w:hAnsiTheme="minorHAnsi" w:cstheme="minorHAnsi"/>
                <w:color w:val="FF0000"/>
                <w:sz w:val="24"/>
                <w:szCs w:val="24"/>
              </w:rPr>
              <w:t xml:space="preserve">. </w:t>
            </w:r>
            <w:r w:rsidRPr="00D975A2">
              <w:rPr>
                <w:rFonts w:asciiTheme="minorHAnsi" w:hAnsiTheme="minorHAnsi" w:cstheme="minorHAnsi"/>
                <w:sz w:val="24"/>
                <w:szCs w:val="24"/>
              </w:rPr>
              <w:t xml:space="preserve">A common misconception is that social workers can remove children however social workers do not have the power to do this, if a child is at risk of harm and needs to be removed from the home without the agreement of parents through a S76 which is voluntary accommodation then police will use PPP and have 72 hours either for children service to apply for an Emergency Protection Order (EPO) within the court arena or complete a robust child protection plan to ensure the child's safety (Goldberg and Warburton, 2021). </w:t>
            </w:r>
          </w:p>
          <w:p w14:paraId="01509D1B" w14:textId="77777777" w:rsidR="00685932" w:rsidRPr="00D975A2" w:rsidRDefault="00685932" w:rsidP="00685932">
            <w:pPr>
              <w:rPr>
                <w:rFonts w:asciiTheme="minorHAnsi" w:hAnsiTheme="minorHAnsi" w:cstheme="minorHAnsi"/>
                <w:color w:val="auto"/>
                <w:sz w:val="24"/>
                <w:szCs w:val="24"/>
              </w:rPr>
            </w:pPr>
          </w:p>
          <w:p w14:paraId="04B99A50" w14:textId="08116AFE" w:rsidR="00685932" w:rsidRPr="00D975A2" w:rsidRDefault="00685932" w:rsidP="00685932">
            <w:pPr>
              <w:rPr>
                <w:rFonts w:asciiTheme="minorHAnsi" w:hAnsiTheme="minorHAnsi" w:cstheme="minorHAnsi"/>
                <w:sz w:val="24"/>
                <w:szCs w:val="24"/>
              </w:rPr>
            </w:pPr>
            <w:r w:rsidRPr="00D975A2">
              <w:rPr>
                <w:rFonts w:asciiTheme="minorHAnsi" w:hAnsiTheme="minorHAnsi" w:cstheme="minorHAnsi"/>
                <w:sz w:val="24"/>
                <w:szCs w:val="24"/>
              </w:rPr>
              <w:t xml:space="preserve">However, in respect of adult safeguarding consent can be more complex as if an adult deemed to have capacity and denies involvement in social services then social workers need to respect this. The Mental Health Act (MCA, 2005) guides social services to understand an individual's abilities and capacities to make decision, therefore if using the MCA (2005) an adult is deemed to have capacity then the individual can make their own decisions and if they did not agree for social services involvement or continue to make decisions that could be deemed risky, then this needs to be </w:t>
            </w:r>
            <w:r w:rsidRPr="00D975A2">
              <w:rPr>
                <w:rFonts w:asciiTheme="minorHAnsi" w:hAnsiTheme="minorHAnsi" w:cstheme="minorHAnsi"/>
                <w:sz w:val="24"/>
                <w:szCs w:val="24"/>
              </w:rPr>
              <w:lastRenderedPageBreak/>
              <w:t xml:space="preserve">respected by social services. However, there are circumstances when social workers need to continue supporting the individual despite not consenting to continuing support, this could occur when the individual may lack capacity or there is a risk of harm, whether that is to themselves or others. </w:t>
            </w:r>
          </w:p>
          <w:p w14:paraId="1F4237E4" w14:textId="77777777" w:rsidR="00685932" w:rsidRPr="00D975A2" w:rsidRDefault="00685932" w:rsidP="00685932">
            <w:pPr>
              <w:rPr>
                <w:rFonts w:asciiTheme="minorHAnsi" w:hAnsiTheme="minorHAnsi" w:cstheme="minorHAnsi"/>
                <w:sz w:val="24"/>
                <w:szCs w:val="24"/>
              </w:rPr>
            </w:pPr>
          </w:p>
          <w:p w14:paraId="795C6051" w14:textId="5F61ADDA" w:rsidR="00FC0334" w:rsidRPr="00D975A2" w:rsidRDefault="00685932" w:rsidP="00685932">
            <w:pPr>
              <w:jc w:val="both"/>
              <w:rPr>
                <w:rFonts w:asciiTheme="minorHAnsi" w:hAnsiTheme="minorHAnsi" w:cstheme="minorHAnsi"/>
                <w:sz w:val="24"/>
                <w:szCs w:val="24"/>
              </w:rPr>
            </w:pPr>
            <w:r w:rsidRPr="00D975A2">
              <w:rPr>
                <w:rFonts w:asciiTheme="minorHAnsi" w:hAnsiTheme="minorHAnsi" w:cstheme="minorHAnsi"/>
                <w:sz w:val="24"/>
                <w:szCs w:val="24"/>
              </w:rPr>
              <w:t>Since working in the local authority, it has also been noted the differences in the services offered, when concerns and needs are identified, children services will provide numerous support services in order to prevent crisis point or ensure a safe and healthy home for the child. Whereas adult services appear to offer less services as they do not want to overwhelm the individuals and do not want the adult to create a dependency on the support services as following SSWBA (2014) one of the main principles is to empower the individuals therefore causing an adult to depend on social services involvement would be disempowering them (Jones and Davison, 2021).</w:t>
            </w: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4285720" w14:textId="4E971BAC" w:rsidR="00FC0334" w:rsidRDefault="00FC0334" w:rsidP="00FC0334">
            <w:pPr>
              <w:jc w:val="both"/>
              <w:rPr>
                <w:sz w:val="24"/>
                <w:szCs w:val="24"/>
              </w:rPr>
            </w:pPr>
          </w:p>
          <w:p w14:paraId="438BF787" w14:textId="05A5DEEC" w:rsidR="00FC0334" w:rsidRPr="00685932" w:rsidRDefault="00685932" w:rsidP="00FC0334">
            <w:pPr>
              <w:jc w:val="both"/>
              <w:rPr>
                <w:i/>
                <w:sz w:val="24"/>
                <w:szCs w:val="24"/>
              </w:rPr>
            </w:pPr>
            <w:r w:rsidRPr="00685932">
              <w:rPr>
                <w:i/>
                <w:sz w:val="24"/>
                <w:szCs w:val="24"/>
              </w:rPr>
              <w:t>452</w:t>
            </w:r>
          </w:p>
          <w:p w14:paraId="4765C5E5" w14:textId="77777777" w:rsidR="00685932" w:rsidRPr="006108C9" w:rsidRDefault="00685932"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r w:rsidR="00685932" w:rsidRPr="008B28E7" w14:paraId="6CC0F9B2" w14:textId="77777777" w:rsidTr="00FC0334">
        <w:tc>
          <w:tcPr>
            <w:tcW w:w="10278" w:type="dxa"/>
            <w:shd w:val="clear" w:color="auto" w:fill="auto"/>
          </w:tcPr>
          <w:p w14:paraId="72CE3B2C" w14:textId="44CAEDC0" w:rsidR="00685932" w:rsidRPr="00EB695F" w:rsidRDefault="00685932" w:rsidP="00FC0334">
            <w:pPr>
              <w:jc w:val="both"/>
              <w:rPr>
                <w:b/>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DA0AC28" w:rsidR="00A5656A" w:rsidRDefault="00A5656A">
    <w:pPr>
      <w:pStyle w:val="Footer"/>
      <w:jc w:val="right"/>
    </w:pPr>
    <w:r>
      <w:fldChar w:fldCharType="begin"/>
    </w:r>
    <w:r>
      <w:instrText xml:space="preserve"> PAGE   \* MERGEFORMAT </w:instrText>
    </w:r>
    <w:r>
      <w:fldChar w:fldCharType="separate"/>
    </w:r>
    <w:r w:rsidR="00F326D4">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5932"/>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603C"/>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1ECB"/>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75A2"/>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305F"/>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6D4"/>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B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478"/>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2D18EF-060F-484F-97C7-9185ECE76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1211</Words>
  <Characters>6378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Mellissa Watkins</cp:lastModifiedBy>
  <cp:revision>7</cp:revision>
  <cp:lastPrinted>2020-02-11T19:20:00Z</cp:lastPrinted>
  <dcterms:created xsi:type="dcterms:W3CDTF">2023-10-19T12:35:00Z</dcterms:created>
  <dcterms:modified xsi:type="dcterms:W3CDTF">2024-10-07T21:29:00Z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