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556DA7" w14:textId="0BB07C00" w:rsidR="00F80678" w:rsidRDefault="00CC585F" w:rsidP="00BD3696">
      <w:pPr>
        <w:pStyle w:val="NormalWeb"/>
        <w:spacing w:before="96" w:beforeAutospacing="0" w:after="0" w:afterAutospacing="0"/>
        <w:rPr>
          <w:rFonts w:ascii="Trebuchet MS" w:eastAsia="+mn-ea" w:hAnsi="Trebuchet MS" w:cs="+mn-cs"/>
          <w:color w:val="000000"/>
          <w:kern w:val="24"/>
          <w:sz w:val="40"/>
          <w:szCs w:val="40"/>
        </w:rPr>
      </w:pPr>
      <w:r w:rsidRPr="00A406E5">
        <w:rPr>
          <w:rFonts w:ascii="Arial" w:hAnsi="Arial" w:cs="Arial"/>
          <w:noProof/>
        </w:rPr>
        <w:drawing>
          <wp:anchor distT="0" distB="0" distL="114300" distR="114300" simplePos="0" relativeHeight="251659264" behindDoc="0" locked="0" layoutInCell="1" allowOverlap="1" wp14:anchorId="2AFB6DFF" wp14:editId="527E98C2">
            <wp:simplePos x="0" y="0"/>
            <wp:positionH relativeFrom="column">
              <wp:posOffset>-260350</wp:posOffset>
            </wp:positionH>
            <wp:positionV relativeFrom="paragraph">
              <wp:posOffset>123190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E7B0D66" w14:textId="262A8B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15FB334E" w14:textId="63A634C3"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5795E879" w14:textId="1A2ED60D"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1822755A" w14:textId="27699028"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415B0AF5" w14:textId="00AD1A47" w:rsidR="00C51C4B" w:rsidRDefault="00F80901" w:rsidP="00CC585F">
      <w:pPr>
        <w:pStyle w:val="NormalWeb"/>
        <w:spacing w:before="96" w:beforeAutospacing="0" w:after="0" w:afterAutospacing="0"/>
        <w:ind w:left="0"/>
        <w:rPr>
          <w:rFonts w:ascii="Arial" w:eastAsia="+mn-ea" w:hAnsi="Arial" w:cs="Arial"/>
          <w:b/>
          <w:bCs/>
          <w:color w:val="000000"/>
          <w:kern w:val="24"/>
          <w:sz w:val="32"/>
          <w:szCs w:val="32"/>
        </w:rPr>
      </w:pPr>
      <w:r w:rsidRPr="00465D94">
        <w:rPr>
          <w:rFonts w:ascii="Arial" w:eastAsia="+mn-ea" w:hAnsi="Arial" w:cs="Arial"/>
          <w:b/>
          <w:bCs/>
          <w:color w:val="000000"/>
          <w:kern w:val="24"/>
          <w:sz w:val="32"/>
          <w:szCs w:val="32"/>
        </w:rPr>
        <w:t xml:space="preserve">Component 1 </w:t>
      </w:r>
      <w:r w:rsidR="0032303D" w:rsidRPr="00465D94">
        <w:rPr>
          <w:rFonts w:ascii="Arial" w:eastAsia="+mn-ea" w:hAnsi="Arial" w:cs="Arial"/>
          <w:b/>
          <w:bCs/>
          <w:color w:val="000000"/>
          <w:kern w:val="24"/>
          <w:sz w:val="32"/>
          <w:szCs w:val="32"/>
        </w:rPr>
        <w:t>portfoli</w:t>
      </w:r>
      <w:r w:rsidR="000C04AB" w:rsidRPr="00465D94">
        <w:rPr>
          <w:rFonts w:ascii="Arial" w:eastAsia="+mn-ea" w:hAnsi="Arial" w:cs="Arial"/>
          <w:b/>
          <w:bCs/>
          <w:color w:val="000000"/>
          <w:kern w:val="24"/>
          <w:sz w:val="32"/>
          <w:szCs w:val="32"/>
        </w:rPr>
        <w:t>o</w:t>
      </w:r>
    </w:p>
    <w:p w14:paraId="6D694F5C" w14:textId="77777777" w:rsidR="001B1837" w:rsidRDefault="001B1837" w:rsidP="00BD3696">
      <w:pPr>
        <w:pStyle w:val="NormalWeb"/>
        <w:spacing w:before="96" w:beforeAutospacing="0" w:after="0" w:afterAutospacing="0"/>
        <w:rPr>
          <w:rFonts w:ascii="Arial" w:eastAsia="+mn-ea" w:hAnsi="Arial" w:cs="Arial"/>
          <w:b/>
          <w:bCs/>
          <w:color w:val="000000"/>
          <w:kern w:val="24"/>
          <w:sz w:val="32"/>
          <w:szCs w:val="32"/>
        </w:rPr>
      </w:pPr>
    </w:p>
    <w:p w14:paraId="0470269E" w14:textId="7B49873A" w:rsidR="001B1837" w:rsidRPr="00E84BAF" w:rsidRDefault="002004AB" w:rsidP="00BD3696">
      <w:pPr>
        <w:pStyle w:val="NormalWeb"/>
        <w:spacing w:before="96" w:beforeAutospacing="0" w:after="0" w:afterAutospacing="0"/>
        <w:rPr>
          <w:rFonts w:ascii="Arial" w:eastAsia="+mn-ea" w:hAnsi="Arial" w:cs="Arial"/>
          <w:b/>
          <w:bCs/>
          <w:color w:val="000000"/>
          <w:kern w:val="24"/>
          <w:sz w:val="48"/>
          <w:szCs w:val="48"/>
        </w:rPr>
      </w:pPr>
      <w:r w:rsidRPr="00E84BAF">
        <w:rPr>
          <w:rFonts w:ascii="Arial" w:eastAsia="+mn-ea" w:hAnsi="Arial" w:cs="Arial"/>
          <w:b/>
          <w:bCs/>
          <w:color w:val="000000"/>
          <w:kern w:val="24"/>
          <w:sz w:val="48"/>
          <w:szCs w:val="48"/>
        </w:rPr>
        <w:t>Anjumben Virani - 2535117</w:t>
      </w:r>
    </w:p>
    <w:p w14:paraId="1291CB0F" w14:textId="77777777" w:rsidR="00315DE1" w:rsidRDefault="00315DE1" w:rsidP="00BD3696">
      <w:pPr>
        <w:pStyle w:val="NormalWeb"/>
        <w:spacing w:before="96" w:beforeAutospacing="0" w:after="0" w:afterAutospacing="0"/>
        <w:rPr>
          <w:rFonts w:ascii="Arial" w:eastAsia="+mn-ea" w:hAnsi="Arial" w:cs="Arial"/>
          <w:color w:val="000000"/>
          <w:kern w:val="24"/>
          <w:sz w:val="22"/>
          <w:szCs w:val="22"/>
        </w:rPr>
      </w:pPr>
    </w:p>
    <w:p w14:paraId="1D7DD610" w14:textId="3BE67135" w:rsidR="00AF11A7" w:rsidRPr="00E84BAF" w:rsidRDefault="00573DF4" w:rsidP="00BD3696">
      <w:pPr>
        <w:pStyle w:val="NormalWeb"/>
        <w:spacing w:before="96" w:beforeAutospacing="0" w:after="0" w:afterAutospacing="0"/>
        <w:rPr>
          <w:rFonts w:ascii="Arial" w:eastAsia="+mn-ea" w:hAnsi="Arial" w:cs="Arial"/>
          <w:color w:val="000000"/>
          <w:kern w:val="24"/>
          <w:sz w:val="28"/>
          <w:szCs w:val="28"/>
        </w:rPr>
      </w:pPr>
      <w:r w:rsidRPr="00E84BAF">
        <w:rPr>
          <w:rFonts w:ascii="Arial" w:eastAsia="+mn-ea" w:hAnsi="Arial" w:cs="Arial"/>
          <w:color w:val="000000"/>
          <w:kern w:val="24"/>
          <w:sz w:val="28"/>
          <w:szCs w:val="28"/>
        </w:rPr>
        <w:t xml:space="preserve">Programme: </w:t>
      </w:r>
      <w:r w:rsidR="00465D94" w:rsidRPr="00E84BAF">
        <w:rPr>
          <w:rFonts w:ascii="Arial" w:hAnsi="Arial" w:cs="Arial"/>
          <w:sz w:val="28"/>
          <w:szCs w:val="28"/>
        </w:rPr>
        <w:t>Certificate of Higher Education Skills for the Workplace (Health &amp; Social Care)</w:t>
      </w:r>
    </w:p>
    <w:p w14:paraId="2AA97E55" w14:textId="7EDC22B8" w:rsidR="00AF11A7" w:rsidRPr="00E84BAF" w:rsidRDefault="00637447" w:rsidP="00BD3696">
      <w:pPr>
        <w:pStyle w:val="NormalWeb"/>
        <w:spacing w:before="96" w:beforeAutospacing="0" w:after="0" w:afterAutospacing="0"/>
        <w:rPr>
          <w:rFonts w:ascii="Arial" w:eastAsia="+mn-ea" w:hAnsi="Arial" w:cs="Arial"/>
          <w:color w:val="000000"/>
          <w:kern w:val="24"/>
          <w:sz w:val="28"/>
          <w:szCs w:val="28"/>
        </w:rPr>
      </w:pPr>
      <w:r w:rsidRPr="00E84BAF">
        <w:rPr>
          <w:rFonts w:ascii="Arial" w:eastAsia="+mn-ea" w:hAnsi="Arial" w:cs="Arial"/>
          <w:color w:val="000000"/>
          <w:kern w:val="24"/>
          <w:sz w:val="28"/>
          <w:szCs w:val="28"/>
        </w:rPr>
        <w:t>Mod</w:t>
      </w:r>
      <w:r w:rsidR="004011D3" w:rsidRPr="00E84BAF">
        <w:rPr>
          <w:rFonts w:ascii="Arial" w:eastAsia="+mn-ea" w:hAnsi="Arial" w:cs="Arial"/>
          <w:color w:val="000000"/>
          <w:kern w:val="24"/>
          <w:sz w:val="28"/>
          <w:szCs w:val="28"/>
        </w:rPr>
        <w:t xml:space="preserve">ule: </w:t>
      </w:r>
      <w:r w:rsidR="0028695B" w:rsidRPr="00E84BAF">
        <w:rPr>
          <w:rFonts w:ascii="Arial" w:hAnsi="Arial" w:cs="Arial"/>
          <w:b/>
          <w:bCs/>
          <w:sz w:val="28"/>
          <w:szCs w:val="28"/>
        </w:rPr>
        <w:t>Introduction to Health and Social Care</w:t>
      </w:r>
    </w:p>
    <w:p w14:paraId="54ECF6BE" w14:textId="15DCB070" w:rsidR="00315DE1" w:rsidRPr="00E84BAF" w:rsidRDefault="00637447" w:rsidP="00BD3696">
      <w:pPr>
        <w:pStyle w:val="NormalWeb"/>
        <w:spacing w:before="96" w:beforeAutospacing="0" w:after="0" w:afterAutospacing="0"/>
        <w:rPr>
          <w:rFonts w:ascii="Arial" w:hAnsi="Arial" w:cs="Arial"/>
          <w:b/>
          <w:sz w:val="28"/>
          <w:szCs w:val="28"/>
        </w:rPr>
      </w:pPr>
      <w:r w:rsidRPr="00E84BAF">
        <w:rPr>
          <w:rFonts w:ascii="Arial" w:eastAsia="+mn-ea" w:hAnsi="Arial" w:cs="Arial"/>
          <w:color w:val="000000"/>
          <w:kern w:val="24"/>
          <w:sz w:val="28"/>
          <w:szCs w:val="28"/>
        </w:rPr>
        <w:t>Module</w:t>
      </w:r>
      <w:r w:rsidR="00743F94" w:rsidRPr="00E84BAF">
        <w:rPr>
          <w:rFonts w:ascii="Arial" w:eastAsia="+mn-ea" w:hAnsi="Arial" w:cs="Arial"/>
          <w:color w:val="000000"/>
          <w:kern w:val="24"/>
          <w:sz w:val="28"/>
          <w:szCs w:val="28"/>
        </w:rPr>
        <w:t xml:space="preserve"> code: </w:t>
      </w:r>
      <w:r w:rsidRPr="00E84BAF">
        <w:rPr>
          <w:rFonts w:ascii="Arial" w:hAnsi="Arial" w:cs="Arial"/>
          <w:b/>
          <w:sz w:val="28"/>
          <w:szCs w:val="28"/>
        </w:rPr>
        <w:t>LCHS4003</w:t>
      </w:r>
    </w:p>
    <w:p w14:paraId="5D108F0A" w14:textId="4AD989F5" w:rsidR="009944ED" w:rsidRPr="00E84BAF" w:rsidRDefault="009944ED" w:rsidP="009944ED">
      <w:pPr>
        <w:spacing w:before="120" w:after="120"/>
        <w:rPr>
          <w:rFonts w:ascii="Arial" w:hAnsi="Arial" w:cs="Arial"/>
          <w:b/>
          <w:sz w:val="28"/>
          <w:szCs w:val="28"/>
        </w:rPr>
      </w:pPr>
      <w:r w:rsidRPr="00E84BAF">
        <w:rPr>
          <w:rFonts w:ascii="Arial" w:hAnsi="Arial" w:cs="Arial"/>
          <w:b/>
          <w:sz w:val="28"/>
          <w:szCs w:val="28"/>
        </w:rPr>
        <w:t xml:space="preserve">Lecture: </w:t>
      </w:r>
      <w:r w:rsidRPr="00E84BAF">
        <w:rPr>
          <w:rFonts w:ascii="Arial" w:hAnsi="Arial" w:cs="Arial"/>
          <w:b/>
          <w:bCs/>
          <w:sz w:val="28"/>
          <w:szCs w:val="28"/>
          <w:lang w:val="fr-FR"/>
        </w:rPr>
        <w:t>Dr Helen Parsons (Module Lead)</w:t>
      </w:r>
    </w:p>
    <w:p w14:paraId="13DB8564" w14:textId="33984547" w:rsidR="009944ED" w:rsidRDefault="009944ED" w:rsidP="00BD3696">
      <w:pPr>
        <w:pStyle w:val="NormalWeb"/>
        <w:spacing w:before="96" w:beforeAutospacing="0" w:after="0" w:afterAutospacing="0"/>
        <w:rPr>
          <w:rFonts w:ascii="Arial" w:hAnsi="Arial" w:cs="Arial"/>
          <w:b/>
          <w:sz w:val="22"/>
          <w:szCs w:val="22"/>
        </w:rPr>
      </w:pPr>
    </w:p>
    <w:p w14:paraId="3C8C79A0" w14:textId="77777777" w:rsidR="00CF4204" w:rsidRDefault="00CF4204" w:rsidP="00BD3696">
      <w:pPr>
        <w:pStyle w:val="NormalWeb"/>
        <w:spacing w:before="96" w:beforeAutospacing="0" w:after="0" w:afterAutospacing="0"/>
        <w:rPr>
          <w:rFonts w:ascii="Arial" w:eastAsia="+mn-ea" w:hAnsi="Arial" w:cs="Arial"/>
          <w:color w:val="000000"/>
          <w:kern w:val="24"/>
          <w:sz w:val="22"/>
          <w:szCs w:val="22"/>
        </w:rPr>
      </w:pPr>
    </w:p>
    <w:p w14:paraId="00384D50" w14:textId="77777777" w:rsidR="000C04AB" w:rsidRDefault="000C04AB" w:rsidP="00BD3696">
      <w:pPr>
        <w:pStyle w:val="NormalWeb"/>
        <w:spacing w:before="96" w:beforeAutospacing="0" w:after="0" w:afterAutospacing="0"/>
        <w:rPr>
          <w:rFonts w:ascii="Arial" w:eastAsia="+mn-ea" w:hAnsi="Arial" w:cs="Arial"/>
          <w:color w:val="000000"/>
          <w:kern w:val="24"/>
          <w:sz w:val="22"/>
          <w:szCs w:val="22"/>
        </w:rPr>
      </w:pPr>
    </w:p>
    <w:p w14:paraId="2A5C73A0" w14:textId="77777777" w:rsidR="00F80901" w:rsidRDefault="00F80901" w:rsidP="00BD3696">
      <w:pPr>
        <w:pStyle w:val="NormalWeb"/>
        <w:spacing w:before="96" w:beforeAutospacing="0" w:after="0" w:afterAutospacing="0"/>
        <w:rPr>
          <w:rFonts w:ascii="Arial" w:eastAsia="+mn-ea" w:hAnsi="Arial" w:cs="Arial"/>
          <w:color w:val="000000"/>
          <w:kern w:val="24"/>
          <w:sz w:val="22"/>
          <w:szCs w:val="22"/>
        </w:rPr>
      </w:pPr>
    </w:p>
    <w:p w14:paraId="52D60C60"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04A6CD3C"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6721AD09"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750F132B"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07C60C19"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2557C1A6"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2BA6D98A"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46D9E518"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391F6E4A" w14:textId="77777777" w:rsidR="00C51C4B" w:rsidRDefault="00C51C4B" w:rsidP="00BD3696">
      <w:pPr>
        <w:pStyle w:val="NormalWeb"/>
        <w:spacing w:before="96" w:beforeAutospacing="0" w:after="0" w:afterAutospacing="0"/>
        <w:rPr>
          <w:rFonts w:ascii="Arial" w:eastAsia="+mn-ea" w:hAnsi="Arial" w:cs="Arial"/>
          <w:color w:val="000000"/>
          <w:kern w:val="24"/>
          <w:sz w:val="22"/>
          <w:szCs w:val="22"/>
        </w:rPr>
      </w:pPr>
    </w:p>
    <w:p w14:paraId="2EBC4FC9" w14:textId="7EF2D535" w:rsidR="00B41155" w:rsidRDefault="00B41155" w:rsidP="00BD3696">
      <w:pPr>
        <w:pStyle w:val="NormalWeb"/>
        <w:spacing w:before="96" w:beforeAutospacing="0" w:after="0" w:afterAutospacing="0"/>
        <w:rPr>
          <w:rFonts w:ascii="Arial" w:eastAsia="+mn-ea" w:hAnsi="Arial" w:cs="Arial"/>
          <w:color w:val="000000"/>
          <w:kern w:val="24"/>
          <w:sz w:val="22"/>
          <w:szCs w:val="22"/>
        </w:rPr>
      </w:pPr>
    </w:p>
    <w:p w14:paraId="0297A07B" w14:textId="77777777" w:rsidR="00CC585F" w:rsidRDefault="00CC585F" w:rsidP="00415C33">
      <w:pPr>
        <w:ind w:left="426"/>
        <w:rPr>
          <w:rFonts w:ascii="Arial" w:eastAsia="Arial" w:hAnsi="Arial" w:cs="Arial"/>
          <w:b/>
          <w:bCs/>
          <w:sz w:val="36"/>
          <w:szCs w:val="36"/>
        </w:rPr>
      </w:pPr>
    </w:p>
    <w:p w14:paraId="702A7E97" w14:textId="77777777" w:rsidR="00CC585F" w:rsidRDefault="00CC585F" w:rsidP="00415C33">
      <w:pPr>
        <w:ind w:left="426"/>
        <w:rPr>
          <w:rFonts w:ascii="Arial" w:eastAsia="Arial" w:hAnsi="Arial" w:cs="Arial"/>
          <w:b/>
          <w:bCs/>
          <w:sz w:val="36"/>
          <w:szCs w:val="36"/>
        </w:rPr>
      </w:pPr>
    </w:p>
    <w:p w14:paraId="75A031EB" w14:textId="0DF44C94" w:rsidR="00415C33" w:rsidRPr="00CC0F6E" w:rsidRDefault="00415C33" w:rsidP="00415C33">
      <w:pPr>
        <w:ind w:left="426"/>
        <w:rPr>
          <w:rFonts w:ascii="Arial" w:eastAsia="Arial" w:hAnsi="Arial" w:cs="Arial"/>
          <w:color w:val="000000" w:themeColor="text1"/>
          <w:sz w:val="36"/>
          <w:szCs w:val="36"/>
        </w:rPr>
      </w:pPr>
      <w:r w:rsidRPr="00CC0F6E">
        <w:rPr>
          <w:rFonts w:ascii="Arial" w:eastAsia="Arial" w:hAnsi="Arial" w:cs="Arial"/>
          <w:b/>
          <w:bCs/>
          <w:sz w:val="36"/>
          <w:szCs w:val="36"/>
        </w:rPr>
        <w:lastRenderedPageBreak/>
        <w:t xml:space="preserve">Task 1: </w:t>
      </w:r>
      <w:r w:rsidR="003E7CA6" w:rsidRPr="00CC0F6E">
        <w:rPr>
          <w:rFonts w:ascii="Arial" w:eastAsia="Arial" w:hAnsi="Arial" w:cs="Arial"/>
          <w:b/>
          <w:bCs/>
          <w:sz w:val="36"/>
          <w:szCs w:val="36"/>
        </w:rPr>
        <w:t xml:space="preserve">A </w:t>
      </w:r>
      <w:r w:rsidR="00CC0F6E" w:rsidRPr="00CC0F6E">
        <w:rPr>
          <w:rFonts w:ascii="Arial" w:eastAsia="Arial" w:hAnsi="Arial" w:cs="Arial"/>
          <w:b/>
          <w:bCs/>
          <w:sz w:val="36"/>
          <w:szCs w:val="36"/>
        </w:rPr>
        <w:t>mini report</w:t>
      </w:r>
      <w:r w:rsidRPr="00CC0F6E">
        <w:rPr>
          <w:rFonts w:ascii="Arial" w:eastAsia="Arial" w:hAnsi="Arial" w:cs="Arial"/>
          <w:b/>
          <w:bCs/>
          <w:sz w:val="36"/>
          <w:szCs w:val="36"/>
        </w:rPr>
        <w:t xml:space="preserve"> </w:t>
      </w:r>
    </w:p>
    <w:p w14:paraId="60798E7D" w14:textId="77777777" w:rsidR="00415C33" w:rsidRPr="00442F05" w:rsidRDefault="00415C33" w:rsidP="00BD3696">
      <w:pPr>
        <w:pStyle w:val="NormalWeb"/>
        <w:spacing w:before="96" w:beforeAutospacing="0" w:after="0" w:afterAutospacing="0"/>
        <w:rPr>
          <w:rFonts w:ascii="Arial" w:eastAsia="+mn-ea" w:hAnsi="Arial" w:cs="Arial"/>
          <w:color w:val="000000"/>
          <w:kern w:val="24"/>
          <w:sz w:val="22"/>
          <w:szCs w:val="22"/>
        </w:rPr>
      </w:pPr>
    </w:p>
    <w:p w14:paraId="53282A83" w14:textId="54EF86EC" w:rsidR="00D116AC" w:rsidRPr="00442F05" w:rsidRDefault="00D116AC" w:rsidP="00203884">
      <w:pPr>
        <w:pStyle w:val="NormalWeb"/>
        <w:spacing w:before="96" w:beforeAutospacing="0" w:after="0" w:afterAutospacing="0"/>
        <w:rPr>
          <w:rFonts w:ascii="Arial" w:eastAsia="+mn-ea" w:hAnsi="Arial" w:cs="Arial"/>
          <w:color w:val="000000"/>
          <w:kern w:val="24"/>
          <w:sz w:val="22"/>
          <w:szCs w:val="22"/>
        </w:rPr>
      </w:pPr>
    </w:p>
    <w:p w14:paraId="0F88F8B5" w14:textId="77777777" w:rsidR="00D116AC" w:rsidRPr="00442F05" w:rsidRDefault="00D116AC" w:rsidP="00203884">
      <w:pPr>
        <w:pStyle w:val="NormalWeb"/>
        <w:spacing w:before="96" w:beforeAutospacing="0" w:after="0" w:afterAutospacing="0"/>
        <w:rPr>
          <w:rFonts w:ascii="Arial" w:eastAsia="+mn-ea" w:hAnsi="Arial" w:cs="Arial"/>
          <w:color w:val="000000"/>
          <w:kern w:val="24"/>
          <w:sz w:val="22"/>
          <w:szCs w:val="22"/>
        </w:rPr>
      </w:pPr>
    </w:p>
    <w:p w14:paraId="64777806" w14:textId="542EBA34" w:rsidR="007D7CB7" w:rsidRPr="00CC585F" w:rsidRDefault="74F41A2C" w:rsidP="00CC585F">
      <w:pPr>
        <w:pStyle w:val="NormalWeb"/>
        <w:spacing w:before="96" w:beforeAutospacing="0" w:after="0" w:afterAutospacing="0"/>
        <w:rPr>
          <w:rFonts w:ascii="Arial" w:hAnsi="Arial" w:cs="Arial"/>
          <w:b/>
          <w:bCs/>
          <w:color w:val="1D1D1D"/>
          <w:sz w:val="22"/>
          <w:szCs w:val="22"/>
        </w:rPr>
      </w:pPr>
      <w:r w:rsidRPr="00442F05">
        <w:rPr>
          <w:rFonts w:ascii="Arial" w:hAnsi="Arial" w:cs="Arial"/>
          <w:b/>
          <w:bCs/>
          <w:color w:val="1D1D1D"/>
          <w:sz w:val="22"/>
          <w:szCs w:val="22"/>
        </w:rPr>
        <w:t>Advisory Report to a Local Councillor</w:t>
      </w:r>
    </w:p>
    <w:p w14:paraId="56446C40" w14:textId="77777777" w:rsidR="007D7CB7" w:rsidRPr="00442F05" w:rsidRDefault="007D7CB7" w:rsidP="007D7CB7">
      <w:pPr>
        <w:pStyle w:val="df"/>
        <w:pBdr>
          <w:top w:val="single" w:sz="2" w:space="0" w:color="F0F3F5"/>
          <w:left w:val="single" w:sz="2" w:space="0" w:color="F0F3F5"/>
          <w:bottom w:val="single" w:sz="2" w:space="0" w:color="F0F3F5"/>
          <w:right w:val="single" w:sz="2" w:space="0" w:color="F0F3F5"/>
        </w:pBdr>
        <w:shd w:val="clear" w:color="auto" w:fill="FFFFFF"/>
        <w:rPr>
          <w:rFonts w:ascii="Arial" w:hAnsi="Arial" w:cs="Arial"/>
          <w:color w:val="1D1D1D"/>
          <w:sz w:val="22"/>
          <w:szCs w:val="22"/>
        </w:rPr>
      </w:pPr>
    </w:p>
    <w:p w14:paraId="19F9A693" w14:textId="77777777" w:rsidR="007D7CB7" w:rsidRPr="00442F05" w:rsidRDefault="007D7CB7" w:rsidP="007D7CB7">
      <w:pPr>
        <w:pStyle w:val="df"/>
        <w:pBdr>
          <w:top w:val="single" w:sz="2" w:space="0" w:color="F0F3F5"/>
          <w:left w:val="single" w:sz="2" w:space="0" w:color="F0F3F5"/>
          <w:bottom w:val="single" w:sz="2" w:space="0" w:color="F0F3F5"/>
          <w:right w:val="single" w:sz="2" w:space="0" w:color="F0F3F5"/>
        </w:pBdr>
        <w:shd w:val="clear" w:color="auto" w:fill="FFFFFF"/>
        <w:rPr>
          <w:rFonts w:ascii="Arial" w:hAnsi="Arial" w:cs="Arial"/>
          <w:color w:val="1D1D1D"/>
          <w:sz w:val="22"/>
          <w:szCs w:val="22"/>
        </w:rPr>
      </w:pPr>
      <w:r w:rsidRPr="00442F05">
        <w:rPr>
          <w:rFonts w:ascii="Arial" w:hAnsi="Arial" w:cs="Arial"/>
          <w:color w:val="1D1D1D"/>
          <w:sz w:val="22"/>
          <w:szCs w:val="22"/>
        </w:rPr>
        <w:t>To: Councillor Liam Preece</w:t>
      </w:r>
    </w:p>
    <w:p w14:paraId="19780848" w14:textId="77777777" w:rsidR="007D7CB7" w:rsidRPr="00442F05" w:rsidRDefault="007D7CB7" w:rsidP="007D7CB7">
      <w:pPr>
        <w:pStyle w:val="df"/>
        <w:pBdr>
          <w:top w:val="single" w:sz="2" w:space="0" w:color="F0F3F5"/>
          <w:left w:val="single" w:sz="2" w:space="0" w:color="F0F3F5"/>
          <w:bottom w:val="single" w:sz="2" w:space="0" w:color="F0F3F5"/>
          <w:right w:val="single" w:sz="2" w:space="0" w:color="F0F3F5"/>
        </w:pBdr>
        <w:shd w:val="clear" w:color="auto" w:fill="FFFFFF"/>
        <w:rPr>
          <w:rFonts w:ascii="Arial" w:hAnsi="Arial" w:cs="Arial"/>
          <w:color w:val="1D1D1D"/>
          <w:sz w:val="22"/>
          <w:szCs w:val="22"/>
        </w:rPr>
      </w:pPr>
      <w:r w:rsidRPr="00442F05">
        <w:rPr>
          <w:rFonts w:ascii="Arial" w:hAnsi="Arial" w:cs="Arial"/>
          <w:color w:val="1D1D1D"/>
          <w:sz w:val="22"/>
          <w:szCs w:val="22"/>
        </w:rPr>
        <w:t>West Bromwich Central Ward</w:t>
      </w:r>
    </w:p>
    <w:p w14:paraId="2CE27272" w14:textId="77777777" w:rsidR="007D7CB7" w:rsidRPr="00442F05" w:rsidRDefault="007D7CB7" w:rsidP="007D7CB7">
      <w:pPr>
        <w:pStyle w:val="df"/>
        <w:pBdr>
          <w:top w:val="single" w:sz="2" w:space="0" w:color="F0F3F5"/>
          <w:left w:val="single" w:sz="2" w:space="0" w:color="F0F3F5"/>
          <w:bottom w:val="single" w:sz="2" w:space="0" w:color="F0F3F5"/>
          <w:right w:val="single" w:sz="2" w:space="0" w:color="F0F3F5"/>
        </w:pBdr>
        <w:shd w:val="clear" w:color="auto" w:fill="FFFFFF"/>
        <w:rPr>
          <w:rFonts w:ascii="Arial" w:hAnsi="Arial" w:cs="Arial"/>
          <w:color w:val="1D1D1D"/>
          <w:sz w:val="22"/>
          <w:szCs w:val="22"/>
        </w:rPr>
      </w:pPr>
      <w:r w:rsidRPr="00442F05">
        <w:rPr>
          <w:rFonts w:ascii="Arial" w:hAnsi="Arial" w:cs="Arial"/>
          <w:color w:val="1D1D1D"/>
          <w:sz w:val="22"/>
          <w:szCs w:val="22"/>
        </w:rPr>
        <w:t>Sandwell Metropolitan Borough Council</w:t>
      </w:r>
    </w:p>
    <w:p w14:paraId="064D536A" w14:textId="77777777" w:rsidR="007D7CB7" w:rsidRPr="00442F05" w:rsidRDefault="007D7CB7" w:rsidP="007D7CB7">
      <w:pPr>
        <w:pStyle w:val="df"/>
        <w:pBdr>
          <w:top w:val="single" w:sz="2" w:space="0" w:color="F0F3F5"/>
          <w:left w:val="single" w:sz="2" w:space="0" w:color="F0F3F5"/>
          <w:bottom w:val="single" w:sz="2" w:space="0" w:color="F0F3F5"/>
          <w:right w:val="single" w:sz="2" w:space="0" w:color="F0F3F5"/>
        </w:pBdr>
        <w:shd w:val="clear" w:color="auto" w:fill="FFFFFF"/>
        <w:rPr>
          <w:rFonts w:ascii="Arial" w:hAnsi="Arial" w:cs="Arial"/>
          <w:color w:val="1D1D1D"/>
          <w:sz w:val="22"/>
          <w:szCs w:val="22"/>
        </w:rPr>
      </w:pPr>
      <w:r w:rsidRPr="00442F05">
        <w:rPr>
          <w:rFonts w:ascii="Arial" w:hAnsi="Arial" w:cs="Arial"/>
          <w:color w:val="1D1D1D"/>
          <w:sz w:val="22"/>
          <w:szCs w:val="22"/>
        </w:rPr>
        <w:t>Sandwell Council House</w:t>
      </w:r>
    </w:p>
    <w:p w14:paraId="5F85AE5F" w14:textId="77777777" w:rsidR="007D7CB7" w:rsidRPr="00442F05" w:rsidRDefault="007D7CB7" w:rsidP="007D7CB7">
      <w:pPr>
        <w:pStyle w:val="df"/>
        <w:pBdr>
          <w:top w:val="single" w:sz="2" w:space="0" w:color="F0F3F5"/>
          <w:left w:val="single" w:sz="2" w:space="0" w:color="F0F3F5"/>
          <w:bottom w:val="single" w:sz="2" w:space="0" w:color="F0F3F5"/>
          <w:right w:val="single" w:sz="2" w:space="0" w:color="F0F3F5"/>
        </w:pBdr>
        <w:shd w:val="clear" w:color="auto" w:fill="FFFFFF"/>
        <w:rPr>
          <w:rFonts w:ascii="Arial" w:hAnsi="Arial" w:cs="Arial"/>
          <w:color w:val="1D1D1D"/>
          <w:sz w:val="22"/>
          <w:szCs w:val="22"/>
        </w:rPr>
      </w:pPr>
      <w:r w:rsidRPr="00442F05">
        <w:rPr>
          <w:rFonts w:ascii="Arial" w:hAnsi="Arial" w:cs="Arial"/>
          <w:color w:val="1D1D1D"/>
          <w:sz w:val="22"/>
          <w:szCs w:val="22"/>
        </w:rPr>
        <w:t>Freeth Street</w:t>
      </w:r>
    </w:p>
    <w:p w14:paraId="267F5A70" w14:textId="77777777" w:rsidR="007D7CB7" w:rsidRPr="00442F05" w:rsidRDefault="007D7CB7" w:rsidP="007D7CB7">
      <w:pPr>
        <w:pStyle w:val="df"/>
        <w:pBdr>
          <w:top w:val="single" w:sz="2" w:space="0" w:color="F0F3F5"/>
          <w:left w:val="single" w:sz="2" w:space="0" w:color="F0F3F5"/>
          <w:bottom w:val="single" w:sz="2" w:space="0" w:color="F0F3F5"/>
          <w:right w:val="single" w:sz="2" w:space="0" w:color="F0F3F5"/>
        </w:pBdr>
        <w:shd w:val="clear" w:color="auto" w:fill="FFFFFF"/>
        <w:rPr>
          <w:rFonts w:ascii="Arial" w:hAnsi="Arial" w:cs="Arial"/>
          <w:color w:val="1D1D1D"/>
          <w:sz w:val="22"/>
          <w:szCs w:val="22"/>
        </w:rPr>
      </w:pPr>
      <w:r w:rsidRPr="00442F05">
        <w:rPr>
          <w:rFonts w:ascii="Arial" w:hAnsi="Arial" w:cs="Arial"/>
          <w:color w:val="1D1D1D"/>
          <w:sz w:val="22"/>
          <w:szCs w:val="22"/>
        </w:rPr>
        <w:t>Oldbury</w:t>
      </w:r>
    </w:p>
    <w:p w14:paraId="0D16BC80" w14:textId="5D4E9602" w:rsidR="007D7CB7" w:rsidRDefault="74F41A2C" w:rsidP="3DF03370">
      <w:pPr>
        <w:pStyle w:val="df"/>
        <w:pBdr>
          <w:top w:val="single" w:sz="2" w:space="0" w:color="F0F3F5"/>
          <w:left w:val="single" w:sz="2" w:space="0" w:color="F0F3F5"/>
          <w:bottom w:val="single" w:sz="2" w:space="0" w:color="F0F3F5"/>
          <w:right w:val="single" w:sz="2" w:space="0" w:color="F0F3F5"/>
        </w:pBdr>
        <w:shd w:val="clear" w:color="auto" w:fill="FFFFFF" w:themeFill="background1"/>
        <w:rPr>
          <w:rFonts w:ascii="Arial" w:hAnsi="Arial" w:cs="Arial"/>
          <w:color w:val="1D1D1D"/>
          <w:sz w:val="22"/>
          <w:szCs w:val="22"/>
        </w:rPr>
      </w:pPr>
      <w:r w:rsidRPr="00442F05">
        <w:rPr>
          <w:rFonts w:ascii="Arial" w:hAnsi="Arial" w:cs="Arial"/>
          <w:color w:val="1D1D1D"/>
          <w:sz w:val="22"/>
          <w:szCs w:val="22"/>
        </w:rPr>
        <w:t>B69 3DE</w:t>
      </w:r>
    </w:p>
    <w:p w14:paraId="66BF0F8E" w14:textId="77777777" w:rsidR="00CC0F6E" w:rsidRDefault="00CC0F6E" w:rsidP="3DF03370">
      <w:pPr>
        <w:pStyle w:val="df"/>
        <w:pBdr>
          <w:top w:val="single" w:sz="2" w:space="0" w:color="F0F3F5"/>
          <w:left w:val="single" w:sz="2" w:space="0" w:color="F0F3F5"/>
          <w:bottom w:val="single" w:sz="2" w:space="0" w:color="F0F3F5"/>
          <w:right w:val="single" w:sz="2" w:space="0" w:color="F0F3F5"/>
        </w:pBdr>
        <w:shd w:val="clear" w:color="auto" w:fill="FFFFFF" w:themeFill="background1"/>
        <w:rPr>
          <w:rFonts w:ascii="Arial" w:hAnsi="Arial" w:cs="Arial"/>
          <w:color w:val="1D1D1D"/>
          <w:sz w:val="22"/>
          <w:szCs w:val="22"/>
        </w:rPr>
      </w:pPr>
    </w:p>
    <w:p w14:paraId="755BEA4A" w14:textId="77777777" w:rsidR="00CC0F6E" w:rsidRPr="00442F05" w:rsidRDefault="00CC0F6E" w:rsidP="3DF03370">
      <w:pPr>
        <w:pStyle w:val="df"/>
        <w:pBdr>
          <w:top w:val="single" w:sz="2" w:space="0" w:color="F0F3F5"/>
          <w:left w:val="single" w:sz="2" w:space="0" w:color="F0F3F5"/>
          <w:bottom w:val="single" w:sz="2" w:space="0" w:color="F0F3F5"/>
          <w:right w:val="single" w:sz="2" w:space="0" w:color="F0F3F5"/>
        </w:pBdr>
        <w:shd w:val="clear" w:color="auto" w:fill="FFFFFF" w:themeFill="background1"/>
        <w:rPr>
          <w:rFonts w:ascii="Arial" w:hAnsi="Arial" w:cs="Arial"/>
          <w:sz w:val="22"/>
          <w:szCs w:val="22"/>
        </w:rPr>
      </w:pPr>
    </w:p>
    <w:p w14:paraId="1C88EF8E" w14:textId="4E892FBD" w:rsidR="007D7CB7" w:rsidRPr="00442F05" w:rsidRDefault="74F41A2C" w:rsidP="3DF03370">
      <w:pPr>
        <w:pStyle w:val="df"/>
        <w:pBdr>
          <w:top w:val="single" w:sz="2" w:space="0" w:color="F0F3F5"/>
          <w:left w:val="single" w:sz="2" w:space="0" w:color="F0F3F5"/>
          <w:bottom w:val="single" w:sz="2" w:space="0" w:color="F0F3F5"/>
          <w:right w:val="single" w:sz="2" w:space="0" w:color="F0F3F5"/>
        </w:pBdr>
        <w:shd w:val="clear" w:color="auto" w:fill="FFFFFF" w:themeFill="background1"/>
        <w:rPr>
          <w:rFonts w:ascii="Arial" w:hAnsi="Arial" w:cs="Arial"/>
          <w:b/>
          <w:bCs/>
          <w:color w:val="1D1D1D"/>
          <w:sz w:val="22"/>
          <w:szCs w:val="22"/>
        </w:rPr>
      </w:pPr>
      <w:r w:rsidRPr="00442F05">
        <w:rPr>
          <w:rFonts w:ascii="Arial" w:hAnsi="Arial" w:cs="Arial"/>
          <w:b/>
          <w:bCs/>
          <w:color w:val="1D1D1D"/>
          <w:sz w:val="22"/>
          <w:szCs w:val="22"/>
        </w:rPr>
        <w:t>Subject: Shortage of Residential Care Home Services within the West Bromwich Local Community</w:t>
      </w:r>
    </w:p>
    <w:p w14:paraId="4C5AE36A" w14:textId="77777777" w:rsidR="007D7CB7" w:rsidRPr="00442F05" w:rsidRDefault="007D7CB7" w:rsidP="007D7CB7">
      <w:pPr>
        <w:pStyle w:val="df"/>
        <w:pBdr>
          <w:top w:val="single" w:sz="2" w:space="0" w:color="F0F3F5"/>
          <w:left w:val="single" w:sz="2" w:space="0" w:color="F0F3F5"/>
          <w:bottom w:val="single" w:sz="2" w:space="0" w:color="F0F3F5"/>
          <w:right w:val="single" w:sz="2" w:space="0" w:color="F0F3F5"/>
        </w:pBdr>
        <w:shd w:val="clear" w:color="auto" w:fill="FFFFFF"/>
        <w:rPr>
          <w:rFonts w:ascii="Arial" w:hAnsi="Arial" w:cs="Arial"/>
          <w:color w:val="1D1D1D"/>
          <w:sz w:val="22"/>
          <w:szCs w:val="22"/>
        </w:rPr>
      </w:pPr>
    </w:p>
    <w:p w14:paraId="25960A47" w14:textId="482B55F5" w:rsidR="007D7CB7" w:rsidRPr="00442F05" w:rsidRDefault="4FEE8A20" w:rsidP="7829FDCB">
      <w:pPr>
        <w:pStyle w:val="df"/>
        <w:pBdr>
          <w:top w:val="single" w:sz="2" w:space="0" w:color="F0F3F5"/>
          <w:left w:val="single" w:sz="2" w:space="0" w:color="F0F3F5"/>
          <w:bottom w:val="single" w:sz="2" w:space="0" w:color="F0F3F5"/>
          <w:right w:val="single" w:sz="2" w:space="0" w:color="F0F3F5"/>
        </w:pBdr>
        <w:shd w:val="clear" w:color="auto" w:fill="FFFFFF" w:themeFill="background1"/>
        <w:rPr>
          <w:rFonts w:ascii="Arial" w:hAnsi="Arial" w:cs="Arial"/>
          <w:b/>
          <w:bCs/>
          <w:color w:val="1D1D1D"/>
          <w:sz w:val="22"/>
          <w:szCs w:val="22"/>
        </w:rPr>
      </w:pPr>
      <w:r w:rsidRPr="00442F05">
        <w:rPr>
          <w:rFonts w:ascii="Arial" w:hAnsi="Arial" w:cs="Arial"/>
          <w:b/>
          <w:bCs/>
          <w:color w:val="1D1D1D"/>
          <w:sz w:val="22"/>
          <w:szCs w:val="22"/>
        </w:rPr>
        <w:t>1. Introduction</w:t>
      </w:r>
    </w:p>
    <w:p w14:paraId="2A6EBDED" w14:textId="46E53776" w:rsidR="007D7CB7" w:rsidRPr="00442F05" w:rsidRDefault="74F41A2C"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Residential care homes provide accommodation, personal care, supervision and support for people who cannot safely live independently at home. They support older people, people with dementia, physical disabilities and individuals with complex care needs.</w:t>
      </w:r>
    </w:p>
    <w:p w14:paraId="3C8813D4" w14:textId="40A4CCC0" w:rsidR="007D7CB7" w:rsidRPr="00442F05" w:rsidRDefault="74F41A2C"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There is concern about the availability of residential care services in West Bromwich because demand for adult social care is increasing. The Care Quality Commission (CQC, 2025) has reported continuing pressures on adult social care, including demand for services and difficulties with capacity.</w:t>
      </w:r>
    </w:p>
    <w:p w14:paraId="1B7068EA" w14:textId="6B0FCBFF" w:rsidR="007D7CB7" w:rsidRPr="00442F05" w:rsidRDefault="74F41A2C"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sz w:val="22"/>
          <w:szCs w:val="22"/>
        </w:rPr>
      </w:pPr>
      <w:r w:rsidRPr="00442F05">
        <w:rPr>
          <w:rFonts w:ascii="Arial" w:hAnsi="Arial" w:cs="Arial"/>
          <w:color w:val="1D1D1D"/>
          <w:sz w:val="22"/>
          <w:szCs w:val="22"/>
        </w:rPr>
        <w:lastRenderedPageBreak/>
        <w:t>The Care Act 2014 places individual wellbeing, prevention and meeting care and support needs at the centre of adult social care. This report explains why residential care is needed, how shortages affect the local community and what Sandwell Council could do to improve services.</w:t>
      </w:r>
    </w:p>
    <w:p w14:paraId="1FBDE9C4" w14:textId="0763FE32" w:rsidR="007D7CB7" w:rsidRPr="00442F05" w:rsidRDefault="4FEE8A20"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2. Why Residential Care Homes Are Needed</w:t>
      </w:r>
    </w:p>
    <w:p w14:paraId="21170622" w14:textId="2C728111"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Residential care is important for people who cannot manage everyday activities safely at home. Care homes can provide help with washing, dressing, eating, medication, mobility and other daily needs. They can also provide a safe environment for people with dementia, disabilities and complex needs.</w:t>
      </w:r>
    </w:p>
    <w:p w14:paraId="0C71A739" w14:textId="693F47D4"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Residential care can promote individual wellbeing. The Care Act 2014 states that wellbeing includes dignity, physical and mental health, protection from abuse, control over daily life, relationships and participation in the community (Department of Health and Social Care, 2025).</w:t>
      </w:r>
    </w:p>
    <w:p w14:paraId="5DC615EB" w14:textId="46E69FAE"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Care homes can also help people maintain their independence. Staff can encourage residents to make choices and take part in activities rather than doing everything for them. This can help residents maintain their skills and confidence.</w:t>
      </w:r>
    </w:p>
    <w:p w14:paraId="2B6861A1"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76B43484" w14:textId="310F3BD8"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3. Effects of the Shortage</w:t>
      </w:r>
    </w:p>
    <w:p w14:paraId="7A4F947A"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A shortage of suitable residential care places can cause delays in people receiving the care they need. Some people may remain in hospital for longer because an appropriate care placement has not been found. The CQC (2025) has identified social care capacity as one factor affecting hospital discharge.</w:t>
      </w:r>
    </w:p>
    <w:p w14:paraId="726E472B" w14:textId="48340D22"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 xml:space="preserve">A shortage may also increase social isolation. If a person </w:t>
      </w:r>
      <w:proofErr w:type="gramStart"/>
      <w:r w:rsidRPr="00442F05">
        <w:rPr>
          <w:rFonts w:ascii="Arial" w:hAnsi="Arial" w:cs="Arial"/>
          <w:color w:val="1D1D1D"/>
          <w:sz w:val="22"/>
          <w:szCs w:val="22"/>
        </w:rPr>
        <w:t>has to</w:t>
      </w:r>
      <w:proofErr w:type="gramEnd"/>
      <w:r w:rsidRPr="00442F05">
        <w:rPr>
          <w:rFonts w:ascii="Arial" w:hAnsi="Arial" w:cs="Arial"/>
          <w:color w:val="1D1D1D"/>
          <w:sz w:val="22"/>
          <w:szCs w:val="22"/>
        </w:rPr>
        <w:t xml:space="preserve"> move outside West Bromwich to find a suitable care home, it may become more difficult for family and friends to visit regularly.</w:t>
      </w:r>
    </w:p>
    <w:p w14:paraId="0BAD419F"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Limited services can also affect people with more complex needs, including dementia and disabilities. A wider range of local services would provide greater choice and help people receive care that meets their individual needs.</w:t>
      </w:r>
    </w:p>
    <w:p w14:paraId="10BB3420"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2F57BA97" w14:textId="2BA16D97"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4. Recommendations</w:t>
      </w:r>
    </w:p>
    <w:p w14:paraId="7006A998" w14:textId="0C25F042"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Assess Local Demand</w:t>
      </w:r>
    </w:p>
    <w:p w14:paraId="79ED46EC" w14:textId="0D90DE08" w:rsidR="57F5A9E2"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Sandwell Council should regularly assess the need for residential care in West Bromwich. This should include the number of available places, occupancy levels, waiting times and the types of care required. Future population changes should also be considered.</w:t>
      </w:r>
    </w:p>
    <w:p w14:paraId="0EC094C9" w14:textId="6FC5BBC1"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sz w:val="22"/>
          <w:szCs w:val="22"/>
        </w:rPr>
      </w:pPr>
      <w:r w:rsidRPr="00442F05">
        <w:rPr>
          <w:rFonts w:ascii="Arial" w:hAnsi="Arial" w:cs="Arial"/>
          <w:b/>
          <w:bCs/>
          <w:color w:val="1D1D1D"/>
          <w:sz w:val="22"/>
          <w:szCs w:val="22"/>
        </w:rPr>
        <w:t>Increase Care Provision</w:t>
      </w:r>
    </w:p>
    <w:p w14:paraId="78C8A39A" w14:textId="23641B05"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sz w:val="22"/>
          <w:szCs w:val="22"/>
        </w:rPr>
      </w:pPr>
      <w:r w:rsidRPr="00442F05">
        <w:rPr>
          <w:rFonts w:ascii="Arial" w:hAnsi="Arial" w:cs="Arial"/>
          <w:color w:val="1D1D1D"/>
          <w:sz w:val="22"/>
          <w:szCs w:val="22"/>
        </w:rPr>
        <w:t xml:space="preserve">The council should work with care providers, housing organisations, the NHS and voluntary organisations to increase suitable residential and supported-living services. </w:t>
      </w:r>
    </w:p>
    <w:p w14:paraId="78F975AB" w14:textId="4FB21C8F"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sz w:val="22"/>
          <w:szCs w:val="22"/>
        </w:rPr>
      </w:pPr>
      <w:r w:rsidRPr="00442F05">
        <w:rPr>
          <w:rFonts w:ascii="Arial" w:hAnsi="Arial" w:cs="Arial"/>
          <w:b/>
          <w:bCs/>
          <w:color w:val="1D1D1D"/>
          <w:sz w:val="22"/>
          <w:szCs w:val="22"/>
        </w:rPr>
        <w:t>Improve the Care Workforce</w:t>
      </w:r>
    </w:p>
    <w:p w14:paraId="1DDE85F0" w14:textId="04507356"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A well-trained workforce is essential for safe and effective care. Skills for Care (2025) reported around 111,000 vacant adult social care posts in England in 2024/25. Local services should therefore support recruitment, training, career development and staff retention.</w:t>
      </w:r>
    </w:p>
    <w:p w14:paraId="7CC4F9A3"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06CB891" w14:textId="74C5112C"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Invest in Prevention</w:t>
      </w:r>
    </w:p>
    <w:p w14:paraId="255C297D" w14:textId="2717D5B7"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More support should be provided for falls prevention, rehabilitation, reablement, community services and unpaid carers. Early intervention can help people remain independent and may delay the need for residential care.</w:t>
      </w:r>
    </w:p>
    <w:p w14:paraId="16EDD8DF" w14:textId="5347ECC0"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Involve Residents and Carers</w:t>
      </w:r>
    </w:p>
    <w:p w14:paraId="3DA5A77F"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People who use care services and their families should be involved in planning new services. Their experiences can help the council understand local needs and develop person-centred services.</w:t>
      </w:r>
    </w:p>
    <w:p w14:paraId="17178DBA"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9ACF212" w14:textId="52F8E8A5"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lastRenderedPageBreak/>
        <w:t>5. Care Act 2014 Principles</w:t>
      </w:r>
    </w:p>
    <w:p w14:paraId="42D2465C" w14:textId="1849E875"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The recommendations support the Care Act 2014 by:</w:t>
      </w:r>
    </w:p>
    <w:p w14:paraId="17E21768"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Promoting wellbeing: providing safe, dignified and person-centred care.</w:t>
      </w:r>
    </w:p>
    <w:p w14:paraId="57A8BE68"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Preventing increasing needs: providing early support, rehabilitation and reablement.</w:t>
      </w:r>
    </w:p>
    <w:p w14:paraId="7F9D7C83"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Meeting care needs: ensuring suitable residential services are available.</w:t>
      </w:r>
    </w:p>
    <w:p w14:paraId="57BE9A89"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Supporting independence: helping residents make choices and maintain daily skills.</w:t>
      </w:r>
    </w:p>
    <w:p w14:paraId="463B57CE"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Reducing isolation: helping people remain close to family, friends and their local community.</w:t>
      </w:r>
    </w:p>
    <w:p w14:paraId="6DA45219"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00ED4915" w14:textId="1DB518EE"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r w:rsidRPr="00442F05">
        <w:rPr>
          <w:rFonts w:ascii="Arial" w:hAnsi="Arial" w:cs="Arial"/>
          <w:b/>
          <w:bCs/>
          <w:color w:val="1D1D1D"/>
          <w:sz w:val="22"/>
          <w:szCs w:val="22"/>
        </w:rPr>
        <w:t>6. Conclusion</w:t>
      </w:r>
    </w:p>
    <w:p w14:paraId="285BF915" w14:textId="34F4EAD5" w:rsidR="007D7CB7" w:rsidRPr="00442F05" w:rsidRDefault="57F5A9E2"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color w:val="1D1D1D"/>
          <w:sz w:val="22"/>
          <w:szCs w:val="22"/>
        </w:rPr>
      </w:pPr>
      <w:r w:rsidRPr="00442F05">
        <w:rPr>
          <w:rFonts w:ascii="Arial" w:hAnsi="Arial" w:cs="Arial"/>
          <w:color w:val="1D1D1D"/>
          <w:sz w:val="22"/>
          <w:szCs w:val="22"/>
        </w:rPr>
        <w:t>The shortage of residential care services can affect individuals, families and the wider health and social care system. It may contribute to delays in receiving care, pressure on unpaid carers and increased social isolation.</w:t>
      </w:r>
    </w:p>
    <w:p w14:paraId="6B6F56D5"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Sandwell Council should assess local demand, increase suitable care provision, support the care workforce and invest in prevention. Involving residents and carers in planning would also help ensure that services meet local needs. These actions would support the Care Act 2014 principles of wellbeing, prevention, independence and appropriate care and support.</w:t>
      </w:r>
    </w:p>
    <w:p w14:paraId="2963146A"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E2068A3" w14:textId="77777777" w:rsidR="00442F05" w:rsidRDefault="00442F05"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p>
    <w:p w14:paraId="7B8F5016" w14:textId="77777777" w:rsidR="00EC456C" w:rsidRDefault="00EC456C"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p>
    <w:p w14:paraId="5ACCD3B5" w14:textId="77777777" w:rsidR="00EC456C" w:rsidRDefault="00EC456C"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p>
    <w:p w14:paraId="56D8DD28" w14:textId="77777777" w:rsidR="00EC456C" w:rsidRDefault="00EC456C"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1D1D1D"/>
          <w:sz w:val="22"/>
          <w:szCs w:val="22"/>
        </w:rPr>
      </w:pPr>
    </w:p>
    <w:p w14:paraId="5912FF72" w14:textId="7EE29E1E" w:rsidR="007D7CB7" w:rsidRPr="00442F05" w:rsidRDefault="1E35546E" w:rsidP="004B6E08">
      <w:pPr>
        <w:pStyle w:val="df"/>
        <w:pBdr>
          <w:top w:val="single" w:sz="2" w:space="0" w:color="F0F3F5"/>
          <w:left w:val="single" w:sz="2" w:space="0" w:color="F0F3F5"/>
          <w:bottom w:val="single" w:sz="2" w:space="0" w:color="F0F3F5"/>
          <w:right w:val="single" w:sz="2" w:space="0" w:color="F0F3F5"/>
        </w:pBdr>
        <w:shd w:val="clear" w:color="auto" w:fill="FFFFFF" w:themeFill="background1"/>
        <w:spacing w:line="360" w:lineRule="auto"/>
        <w:rPr>
          <w:rFonts w:ascii="Arial" w:hAnsi="Arial" w:cs="Arial"/>
          <w:b/>
          <w:bCs/>
          <w:color w:val="FF0000"/>
          <w:sz w:val="22"/>
          <w:szCs w:val="22"/>
        </w:rPr>
      </w:pPr>
      <w:r w:rsidRPr="00442F05">
        <w:rPr>
          <w:rFonts w:ascii="Arial" w:hAnsi="Arial" w:cs="Arial"/>
          <w:b/>
          <w:bCs/>
          <w:color w:val="1D1D1D"/>
          <w:sz w:val="22"/>
          <w:szCs w:val="22"/>
        </w:rPr>
        <w:lastRenderedPageBreak/>
        <w:t>References</w:t>
      </w:r>
    </w:p>
    <w:p w14:paraId="48DEA98E"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211B9111"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Care Act 2014 (2014) Care Act 2014. London: The Stationery Office.</w:t>
      </w:r>
    </w:p>
    <w:p w14:paraId="399902E8"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E114DEE"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Care Quality Commission (CQC) (2025) The state of health care and adult social care in England 2024/25. London: Care Quality Commission.</w:t>
      </w:r>
    </w:p>
    <w:p w14:paraId="38E78086"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243A5F16"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Department of Health and Social Care (2025) Care and support statutory guidance. London: Department of Health and Social Care.</w:t>
      </w:r>
    </w:p>
    <w:p w14:paraId="6E5E90A0" w14:textId="77777777"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5DDFC280" w14:textId="6E5C310A" w:rsidR="007D7CB7" w:rsidRPr="00442F05" w:rsidRDefault="007D7CB7"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Skills for Care (2025) The state of the adult social care sector and workforce in England, 2025. Leeds: Skills for Care.</w:t>
      </w:r>
    </w:p>
    <w:p w14:paraId="5770D263"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4179FE0"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553337A1"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1FF8E7E"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076BCDEE"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08D50C9C"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00538774"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11701F13"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598B35DB"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4BA3577C" w14:textId="7B85AEB3" w:rsidR="00847CED" w:rsidRPr="006A75BE" w:rsidRDefault="002E508F"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ind w:left="0"/>
        <w:rPr>
          <w:rFonts w:ascii="Arial" w:hAnsi="Arial" w:cs="Arial"/>
          <w:b/>
          <w:bCs/>
          <w:color w:val="1D1D1D"/>
          <w:sz w:val="32"/>
          <w:szCs w:val="32"/>
        </w:rPr>
      </w:pPr>
      <w:r w:rsidRPr="006A75BE">
        <w:rPr>
          <w:rFonts w:ascii="Arial" w:hAnsi="Arial" w:cs="Arial"/>
          <w:b/>
          <w:bCs/>
          <w:color w:val="1D1D1D"/>
          <w:sz w:val="32"/>
          <w:szCs w:val="32"/>
        </w:rPr>
        <w:lastRenderedPageBreak/>
        <w:t xml:space="preserve">Task </w:t>
      </w:r>
      <w:r w:rsidR="005B32E9" w:rsidRPr="006A75BE">
        <w:rPr>
          <w:rFonts w:ascii="Arial" w:hAnsi="Arial" w:cs="Arial"/>
          <w:b/>
          <w:bCs/>
          <w:color w:val="1D1D1D"/>
          <w:sz w:val="32"/>
          <w:szCs w:val="32"/>
        </w:rPr>
        <w:t xml:space="preserve">2: </w:t>
      </w:r>
      <w:r w:rsidRPr="006A75BE">
        <w:rPr>
          <w:rFonts w:ascii="Arial" w:hAnsi="Arial" w:cs="Arial"/>
          <w:b/>
          <w:bCs/>
          <w:color w:val="1D1D1D"/>
          <w:sz w:val="32"/>
          <w:szCs w:val="32"/>
        </w:rPr>
        <w:t xml:space="preserve"> </w:t>
      </w:r>
      <w:r w:rsidR="00847CED" w:rsidRPr="006A75BE">
        <w:rPr>
          <w:rFonts w:ascii="Arial" w:hAnsi="Arial" w:cs="Arial"/>
          <w:b/>
          <w:bCs/>
          <w:color w:val="1D1D1D"/>
          <w:sz w:val="32"/>
          <w:szCs w:val="32"/>
        </w:rPr>
        <w:t>Community Antenatal Midwifery Services</w:t>
      </w:r>
    </w:p>
    <w:p w14:paraId="54601965"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05BB205F" w14:textId="77777777" w:rsidR="00847CED" w:rsidRPr="006A75BE"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rPr>
      </w:pPr>
      <w:r w:rsidRPr="006A75BE">
        <w:rPr>
          <w:rFonts w:ascii="Arial" w:hAnsi="Arial" w:cs="Arial"/>
          <w:b/>
          <w:bCs/>
          <w:color w:val="1D1D1D"/>
        </w:rPr>
        <w:t>Introduction</w:t>
      </w:r>
    </w:p>
    <w:p w14:paraId="76D58678"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78949F01"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Community antenatal midwifery services provide care, advice and support to women throughout pregnancy. The main aim is to protect the health and wellbeing of the mother and unborn baby. Community midwives provide care in community clinics, GP practices and maternity services. Antenatal care includes health checks, screening, health education, emotional support and referrals when specialist care is needed. NICE (2021) recommends that women have early access to antenatal care and that care should be personalised according to individual needs. The Care Act 2014 is also relevant because it promotes wellbeing, prevention and partnership working, although it mainly applies to adult social care rather than maternity services (Care Act 2014).</w:t>
      </w:r>
    </w:p>
    <w:p w14:paraId="78A4DB7A"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6784C9BC" w14:textId="77777777" w:rsidR="00847CED" w:rsidRPr="00865657"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r w:rsidRPr="00865657">
        <w:rPr>
          <w:rFonts w:ascii="Arial" w:hAnsi="Arial" w:cs="Arial"/>
          <w:b/>
          <w:bCs/>
          <w:color w:val="1D1D1D"/>
          <w:sz w:val="22"/>
          <w:szCs w:val="22"/>
        </w:rPr>
        <w:t>Historical Context and Current Function</w:t>
      </w:r>
    </w:p>
    <w:p w14:paraId="6C3C1938"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58A07712"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Midwifery has traditionally been an important community service. In the past, experienced women provided support during pregnancy and childbirth. The Midwives Act 1902 was an important development because it introduced formal regulation and training for midwives in England and Wales (Royal College of Midwives, 2022). The development of the NHS in 1948 further improved access to maternity healthcare.</w:t>
      </w:r>
    </w:p>
    <w:p w14:paraId="1F04E5F3"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19F67126"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 xml:space="preserve">Today, community midwives provide regular antenatal appointments to monitor the health of mothers and babies. NICE (2021) recommends 10 routine appointments for women having their first baby and 7 appointments for women who have previously </w:t>
      </w:r>
      <w:r w:rsidRPr="00442F05">
        <w:rPr>
          <w:rFonts w:ascii="Arial" w:hAnsi="Arial" w:cs="Arial"/>
          <w:color w:val="1D1D1D"/>
          <w:sz w:val="22"/>
          <w:szCs w:val="22"/>
        </w:rPr>
        <w:lastRenderedPageBreak/>
        <w:t>given birth. During appointments, midwives may check blood pressure and urine, arrange blood tests and screening, monitor the baby’s development and provide advice about healthy eating, exercise, vitamins, smoking and alcohol. They also discuss birth, breastfeeding and emotional wellbeing. If problems are identified, women may be referred to GPs, obstetricians, mental health professionals or other services. Midwives therefore work as part of a wider multidisciplinary team (NMC, 2019).</w:t>
      </w:r>
    </w:p>
    <w:p w14:paraId="1E5F786D"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56E63289" w14:textId="77777777" w:rsidR="00E763A8" w:rsidRDefault="00E763A8"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6A0086EC" w14:textId="77777777" w:rsidR="00E763A8" w:rsidRDefault="00E763A8"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4F9BBB39" w14:textId="582DA42F" w:rsidR="00847CED" w:rsidRPr="00865657"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r w:rsidRPr="00865657">
        <w:rPr>
          <w:rFonts w:ascii="Arial" w:hAnsi="Arial" w:cs="Arial"/>
          <w:b/>
          <w:bCs/>
          <w:color w:val="1D1D1D"/>
          <w:sz w:val="22"/>
          <w:szCs w:val="22"/>
        </w:rPr>
        <w:t>Critical Evaluation and Significance for Service Users</w:t>
      </w:r>
    </w:p>
    <w:p w14:paraId="246A5A71" w14:textId="77777777" w:rsidR="00847CED" w:rsidRPr="00865657"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1F1C67A3"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Community antenatal midwifery is important because it supports prevention and early intervention. Regular appointments can identify health problems at an early stage and allow appropriate treatment or referral. This can reduce risks to both mother and baby. Midwives also provide emotional support and information, helping women make informed decisions about their pregnancy and care.</w:t>
      </w:r>
    </w:p>
    <w:p w14:paraId="1FC08FBD"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9570FFD"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The Care Act 2014 supports the importance of wellbeing. Section 1 identifies wellbeing, including physical and mental health, emotional wellbeing, dignity and control over decisions, as important principles (Care Act 2014, s.1). These principles can be reflected in antenatal care because midwives should provide respectful, individualised and person-centred support. Section 2 focuses on preventing or delaying care and support needs, which relates to the early identification of physical, emotional and social difficulties (Care Act 2014, s.2). Section 3 also promotes cooperation between health and care services (Care Act 2014, s.3).</w:t>
      </w:r>
    </w:p>
    <w:p w14:paraId="5C0D3DF1"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030E2903"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lastRenderedPageBreak/>
        <w:t>However, there are limitations. Some women may experience difficulties accessing antenatal services because of language barriers, transport, poverty or social circumstances. NICE (2021) highlights the importance of adapting antenatal care to individual needs. Staffing pressures and differences in local services can also affect continuity and accessibility.</w:t>
      </w:r>
    </w:p>
    <w:p w14:paraId="5147FF20"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521360D1"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Overall, the strengths of community antenatal midwifery include early intervention, health education, monitoring, emotional support and personalised care. However, improving accessibility and ensuring adequate staffing are important to reduce inequalities.</w:t>
      </w:r>
    </w:p>
    <w:p w14:paraId="4C761BE0"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6A183411" w14:textId="77777777" w:rsidR="00847CED" w:rsidRPr="00067FF6"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r w:rsidRPr="00067FF6">
        <w:rPr>
          <w:rFonts w:ascii="Arial" w:hAnsi="Arial" w:cs="Arial"/>
          <w:b/>
          <w:bCs/>
          <w:color w:val="1D1D1D"/>
          <w:sz w:val="22"/>
          <w:szCs w:val="22"/>
        </w:rPr>
        <w:t>Conclusion</w:t>
      </w:r>
    </w:p>
    <w:p w14:paraId="3D926C42"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4DECA111" w14:textId="77777777" w:rsidR="00EC456C" w:rsidRDefault="00847CED" w:rsidP="00EC456C">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Community antenatal midwifery services play an important role in protecting the health and wellbeing of mothers and babies. The service has developed from traditional community-based midwifery into a regulated professional service. Modern midwives provide monitoring, screening, health education and emotional support. The Care Act 2014 provides useful principles of wellbeing, prevention and partnership working. Although the Act mainly concerns adult social care, these principles can support evaluation of antenatal services. Accessible and person-centred midwifery care can help identify problems early and improve pregnancy experiences and outcomes.</w:t>
      </w:r>
    </w:p>
    <w:p w14:paraId="7DEC270D" w14:textId="77777777" w:rsidR="00067FF6" w:rsidRDefault="00067FF6" w:rsidP="00EC456C">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78807640" w14:textId="77777777" w:rsidR="00067FF6" w:rsidRDefault="00067FF6" w:rsidP="00EC456C">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4B9ACABF" w14:textId="77777777" w:rsidR="00067FF6" w:rsidRDefault="00067FF6" w:rsidP="00EC456C">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7A039A88" w14:textId="77777777" w:rsidR="00067FF6" w:rsidRDefault="00067FF6" w:rsidP="00EC456C">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p>
    <w:p w14:paraId="6862FA57" w14:textId="0C60D622" w:rsidR="00847CED" w:rsidRPr="00067FF6" w:rsidRDefault="00847CED" w:rsidP="00EC456C">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b/>
          <w:bCs/>
          <w:color w:val="1D1D1D"/>
          <w:sz w:val="22"/>
          <w:szCs w:val="22"/>
        </w:rPr>
      </w:pPr>
      <w:r w:rsidRPr="00067FF6">
        <w:rPr>
          <w:rFonts w:ascii="Arial" w:hAnsi="Arial" w:cs="Arial"/>
          <w:b/>
          <w:bCs/>
          <w:color w:val="1D1D1D"/>
          <w:sz w:val="22"/>
          <w:szCs w:val="22"/>
        </w:rPr>
        <w:lastRenderedPageBreak/>
        <w:t>Reference List</w:t>
      </w:r>
    </w:p>
    <w:p w14:paraId="382ACF98"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5D6ADAF3"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Care Act 2014 (c.23). London: The Stationery Office.</w:t>
      </w:r>
    </w:p>
    <w:p w14:paraId="675E8939"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0C32D98"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NICE (2021) Antenatal care: NICE guideline NG201. Available at: NICE Antenatal Care</w:t>
      </w:r>
      <w:r w:rsidRPr="00442F05">
        <w:rPr>
          <w:rFonts w:ascii="Segoe UI Symbol" w:hAnsi="Segoe UI Symbol" w:cs="Segoe UI Symbol"/>
          <w:color w:val="1D1D1D"/>
          <w:sz w:val="22"/>
          <w:szCs w:val="22"/>
        </w:rPr>
        <w:t>⁠</w:t>
      </w:r>
      <w:r w:rsidRPr="00442F05">
        <w:rPr>
          <w:rFonts w:ascii="Arial" w:hAnsi="Arial" w:cs="Arial"/>
          <w:color w:val="1D1D1D"/>
          <w:sz w:val="22"/>
          <w:szCs w:val="22"/>
        </w:rPr>
        <w:t>￼ (Accessed: 7 October 2026).</w:t>
      </w:r>
    </w:p>
    <w:p w14:paraId="4AB8EA8C"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330ADDE5"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Nursing and Midwifery Council (NMC) (2019) Standards of proficiency for midwives. London: NMC.</w:t>
      </w:r>
    </w:p>
    <w:p w14:paraId="42EF5649"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72CDFBEB"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Royal College of Midwives (2022) 120 years of the Midwives Act in England and Wales. London: Royal College of Midwives.</w:t>
      </w:r>
    </w:p>
    <w:p w14:paraId="6346588F"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p>
    <w:p w14:paraId="1CC05F43" w14:textId="77777777" w:rsidR="00847CED" w:rsidRPr="00442F05" w:rsidRDefault="00847CED"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color w:val="1D1D1D"/>
          <w:sz w:val="22"/>
          <w:szCs w:val="22"/>
        </w:rPr>
      </w:pPr>
      <w:r w:rsidRPr="00442F05">
        <w:rPr>
          <w:rFonts w:ascii="Arial" w:hAnsi="Arial" w:cs="Arial"/>
          <w:color w:val="1D1D1D"/>
          <w:sz w:val="22"/>
          <w:szCs w:val="22"/>
        </w:rPr>
        <w:t>World Health Organization (2016) WHO recommendations on antenatal care for a positive pregnancy experience. Geneva: World Health Organization.</w:t>
      </w:r>
    </w:p>
    <w:p w14:paraId="11CB47A5" w14:textId="77777777" w:rsidR="00603D44" w:rsidRPr="00442F05" w:rsidRDefault="00603D44" w:rsidP="004B6E08">
      <w:pPr>
        <w:pStyle w:val="NormalWeb"/>
        <w:spacing w:before="96" w:beforeAutospacing="0" w:after="0" w:afterAutospacing="0" w:line="360" w:lineRule="auto"/>
        <w:rPr>
          <w:rFonts w:ascii="Arial" w:eastAsia="+mn-ea" w:hAnsi="Arial" w:cs="Arial"/>
          <w:color w:val="000000"/>
          <w:kern w:val="24"/>
          <w:sz w:val="22"/>
          <w:szCs w:val="22"/>
        </w:rPr>
      </w:pPr>
    </w:p>
    <w:p w14:paraId="312C9EA9" w14:textId="42D1C55F" w:rsidR="00BD3696" w:rsidRPr="00442F05" w:rsidRDefault="00585FF3" w:rsidP="004B6E08">
      <w:pPr>
        <w:pStyle w:val="df"/>
        <w:pBdr>
          <w:top w:val="single" w:sz="2" w:space="0" w:color="F0F3F5"/>
          <w:left w:val="single" w:sz="2" w:space="0" w:color="F0F3F5"/>
          <w:bottom w:val="single" w:sz="2" w:space="0" w:color="F0F3F5"/>
          <w:right w:val="single" w:sz="2" w:space="0" w:color="F0F3F5"/>
        </w:pBdr>
        <w:shd w:val="clear" w:color="auto" w:fill="FFFFFF"/>
        <w:spacing w:line="360" w:lineRule="auto"/>
        <w:rPr>
          <w:rFonts w:ascii="Arial" w:hAnsi="Arial" w:cs="Arial"/>
          <w:sz w:val="22"/>
          <w:szCs w:val="22"/>
        </w:rPr>
      </w:pPr>
      <w:r w:rsidRPr="00442F05">
        <w:rPr>
          <w:rFonts w:ascii="Arial" w:hAnsi="Arial" w:cs="Arial"/>
          <w:b/>
          <w:bCs/>
          <w:color w:val="1D1D1D"/>
          <w:sz w:val="22"/>
          <w:szCs w:val="22"/>
        </w:rPr>
        <w:t xml:space="preserve">     </w:t>
      </w:r>
    </w:p>
    <w:p w14:paraId="0E3CB0E9" w14:textId="77777777" w:rsidR="00BD3696" w:rsidRPr="00442F05" w:rsidRDefault="00BD3696" w:rsidP="004B6E08">
      <w:pPr>
        <w:rPr>
          <w:rFonts w:ascii="Arial" w:hAnsi="Arial" w:cs="Arial"/>
          <w:sz w:val="22"/>
          <w:szCs w:val="22"/>
        </w:rPr>
      </w:pPr>
    </w:p>
    <w:sectPr w:rsidR="00BD3696" w:rsidRPr="00442F0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621597" w14:textId="77777777" w:rsidR="00FD771D" w:rsidRDefault="00FD771D">
      <w:pPr>
        <w:spacing w:before="0" w:line="240" w:lineRule="auto"/>
      </w:pPr>
      <w:r>
        <w:separator/>
      </w:r>
    </w:p>
  </w:endnote>
  <w:endnote w:type="continuationSeparator" w:id="0">
    <w:p w14:paraId="5D15D91F" w14:textId="77777777" w:rsidR="00FD771D" w:rsidRDefault="00FD771D">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rebuchet MS">
    <w:panose1 w:val="020B0603020202020204"/>
    <w:charset w:val="00"/>
    <w:family w:val="swiss"/>
    <w:pitch w:val="variable"/>
    <w:sig w:usb0="00000687"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DF03370" w14:paraId="04BFE038" w14:textId="77777777" w:rsidTr="3DF03370">
      <w:trPr>
        <w:trHeight w:val="300"/>
      </w:trPr>
      <w:tc>
        <w:tcPr>
          <w:tcW w:w="3005" w:type="dxa"/>
        </w:tcPr>
        <w:p w14:paraId="60EFC919" w14:textId="587B8CB2" w:rsidR="3DF03370" w:rsidRDefault="3DF03370" w:rsidP="3DF03370">
          <w:pPr>
            <w:pStyle w:val="Header"/>
            <w:ind w:left="-115"/>
          </w:pPr>
        </w:p>
      </w:tc>
      <w:tc>
        <w:tcPr>
          <w:tcW w:w="3005" w:type="dxa"/>
        </w:tcPr>
        <w:p w14:paraId="382376C3" w14:textId="32719BEA" w:rsidR="3DF03370" w:rsidRDefault="3DF03370" w:rsidP="3DF03370">
          <w:pPr>
            <w:pStyle w:val="Header"/>
            <w:jc w:val="center"/>
          </w:pPr>
        </w:p>
      </w:tc>
      <w:tc>
        <w:tcPr>
          <w:tcW w:w="3005" w:type="dxa"/>
        </w:tcPr>
        <w:p w14:paraId="47527DF6" w14:textId="60DA1D7B" w:rsidR="3DF03370" w:rsidRDefault="3DF03370" w:rsidP="3DF03370">
          <w:pPr>
            <w:pStyle w:val="Header"/>
            <w:ind w:right="-115"/>
            <w:jc w:val="right"/>
          </w:pPr>
        </w:p>
      </w:tc>
    </w:tr>
  </w:tbl>
  <w:p w14:paraId="0CF7BA44" w14:textId="7567E9AB" w:rsidR="3DF03370" w:rsidRDefault="3DF03370" w:rsidP="3DF03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F21C8C" w14:textId="77777777" w:rsidR="00FD771D" w:rsidRDefault="00FD771D">
      <w:pPr>
        <w:spacing w:before="0" w:line="240" w:lineRule="auto"/>
      </w:pPr>
      <w:r>
        <w:separator/>
      </w:r>
    </w:p>
  </w:footnote>
  <w:footnote w:type="continuationSeparator" w:id="0">
    <w:p w14:paraId="41E9286F" w14:textId="77777777" w:rsidR="00FD771D" w:rsidRDefault="00FD771D">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DF03370" w14:paraId="6A82395D" w14:textId="77777777" w:rsidTr="3DF03370">
      <w:trPr>
        <w:trHeight w:val="300"/>
      </w:trPr>
      <w:tc>
        <w:tcPr>
          <w:tcW w:w="3005" w:type="dxa"/>
        </w:tcPr>
        <w:p w14:paraId="4C960F30" w14:textId="52FE80FD" w:rsidR="3DF03370" w:rsidRDefault="3DF03370" w:rsidP="3DF03370">
          <w:pPr>
            <w:pStyle w:val="Header"/>
            <w:ind w:left="-115"/>
          </w:pPr>
        </w:p>
      </w:tc>
      <w:tc>
        <w:tcPr>
          <w:tcW w:w="3005" w:type="dxa"/>
        </w:tcPr>
        <w:p w14:paraId="364B6737" w14:textId="668CA2F3" w:rsidR="3DF03370" w:rsidRDefault="3DF03370" w:rsidP="3DF03370">
          <w:pPr>
            <w:pStyle w:val="Header"/>
            <w:jc w:val="center"/>
          </w:pPr>
        </w:p>
      </w:tc>
      <w:tc>
        <w:tcPr>
          <w:tcW w:w="3005" w:type="dxa"/>
        </w:tcPr>
        <w:p w14:paraId="13B3A67B" w14:textId="1601FA26" w:rsidR="3DF03370" w:rsidRDefault="3DF03370" w:rsidP="3DF03370">
          <w:pPr>
            <w:pStyle w:val="Header"/>
            <w:ind w:right="-115"/>
            <w:jc w:val="right"/>
          </w:pPr>
        </w:p>
      </w:tc>
    </w:tr>
  </w:tbl>
  <w:p w14:paraId="0E4EFEC2" w14:textId="5C29ACDB" w:rsidR="3DF03370" w:rsidRDefault="3DF03370" w:rsidP="3DF033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73E56"/>
    <w:multiLevelType w:val="multilevel"/>
    <w:tmpl w:val="6F384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196FA4"/>
    <w:multiLevelType w:val="multilevel"/>
    <w:tmpl w:val="81BA5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B55C75"/>
    <w:multiLevelType w:val="multilevel"/>
    <w:tmpl w:val="6576B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82782512">
    <w:abstractNumId w:val="2"/>
  </w:num>
  <w:num w:numId="2" w16cid:durableId="1946502910">
    <w:abstractNumId w:val="0"/>
  </w:num>
  <w:num w:numId="3" w16cid:durableId="11150957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3696"/>
    <w:rsid w:val="000576EB"/>
    <w:rsid w:val="00067FF6"/>
    <w:rsid w:val="00084F63"/>
    <w:rsid w:val="000A6CBA"/>
    <w:rsid w:val="000C04AB"/>
    <w:rsid w:val="000F6A8E"/>
    <w:rsid w:val="001013C6"/>
    <w:rsid w:val="00106EA3"/>
    <w:rsid w:val="00147196"/>
    <w:rsid w:val="00153C34"/>
    <w:rsid w:val="00177C8C"/>
    <w:rsid w:val="001B1837"/>
    <w:rsid w:val="002004AB"/>
    <w:rsid w:val="00203884"/>
    <w:rsid w:val="0028695B"/>
    <w:rsid w:val="002B2F1F"/>
    <w:rsid w:val="002B5370"/>
    <w:rsid w:val="002C301C"/>
    <w:rsid w:val="002D6DBF"/>
    <w:rsid w:val="002E508F"/>
    <w:rsid w:val="00315DE1"/>
    <w:rsid w:val="0032303D"/>
    <w:rsid w:val="00327BE0"/>
    <w:rsid w:val="00366D95"/>
    <w:rsid w:val="003E67AA"/>
    <w:rsid w:val="003E7CA6"/>
    <w:rsid w:val="004011D3"/>
    <w:rsid w:val="00411E3F"/>
    <w:rsid w:val="00415C33"/>
    <w:rsid w:val="00417316"/>
    <w:rsid w:val="00442F05"/>
    <w:rsid w:val="004438A2"/>
    <w:rsid w:val="00455CD1"/>
    <w:rsid w:val="00465D94"/>
    <w:rsid w:val="00476C7B"/>
    <w:rsid w:val="004B6E08"/>
    <w:rsid w:val="00522EEC"/>
    <w:rsid w:val="00573DF4"/>
    <w:rsid w:val="00585FF3"/>
    <w:rsid w:val="005B32E9"/>
    <w:rsid w:val="005D3761"/>
    <w:rsid w:val="00603D44"/>
    <w:rsid w:val="00613D52"/>
    <w:rsid w:val="006215FA"/>
    <w:rsid w:val="00637447"/>
    <w:rsid w:val="006A75BE"/>
    <w:rsid w:val="006D75E6"/>
    <w:rsid w:val="006F4C35"/>
    <w:rsid w:val="00743F94"/>
    <w:rsid w:val="00790C86"/>
    <w:rsid w:val="007D7CB7"/>
    <w:rsid w:val="00847076"/>
    <w:rsid w:val="00847CED"/>
    <w:rsid w:val="00865657"/>
    <w:rsid w:val="00880B77"/>
    <w:rsid w:val="008917BE"/>
    <w:rsid w:val="008C14A6"/>
    <w:rsid w:val="008D5D85"/>
    <w:rsid w:val="00957884"/>
    <w:rsid w:val="009944ED"/>
    <w:rsid w:val="009A4519"/>
    <w:rsid w:val="00A03CF2"/>
    <w:rsid w:val="00A45842"/>
    <w:rsid w:val="00A7399B"/>
    <w:rsid w:val="00A97058"/>
    <w:rsid w:val="00AF11A7"/>
    <w:rsid w:val="00B41155"/>
    <w:rsid w:val="00B62ACD"/>
    <w:rsid w:val="00BB5D76"/>
    <w:rsid w:val="00BD3696"/>
    <w:rsid w:val="00C0546F"/>
    <w:rsid w:val="00C31A4B"/>
    <w:rsid w:val="00C51C4B"/>
    <w:rsid w:val="00C53A8A"/>
    <w:rsid w:val="00C623FD"/>
    <w:rsid w:val="00CB6A40"/>
    <w:rsid w:val="00CC0F6E"/>
    <w:rsid w:val="00CC3FC7"/>
    <w:rsid w:val="00CC585F"/>
    <w:rsid w:val="00CF4204"/>
    <w:rsid w:val="00D116AC"/>
    <w:rsid w:val="00D563B5"/>
    <w:rsid w:val="00E176E4"/>
    <w:rsid w:val="00E43240"/>
    <w:rsid w:val="00E71D0A"/>
    <w:rsid w:val="00E763A8"/>
    <w:rsid w:val="00E84BAF"/>
    <w:rsid w:val="00E93C6A"/>
    <w:rsid w:val="00EB1259"/>
    <w:rsid w:val="00EB1E7C"/>
    <w:rsid w:val="00EC456C"/>
    <w:rsid w:val="00EC5361"/>
    <w:rsid w:val="00F00724"/>
    <w:rsid w:val="00F01C75"/>
    <w:rsid w:val="00F1293B"/>
    <w:rsid w:val="00F17F0D"/>
    <w:rsid w:val="00F22577"/>
    <w:rsid w:val="00F510E4"/>
    <w:rsid w:val="00F56B80"/>
    <w:rsid w:val="00F80678"/>
    <w:rsid w:val="00F80901"/>
    <w:rsid w:val="00F91D69"/>
    <w:rsid w:val="00FD771D"/>
    <w:rsid w:val="00FF3E1F"/>
    <w:rsid w:val="0C152BCB"/>
    <w:rsid w:val="0F00A74F"/>
    <w:rsid w:val="0F687DA2"/>
    <w:rsid w:val="1E35546E"/>
    <w:rsid w:val="223DE4DC"/>
    <w:rsid w:val="284BB012"/>
    <w:rsid w:val="2FEECC7C"/>
    <w:rsid w:val="32689805"/>
    <w:rsid w:val="390770BC"/>
    <w:rsid w:val="3DF03370"/>
    <w:rsid w:val="4525B226"/>
    <w:rsid w:val="4B888350"/>
    <w:rsid w:val="4E9BE57F"/>
    <w:rsid w:val="4FEE8A20"/>
    <w:rsid w:val="57EF6D6D"/>
    <w:rsid w:val="57F5A9E2"/>
    <w:rsid w:val="57FD0C2D"/>
    <w:rsid w:val="57FDE245"/>
    <w:rsid w:val="590820B6"/>
    <w:rsid w:val="598FB9CF"/>
    <w:rsid w:val="5EC73C78"/>
    <w:rsid w:val="6E1E3C8A"/>
    <w:rsid w:val="74F41A2C"/>
    <w:rsid w:val="7829FDC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DD48E"/>
  <w15:chartTrackingRefBased/>
  <w15:docId w15:val="{A7A9A205-974E-492C-B031-31F88FACB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100" w:beforeAutospacing="1" w:after="100" w:afterAutospacing="1" w:line="360" w:lineRule="auto"/>
        <w:ind w:left="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6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36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36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36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36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369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369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369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369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36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36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36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36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36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36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36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36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3696"/>
    <w:rPr>
      <w:rFonts w:eastAsiaTheme="majorEastAsia" w:cstheme="majorBidi"/>
      <w:color w:val="272727" w:themeColor="text1" w:themeTint="D8"/>
    </w:rPr>
  </w:style>
  <w:style w:type="paragraph" w:styleId="Title">
    <w:name w:val="Title"/>
    <w:basedOn w:val="Normal"/>
    <w:next w:val="Normal"/>
    <w:link w:val="TitleChar"/>
    <w:uiPriority w:val="10"/>
    <w:qFormat/>
    <w:rsid w:val="00BD36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36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3696"/>
    <w:pPr>
      <w:numPr>
        <w:ilvl w:val="1"/>
      </w:numPr>
      <w:spacing w:after="160"/>
      <w:ind w:left="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36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3696"/>
    <w:pPr>
      <w:spacing w:before="160" w:after="160"/>
    </w:pPr>
    <w:rPr>
      <w:i/>
      <w:iCs/>
      <w:color w:val="404040" w:themeColor="text1" w:themeTint="BF"/>
    </w:rPr>
  </w:style>
  <w:style w:type="character" w:customStyle="1" w:styleId="QuoteChar">
    <w:name w:val="Quote Char"/>
    <w:basedOn w:val="DefaultParagraphFont"/>
    <w:link w:val="Quote"/>
    <w:uiPriority w:val="29"/>
    <w:rsid w:val="00BD3696"/>
    <w:rPr>
      <w:i/>
      <w:iCs/>
      <w:color w:val="404040" w:themeColor="text1" w:themeTint="BF"/>
    </w:rPr>
  </w:style>
  <w:style w:type="paragraph" w:styleId="ListParagraph">
    <w:name w:val="List Paragraph"/>
    <w:basedOn w:val="Normal"/>
    <w:uiPriority w:val="34"/>
    <w:qFormat/>
    <w:rsid w:val="00BD3696"/>
    <w:pPr>
      <w:contextualSpacing/>
    </w:pPr>
  </w:style>
  <w:style w:type="character" w:styleId="IntenseEmphasis">
    <w:name w:val="Intense Emphasis"/>
    <w:basedOn w:val="DefaultParagraphFont"/>
    <w:uiPriority w:val="21"/>
    <w:qFormat/>
    <w:rsid w:val="00BD3696"/>
    <w:rPr>
      <w:i/>
      <w:iCs/>
      <w:color w:val="0F4761" w:themeColor="accent1" w:themeShade="BF"/>
    </w:rPr>
  </w:style>
  <w:style w:type="paragraph" w:styleId="IntenseQuote">
    <w:name w:val="Intense Quote"/>
    <w:basedOn w:val="Normal"/>
    <w:next w:val="Normal"/>
    <w:link w:val="IntenseQuoteChar"/>
    <w:uiPriority w:val="30"/>
    <w:qFormat/>
    <w:rsid w:val="00BD3696"/>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BD3696"/>
    <w:rPr>
      <w:i/>
      <w:iCs/>
      <w:color w:val="0F4761" w:themeColor="accent1" w:themeShade="BF"/>
    </w:rPr>
  </w:style>
  <w:style w:type="character" w:styleId="IntenseReference">
    <w:name w:val="Intense Reference"/>
    <w:basedOn w:val="DefaultParagraphFont"/>
    <w:uiPriority w:val="32"/>
    <w:qFormat/>
    <w:rsid w:val="00BD3696"/>
    <w:rPr>
      <w:b/>
      <w:bCs/>
      <w:smallCaps/>
      <w:color w:val="0F4761" w:themeColor="accent1" w:themeShade="BF"/>
      <w:spacing w:val="5"/>
    </w:rPr>
  </w:style>
  <w:style w:type="paragraph" w:styleId="NormalWeb">
    <w:name w:val="Normal (Web)"/>
    <w:basedOn w:val="Normal"/>
    <w:uiPriority w:val="99"/>
    <w:unhideWhenUsed/>
    <w:rsid w:val="00BD3696"/>
    <w:pPr>
      <w:spacing w:line="240" w:lineRule="auto"/>
    </w:pPr>
    <w:rPr>
      <w:rFonts w:ascii="Times New Roman" w:eastAsia="Times New Roman" w:hAnsi="Times New Roman" w:cs="Times New Roman"/>
      <w:kern w:val="0"/>
      <w:lang w:eastAsia="en-GB"/>
      <w14:ligatures w14:val="none"/>
    </w:rPr>
  </w:style>
  <w:style w:type="paragraph" w:customStyle="1" w:styleId="df">
    <w:name w:val="d_f"/>
    <w:basedOn w:val="Normal"/>
    <w:rsid w:val="00585FF3"/>
    <w:pPr>
      <w:spacing w:line="240" w:lineRule="auto"/>
    </w:pPr>
    <w:rPr>
      <w:rFonts w:ascii="Times New Roman" w:eastAsia="Times New Roman" w:hAnsi="Times New Roman" w:cs="Times New Roman"/>
      <w:kern w:val="0"/>
      <w:lang w:eastAsia="en-GB"/>
      <w14:ligatures w14:val="none"/>
    </w:rPr>
  </w:style>
  <w:style w:type="paragraph" w:styleId="Header">
    <w:name w:val="header"/>
    <w:basedOn w:val="Normal"/>
    <w:uiPriority w:val="99"/>
    <w:unhideWhenUsed/>
    <w:rsid w:val="3DF03370"/>
    <w:pPr>
      <w:tabs>
        <w:tab w:val="center" w:pos="4680"/>
        <w:tab w:val="right" w:pos="9360"/>
      </w:tabs>
      <w:spacing w:line="240" w:lineRule="auto"/>
    </w:pPr>
  </w:style>
  <w:style w:type="paragraph" w:styleId="Footer">
    <w:name w:val="footer"/>
    <w:basedOn w:val="Normal"/>
    <w:uiPriority w:val="99"/>
    <w:unhideWhenUsed/>
    <w:rsid w:val="3DF03370"/>
    <w:pPr>
      <w:tabs>
        <w:tab w:val="center" w:pos="4680"/>
        <w:tab w:val="right" w:pos="9360"/>
      </w:tabs>
      <w:spacing w:line="240" w:lineRule="auto"/>
    </w:pPr>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1607</Words>
  <Characters>9163</Characters>
  <Application>Microsoft Office Word</Application>
  <DocSecurity>0</DocSecurity>
  <Lines>76</Lines>
  <Paragraphs>21</Paragraphs>
  <ScaleCrop>false</ScaleCrop>
  <Company/>
  <LinksUpToDate>false</LinksUpToDate>
  <CharactersWithSpaces>10749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Anjumben Virani (2535117)</dc:creator>
  <cp:keywords/>
  <dc:description/>
  <cp:lastModifiedBy>Anjumben Virani (2535117)</cp:lastModifiedBy>
  <cp:revision>2</cp:revision>
  <dcterms:created xsi:type="dcterms:W3CDTF">2026-10-08T22:29:00Z</dcterms:created>
  <dcterms:modified xsi:type="dcterms:W3CDTF">2026-10-08T22:29:00Z</dcterms:modified>
</cp:coreProperties>
</file>