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0C7F7" w14:textId="414CC7C3" w:rsidR="00E8214E" w:rsidRDefault="00E8214E" w:rsidP="00741E9A">
      <w:pPr>
        <w:spacing w:line="360" w:lineRule="auto"/>
      </w:pPr>
      <w:r>
        <w:t>LLYR ROBERTS 2029327</w:t>
      </w:r>
    </w:p>
    <w:p w14:paraId="2E2BAEA5" w14:textId="77777777" w:rsidR="00E8214E" w:rsidRDefault="00E8214E" w:rsidP="00741E9A">
      <w:pPr>
        <w:spacing w:line="360" w:lineRule="auto"/>
      </w:pPr>
    </w:p>
    <w:p w14:paraId="13904C63" w14:textId="7863F7F0" w:rsidR="00F4142D" w:rsidRDefault="00F4142D" w:rsidP="00741E9A">
      <w:pPr>
        <w:spacing w:line="360" w:lineRule="auto"/>
      </w:pPr>
      <w:r>
        <w:t>Essay 1</w:t>
      </w:r>
    </w:p>
    <w:p w14:paraId="21CF284A" w14:textId="77777777" w:rsidR="00043031" w:rsidRDefault="00043031" w:rsidP="00741E9A">
      <w:pPr>
        <w:spacing w:line="360" w:lineRule="auto"/>
      </w:pPr>
    </w:p>
    <w:p w14:paraId="23496CCF" w14:textId="77777777" w:rsidR="00B56E34" w:rsidRDefault="00B56E34" w:rsidP="00741E9A">
      <w:pPr>
        <w:spacing w:line="360" w:lineRule="auto"/>
      </w:pPr>
      <w:r>
        <w:t xml:space="preserve">Accountability </w:t>
      </w:r>
      <w:r w:rsidR="00182E16">
        <w:t xml:space="preserve">is one of the nine ‘Policing Principles’ defined by the College of Policing (2014), these principles underpin the code of ethics by which police officers are subject to. </w:t>
      </w:r>
      <w:r w:rsidR="0011681F">
        <w:t xml:space="preserve">Accountability itself “invokes the responsibility of those who exercise delegated or conferred powers and duties to render a reckoning of how they have performed” (Reiner. 1995). </w:t>
      </w:r>
      <w:r w:rsidR="000C63AA">
        <w:t xml:space="preserve">In a policing context, Eijkman (2006) identifies </w:t>
      </w:r>
      <w:r w:rsidR="004C3C33">
        <w:t>accountability as relating to “more than just the incident of alleged misconduct; it is a review of their professional conduct”.</w:t>
      </w:r>
    </w:p>
    <w:p w14:paraId="52E01771" w14:textId="77777777" w:rsidR="005D4B9C" w:rsidRDefault="005D4B9C" w:rsidP="00741E9A">
      <w:pPr>
        <w:spacing w:line="360" w:lineRule="auto"/>
      </w:pPr>
      <w:r>
        <w:t>Independent bodies such as the</w:t>
      </w:r>
      <w:r w:rsidR="00BA5270">
        <w:t xml:space="preserve"> Independent Office for Police Conduct</w:t>
      </w:r>
      <w:r>
        <w:t xml:space="preserve"> </w:t>
      </w:r>
      <w:r w:rsidR="00BA5270">
        <w:t>(</w:t>
      </w:r>
      <w:r>
        <w:t>IOPC</w:t>
      </w:r>
      <w:r w:rsidR="00BA5270">
        <w:t>)</w:t>
      </w:r>
      <w:r>
        <w:t xml:space="preserve"> and</w:t>
      </w:r>
      <w:r w:rsidR="00BA5270">
        <w:t xml:space="preserve"> Her Majesty’s Inspectorate of Constabulary and Fire and Rescue Services</w:t>
      </w:r>
      <w:r>
        <w:t xml:space="preserve"> </w:t>
      </w:r>
      <w:r w:rsidR="00BA5270">
        <w:t>(</w:t>
      </w:r>
      <w:r>
        <w:t>HMICFRS</w:t>
      </w:r>
      <w:r w:rsidR="00BA5270">
        <w:t>) amongst others exist to monitor the efficacy and investigate</w:t>
      </w:r>
      <w:r w:rsidR="00DD4F54">
        <w:t xml:space="preserve"> incidents, </w:t>
      </w:r>
      <w:r w:rsidR="00BA5270">
        <w:t>allegations</w:t>
      </w:r>
      <w:r w:rsidR="00DD4F54">
        <w:t xml:space="preserve"> and complaints</w:t>
      </w:r>
      <w:r w:rsidR="00BA5270">
        <w:t xml:space="preserve"> involving the Police.</w:t>
      </w:r>
      <w:r>
        <w:t xml:space="preserve"> </w:t>
      </w:r>
      <w:r w:rsidR="00DD4F54">
        <w:t>This in turn aids “to secure public confidence in the police complaints system” (Torrible. 2021).</w:t>
      </w:r>
    </w:p>
    <w:p w14:paraId="79F02682" w14:textId="77777777" w:rsidR="00DD4F54" w:rsidRDefault="00DD4F54" w:rsidP="00741E9A">
      <w:pPr>
        <w:spacing w:line="360" w:lineRule="auto"/>
      </w:pPr>
      <w:r>
        <w:t>Below I will</w:t>
      </w:r>
      <w:r w:rsidR="008F2A44">
        <w:t xml:space="preserve"> explore the importance of ensuring the accountability of the Police service, I will also</w:t>
      </w:r>
      <w:r>
        <w:t xml:space="preserve"> analyse the effectiveness of independent bodies in </w:t>
      </w:r>
      <w:r w:rsidR="008F2A44">
        <w:t>ensuring that this remains the case.</w:t>
      </w:r>
    </w:p>
    <w:p w14:paraId="0D024EFA" w14:textId="77777777" w:rsidR="00572C86" w:rsidRDefault="00572C86" w:rsidP="00741E9A">
      <w:pPr>
        <w:spacing w:line="360" w:lineRule="auto"/>
      </w:pPr>
      <w:r>
        <w:t>Accountability is a necessity within the police service</w:t>
      </w:r>
      <w:r w:rsidR="008D4E73">
        <w:t xml:space="preserve"> on an organisational level,</w:t>
      </w:r>
      <w:r>
        <w:t xml:space="preserve"> as it is a contributing factor towards increasing public satisfaction with police performance</w:t>
      </w:r>
      <w:r w:rsidR="008D4E73">
        <w:t>.</w:t>
      </w:r>
      <w:r>
        <w:t xml:space="preserve"> </w:t>
      </w:r>
      <w:r w:rsidR="008D4E73">
        <w:t>This,</w:t>
      </w:r>
      <w:r>
        <w:t xml:space="preserve"> in turn increase</w:t>
      </w:r>
      <w:r w:rsidR="008D4E73">
        <w:t>s</w:t>
      </w:r>
      <w:r>
        <w:t xml:space="preserve"> the organisational legitimacy a police service has within its community</w:t>
      </w:r>
      <w:r w:rsidR="008D4E73">
        <w:t>,</w:t>
      </w:r>
      <w:r>
        <w:t xml:space="preserve"> as evidenced in research by</w:t>
      </w:r>
      <w:r w:rsidR="002A28BC">
        <w:t xml:space="preserve"> Zhao, He &amp; Lovrich (2003);</w:t>
      </w:r>
      <w:r>
        <w:t xml:space="preserve"> Tyler </w:t>
      </w:r>
      <w:r w:rsidR="00A72703">
        <w:t>(</w:t>
      </w:r>
      <w:r>
        <w:t>2005</w:t>
      </w:r>
      <w:r w:rsidR="00A72703">
        <w:t>)</w:t>
      </w:r>
      <w:r w:rsidR="002A28BC">
        <w:t>;</w:t>
      </w:r>
      <w:r w:rsidR="008D4E73">
        <w:t xml:space="preserve"> and</w:t>
      </w:r>
      <w:r w:rsidR="002A28BC">
        <w:t xml:space="preserve"> Zhao et al (2014). </w:t>
      </w:r>
      <w:r w:rsidR="008D4E73">
        <w:t>Further to this, police officers on an individual level are aware that “being held accountable challenges their professional decision making and authority” (</w:t>
      </w:r>
      <w:r w:rsidR="00265C09">
        <w:t>Eijkman, 2006</w:t>
      </w:r>
      <w:r w:rsidR="008D4E73">
        <w:t>) which then contributes to the overall legitimacy of the organisation as a whole.</w:t>
      </w:r>
    </w:p>
    <w:p w14:paraId="2C9C8924" w14:textId="77777777" w:rsidR="00404D43" w:rsidRDefault="00AD4AD9" w:rsidP="00741E9A">
      <w:pPr>
        <w:spacing w:line="360" w:lineRule="auto"/>
      </w:pPr>
      <w:r>
        <w:t>The Independent Police Complaints Commission (IPCC) “was the first police complaint body in England and Wales empowered to conduct its own investigations into the most serious cases” (Torrible. 2021). It is now known as the Independent Office for Police Conduct (IOPC</w:t>
      </w:r>
      <w:r w:rsidR="00A33DF3">
        <w:t>), following on-going performance issues  resulting in it being re-named in 2018 (Jones and Lister. 2019).</w:t>
      </w:r>
      <w:r w:rsidR="00472638">
        <w:t xml:space="preserve"> Wright (2020) details the role of the IOPC as </w:t>
      </w:r>
      <w:r w:rsidR="00404D43">
        <w:t>seeking to “develop independent investigations of cases referred to police forces to understand whether there are systematic issues across police forc</w:t>
      </w:r>
      <w:r w:rsidR="00982988">
        <w:t xml:space="preserve">es that it should be addressing”. The IOPC can then use the results of its investigations to influence policing </w:t>
      </w:r>
      <w:r w:rsidR="00982988">
        <w:lastRenderedPageBreak/>
        <w:t>policies where issues are found, and also hold forces or officers to account following cases of misconduct.</w:t>
      </w:r>
    </w:p>
    <w:p w14:paraId="0C45E606" w14:textId="77777777" w:rsidR="00FB0995" w:rsidRDefault="00370BA3" w:rsidP="00741E9A">
      <w:pPr>
        <w:spacing w:line="360" w:lineRule="auto"/>
      </w:pPr>
      <w:r>
        <w:t>Similarly to the IOPC, Her Majesty’s Inspectorate of Constabulary and Fire and Rescue Services (HMICFRS) “independently assesses and reports on the effectiveness and efficiency of police forces”</w:t>
      </w:r>
      <w:r w:rsidR="00A411E6">
        <w:t xml:space="preserve"> (HMICFRS, No Date). However HMICFRS is a non-governmental body, and does not have the power to direct police forces, nevertheless it can inform the Home Secretary of any recommendations it has identified. The Home Secretary can then intervene as appropriate</w:t>
      </w:r>
      <w:r w:rsidR="001C06F7">
        <w:t xml:space="preserve"> if required</w:t>
      </w:r>
      <w:r w:rsidR="00AC24CF">
        <w:t xml:space="preserve"> (Jones &amp;</w:t>
      </w:r>
      <w:r w:rsidR="00A411E6">
        <w:t xml:space="preserve"> Lister. 2019)</w:t>
      </w:r>
      <w:r w:rsidR="00D50613">
        <w:t>.</w:t>
      </w:r>
      <w:r w:rsidR="001C06F7">
        <w:t xml:space="preserve"> Both HMICFRS and the IOPC further hold the police accountable by publishing their reports and findings to the public. </w:t>
      </w:r>
    </w:p>
    <w:p w14:paraId="709633A4" w14:textId="77777777" w:rsidR="00AC24CF" w:rsidRDefault="00AC24CF" w:rsidP="00741E9A">
      <w:pPr>
        <w:spacing w:line="360" w:lineRule="auto"/>
      </w:pPr>
      <w:r>
        <w:t>Having this information available to the general population further aids in achieving police accountability. This being because despite having the responsibility of speaking for the public in relation to policing investigation, many members of the public are unsure as to the true independence of police authorities. This was further highlighted in October 2010 when HMIC was publicly accused of attempting to influence a police authority’s decision in appointing a Chief Constable. (Caless &amp; Tong. 2013).</w:t>
      </w:r>
      <w:r w:rsidR="00271CA0">
        <w:t xml:space="preserve"> Further research by Millen &amp; Stephens (2011) and Eijkman (2006) also highlighted the need for greater citizen participation in ensuring police accountability. Eijkman (2006) further detailed that holding officers accountable via internal mechanisms such as the IOPC further alienated the police from members of the public.</w:t>
      </w:r>
    </w:p>
    <w:p w14:paraId="4D481503" w14:textId="77777777" w:rsidR="00711EE4" w:rsidRDefault="007A6181" w:rsidP="00741E9A">
      <w:pPr>
        <w:spacing w:line="360" w:lineRule="auto"/>
      </w:pPr>
      <w:r>
        <w:t>Policing is a public service, and as such the public play an important role in holding the police accountable for their failings o</w:t>
      </w:r>
      <w:r w:rsidR="00B976F5">
        <w:t>r misconduct, as these can in turn be seen as a public wrong. (Mullins. 2015).</w:t>
      </w:r>
      <w:r>
        <w:t xml:space="preserve"> The media plays an important role in this</w:t>
      </w:r>
      <w:r w:rsidR="00B976F5">
        <w:t xml:space="preserve"> accountability</w:t>
      </w:r>
      <w:r>
        <w:t>, as incidents of misconduct or failings, and the results of any following investigations published in the media will impact on public perception of policing as a whole. “Recent high profile cases of police violence that have ended with non-indictments of the involved officers have increased public scrutiny of criminal justice systems’ approach to police suspects” (Robertson. 2018).</w:t>
      </w:r>
      <w:r w:rsidR="005018F8">
        <w:t xml:space="preserve"> Penny (2011), Graziano and Gauthier (2019) further highlight the role of the media in highlighting police misconduct and the effect on the public perception of the police. This is further reinforced by Mugari and Olutola (2018) who identify the media as having “taken a leading role in exposing incidents of police abuse, and is viewed as effective in that role”.</w:t>
      </w:r>
      <w:r w:rsidR="004248F7">
        <w:t xml:space="preserve"> Bringing these issues to the public’s attention can result in </w:t>
      </w:r>
      <w:r w:rsidR="007F7703">
        <w:t>accountability through calls for investigations or reforms.</w:t>
      </w:r>
    </w:p>
    <w:p w14:paraId="615AE66F" w14:textId="77777777" w:rsidR="00C35B61" w:rsidRDefault="00AC2E2C" w:rsidP="00741E9A">
      <w:pPr>
        <w:spacing w:line="360" w:lineRule="auto"/>
      </w:pPr>
      <w:r>
        <w:t>In addition to external independent bodies and the public, police are also held accountable by the Poli</w:t>
      </w:r>
      <w:r w:rsidR="00595D92">
        <w:t>ce a</w:t>
      </w:r>
      <w:r>
        <w:t>nd Criminal Eviden</w:t>
      </w:r>
      <w:r w:rsidR="00595D92">
        <w:t>ce Act (PACE</w:t>
      </w:r>
      <w:r>
        <w:t>) 1984</w:t>
      </w:r>
      <w:r w:rsidR="00C35B61">
        <w:t>;</w:t>
      </w:r>
    </w:p>
    <w:p w14:paraId="77472210" w14:textId="77777777" w:rsidR="00595D92" w:rsidRDefault="00595D92" w:rsidP="00741E9A">
      <w:pPr>
        <w:spacing w:line="360" w:lineRule="auto"/>
      </w:pPr>
      <w:r>
        <w:lastRenderedPageBreak/>
        <w:t xml:space="preserve">“The statutory powers of police on matters of stop search; entry; search and seizure; arrest, detention and the questioning of suspects are provided by PACE 1984. Codes of Practice created under the Act govern cautioning procedures, identification parades and a range of other responsibilities. Strictly speaking the codes are not statutory but any breach of their requirements amounts to a disciplinary offence. Also any breach of the codes is admissible in evidence in criminal or civil proceedings against the police”. (Mawby &amp; Wright. 2005) </w:t>
      </w:r>
    </w:p>
    <w:p w14:paraId="7EF2B5AC" w14:textId="77777777" w:rsidR="00C35B61" w:rsidRDefault="006B13D8" w:rsidP="00741E9A">
      <w:pPr>
        <w:spacing w:line="360" w:lineRule="auto"/>
      </w:pPr>
      <w:r>
        <w:t xml:space="preserve">Misconduct of police officers is primarily governed by the following legislation; Police (Complaints and Misconduct) Regulations 2020, Police (Conduct) Regulations 2020, and Police (Performance) Regulations 2020. Police officers </w:t>
      </w:r>
      <w:r w:rsidR="00C35B61">
        <w:t>a</w:t>
      </w:r>
      <w:r>
        <w:t xml:space="preserve">re </w:t>
      </w:r>
      <w:r w:rsidR="00C35B61">
        <w:t>required to maintain the ten standards of professional behaviour, the last of these being to challenge or take action against the conduct of a colleague who has failed any of the other standards of behaviour. Failure to do so would also leave tha</w:t>
      </w:r>
      <w:r w:rsidR="00D43BCD">
        <w:t>t officer liable to misconduct, this will often be controlled by the Professional Standards Department (Bryant &amp; Bryant 2021).</w:t>
      </w:r>
      <w:r w:rsidR="00A34F0E">
        <w:t xml:space="preserve"> This ensures accountability internally within the police service.</w:t>
      </w:r>
    </w:p>
    <w:p w14:paraId="40307D0C" w14:textId="77777777" w:rsidR="001C3AB1" w:rsidRDefault="00043031" w:rsidP="00741E9A">
      <w:pPr>
        <w:spacing w:line="360" w:lineRule="auto"/>
      </w:pPr>
      <w:r>
        <w:t xml:space="preserve">Accountability in policing is therefore achieved in a multitude of ways, the first stage of this being the policing code of ethics, and the responsibility that it places on officers. Further accountability would be provided by independent bodies such as the IOPC and HMICFRS. As effective as these bodies are at holding police accountable, it is worth remembering the role the general public and the public media and press have in holding police accountable for their actions and maintaining the legitimacy of the police service.  </w:t>
      </w:r>
    </w:p>
    <w:p w14:paraId="1F3A0F0D" w14:textId="77777777" w:rsidR="002A76CF" w:rsidRDefault="002A76CF" w:rsidP="00741E9A">
      <w:pPr>
        <w:spacing w:line="360" w:lineRule="auto"/>
        <w:rPr>
          <w:color w:val="FF0000"/>
        </w:rPr>
      </w:pPr>
    </w:p>
    <w:p w14:paraId="11602976" w14:textId="77777777" w:rsidR="00043031" w:rsidRDefault="00043031" w:rsidP="00741E9A">
      <w:pPr>
        <w:spacing w:line="360" w:lineRule="auto"/>
      </w:pPr>
      <w:r>
        <w:t xml:space="preserve">Word Count </w:t>
      </w:r>
      <w:r w:rsidR="005F03CD">
        <w:t>–</w:t>
      </w:r>
      <w:r>
        <w:t xml:space="preserve"> 1063</w:t>
      </w:r>
    </w:p>
    <w:p w14:paraId="31234F23" w14:textId="77777777" w:rsidR="005F03CD" w:rsidRDefault="005F03CD" w:rsidP="00741E9A">
      <w:pPr>
        <w:spacing w:line="360" w:lineRule="auto"/>
      </w:pPr>
    </w:p>
    <w:p w14:paraId="329FBF31" w14:textId="77777777" w:rsidR="005F03CD" w:rsidRDefault="005F03CD" w:rsidP="00741E9A">
      <w:pPr>
        <w:spacing w:line="360" w:lineRule="auto"/>
      </w:pPr>
      <w:r>
        <w:t>Essay 2</w:t>
      </w:r>
    </w:p>
    <w:p w14:paraId="35768D99" w14:textId="77777777" w:rsidR="005F03CD" w:rsidRDefault="005F03CD" w:rsidP="00741E9A">
      <w:pPr>
        <w:spacing w:line="360" w:lineRule="auto"/>
      </w:pPr>
    </w:p>
    <w:p w14:paraId="2022F569" w14:textId="77777777" w:rsidR="00DD5C2B" w:rsidRDefault="00DD5C2B" w:rsidP="00741E9A">
      <w:pPr>
        <w:spacing w:line="360" w:lineRule="auto"/>
      </w:pPr>
      <w:r>
        <w:t xml:space="preserve">The College of Policing (2014) provide the Code of Ethics by which all police officers are to abide, within this code are the standards of professional behaviour. One of the standards required is equality and diversity, whereby officers are expected to act with fairness and impartiality, and not to discriminate unlawfully or unfairly. Another standard expected of officers is that they act with authority, respect and courtesy. That is that they are to act with self-control and tolerance, treating members of the public and colleagues with respect and courtesy, they are also too use their powers lawfully and proportionately whilst respecting the rights of all individuals. These standards are based </w:t>
      </w:r>
      <w:r>
        <w:lastRenderedPageBreak/>
        <w:t>on the nine policing principles. Combined these are designed to “guide behaviour and shape the policing culture” (CoP. 2014).</w:t>
      </w:r>
    </w:p>
    <w:p w14:paraId="782D73EA" w14:textId="77777777" w:rsidR="00043031" w:rsidRDefault="006C3003" w:rsidP="00741E9A">
      <w:pPr>
        <w:spacing w:line="360" w:lineRule="auto"/>
      </w:pPr>
      <w:r>
        <w:t>These principles are an important aspect within policing in the United Kingdom as it is increasingly</w:t>
      </w:r>
      <w:r w:rsidR="003414D6">
        <w:t xml:space="preserve"> multicultural and diverse, as is Europe as</w:t>
      </w:r>
      <w:r w:rsidR="005E7A9E">
        <w:t xml:space="preserve"> a</w:t>
      </w:r>
      <w:r w:rsidR="003414D6">
        <w:t xml:space="preserve"> whole (Afful. 2018). D</w:t>
      </w:r>
      <w:r>
        <w:t xml:space="preserve">ata from the 2011 Census reveals that </w:t>
      </w:r>
      <w:r w:rsidRPr="006C3003">
        <w:t>87% of people in the UK are White, 13% belong to a Black, Asian, Mixed or Other ethnic group</w:t>
      </w:r>
      <w:r w:rsidR="000D1DEC">
        <w:t xml:space="preserve"> (Gov.uk. No Date). Of course multiculturalism and diversity is inclusive of more than race and ethnicity, it refers to a range of human differences which in turn identify and categorise individuals and groups. It can also be used to identify members of minority groups that are categorised as different to the majority of the individuals making up the general populous</w:t>
      </w:r>
      <w:r w:rsidR="003414D6">
        <w:t xml:space="preserve"> (Miles-Johnson. 2021). </w:t>
      </w:r>
      <w:r w:rsidR="001C6EAD">
        <w:t>This is wide reaching and can include identifiers such as race, ethnicity, gender/ gender identity, sexual orientation and religion.</w:t>
      </w:r>
    </w:p>
    <w:p w14:paraId="02C4CFBF" w14:textId="77777777" w:rsidR="001C6EAD" w:rsidRDefault="001C6EAD" w:rsidP="00741E9A">
      <w:pPr>
        <w:spacing w:line="360" w:lineRule="auto"/>
      </w:pPr>
      <w:r>
        <w:t>The relationship between police and minority communities has played an important role in the development of the police service as it is today. For example, “the belief that the police were biased against black people was an important factor in the riots that occurred in 1981, commencing in Brixton” (Joyce. 2011).</w:t>
      </w:r>
      <w:r w:rsidR="001D60A2">
        <w:t xml:space="preserve"> The resulting report by Lord Scarman (1981) highlighted racial disadvantage and stated “urgent action” was required to prevent this disadvantage becoming a “ineradicable disease threatening the very survival of our society”. Scarman’s report found institutional racism did not exist, and attributed racism within the service to the attitudes held by a small minority of officers. </w:t>
      </w:r>
      <w:r w:rsidR="0035558C">
        <w:t>However Macpherson’s (1999) report following the murder of Stephen Lawrence a black teenager, found that institutional racism existed within the Metropolitan Police.</w:t>
      </w:r>
    </w:p>
    <w:p w14:paraId="5362900D" w14:textId="77777777" w:rsidR="00B80E6A" w:rsidRDefault="00B80E6A" w:rsidP="00741E9A">
      <w:pPr>
        <w:spacing w:line="360" w:lineRule="auto"/>
      </w:pPr>
      <w:r>
        <w:t>An issue identified in both reports was that of a distrust of ethnic minorities of police. Research</w:t>
      </w:r>
      <w:r w:rsidR="004401FA">
        <w:t xml:space="preserve"> from a wide range of countries</w:t>
      </w:r>
      <w:r>
        <w:t xml:space="preserve"> by Sexto</w:t>
      </w:r>
      <w:r w:rsidR="004401FA">
        <w:t>n (2010), Schlosser et al (2015)</w:t>
      </w:r>
      <w:r w:rsidR="003776DD">
        <w:t xml:space="preserve">, </w:t>
      </w:r>
      <w:r w:rsidR="004401FA">
        <w:t>Miles-Johnson (2021)</w:t>
      </w:r>
      <w:r w:rsidR="003776DD">
        <w:t xml:space="preserve"> and Samuels-Wortley (2021)</w:t>
      </w:r>
      <w:r w:rsidR="004401FA">
        <w:t xml:space="preserve"> identified that ethnic minority groups often have a reduced trust in police when compared to white majority groups. </w:t>
      </w:r>
      <w:r w:rsidR="001657F8">
        <w:t>This lack of trust is detrimental as “effective policing requires the trust of community members” (Schlosser et al. 2015), this community trust aids in achieving the legitimacy of the police service.</w:t>
      </w:r>
    </w:p>
    <w:p w14:paraId="073D2F60" w14:textId="77777777" w:rsidR="003776DD" w:rsidRDefault="0002579F" w:rsidP="00741E9A">
      <w:pPr>
        <w:spacing w:line="360" w:lineRule="auto"/>
      </w:pPr>
      <w:r>
        <w:t>Further barriers existing between the police service an</w:t>
      </w:r>
      <w:r w:rsidR="00A66BA4">
        <w:t>d</w:t>
      </w:r>
      <w:r>
        <w:t xml:space="preserve"> diverse communities</w:t>
      </w:r>
      <w:r w:rsidR="002A48EE">
        <w:t>, including</w:t>
      </w:r>
      <w:r>
        <w:t xml:space="preserve"> “lack of cultural assimilation and language and communication difficulties” (Morant and Edwards, 2011), </w:t>
      </w:r>
      <w:r w:rsidR="002A48EE">
        <w:t>representation and diversity within the police service (Ben-Porat. 2008), (Morabito &amp; Shelley. 2015)</w:t>
      </w:r>
      <w:r w:rsidR="00F3517F">
        <w:t xml:space="preserve">. </w:t>
      </w:r>
      <w:r w:rsidR="00CA4370">
        <w:t xml:space="preserve">Additionally, </w:t>
      </w:r>
      <w:r w:rsidR="00F3517F">
        <w:t>Bartkowiak-Theron and Asquith (2015) and Rowe (2022) argue that British policing has put an over emphasis on improvement in relation to ethnic diversity and this is having a detrimental effect on the other aspects of multicultural communities such as gender and sexual orientation.</w:t>
      </w:r>
      <w:r w:rsidR="00A66BA4">
        <w:t xml:space="preserve"> </w:t>
      </w:r>
      <w:r w:rsidR="00A66BA4">
        <w:lastRenderedPageBreak/>
        <w:t>Rowski and Workman-Stark (2018) also argue that current diversity training has a poor record within the majority white male police force.</w:t>
      </w:r>
    </w:p>
    <w:p w14:paraId="514F2887" w14:textId="77777777" w:rsidR="00D605D0" w:rsidRDefault="00D605D0" w:rsidP="00741E9A">
      <w:pPr>
        <w:spacing w:line="360" w:lineRule="auto"/>
      </w:pPr>
      <w:r>
        <w:t>The police service has implemented a number of measures targeted at overcoming these barriers, one of those is within recruitment</w:t>
      </w:r>
      <w:r w:rsidR="00D30807">
        <w:t>,</w:t>
      </w:r>
      <w:r>
        <w:t xml:space="preserve"> where forces now aim to recruit a workforce that is representative of the communities they police, this, in turn can help increase the trust in police of those communities. One factor that would contribute to this would be the greater level of ethno-cultural empathy possessed by non-white officers (Vaughn and Johnson. 2021). </w:t>
      </w:r>
      <w:r w:rsidR="00C46635">
        <w:t>Further research by McCluskey and McCluskey (2004) who hypothesised that greater representation of Latino officers i</w:t>
      </w:r>
      <w:r w:rsidR="00DA2322">
        <w:t>n areas with Latino communities</w:t>
      </w:r>
      <w:r w:rsidR="00C46635">
        <w:t>, results in greater communication between the community and officers, thus leading to fewer arrest supports this.</w:t>
      </w:r>
    </w:p>
    <w:p w14:paraId="64D294CA" w14:textId="77777777" w:rsidR="004A44A9" w:rsidRDefault="002829EA" w:rsidP="00741E9A">
      <w:pPr>
        <w:spacing w:line="360" w:lineRule="auto"/>
      </w:pPr>
      <w:r>
        <w:t>A representative</w:t>
      </w:r>
      <w:r w:rsidR="00DA2322">
        <w:t xml:space="preserve"> workforce also improves how policing interacts with other </w:t>
      </w:r>
      <w:r w:rsidR="00A947DE">
        <w:t>multicultural groups, Portillo (2014) states “integration of gay and lesbian officers provides for better community policing, stronger police agencies, and stronger relationships with the communities that police departments serve”.</w:t>
      </w:r>
      <w:r>
        <w:t xml:space="preserve"> Schuck (2017) highlighted gender diversity as an important driver in organisational change.</w:t>
      </w:r>
      <w:r w:rsidR="00F848DA">
        <w:t xml:space="preserve"> </w:t>
      </w:r>
    </w:p>
    <w:p w14:paraId="7DA2E9BD" w14:textId="77777777" w:rsidR="001F783A" w:rsidRDefault="004A44A9" w:rsidP="00741E9A">
      <w:pPr>
        <w:spacing w:line="360" w:lineRule="auto"/>
      </w:pPr>
      <w:r>
        <w:t>Officer training was</w:t>
      </w:r>
      <w:r w:rsidR="005C01D1">
        <w:t xml:space="preserve"> also</w:t>
      </w:r>
      <w:r>
        <w:t xml:space="preserve"> identified by Macpherson (1999) as a method of </w:t>
      </w:r>
      <w:r w:rsidR="005C01D1">
        <w:t>overcoming the barriers between diverse communities and police</w:t>
      </w:r>
      <w:r>
        <w:t xml:space="preserve">. </w:t>
      </w:r>
      <w:r w:rsidR="001F783A" w:rsidRPr="001F783A">
        <w:t>Including tr</w:t>
      </w:r>
      <w:r>
        <w:t>aining relating to diversity</w:t>
      </w:r>
      <w:r w:rsidR="001F783A" w:rsidRPr="001F783A">
        <w:t xml:space="preserve"> improve</w:t>
      </w:r>
      <w:r>
        <w:t>s</w:t>
      </w:r>
      <w:r w:rsidR="001F783A" w:rsidRPr="001F783A">
        <w:t xml:space="preserve"> officer awareness of the diversity dilemmas they may face in their day to day roles (Stout. 2010) and is one of the ways in which multiculturalism becomes an element of their day to day lives (Voyer. 2011).</w:t>
      </w:r>
      <w:r w:rsidR="001F783A">
        <w:t xml:space="preserve"> </w:t>
      </w:r>
      <w:r>
        <w:t>In turn improving officer interaction with individuals belonging to those minorities, and as such their level of trust towards police.</w:t>
      </w:r>
    </w:p>
    <w:p w14:paraId="6DEDE820" w14:textId="77777777" w:rsidR="00DA2322" w:rsidRDefault="00EE0100" w:rsidP="00766807">
      <w:pPr>
        <w:spacing w:line="360" w:lineRule="auto"/>
      </w:pPr>
      <w:r>
        <w:t>Ultimately, e</w:t>
      </w:r>
      <w:r w:rsidR="00F848DA">
        <w:t>nsuring a representative and well trained workforce</w:t>
      </w:r>
      <w:r>
        <w:t xml:space="preserve"> in relation to diversity </w:t>
      </w:r>
      <w:r w:rsidR="00766807">
        <w:t>links back to the Code of Ethics by which officers are to follow, and working to improve these aspects within the workforce will improve the ability of the police to treat each person with fairness and impartiality, and not to discriminate against any persons</w:t>
      </w:r>
      <w:r w:rsidR="00E57DC6">
        <w:t xml:space="preserve"> due to the increased training and awareness</w:t>
      </w:r>
      <w:r w:rsidR="00766807">
        <w:t xml:space="preserve">. </w:t>
      </w:r>
      <w:r w:rsidR="00D30807">
        <w:t>This workforce should therefore be able to better interact, communicate</w:t>
      </w:r>
      <w:r w:rsidR="00B01BB1">
        <w:t xml:space="preserve"> and police with these multicultural communities, and in time,</w:t>
      </w:r>
      <w:r w:rsidR="00A870C6">
        <w:t xml:space="preserve"> lea</w:t>
      </w:r>
      <w:r w:rsidR="00B01BB1">
        <w:t>d to</w:t>
      </w:r>
      <w:r w:rsidR="00A870C6">
        <w:t xml:space="preserve"> an increase of trust from </w:t>
      </w:r>
      <w:r w:rsidR="00B01BB1">
        <w:t xml:space="preserve">those </w:t>
      </w:r>
      <w:r w:rsidR="00A870C6">
        <w:t>culturally diverse communities towards police</w:t>
      </w:r>
      <w:r w:rsidR="00B01BB1">
        <w:t>. Legitimacy of the police within those communities would then be increased.</w:t>
      </w:r>
    </w:p>
    <w:p w14:paraId="5AEF0630" w14:textId="77777777" w:rsidR="00B80E6A" w:rsidRDefault="00B80E6A" w:rsidP="00741E9A">
      <w:pPr>
        <w:spacing w:line="360" w:lineRule="auto"/>
      </w:pPr>
    </w:p>
    <w:p w14:paraId="1ECD554D" w14:textId="77777777" w:rsidR="00E54367" w:rsidRDefault="00E54367" w:rsidP="00741E9A">
      <w:pPr>
        <w:spacing w:line="360" w:lineRule="auto"/>
      </w:pPr>
      <w:r>
        <w:t>Word Count – 925</w:t>
      </w:r>
    </w:p>
    <w:p w14:paraId="464E3A19" w14:textId="77777777" w:rsidR="00E54367" w:rsidRDefault="00E54367" w:rsidP="00741E9A">
      <w:pPr>
        <w:spacing w:line="360" w:lineRule="auto"/>
      </w:pPr>
    </w:p>
    <w:p w14:paraId="4217A3BA" w14:textId="77777777" w:rsidR="00E54367" w:rsidRDefault="00E54367" w:rsidP="00741E9A">
      <w:pPr>
        <w:spacing w:line="360" w:lineRule="auto"/>
      </w:pPr>
      <w:r>
        <w:lastRenderedPageBreak/>
        <w:t>Essay 3.</w:t>
      </w:r>
    </w:p>
    <w:p w14:paraId="1FF0FDD3" w14:textId="77777777" w:rsidR="00E54367" w:rsidRDefault="00E54367" w:rsidP="00741E9A">
      <w:pPr>
        <w:spacing w:line="360" w:lineRule="auto"/>
      </w:pPr>
    </w:p>
    <w:p w14:paraId="7B4646AA" w14:textId="77777777" w:rsidR="00A66BA4" w:rsidRDefault="00EA4457" w:rsidP="00741E9A">
      <w:pPr>
        <w:spacing w:line="360" w:lineRule="auto"/>
      </w:pPr>
      <w:r>
        <w:t xml:space="preserve">There </w:t>
      </w:r>
      <w:r w:rsidR="00687C1E">
        <w:t>are</w:t>
      </w:r>
      <w:r>
        <w:t xml:space="preserve"> a wide variety of early intervention and partnership approaches which aim to reduce the recidivism rate of offenders, including those involved in gang-related activity. Numerous studies have been completed</w:t>
      </w:r>
      <w:r w:rsidR="00AC60F1">
        <w:t xml:space="preserve"> regarding the efficacy of these approaches with a large range of results in relation to the success of the methods. Barriers exist in relation to the effectiveness of these methods, including;</w:t>
      </w:r>
    </w:p>
    <w:p w14:paraId="5211DEBE" w14:textId="77777777" w:rsidR="00AC60F1" w:rsidRDefault="00AC60F1" w:rsidP="00741E9A">
      <w:pPr>
        <w:spacing w:line="360" w:lineRule="auto"/>
      </w:pPr>
      <w:r>
        <w:t>“</w:t>
      </w:r>
      <w:r w:rsidRPr="00AC60F1">
        <w:t>reluctance of some agencies to participate (especially health, education, and social services); the dominance of a policing agenda; unwillingness to share information; conflicting interests, priorities, and cultural assumptions on the part of different agencies; local political differences; lack of inter</w:t>
      </w:r>
      <w:r>
        <w:t>-</w:t>
      </w:r>
      <w:r w:rsidRPr="00AC60F1">
        <w:t>organizational trust; desire to protect budgets; lack of capacity and expertise; and overreliance on informal contacts and networks which lapsed if key individuals moved on</w:t>
      </w:r>
      <w:r>
        <w:t>” (Hobson et al. 2021).</w:t>
      </w:r>
    </w:p>
    <w:p w14:paraId="129B09F3" w14:textId="77777777" w:rsidR="005E67C8" w:rsidRDefault="005E67C8" w:rsidP="00741E9A">
      <w:pPr>
        <w:spacing w:line="360" w:lineRule="auto"/>
      </w:pPr>
      <w:r>
        <w:t>These barriers, along with theories relating to the onset of offending/ re-offending is important when considering the influence of early inter</w:t>
      </w:r>
      <w:r w:rsidR="00D770CB">
        <w:t>vention</w:t>
      </w:r>
      <w:r>
        <w:t xml:space="preserve"> approaches.</w:t>
      </w:r>
      <w:r w:rsidR="00491BEB">
        <w:t xml:space="preserve"> Below, I will assess various early intervention and partnership approaches used in relation to gang-related activity, and the effect that they have in the reduction </w:t>
      </w:r>
      <w:r w:rsidR="003C0152">
        <w:t>of re-offending. I will also explain how theories associated with the onset of offending influence the approaches, such as Sutherland’s (1939) Differential Association Theory, Becker’s (1963) Labelling Theory, and Cohen’s (1979) Rational Choice Theory.</w:t>
      </w:r>
    </w:p>
    <w:p w14:paraId="60D96A78" w14:textId="77777777" w:rsidR="004633F0" w:rsidRDefault="009101D1" w:rsidP="00741E9A">
      <w:pPr>
        <w:spacing w:line="360" w:lineRule="auto"/>
      </w:pPr>
      <w:r>
        <w:t>As noted above numerous research has been conducted into the impact of early intervention, and partnership approaches on recidivism with wide ranging results.</w:t>
      </w:r>
      <w:r w:rsidR="00780873">
        <w:t xml:space="preserve"> One of the methods used is that of supervision and/or parole, whereby the offender is given conditions by which to abide </w:t>
      </w:r>
      <w:r w:rsidR="004A17CF">
        <w:t>in lieu of further sanctions, e.g. an offender released on probation, or issued a conditional caution.</w:t>
      </w:r>
      <w:r>
        <w:t xml:space="preserve"> Research by Osterman (2013), Lai (2013), Wan, Poynton and Weatherburn (2016), and Smith et al (2018) all found supervision and pa</w:t>
      </w:r>
      <w:r w:rsidR="004633F0">
        <w:t>role as an intervention to be an effective method of reducing recidivism. Wan, Poynton and Weatherburn found that;</w:t>
      </w:r>
    </w:p>
    <w:p w14:paraId="0FD66A78" w14:textId="77777777" w:rsidR="00AC60F1" w:rsidRDefault="004633F0" w:rsidP="00741E9A">
      <w:pPr>
        <w:spacing w:line="360" w:lineRule="auto"/>
      </w:pPr>
      <w:r>
        <w:t xml:space="preserve"> “O</w:t>
      </w:r>
      <w:r w:rsidRPr="004633F0">
        <w:t>ffenders who received parole supervision upon release from custody took longer to commit a new offence, were less likely to commit a new indictable offence and committed fewer offences than offenders who were released unconditionally into the community</w:t>
      </w:r>
      <w:r>
        <w:t>”.</w:t>
      </w:r>
    </w:p>
    <w:p w14:paraId="2FBF2E26" w14:textId="77777777" w:rsidR="004633F0" w:rsidRDefault="004633F0" w:rsidP="00741E9A">
      <w:pPr>
        <w:spacing w:line="360" w:lineRule="auto"/>
      </w:pPr>
      <w:r>
        <w:t>Contrary to these findings</w:t>
      </w:r>
      <w:r w:rsidR="009A7C1D">
        <w:t>,</w:t>
      </w:r>
      <w:r>
        <w:t xml:space="preserve"> there has also been numerous studies conducted which were inconclusive as to the efficacy of supervision or parole as an intervention method. Shute (2005), Solomon, Kachnowski and Bhati (2005), Drake and Barnoski (2006), and Listwan, Cullen and Latessa (2006) all deeming the results of their studies as inconclusive. Merrington (2006) stated </w:t>
      </w:r>
      <w:r w:rsidR="00474BC6">
        <w:t xml:space="preserve">it had </w:t>
      </w:r>
      <w:r w:rsidR="00474BC6">
        <w:lastRenderedPageBreak/>
        <w:t>“proved difficult to find robust evidence of effectiveness” in relation to early intervention methods.</w:t>
      </w:r>
      <w:r w:rsidR="002A48DC">
        <w:t xml:space="preserve"> Further to this Weatherburn and Yeong (2021) stated that they could not “</w:t>
      </w:r>
      <w:r w:rsidR="002A48DC" w:rsidRPr="002A48DC">
        <w:t>conclude from these findings that supervision has no effect on the re‐offending outcomes</w:t>
      </w:r>
      <w:r w:rsidR="002A48DC">
        <w:t>”.</w:t>
      </w:r>
    </w:p>
    <w:p w14:paraId="545A3641" w14:textId="77777777" w:rsidR="00474BC6" w:rsidRDefault="009A7C1D" w:rsidP="00741E9A">
      <w:pPr>
        <w:spacing w:line="360" w:lineRule="auto"/>
      </w:pPr>
      <w:r>
        <w:t>Restorative Justice (RJ) is another method of early intervention used, it can take a number of forms,</w:t>
      </w:r>
      <w:r w:rsidR="00E620A2" w:rsidRPr="00E620A2">
        <w:t xml:space="preserve"> </w:t>
      </w:r>
      <w:r w:rsidR="00E620A2">
        <w:t>wi</w:t>
      </w:r>
      <w:r w:rsidR="00E620A2" w:rsidRPr="00E620A2">
        <w:t>th the wide ranging options available to use as RJ, research findings vary in its effectiveness. Astbury (2008) identified that these procedures “rarely look the same on paper as they do in the real world” and that successful implementation requires a degree of flexibility and adaptations.</w:t>
      </w:r>
      <w:r w:rsidR="00E620A2">
        <w:t xml:space="preserve"> The simplest form of RJ is </w:t>
      </w:r>
      <w:r>
        <w:t xml:space="preserve">community resolution, often used for minor crimes or incidents on the spot. A more formal RJ procedure can be used whereby the victim and offender can be brought together in a restorative meeting facilitated by a police officer. </w:t>
      </w:r>
      <w:r w:rsidR="006D28A9">
        <w:t>McGarrell and Hipple (2007) found that participants in such conferences lasted longer before being re-arrested over a 24 month period, as well as having much lower incidence rates. Additionally, c</w:t>
      </w:r>
      <w:r>
        <w:t xml:space="preserve">ommunity resolution does not criminalize the offender whilst dealing with the incident to the victim’s satisfaction (Bryant and Bryant. 2021). </w:t>
      </w:r>
      <w:r w:rsidR="00E01360">
        <w:t>Killias et al (2010) suggested that community resolution did not reduce the likelihood of re-offending when c</w:t>
      </w:r>
      <w:r w:rsidR="00E620A2">
        <w:t>ompared with imprisonment. Thus highlighting the</w:t>
      </w:r>
      <w:r w:rsidR="00E01360">
        <w:t xml:space="preserve"> benefit of it </w:t>
      </w:r>
      <w:r w:rsidR="00E620A2">
        <w:t xml:space="preserve">being </w:t>
      </w:r>
      <w:r w:rsidR="00E01360">
        <w:t xml:space="preserve">not criminalising the offender. </w:t>
      </w:r>
    </w:p>
    <w:p w14:paraId="23E03C46" w14:textId="77777777" w:rsidR="00E620A2" w:rsidRDefault="00D22356" w:rsidP="00741E9A">
      <w:pPr>
        <w:spacing w:line="360" w:lineRule="auto"/>
      </w:pPr>
      <w:r>
        <w:t>Evidently Becker’s (1963) Labelling Theory of Crime and Deviance is taken into account during the RJ process. This theory dictates that crime is socially constructed, and persons in positions of power label those that are not as deviant and criminal based on stereotypical assumptions. This in turn can create effects such as the self-fulfilling prophecy, whereby a person is labelled a criminal and as such see themselves as a criminal and go on to continue committing crimes.</w:t>
      </w:r>
    </w:p>
    <w:p w14:paraId="6C75090B" w14:textId="77777777" w:rsidR="0070578B" w:rsidRDefault="0070578B" w:rsidP="00741E9A">
      <w:pPr>
        <w:spacing w:line="360" w:lineRule="auto"/>
      </w:pPr>
      <w:r>
        <w:t>Conversely, Cohen’s (1979) Rational Choice Theory (RCT) states that crime is a matter of individual choice, whereby if a person calculates that the risk of getting caught or being punished is low, they are more likely to commit crime, if they believe the reward for doing the crime is enough. The person is rational in that they weigh up the costs and benefits to decide whether the crime is worth committing.</w:t>
      </w:r>
      <w:r w:rsidR="000543D5">
        <w:t xml:space="preserve"> As such this theory could be considered when implementing supervision or parole conditions on an offender, this in turn would aim to tilt the scales towards the risk of committing the crime and away from the perceived reward.</w:t>
      </w:r>
    </w:p>
    <w:p w14:paraId="60E8CD00" w14:textId="77777777" w:rsidR="008C5335" w:rsidRDefault="008C5335" w:rsidP="00741E9A">
      <w:pPr>
        <w:spacing w:line="360" w:lineRule="auto"/>
      </w:pPr>
      <w:r>
        <w:t xml:space="preserve">A third theory to consider when implementing early intervention methods with individuals involved in gangs is Sutherland’s (1939) Differential Association Theory. Here it is proposed that individuals develop their values, attitudes, techniques, and motives for criminal behaviour through interactions with others. This theory would be supportive of interventions such as supervision, parole conditions not to associate with certain persons, </w:t>
      </w:r>
      <w:r w:rsidR="00C95D62">
        <w:t xml:space="preserve">or rehabilitation programmes involving education/ </w:t>
      </w:r>
      <w:r w:rsidR="00C95D62">
        <w:lastRenderedPageBreak/>
        <w:t>rehabilitation courses. Diverting the offender from the persons where they may acquire their criminal attitudes and towards others where they can hopefully develop non-criminal values.</w:t>
      </w:r>
    </w:p>
    <w:p w14:paraId="5E0D6951" w14:textId="77777777" w:rsidR="00AC60F1" w:rsidRDefault="00C45053" w:rsidP="00741E9A">
      <w:pPr>
        <w:spacing w:line="360" w:lineRule="auto"/>
      </w:pPr>
      <w:r>
        <w:t>In conclusion, with the wide range of early intervention approaches available, theories relating to offending should be considered in order to best identify which method is likely to be of greater effect when deciding which to implement with a person involved in gang-related activity. Having the ability to identify and implement different methods will likely result in an increase in successful prevention and reduction of re-offending (Scott. 2018).</w:t>
      </w:r>
    </w:p>
    <w:p w14:paraId="438E2CFB" w14:textId="77777777" w:rsidR="004E3340" w:rsidRDefault="004E3340" w:rsidP="00741E9A">
      <w:pPr>
        <w:spacing w:line="360" w:lineRule="auto"/>
      </w:pPr>
    </w:p>
    <w:p w14:paraId="406069E2" w14:textId="77777777" w:rsidR="00C45053" w:rsidRDefault="00C45053" w:rsidP="00741E9A">
      <w:pPr>
        <w:spacing w:line="360" w:lineRule="auto"/>
      </w:pPr>
      <w:r>
        <w:t xml:space="preserve">Word count </w:t>
      </w:r>
      <w:r w:rsidR="00B15BFB">
        <w:t>–</w:t>
      </w:r>
      <w:r>
        <w:t xml:space="preserve"> 972</w:t>
      </w:r>
    </w:p>
    <w:p w14:paraId="4DCACEA1" w14:textId="77777777" w:rsidR="00B15BFB" w:rsidRDefault="00B15BFB" w:rsidP="00741E9A">
      <w:pPr>
        <w:spacing w:line="360" w:lineRule="auto"/>
      </w:pPr>
    </w:p>
    <w:p w14:paraId="7865D3EC" w14:textId="77777777" w:rsidR="00B15BFB" w:rsidRDefault="00B15BFB" w:rsidP="00741E9A">
      <w:pPr>
        <w:spacing w:line="360" w:lineRule="auto"/>
      </w:pPr>
      <w:r>
        <w:t>Essay 4.</w:t>
      </w:r>
    </w:p>
    <w:p w14:paraId="757FF1FA" w14:textId="77777777" w:rsidR="00337C46" w:rsidRDefault="00337C46" w:rsidP="00741E9A">
      <w:pPr>
        <w:spacing w:line="360" w:lineRule="auto"/>
      </w:pPr>
    </w:p>
    <w:p w14:paraId="4872FDBA" w14:textId="77777777" w:rsidR="00337C46" w:rsidRDefault="00337C46" w:rsidP="00741E9A">
      <w:pPr>
        <w:spacing w:line="360" w:lineRule="auto"/>
      </w:pPr>
      <w:r>
        <w:t>Serious and organised crime groups (SOCG) touch every community, ruining lives, driving other crime and instilling fear. It harms our most vulnerable communities driving out innocent residents and legitimate businesses. It appears most graphically as drug addiction, sexual exploitation, and gun crime, and corrupts government and law agencies world-wide (Home Office. 2004). At their worst these groups share many of the same characteristics</w:t>
      </w:r>
      <w:r w:rsidR="000A4543">
        <w:t xml:space="preserve"> as terrorist groups (Sproat. 2012). SOCG are directly or indirectly responsible for a large quantity of all crime in the UK, with between 25,000 and 30,000 individuals engaging in organised crime. It is estimated that the economic and social cost of these crimes in the UK is potentially as high as £40 billion per year (Home Office. 2009).</w:t>
      </w:r>
    </w:p>
    <w:p w14:paraId="7E7CB6C9" w14:textId="77777777" w:rsidR="00F66E05" w:rsidRDefault="00F66E05" w:rsidP="00741E9A">
      <w:pPr>
        <w:spacing w:line="360" w:lineRule="auto"/>
      </w:pPr>
      <w:r>
        <w:t>SOCG’s vary in their structure, however they generally consist of a “</w:t>
      </w:r>
      <w:r w:rsidRPr="00F66E05">
        <w:t>core of key individuals, linked by family, childhood friendship, a shared history of lower-level criminal or gang activities, or imprisonment together. Around the core group there is a cluster of subordinates, specialists, and other more transient members, plus a network of dispensable associates</w:t>
      </w:r>
      <w:r>
        <w:t>” (SOCA. 2006).</w:t>
      </w:r>
      <w:r w:rsidR="004D3A0B">
        <w:t xml:space="preserve"> SOCG’s are flexible and adapt quickly to take advantage of new victims, identify new criminal opportunities and to evade police countermeasures (Maher and Wyatt. 2021).</w:t>
      </w:r>
      <w:r w:rsidR="00A35DCB">
        <w:t xml:space="preserve"> Below I will outline the public protection issues that arise from SOCG and the investigative measures in place to combat them.</w:t>
      </w:r>
    </w:p>
    <w:p w14:paraId="117D44A5" w14:textId="77777777" w:rsidR="00F82313" w:rsidRDefault="00BF21B8" w:rsidP="00741E9A">
      <w:pPr>
        <w:spacing w:line="360" w:lineRule="auto"/>
      </w:pPr>
      <w:r>
        <w:t>“Drugs production and trafficking are amongst the most profitable types of organised crime. Violence, public h</w:t>
      </w:r>
      <w:r w:rsidRPr="00BF21B8">
        <w:t>ealth issues, a high number of deaths and feelings of insecurity are all linked to the trade in drugs</w:t>
      </w:r>
      <w:r>
        <w:t>” (Paoli. 2014).</w:t>
      </w:r>
    </w:p>
    <w:p w14:paraId="0DBF18BB" w14:textId="77777777" w:rsidR="00BF21B8" w:rsidRDefault="00BF21B8" w:rsidP="00741E9A">
      <w:pPr>
        <w:spacing w:line="360" w:lineRule="auto"/>
      </w:pPr>
      <w:r>
        <w:lastRenderedPageBreak/>
        <w:t xml:space="preserve">There were 2000 drug related deaths in the UK in 2012, additionally the social and economic costs of the illegal drug trade are assessed to be £10.7 billion a year, £6 billion of this was attributed to drug related acquisitive crime. The UK drug market alone is estimated to be worth £3.7 billion a year, and it is </w:t>
      </w:r>
      <w:r w:rsidR="00135E56">
        <w:t>reported approximately half of all OCG’s within the UK are involved in the drug trade (Baika and Campana. 2020).</w:t>
      </w:r>
      <w:r w:rsidR="00A0057F">
        <w:t xml:space="preserve"> This example of SOCG involvement in drugs</w:t>
      </w:r>
      <w:r w:rsidR="001656BD">
        <w:t xml:space="preserve"> demonstrates the wide reaching effects that SOCG’s can have on the community, the drug related deaths may be a visible impact, whereas the related acquisitive crime may not be as readily associated with SOCG by the</w:t>
      </w:r>
      <w:r w:rsidR="00634747">
        <w:t xml:space="preserve"> general public and is reinforced by the research of Bullock and Leeney (2012).</w:t>
      </w:r>
    </w:p>
    <w:p w14:paraId="7724668B" w14:textId="77777777" w:rsidR="00A12BE1" w:rsidRDefault="00A0057F" w:rsidP="00741E9A">
      <w:pPr>
        <w:spacing w:line="360" w:lineRule="auto"/>
      </w:pPr>
      <w:r>
        <w:t xml:space="preserve">Another way in which SOCG impact public protection is the groups </w:t>
      </w:r>
      <w:r w:rsidR="00B13F3D">
        <w:t xml:space="preserve">they target when recruiting. Vulnerability </w:t>
      </w:r>
      <w:r w:rsidR="007629B7">
        <w:t xml:space="preserve">and exploitation are </w:t>
      </w:r>
      <w:r w:rsidR="00B13F3D">
        <w:t>characteristic</w:t>
      </w:r>
      <w:r w:rsidR="007629B7">
        <w:t>s</w:t>
      </w:r>
      <w:r w:rsidR="00B13F3D">
        <w:t xml:space="preserve"> shared by those targeted by SOCG in relation to recruitment.</w:t>
      </w:r>
      <w:r w:rsidR="007629B7">
        <w:t xml:space="preserve"> Vulnerability is generally characterised as a person’s susceptibility to being tempted into the SOCG lifestyle, and is associated with mental health issues, youth, social status, disconnect from community (Olver and Cockbain. 2021).</w:t>
      </w:r>
      <w:r w:rsidR="00A12BE1">
        <w:t xml:space="preserve"> </w:t>
      </w:r>
      <w:r w:rsidR="00BD0E8C">
        <w:t>SOCG’s will exploit these vulnerabilities in an array of ways including; Incentives in the form of designer goods, physical violence, and debt bondage (</w:t>
      </w:r>
      <w:r w:rsidR="001015EA">
        <w:t>Ashton and Bussu. 2020).</w:t>
      </w:r>
      <w:r w:rsidR="00A12BE1">
        <w:t xml:space="preserve"> Vulnerabilities that leave some individuals susceptible of exploitation also have wide reaching implications in relation to safeguarding and care requirements in the community (Phillips. 2017).</w:t>
      </w:r>
    </w:p>
    <w:p w14:paraId="4A7ECD91" w14:textId="77777777" w:rsidR="00C45053" w:rsidRDefault="004E6DFC" w:rsidP="00741E9A">
      <w:pPr>
        <w:spacing w:line="360" w:lineRule="auto"/>
      </w:pPr>
      <w:r>
        <w:t>Concern that the UK was failing to tackle SOCG effectively lead to a government paper; One Step Ahead: A 21</w:t>
      </w:r>
      <w:r w:rsidRPr="004E6DFC">
        <w:rPr>
          <w:vertAlign w:val="superscript"/>
        </w:rPr>
        <w:t>st</w:t>
      </w:r>
      <w:r>
        <w:t xml:space="preserve"> century strat</w:t>
      </w:r>
      <w:r w:rsidR="004B0BD4">
        <w:t>egy to defeat organised crime, t</w:t>
      </w:r>
      <w:r>
        <w:t>his concluded a new approach was needed (Bolt. 2009).</w:t>
      </w:r>
      <w:r w:rsidR="004B0BD4">
        <w:t xml:space="preserve"> This new approach included the creation of the Serious Organised Crime Agency (SOCA) in 2005 and the creation of the Serious Organised Crime and Police Act (SOCPA)</w:t>
      </w:r>
      <w:r w:rsidR="00152C94">
        <w:t>. SOCA was established with the aims of defeating crime in England and Wales through; reducing the profit incentive, disrupting criminal enterprises, and increasing the risks to criminals involved in organised crime through a multi-agency approach (Fitzpatrick. 2005).</w:t>
      </w:r>
    </w:p>
    <w:p w14:paraId="7DA1233E" w14:textId="77777777" w:rsidR="009C1218" w:rsidRDefault="009C1218" w:rsidP="00741E9A">
      <w:pPr>
        <w:spacing w:line="360" w:lineRule="auto"/>
      </w:pPr>
      <w:r>
        <w:t xml:space="preserve">It was argued that a successful approach to SOCG was inseparable from the wider effort against threats to national security, and as such, over time the government adopted a counter terrorism strategy known as CONTEST for use against SOCG. This strategy was based on four components; </w:t>
      </w:r>
    </w:p>
    <w:p w14:paraId="29D1ED1F" w14:textId="77777777" w:rsidR="003B7D91" w:rsidRDefault="003B7D91" w:rsidP="003B7D91">
      <w:pPr>
        <w:pStyle w:val="ListParagraph"/>
        <w:numPr>
          <w:ilvl w:val="0"/>
          <w:numId w:val="22"/>
        </w:numPr>
        <w:spacing w:line="360" w:lineRule="auto"/>
      </w:pPr>
      <w:r>
        <w:t>Pursue (prosecute and disrupt people engaged in SOC).</w:t>
      </w:r>
    </w:p>
    <w:p w14:paraId="758291CE" w14:textId="77777777" w:rsidR="003B7D91" w:rsidRDefault="003B7D91" w:rsidP="003B7D91">
      <w:pPr>
        <w:pStyle w:val="ListParagraph"/>
        <w:numPr>
          <w:ilvl w:val="0"/>
          <w:numId w:val="22"/>
        </w:numPr>
        <w:spacing w:line="360" w:lineRule="auto"/>
      </w:pPr>
      <w:r>
        <w:t>Prevent (prevent people from engaging in SOC).</w:t>
      </w:r>
    </w:p>
    <w:p w14:paraId="2D2079FB" w14:textId="77777777" w:rsidR="003B7D91" w:rsidRDefault="003B7D91" w:rsidP="003B7D91">
      <w:pPr>
        <w:pStyle w:val="ListParagraph"/>
        <w:numPr>
          <w:ilvl w:val="0"/>
          <w:numId w:val="22"/>
        </w:numPr>
        <w:spacing w:line="360" w:lineRule="auto"/>
      </w:pPr>
      <w:r>
        <w:t>Protect (increase protection against SOC).</w:t>
      </w:r>
    </w:p>
    <w:p w14:paraId="51F46C9F" w14:textId="77777777" w:rsidR="00662231" w:rsidRDefault="003B7D91" w:rsidP="003B7D91">
      <w:pPr>
        <w:pStyle w:val="ListParagraph"/>
        <w:numPr>
          <w:ilvl w:val="0"/>
          <w:numId w:val="22"/>
        </w:numPr>
        <w:spacing w:line="360" w:lineRule="auto"/>
      </w:pPr>
      <w:r>
        <w:t>Prepare (reduce the impact of this criminality when it takes place) (Avery. 2020)</w:t>
      </w:r>
    </w:p>
    <w:p w14:paraId="28F7F2D2" w14:textId="77777777" w:rsidR="00531EED" w:rsidRDefault="00531EED" w:rsidP="00531EED">
      <w:pPr>
        <w:spacing w:line="360" w:lineRule="auto"/>
      </w:pPr>
      <w:r>
        <w:lastRenderedPageBreak/>
        <w:t xml:space="preserve">Avery (2020) also notes that </w:t>
      </w:r>
      <w:r w:rsidR="0039518F">
        <w:t>the crimes associated with SOCG are incredibly varied and as such, argues the effectiveness of developing a strategy to combat SOCG as a whole rather than the individual departments within the</w:t>
      </w:r>
      <w:r w:rsidR="0017455D">
        <w:t xml:space="preserve"> umbrella, likening it to; </w:t>
      </w:r>
      <w:r w:rsidR="0039518F">
        <w:t>“Having a single strategy to deal with speeding, burglary and corporate manslaughter. While some of these offences may have links to other</w:t>
      </w:r>
      <w:r w:rsidR="0017455D">
        <w:t>, there is no guarantee those links are meaningful”.</w:t>
      </w:r>
      <w:r w:rsidR="0039518F">
        <w:t xml:space="preserve"> </w:t>
      </w:r>
      <w:r w:rsidR="002F3682">
        <w:t>Bullock and Leeney (2012) highlighted that law enforcement agencies are unable to combat SOCG without further support from communities, and that greater work needed to be done to improve community awareness of these issues.</w:t>
      </w:r>
    </w:p>
    <w:p w14:paraId="4B2B1AB6" w14:textId="77777777" w:rsidR="00055069" w:rsidRDefault="00055069" w:rsidP="00531EED">
      <w:pPr>
        <w:spacing w:line="360" w:lineRule="auto"/>
      </w:pPr>
      <w:r>
        <w:t>However, numerous studies exist demonstrating the effectiveness of SOCA and SOCPA. Fitzpatrick (2006) accepts that whilst not perfect the implementation of the Act is a great step forward in the fight against organised crime.</w:t>
      </w:r>
      <w:r w:rsidR="007A03FC">
        <w:t xml:space="preserve"> Further to this, public protection interventions aimed towards the pursue component rather than the prevention component in the strategy against organised crime</w:t>
      </w:r>
      <w:r w:rsidR="00BC76FA">
        <w:t>, appears to be effective in reducing the capacity and capabilities of SOCG. This approach showed tangible differences within the community, and used less police resources than a traditional covert investigation, and as such proved popular with police, partner, and public representatives (Kirby and Nailer. 2013).</w:t>
      </w:r>
    </w:p>
    <w:p w14:paraId="4FAC8957" w14:textId="77777777" w:rsidR="002F3682" w:rsidRDefault="00D1014A" w:rsidP="00531EED">
      <w:pPr>
        <w:spacing w:line="360" w:lineRule="auto"/>
      </w:pPr>
      <w:r>
        <w:t>The number of persons involved in SOCG and that it is widespread across the UK, often means that for each successful disruption or prosecution in relation to organised crime, there is a ready supply of willing replacements to fill the void created (Crocker et al. 2018). As such the fight against organised crime is one t</w:t>
      </w:r>
      <w:r w:rsidR="0034512F">
        <w:t>hat will continue to be ongoing, the importance of continuing this fight can be highlighted by considering that up to £1.7 billion of SOCG costs in the UK can be attributed to the Greater Manchester area. Reducing that cost by 1% could reduce public cost by up to £17 million each year, that’s £17m that could be used to benefit the community (Hurley and Boulton. 2021).</w:t>
      </w:r>
    </w:p>
    <w:p w14:paraId="291DA48D" w14:textId="77777777" w:rsidR="003B7D91" w:rsidRDefault="003B7D91" w:rsidP="00741E9A">
      <w:pPr>
        <w:spacing w:line="360" w:lineRule="auto"/>
      </w:pPr>
    </w:p>
    <w:p w14:paraId="713E75CF" w14:textId="77777777" w:rsidR="00887384" w:rsidRDefault="00887384" w:rsidP="00741E9A">
      <w:pPr>
        <w:spacing w:line="360" w:lineRule="auto"/>
      </w:pPr>
      <w:r>
        <w:t>Word count - 1014</w:t>
      </w:r>
    </w:p>
    <w:p w14:paraId="043A7612" w14:textId="77777777" w:rsidR="00887384" w:rsidRPr="001C6EAD" w:rsidRDefault="00887384" w:rsidP="00741E9A">
      <w:pPr>
        <w:spacing w:line="360" w:lineRule="auto"/>
      </w:pPr>
    </w:p>
    <w:p w14:paraId="51D04B5B" w14:textId="77777777" w:rsidR="00AC24CF" w:rsidRDefault="002629BA" w:rsidP="00A33DF3">
      <w:pPr>
        <w:spacing w:line="360" w:lineRule="auto"/>
      </w:pPr>
      <w:r>
        <w:t xml:space="preserve">Q.1 </w:t>
      </w:r>
      <w:r w:rsidR="002A76CF">
        <w:t>Bibliography</w:t>
      </w:r>
      <w:r w:rsidR="00AC24CF">
        <w:t xml:space="preserve"> </w:t>
      </w:r>
    </w:p>
    <w:p w14:paraId="3EE7D274" w14:textId="77777777" w:rsidR="00D43BCD" w:rsidRDefault="00D43BCD" w:rsidP="00E52EF9">
      <w:pPr>
        <w:spacing w:line="360" w:lineRule="auto"/>
      </w:pPr>
      <w:r w:rsidRPr="00D43BCD">
        <w:t>Bryant, R. and Bryant, S., 2021. Blackstone’s Handbook for Policing Students 2020. Oxford University Press.</w:t>
      </w:r>
      <w:r>
        <w:t xml:space="preserve"> pp. 83</w:t>
      </w:r>
    </w:p>
    <w:p w14:paraId="5E81714C" w14:textId="77777777" w:rsidR="00AC24CF" w:rsidRDefault="00AC24CF" w:rsidP="00E52EF9">
      <w:pPr>
        <w:spacing w:line="360" w:lineRule="auto"/>
      </w:pPr>
      <w:r w:rsidRPr="00AC24CF">
        <w:t>Caless, B. and Tong, S. (2013) ‘“An appropriate space”: chief officers and police accountability’, Police practice &amp; research, 14(1), pp. 4–16. doi:10.1080/15614263.2011.645613.</w:t>
      </w:r>
    </w:p>
    <w:p w14:paraId="26E4638D" w14:textId="77777777" w:rsidR="00BE639F" w:rsidRPr="00A33DF3" w:rsidRDefault="00ED31D1" w:rsidP="00E52EF9">
      <w:pPr>
        <w:spacing w:line="360" w:lineRule="auto"/>
      </w:pPr>
      <w:r w:rsidRPr="00A33DF3">
        <w:lastRenderedPageBreak/>
        <w:t>Code of Ethics: A Code of Practice for the Principles and Standards of Professional Behaviour for the Policing Profession of England and Wales, 2014. Available at https://assets.college.police.uk/s3fs-public/2021-02/code_of_ethics.pdf</w:t>
      </w:r>
      <w:r w:rsidR="001626C5">
        <w:t xml:space="preserve"> (Accessed</w:t>
      </w:r>
      <w:r w:rsidR="00BE639F" w:rsidRPr="00A33DF3">
        <w:t xml:space="preserve"> July</w:t>
      </w:r>
      <w:r w:rsidR="00870698" w:rsidRPr="00A33DF3">
        <w:t xml:space="preserve"> 2022).</w:t>
      </w:r>
    </w:p>
    <w:p w14:paraId="22CBE421" w14:textId="77777777" w:rsidR="00A33DF3" w:rsidRPr="00E52EF9" w:rsidRDefault="00BE639F" w:rsidP="00E52EF9">
      <w:pPr>
        <w:spacing w:line="360" w:lineRule="auto"/>
        <w:rPr>
          <w:rFonts w:cstheme="minorHAnsi"/>
        </w:rPr>
      </w:pPr>
      <w:r w:rsidRPr="00E52EF9">
        <w:rPr>
          <w:rFonts w:cstheme="minorHAnsi"/>
        </w:rPr>
        <w:t>Eijkman, Q. (2006) ‘To be Held Accountable: Police Accountability in Costa Rica’, Police practice &amp; research, 7(5), pp. 411–430. doi:10.1080/15614260601076041.</w:t>
      </w:r>
    </w:p>
    <w:p w14:paraId="02FB798B" w14:textId="77777777" w:rsidR="001239D6" w:rsidRPr="00E52EF9" w:rsidRDefault="001239D6" w:rsidP="00E52EF9">
      <w:pPr>
        <w:spacing w:line="360" w:lineRule="auto"/>
        <w:rPr>
          <w:rFonts w:cstheme="minorHAnsi"/>
        </w:rPr>
      </w:pPr>
      <w:r w:rsidRPr="00E52EF9">
        <w:rPr>
          <w:rFonts w:cstheme="minorHAnsi"/>
        </w:rPr>
        <w:t>Graziano, L.M. and Gauthier, J.F. (2019) ‘Examining the racial-ethnic continuum and perceptions of police misconduct’, Policing &amp; society, 29(6), pp. 657–672. doi:10.1080/10439463.2017.1310859.</w:t>
      </w:r>
    </w:p>
    <w:p w14:paraId="04727BC7" w14:textId="77777777" w:rsidR="00A411E6" w:rsidRPr="00E52EF9" w:rsidRDefault="00A411E6" w:rsidP="00E52EF9">
      <w:pPr>
        <w:spacing w:line="360" w:lineRule="auto"/>
        <w:rPr>
          <w:rFonts w:cstheme="minorHAnsi"/>
        </w:rPr>
      </w:pPr>
      <w:r w:rsidRPr="00E52EF9">
        <w:rPr>
          <w:rFonts w:cstheme="minorHAnsi"/>
        </w:rPr>
        <w:t>HMICFRS (No Date) Our Role. Available at: https://www.justiceinspectorates.gov.uk/hmicfrs/ (Accessed July 2022).</w:t>
      </w:r>
    </w:p>
    <w:p w14:paraId="37033034" w14:textId="77777777" w:rsidR="00A33DF3" w:rsidRDefault="00A33DF3" w:rsidP="00E52EF9">
      <w:pPr>
        <w:spacing w:line="360" w:lineRule="auto"/>
      </w:pPr>
      <w:r w:rsidRPr="00A33DF3">
        <w:t>Jones, T. and Lister, S. (2019) ‘Localism and police governance in England &amp; Wales: Exploring continuity and change’, European journal of criminology, 16(5), pp. 552–572. doi:10.1177/1477370819860689.</w:t>
      </w:r>
    </w:p>
    <w:p w14:paraId="105CFA20" w14:textId="77777777" w:rsidR="00595D92" w:rsidRDefault="00595D92" w:rsidP="00E52EF9">
      <w:pPr>
        <w:spacing w:line="360" w:lineRule="auto"/>
      </w:pPr>
      <w:r>
        <w:t xml:space="preserve">Mawby. R and Wright. A. (2005) Police Accountability in the United Kingdom. Available at: </w:t>
      </w:r>
      <w:r w:rsidRPr="00595D92">
        <w:t>https://www.humanrightsinitiative.org/programs/aj/police/res_mat/police_accountability_in_uk.pdf</w:t>
      </w:r>
      <w:r>
        <w:t xml:space="preserve"> (Accessed July 2022).</w:t>
      </w:r>
    </w:p>
    <w:p w14:paraId="59F44D81" w14:textId="77777777" w:rsidR="001239D6" w:rsidRPr="00E52EF9" w:rsidRDefault="00711EE4" w:rsidP="00E52EF9">
      <w:pPr>
        <w:spacing w:line="360" w:lineRule="auto"/>
        <w:rPr>
          <w:rFonts w:cstheme="minorHAnsi"/>
        </w:rPr>
      </w:pPr>
      <w:r w:rsidRPr="00E52EF9">
        <w:rPr>
          <w:rFonts w:cstheme="minorHAnsi"/>
        </w:rPr>
        <w:t>Millen, F. and Stephens, M. (2011) ‘Policing and accountability: the working of police authorities’, Policing &amp; society, 21(3), pp. 265–283. doi:10.1080/10439463.2011.556734.</w:t>
      </w:r>
    </w:p>
    <w:p w14:paraId="0C4E2A54" w14:textId="77777777" w:rsidR="001239D6" w:rsidRPr="00E52EF9" w:rsidRDefault="001239D6" w:rsidP="00E52EF9">
      <w:pPr>
        <w:spacing w:line="360" w:lineRule="auto"/>
        <w:rPr>
          <w:rFonts w:cstheme="minorHAnsi"/>
        </w:rPr>
      </w:pPr>
      <w:r w:rsidRPr="00E52EF9">
        <w:rPr>
          <w:rFonts w:cstheme="minorHAnsi"/>
        </w:rPr>
        <w:t>MUGARI, I. and OLUTOLA, A.A., 2018. The Efficacy of Civic Society and Media in Holding the Zimbabwe Police to Account. Journal of African Foreign Affairs, 5(2), pp. 67-89.</w:t>
      </w:r>
    </w:p>
    <w:p w14:paraId="2DBA918A" w14:textId="77777777" w:rsidR="001E2A28" w:rsidRPr="00E52EF9" w:rsidRDefault="001E2A28" w:rsidP="00E52EF9">
      <w:pPr>
        <w:spacing w:line="360" w:lineRule="auto"/>
        <w:rPr>
          <w:rFonts w:cstheme="minorHAnsi"/>
        </w:rPr>
      </w:pPr>
      <w:r w:rsidRPr="00E52EF9">
        <w:rPr>
          <w:rFonts w:cstheme="minorHAnsi"/>
        </w:rPr>
        <w:t>Police (Complaints and Misconduct) Regulations 2020</w:t>
      </w:r>
    </w:p>
    <w:p w14:paraId="696E175F" w14:textId="77777777" w:rsidR="001E2A28" w:rsidRPr="00E52EF9" w:rsidRDefault="001E2A28" w:rsidP="00E52EF9">
      <w:pPr>
        <w:spacing w:line="360" w:lineRule="auto"/>
        <w:rPr>
          <w:rFonts w:cstheme="minorHAnsi"/>
        </w:rPr>
      </w:pPr>
      <w:r w:rsidRPr="00E52EF9">
        <w:rPr>
          <w:rFonts w:cstheme="minorHAnsi"/>
        </w:rPr>
        <w:t>Police (Conduct) Regulations 2020</w:t>
      </w:r>
    </w:p>
    <w:p w14:paraId="3F839937" w14:textId="77777777" w:rsidR="001E2A28" w:rsidRPr="00E52EF9" w:rsidRDefault="001E2A28" w:rsidP="00E52EF9">
      <w:pPr>
        <w:spacing w:line="360" w:lineRule="auto"/>
        <w:rPr>
          <w:rFonts w:cstheme="minorHAnsi"/>
        </w:rPr>
      </w:pPr>
      <w:r w:rsidRPr="00E52EF9">
        <w:rPr>
          <w:rFonts w:cstheme="minorHAnsi"/>
        </w:rPr>
        <w:t>Police (Performance) Regulations 2020</w:t>
      </w:r>
    </w:p>
    <w:p w14:paraId="36999691" w14:textId="77777777" w:rsidR="00B976F5" w:rsidRPr="00E52EF9" w:rsidRDefault="00B976F5" w:rsidP="00E52EF9">
      <w:pPr>
        <w:spacing w:line="360" w:lineRule="auto"/>
        <w:rPr>
          <w:rFonts w:cstheme="minorHAnsi"/>
        </w:rPr>
      </w:pPr>
      <w:r w:rsidRPr="00E52EF9">
        <w:rPr>
          <w:rFonts w:cstheme="minorHAnsi"/>
        </w:rPr>
        <w:t>Mullins, R. (2015) ‘Police misconduct in Queensland : a public wrong’, University of Queensland law journal, 34(2), pp. 287–299. doi:10.3316/agispt.20161270.</w:t>
      </w:r>
    </w:p>
    <w:p w14:paraId="3D320C5F" w14:textId="77777777" w:rsidR="001239D6" w:rsidRPr="00E52EF9" w:rsidRDefault="001239D6" w:rsidP="00E52EF9">
      <w:pPr>
        <w:spacing w:line="360" w:lineRule="auto"/>
        <w:rPr>
          <w:rFonts w:cstheme="minorHAnsi"/>
        </w:rPr>
      </w:pPr>
      <w:r w:rsidRPr="00E52EF9">
        <w:rPr>
          <w:rFonts w:cstheme="minorHAnsi"/>
        </w:rPr>
        <w:t>Penny, L. (2011) ‘Holding the police to account’, New statesman (1996), 140(5081), p. 13–.</w:t>
      </w:r>
    </w:p>
    <w:p w14:paraId="44116E3B" w14:textId="77777777" w:rsidR="00BE639F" w:rsidRPr="00E52EF9" w:rsidRDefault="00BE639F" w:rsidP="00E52EF9">
      <w:pPr>
        <w:spacing w:line="360" w:lineRule="auto"/>
        <w:rPr>
          <w:rFonts w:cstheme="minorHAnsi"/>
          <w:color w:val="000000"/>
          <w:spacing w:val="-5"/>
        </w:rPr>
      </w:pPr>
      <w:r w:rsidRPr="00E52EF9">
        <w:rPr>
          <w:rFonts w:cstheme="minorHAnsi"/>
          <w:color w:val="000000"/>
          <w:spacing w:val="-5"/>
        </w:rPr>
        <w:t>REINER, ROBERT. “Counting the Coppers: Antinomies of Accountability in Policing.” </w:t>
      </w:r>
      <w:r w:rsidRPr="00E52EF9">
        <w:rPr>
          <w:rFonts w:cstheme="minorHAnsi"/>
          <w:iCs/>
          <w:color w:val="000000"/>
          <w:spacing w:val="-5"/>
        </w:rPr>
        <w:t>Accountability for Criminal Justice: Selected Essays</w:t>
      </w:r>
      <w:r w:rsidRPr="00E52EF9">
        <w:rPr>
          <w:rFonts w:cstheme="minorHAnsi"/>
          <w:color w:val="000000"/>
          <w:spacing w:val="-5"/>
        </w:rPr>
        <w:t>, edited by Philip C. Stenning, University of Toronto Press, 1995, pp. 74–92. </w:t>
      </w:r>
      <w:r w:rsidRPr="00E52EF9">
        <w:rPr>
          <w:rFonts w:cstheme="minorHAnsi"/>
          <w:iCs/>
          <w:color w:val="000000"/>
          <w:spacing w:val="-5"/>
        </w:rPr>
        <w:t>JSTOR</w:t>
      </w:r>
      <w:r w:rsidRPr="00E52EF9">
        <w:rPr>
          <w:rFonts w:cstheme="minorHAnsi"/>
          <w:color w:val="000000"/>
          <w:spacing w:val="-5"/>
        </w:rPr>
        <w:t xml:space="preserve">, </w:t>
      </w:r>
      <w:r w:rsidR="001A2C20" w:rsidRPr="00E52EF9">
        <w:rPr>
          <w:rFonts w:cstheme="minorHAnsi"/>
          <w:spacing w:val="-5"/>
        </w:rPr>
        <w:t>http://www.jstor.org/stable/10.3138/9781442670594.8. Accessed 18 Jun. 2022</w:t>
      </w:r>
      <w:r w:rsidRPr="00E52EF9">
        <w:rPr>
          <w:rFonts w:cstheme="minorHAnsi"/>
          <w:color w:val="000000"/>
          <w:spacing w:val="-5"/>
        </w:rPr>
        <w:t>.</w:t>
      </w:r>
    </w:p>
    <w:p w14:paraId="6BBE9F7A" w14:textId="77777777" w:rsidR="001A2C20" w:rsidRPr="00E52EF9" w:rsidRDefault="001A2C20" w:rsidP="00E52EF9">
      <w:pPr>
        <w:spacing w:line="360" w:lineRule="auto"/>
        <w:rPr>
          <w:rFonts w:cstheme="minorHAnsi"/>
          <w:color w:val="000000"/>
          <w:spacing w:val="-5"/>
        </w:rPr>
      </w:pPr>
      <w:r w:rsidRPr="00E52EF9">
        <w:rPr>
          <w:rFonts w:cstheme="minorHAnsi"/>
          <w:color w:val="000000"/>
          <w:spacing w:val="-5"/>
        </w:rPr>
        <w:lastRenderedPageBreak/>
        <w:t>Robertson, C.J. (2018) ‘RESTORING PUBLIC CONFIDENCE IN THE CRIMINAL JUSTICE SYSTEM: POLICING PROSECUTIONS WHEN PROSECUTORS PROSECUTE POLICE’, Emory law journal, 67(4), pp. 853–887.</w:t>
      </w:r>
    </w:p>
    <w:p w14:paraId="0AF9078E" w14:textId="77777777" w:rsidR="00C35B61" w:rsidRPr="00E52EF9" w:rsidRDefault="00C35B61" w:rsidP="00E52EF9">
      <w:pPr>
        <w:spacing w:line="360" w:lineRule="auto"/>
        <w:rPr>
          <w:rFonts w:cstheme="minorHAnsi"/>
          <w:color w:val="000000"/>
          <w:spacing w:val="-5"/>
        </w:rPr>
      </w:pPr>
      <w:r w:rsidRPr="00E52EF9">
        <w:rPr>
          <w:rFonts w:cstheme="minorHAnsi"/>
          <w:color w:val="000000"/>
          <w:spacing w:val="-5"/>
        </w:rPr>
        <w:t>The Police And Criminal Evidence Act (1984)</w:t>
      </w:r>
    </w:p>
    <w:p w14:paraId="0EA38C5C" w14:textId="77777777" w:rsidR="00741E9A" w:rsidRPr="00A33DF3" w:rsidRDefault="00741E9A" w:rsidP="00E52EF9">
      <w:pPr>
        <w:spacing w:line="360" w:lineRule="auto"/>
      </w:pPr>
      <w:r w:rsidRPr="00A33DF3">
        <w:t>Torrible, C. (2021) ‘Police complaints and discipline: integrity, lesson learning, independence and accountability: some implications of the reforms under the Policing and Crime Act 2017’, Policing &amp; society, 31(9), pp. 1117–1132. doi:10.1080/10439463.2020.1838516.</w:t>
      </w:r>
    </w:p>
    <w:p w14:paraId="334C5A9F" w14:textId="77777777" w:rsidR="001149AB" w:rsidRDefault="001149AB" w:rsidP="00E52EF9">
      <w:pPr>
        <w:spacing w:line="360" w:lineRule="auto"/>
      </w:pPr>
      <w:r w:rsidRPr="00A33DF3">
        <w:t>Tyler, T. R. (2005). Policing in black and white: Ethic group differences in trust and confidence in the police. Police Quarterly, 8, 322–342.</w:t>
      </w:r>
    </w:p>
    <w:p w14:paraId="133D5E41" w14:textId="77777777" w:rsidR="00404D43" w:rsidRPr="00A33DF3" w:rsidRDefault="00404D43" w:rsidP="00E52EF9">
      <w:pPr>
        <w:spacing w:line="360" w:lineRule="auto"/>
      </w:pPr>
      <w:r w:rsidRPr="00404D43">
        <w:t>Robert Wright (2020) ‘Police watchdog for England and Wales to increase probes into racial bias allegations’, FT.com [Preprint].</w:t>
      </w:r>
    </w:p>
    <w:p w14:paraId="3455AAF2" w14:textId="77777777" w:rsidR="001149AB" w:rsidRPr="00E52EF9" w:rsidRDefault="001149AB" w:rsidP="00E52EF9">
      <w:pPr>
        <w:spacing w:line="360" w:lineRule="auto"/>
        <w:rPr>
          <w:rFonts w:cstheme="minorHAnsi"/>
        </w:rPr>
      </w:pPr>
      <w:r w:rsidRPr="00E52EF9">
        <w:rPr>
          <w:rFonts w:cstheme="minorHAnsi"/>
        </w:rPr>
        <w:t>Zhao, J. ‘Solomon’, He, N. and Lovrich, N.P. (2003) ‘Community policing: Did it change the basic functions of policing in the 1990s? A national follow-up study’, Justice quarterly : JQ /, 20(4), pp. 697–724. doi:10.1080/07418820300095671.</w:t>
      </w:r>
    </w:p>
    <w:p w14:paraId="558BDCC1" w14:textId="77777777" w:rsidR="00B0395F" w:rsidRPr="00A33DF3" w:rsidRDefault="00B0395F" w:rsidP="00E52EF9">
      <w:pPr>
        <w:spacing w:line="360" w:lineRule="auto"/>
      </w:pPr>
      <w:r w:rsidRPr="00A33DF3">
        <w:t>Zhao, J.S. et al. (2014) ‘Public Satisfaction with Police Control of Disorder Crime: Does the Public Hold Police Accountable?’, Justice quarterly, 31(2), pp. 394–420. doi:10.1080/07418825.2012.667140.</w:t>
      </w:r>
    </w:p>
    <w:p w14:paraId="71A0C5F5" w14:textId="77777777" w:rsidR="00B0395F" w:rsidRDefault="00B0395F" w:rsidP="00A33DF3">
      <w:pPr>
        <w:spacing w:line="360" w:lineRule="auto"/>
      </w:pPr>
    </w:p>
    <w:p w14:paraId="3FD72CC8" w14:textId="77777777" w:rsidR="005F03CD" w:rsidRDefault="005F03CD" w:rsidP="00A33DF3">
      <w:pPr>
        <w:spacing w:line="360" w:lineRule="auto"/>
      </w:pPr>
      <w:r>
        <w:t>Q.2 Bibliography</w:t>
      </w:r>
    </w:p>
    <w:p w14:paraId="3CDDDA56" w14:textId="77777777" w:rsidR="003414D6" w:rsidRDefault="003414D6" w:rsidP="001A3629">
      <w:pPr>
        <w:spacing w:line="360" w:lineRule="auto"/>
      </w:pPr>
    </w:p>
    <w:p w14:paraId="260DDB61" w14:textId="77777777" w:rsidR="003414D6" w:rsidRDefault="003414D6" w:rsidP="001A3629">
      <w:pPr>
        <w:spacing w:line="360" w:lineRule="auto"/>
      </w:pPr>
      <w:r w:rsidRPr="003414D6">
        <w:t>Afful, I. (2018) ‘The impact of values, bias, culture and leadership on BME under-representation in the police service’, International journal of emergency services, 7(1), pp. 32–59. doi:10.1108/IJES-05-2017-0028.</w:t>
      </w:r>
    </w:p>
    <w:p w14:paraId="7CA5CC4F" w14:textId="77777777" w:rsidR="00F3517F" w:rsidRDefault="00F3517F" w:rsidP="001A3629">
      <w:pPr>
        <w:spacing w:line="360" w:lineRule="auto"/>
      </w:pPr>
      <w:r w:rsidRPr="00F3517F">
        <w:t>Bartkowiak-Theron, I. and Asquith, N.L. (2015) ‘Policing Diversity and Vulnerability in the Post-Macpherson Era: Unintended Consequences and Missed Opportunities’, Policing : a journal of policy and practice, 9(1), pp. 89–100. doi:10.1093/police/pau038.</w:t>
      </w:r>
    </w:p>
    <w:p w14:paraId="7F9BFC1D" w14:textId="77777777" w:rsidR="002A48EE" w:rsidRDefault="002A48EE" w:rsidP="001A3629">
      <w:pPr>
        <w:spacing w:line="360" w:lineRule="auto"/>
      </w:pPr>
      <w:r w:rsidRPr="002A48EE">
        <w:t>Ben-Porat, G. (2008) ‘Policing multicultural states: lessons from the Canadian model’, Policing &amp; society, 18(4), pp. 411–425. doi:10.1080/10439460802094686.</w:t>
      </w:r>
    </w:p>
    <w:p w14:paraId="1E23E9D6" w14:textId="77777777" w:rsidR="00DD5C2B" w:rsidRDefault="00DD5C2B" w:rsidP="001A3629">
      <w:pPr>
        <w:spacing w:line="360" w:lineRule="auto"/>
      </w:pPr>
      <w:r w:rsidRPr="00A33DF3">
        <w:t>Code of Ethics: A Code of Practice for the Principles and Standards of Professional Behaviour for the Policing Profession of England and Wales, 2014. Available at https://assets.college.police.uk/s3fs-public/2021-02/code_of_ethics.pdf</w:t>
      </w:r>
      <w:r w:rsidR="001626C5">
        <w:t xml:space="preserve"> (Accessed</w:t>
      </w:r>
      <w:r w:rsidRPr="00A33DF3">
        <w:t xml:space="preserve"> July 2022).</w:t>
      </w:r>
    </w:p>
    <w:p w14:paraId="62CE6F9C" w14:textId="77777777" w:rsidR="00376DA5" w:rsidRDefault="000D1DEC" w:rsidP="001A3629">
      <w:pPr>
        <w:spacing w:line="360" w:lineRule="auto"/>
      </w:pPr>
      <w:r w:rsidRPr="000D1DEC">
        <w:lastRenderedPageBreak/>
        <w:t>GOV.UK (No Date) Ethnicity Facts and Figures. Available at: https://www.ethnicity-facts-figures.service.gov.uk/ (Accessed July 2022)</w:t>
      </w:r>
    </w:p>
    <w:p w14:paraId="249CAEB5" w14:textId="77777777" w:rsidR="00376DA5" w:rsidRDefault="00376DA5" w:rsidP="001A3629">
      <w:pPr>
        <w:spacing w:line="360" w:lineRule="auto"/>
      </w:pPr>
      <w:r w:rsidRPr="00376DA5">
        <w:t>Joyce, P. (2011) Policing development &amp; contemporary practice. London: SAGE</w:t>
      </w:r>
    </w:p>
    <w:p w14:paraId="29E712F9" w14:textId="77777777" w:rsidR="001626C5" w:rsidRDefault="001626C5" w:rsidP="001A3629">
      <w:pPr>
        <w:spacing w:line="360" w:lineRule="auto"/>
      </w:pPr>
      <w:r>
        <w:t xml:space="preserve">Macpherson, Sir W (1999), The Stephen Lawrence Inquiry. Available at: </w:t>
      </w:r>
      <w:r w:rsidRPr="001626C5">
        <w:t>https://www.gov.uk/government/publications/the-stephen-lawrence-inquiry</w:t>
      </w:r>
      <w:r>
        <w:t xml:space="preserve"> (Accessed July 2022)</w:t>
      </w:r>
    </w:p>
    <w:p w14:paraId="20CF9D4C" w14:textId="77777777" w:rsidR="00C46635" w:rsidRPr="00A33DF3" w:rsidRDefault="00C46635" w:rsidP="001A3629">
      <w:pPr>
        <w:spacing w:line="360" w:lineRule="auto"/>
      </w:pPr>
      <w:r w:rsidRPr="00C46635">
        <w:t>McCluskey, C.P. and McCluskey, J.D. (2004) ‘Diversity in Policing: Latino Representation in Law Enforcement’, Journal of ethnicity in criminal justice, 2(3), pp. 67–81. doi:10.1300/J222v02n03_05.</w:t>
      </w:r>
    </w:p>
    <w:p w14:paraId="57D220FC" w14:textId="77777777" w:rsidR="0002579F" w:rsidRDefault="00593E5B" w:rsidP="001A3629">
      <w:pPr>
        <w:spacing w:line="360" w:lineRule="auto"/>
      </w:pPr>
      <w:r w:rsidRPr="00593E5B">
        <w:t>Miles-Johnson, T. (2021) ‘Comparative perceptions: how female officers in two Australian police organizations view policing of diverse people’, Police practice &amp; research, 22(3), pp. 1294–1313. doi:10.1080/15614263.2020.1861450.</w:t>
      </w:r>
    </w:p>
    <w:p w14:paraId="33483C1D" w14:textId="77777777" w:rsidR="002A48EE" w:rsidRDefault="002A48EE" w:rsidP="001A3629">
      <w:pPr>
        <w:spacing w:line="360" w:lineRule="auto"/>
      </w:pPr>
      <w:r w:rsidRPr="002A48EE">
        <w:t>Morabito, M. and Shelley, T.O. (2015) ‘Representative Bureaucracy: Understanding the Correlates of the Lagging Progress of Diversity in Policing’, Race and justice, 5(4), pp. 330–355. doi:10.1177/2153368715575376.</w:t>
      </w:r>
    </w:p>
    <w:p w14:paraId="7536F2D5" w14:textId="77777777" w:rsidR="00A947DE" w:rsidRDefault="0002579F" w:rsidP="001A3629">
      <w:pPr>
        <w:spacing w:line="360" w:lineRule="auto"/>
      </w:pPr>
      <w:r w:rsidRPr="0002579F">
        <w:t>Morant, N. and Edwards, E. (2011) ‘Police responses to diversity: A social representational study of rural British policing in a changing representational context’, Journal of community &amp; applied social psychology, 21(4), pp. 281–296. doi:10.1002/casp.1074.</w:t>
      </w:r>
    </w:p>
    <w:p w14:paraId="580ECE76" w14:textId="77777777" w:rsidR="00A947DE" w:rsidRDefault="00A947DE" w:rsidP="001A3629">
      <w:pPr>
        <w:spacing w:line="360" w:lineRule="auto"/>
      </w:pPr>
      <w:r w:rsidRPr="00A947DE">
        <w:t>Portillo, S. (2014) ‘A Call for Understanding Diversity and Policing’, Public Administration Review, 74(1), pp. 128–130. doi:10.1111/puar.12158.</w:t>
      </w:r>
    </w:p>
    <w:p w14:paraId="4B137316" w14:textId="77777777" w:rsidR="00D605D0" w:rsidRDefault="00D605D0" w:rsidP="001A3629">
      <w:pPr>
        <w:spacing w:line="360" w:lineRule="auto"/>
      </w:pPr>
      <w:r w:rsidRPr="00D605D0">
        <w:t>Rawski, S.L. and Workman‐Stark, A.L. (2018) ‘Masculinity Contest Cultures in Policing Organizations and Recommendations for Training Interventions’, Journal of social issues, 74(3), pp. 607–627. doi:10.1111/josi.12286.</w:t>
      </w:r>
    </w:p>
    <w:p w14:paraId="4432F440" w14:textId="77777777" w:rsidR="00F3517F" w:rsidRDefault="00F3517F" w:rsidP="001A3629">
      <w:pPr>
        <w:spacing w:line="360" w:lineRule="auto"/>
      </w:pPr>
      <w:r w:rsidRPr="00F3517F">
        <w:t>Rowe, M. (2002) ‘Policing Diversity: Themes and Concerns from the Recent British Experience’, Police quarterly, 5(4), pp. 424–446. doi:10.1177/109861102237689.</w:t>
      </w:r>
    </w:p>
    <w:p w14:paraId="71D10C3F" w14:textId="77777777" w:rsidR="003776DD" w:rsidRDefault="003776DD" w:rsidP="001A3629">
      <w:pPr>
        <w:spacing w:line="360" w:lineRule="auto"/>
      </w:pPr>
      <w:r w:rsidRPr="003776DD">
        <w:t>Samuels-Wortley, K. (2021) ‘To Serve and Protect Whom? Using Composite Counter-Storytelling to Explore Black and Indigenous Youth Experiences and Perceptions of the Police in Canada’, Crime and delinquency, 67(8), pp. 1137–1164. doi:10.1177/0011128721989077.</w:t>
      </w:r>
    </w:p>
    <w:p w14:paraId="7BCFB449" w14:textId="77777777" w:rsidR="001626C5" w:rsidRDefault="001626C5" w:rsidP="001A3629">
      <w:pPr>
        <w:spacing w:line="360" w:lineRule="auto"/>
        <w:jc w:val="both"/>
      </w:pPr>
      <w:r>
        <w:t>Scarman, Lord (1981), Report into the Brixton Riots. London: HMSO</w:t>
      </w:r>
    </w:p>
    <w:p w14:paraId="6A4447D5" w14:textId="77777777" w:rsidR="004401FA" w:rsidRDefault="004401FA" w:rsidP="001A3629">
      <w:pPr>
        <w:spacing w:line="360" w:lineRule="auto"/>
        <w:jc w:val="both"/>
      </w:pPr>
      <w:r w:rsidRPr="004401FA">
        <w:t>Schlosser</w:t>
      </w:r>
      <w:r>
        <w:t>, M</w:t>
      </w:r>
      <w:r w:rsidRPr="004401FA">
        <w:t xml:space="preserve"> et al. (2015) ‘Improving Policing in a Multiracial Society in the United States: A New Approach’, International journal of criminal justice sciences, 10(1), p. 115–.</w:t>
      </w:r>
    </w:p>
    <w:p w14:paraId="5884A532" w14:textId="77777777" w:rsidR="007F60D0" w:rsidRDefault="007F60D0" w:rsidP="001A3629">
      <w:pPr>
        <w:spacing w:line="360" w:lineRule="auto"/>
        <w:jc w:val="both"/>
      </w:pPr>
      <w:r w:rsidRPr="007F60D0">
        <w:lastRenderedPageBreak/>
        <w:t>Schuck, A.M. (2017) ‘Female Officers and Community Policing: Examining the Connection between Gender Diversity and Organizational Change’, Women &amp; criminal justice, 27(5), pp. 341–362. doi:10.1080/08974454.2017.1303659.</w:t>
      </w:r>
    </w:p>
    <w:p w14:paraId="73C261CD" w14:textId="77777777" w:rsidR="004401FA" w:rsidRDefault="004401FA" w:rsidP="001A3629">
      <w:pPr>
        <w:spacing w:line="360" w:lineRule="auto"/>
        <w:jc w:val="both"/>
      </w:pPr>
      <w:r w:rsidRPr="004401FA">
        <w:t>Sexton, J. (2010) ‘Proprieties of Coalition: Blacks, Asians, and the Politics of Policing’, Critical sociology, 36(1), pp. 87–108. doi:10.1177/0896920509347142.</w:t>
      </w:r>
    </w:p>
    <w:p w14:paraId="032EF23B" w14:textId="77777777" w:rsidR="003C307C" w:rsidRDefault="003C307C" w:rsidP="001A3629">
      <w:pPr>
        <w:spacing w:line="360" w:lineRule="auto"/>
        <w:jc w:val="both"/>
      </w:pPr>
      <w:r w:rsidRPr="003C307C">
        <w:t>Stout, B. (2010) Equality and diversity in policing. Exeter: Learning Matters.</w:t>
      </w:r>
    </w:p>
    <w:p w14:paraId="3B0F858B" w14:textId="77777777" w:rsidR="00C46635" w:rsidRDefault="00C46635" w:rsidP="001A3629">
      <w:pPr>
        <w:spacing w:line="360" w:lineRule="auto"/>
        <w:jc w:val="both"/>
      </w:pPr>
      <w:r>
        <w:t>Vaughn, S.W and Johnson, K.A. (2021) ‘Ethnocultural empathy and diversity training: the case of campus policing’, Police practice &amp; research, 22(1), pp. 460-474. Doi:10.1080/15614263.2020.1716753.</w:t>
      </w:r>
    </w:p>
    <w:p w14:paraId="5D83039B" w14:textId="77777777" w:rsidR="003C307C" w:rsidRDefault="003C307C" w:rsidP="001A3629">
      <w:pPr>
        <w:spacing w:line="360" w:lineRule="auto"/>
        <w:jc w:val="both"/>
      </w:pPr>
      <w:r w:rsidRPr="003C307C">
        <w:t>Voyer, A. (2011) ‘Disciplined to diversity: learning the language of multiculturalism’, Ethnic and racial studies, 34(11), pp. 1874–1893. doi:10.1080/01419870.2011.552620.</w:t>
      </w:r>
    </w:p>
    <w:p w14:paraId="062E478D" w14:textId="77777777" w:rsidR="00AC60F1" w:rsidRDefault="00AC60F1" w:rsidP="001A3629">
      <w:pPr>
        <w:spacing w:line="360" w:lineRule="auto"/>
        <w:jc w:val="both"/>
      </w:pPr>
    </w:p>
    <w:p w14:paraId="387B9176" w14:textId="77777777" w:rsidR="00AC60F1" w:rsidRDefault="00115E40" w:rsidP="001A3629">
      <w:pPr>
        <w:spacing w:line="360" w:lineRule="auto"/>
        <w:jc w:val="both"/>
      </w:pPr>
      <w:r>
        <w:t>Q.3</w:t>
      </w:r>
      <w:r w:rsidRPr="00115E40">
        <w:t xml:space="preserve"> Bibliography</w:t>
      </w:r>
    </w:p>
    <w:p w14:paraId="77884045" w14:textId="77777777" w:rsidR="00C46635" w:rsidRDefault="00C46635" w:rsidP="00D605D0">
      <w:pPr>
        <w:spacing w:line="360" w:lineRule="auto"/>
        <w:jc w:val="both"/>
      </w:pPr>
    </w:p>
    <w:p w14:paraId="41168031" w14:textId="77777777" w:rsidR="0006407B" w:rsidRDefault="0006407B" w:rsidP="00E97E7C">
      <w:pPr>
        <w:spacing w:line="360" w:lineRule="auto"/>
        <w:jc w:val="both"/>
      </w:pPr>
      <w:r w:rsidRPr="0006407B">
        <w:t>Astbury, B. (2008) ‘Problems of Implementing Offender Programs in the Community’, Journal of offender rehabilitation, 46(3-4), pp. 31–47. doi:10.1080/10509670802143235.</w:t>
      </w:r>
    </w:p>
    <w:p w14:paraId="1740ABA6" w14:textId="77777777" w:rsidR="00BE548C" w:rsidRDefault="00BE548C" w:rsidP="00E97E7C">
      <w:pPr>
        <w:spacing w:line="360" w:lineRule="auto"/>
        <w:jc w:val="both"/>
      </w:pPr>
      <w:r>
        <w:t>Becker, H</w:t>
      </w:r>
      <w:r w:rsidRPr="00BE548C">
        <w:t>., 1963. Outsiders: studies in the sociology of deviance. New York.</w:t>
      </w:r>
      <w:r>
        <w:t xml:space="preserve"> </w:t>
      </w:r>
    </w:p>
    <w:p w14:paraId="2705BC99" w14:textId="77777777" w:rsidR="009A7C1D" w:rsidRDefault="009A7C1D" w:rsidP="00E97E7C">
      <w:pPr>
        <w:spacing w:line="360" w:lineRule="auto"/>
        <w:jc w:val="both"/>
      </w:pPr>
      <w:r w:rsidRPr="009A7C1D">
        <w:t>Bryant, R. and Bryant, S., 2021. Blackstone’s Handbook for Policing Students 2020.</w:t>
      </w:r>
      <w:r>
        <w:t xml:space="preserve"> Oxford University Press. pp. 223</w:t>
      </w:r>
    </w:p>
    <w:p w14:paraId="22210363" w14:textId="77777777" w:rsidR="004808BD" w:rsidRDefault="004808BD" w:rsidP="00E97E7C">
      <w:pPr>
        <w:spacing w:line="360" w:lineRule="auto"/>
        <w:jc w:val="both"/>
      </w:pPr>
      <w:r w:rsidRPr="004808BD">
        <w:t>Cohen, L.E. and Felson, M., 2010. Social change and crime rate trends: A routine activity approach (1979). In Classics in environmental criminology (pp. 203-232). Routledge.</w:t>
      </w:r>
    </w:p>
    <w:p w14:paraId="678BC394" w14:textId="77777777" w:rsidR="002A48DC" w:rsidRDefault="002A48DC" w:rsidP="00E97E7C">
      <w:pPr>
        <w:spacing w:line="360" w:lineRule="auto"/>
        <w:jc w:val="both"/>
      </w:pPr>
      <w:r w:rsidRPr="002A48DC">
        <w:t>Drake, E.K. and Barnoski, R.P., 2006. The effects of parole on recidivism: Juvenile offenders released from Washington state institutions, final report. Washington State Institute for Public Policy.</w:t>
      </w:r>
    </w:p>
    <w:p w14:paraId="77DB0411" w14:textId="77777777" w:rsidR="00115E40" w:rsidRDefault="00115E40" w:rsidP="00E97E7C">
      <w:pPr>
        <w:spacing w:line="360" w:lineRule="auto"/>
        <w:jc w:val="both"/>
      </w:pPr>
      <w:r w:rsidRPr="00115E40">
        <w:t>Hobson, J. et al. (2021) ‘Are Police-Led Social Crime Prevention Initiatives Effective? A Process and Outcome Evaluation of a UK Youth Intervention’, International criminal justice review, 31(3), pp. 325–346. doi:10.1177/1057567718814891.</w:t>
      </w:r>
    </w:p>
    <w:p w14:paraId="2837F152" w14:textId="77777777" w:rsidR="00E01360" w:rsidRDefault="00E01360" w:rsidP="00E97E7C">
      <w:pPr>
        <w:spacing w:line="360" w:lineRule="auto"/>
        <w:jc w:val="both"/>
      </w:pPr>
      <w:r w:rsidRPr="00E01360">
        <w:t xml:space="preserve">Killias, M. et al. (2010) ‘How damaging is imprisonment in the long-term? A controlled experiment comparing long-term effects of community service and short custodial sentences on re-offending and </w:t>
      </w:r>
      <w:r w:rsidRPr="00E01360">
        <w:lastRenderedPageBreak/>
        <w:t>social integration’, Journal of experimental criminology, 6(2), pp. 115–130. doi:10.1007/s11292-010-9093-5.</w:t>
      </w:r>
    </w:p>
    <w:p w14:paraId="0531950F" w14:textId="77777777" w:rsidR="003B6629" w:rsidRDefault="003B6629" w:rsidP="00E97E7C">
      <w:pPr>
        <w:spacing w:line="360" w:lineRule="auto"/>
        <w:jc w:val="both"/>
      </w:pPr>
      <w:r w:rsidRPr="003B6629">
        <w:t>Lai, K., 2013. Does supervision after release from prison reduce re-offending. Ministry of Justice Analytical Summary.</w:t>
      </w:r>
    </w:p>
    <w:p w14:paraId="5A3011C0" w14:textId="77777777" w:rsidR="002A48DC" w:rsidRDefault="002A48DC" w:rsidP="00E97E7C">
      <w:pPr>
        <w:spacing w:line="360" w:lineRule="auto"/>
        <w:jc w:val="both"/>
      </w:pPr>
      <w:r w:rsidRPr="002A48DC">
        <w:t>Listwan, S.J., Cullen, F.T. and Latessa, E.J., 2006. How to prevent prisoners re-entry programs from failing: Insights from evidence-based corrections. Fed. Probation, 70, p.19.</w:t>
      </w:r>
    </w:p>
    <w:p w14:paraId="0125E086" w14:textId="77777777" w:rsidR="00E620A2" w:rsidRDefault="00E620A2" w:rsidP="00E97E7C">
      <w:pPr>
        <w:spacing w:line="360" w:lineRule="auto"/>
        <w:jc w:val="both"/>
      </w:pPr>
      <w:r w:rsidRPr="00E620A2">
        <w:t>McGarrell, E.F. and Hipple, N.K. (2007) ‘Family Group Conferencing and Re-Offending Among First-Time Juvenile Offenders: The Indianapolis Experiment’, Justice quarterly, 24(2), pp. 221–246. doi:10.1080/07418820701294789.</w:t>
      </w:r>
    </w:p>
    <w:p w14:paraId="25232C21" w14:textId="77777777" w:rsidR="002A48DC" w:rsidRDefault="002A48DC" w:rsidP="00E97E7C">
      <w:pPr>
        <w:spacing w:line="360" w:lineRule="auto"/>
        <w:jc w:val="both"/>
      </w:pPr>
      <w:r w:rsidRPr="002A48DC">
        <w:t>Merrington, S. (2006) ‘Is more better?: the value and potential of intensive community supervision’, Probation Journal, 53(4), pp. 347–360. doi:10.1177/0264550506069360.</w:t>
      </w:r>
    </w:p>
    <w:p w14:paraId="5160B159" w14:textId="77777777" w:rsidR="003B6629" w:rsidRDefault="003B6629" w:rsidP="00E97E7C">
      <w:pPr>
        <w:spacing w:line="360" w:lineRule="auto"/>
        <w:jc w:val="both"/>
      </w:pPr>
      <w:r w:rsidRPr="003B6629">
        <w:t>Ostermann, M., 2013. Active supervision and its impact upon parolee recidivism rates. Crime &amp; Delinquency, 59(4), pp.487-509.</w:t>
      </w:r>
    </w:p>
    <w:p w14:paraId="058093FE" w14:textId="77777777" w:rsidR="00C45053" w:rsidRDefault="00C45053" w:rsidP="00E97E7C">
      <w:pPr>
        <w:spacing w:line="360" w:lineRule="auto"/>
        <w:jc w:val="both"/>
      </w:pPr>
      <w:r w:rsidRPr="00C45053">
        <w:t>Scott, D. (2018) ‘A Comparison of Gang- and Non-gang-Related Violent Incidents from the Incarcerated Youth Perspective’, Deviant behavior, 39(10), pp. 1336–1356. doi:10.1080/01639625.2017.1410613.</w:t>
      </w:r>
    </w:p>
    <w:p w14:paraId="30BA1B3E" w14:textId="77777777" w:rsidR="002A48DC" w:rsidRDefault="002A48DC" w:rsidP="00E97E7C">
      <w:pPr>
        <w:spacing w:line="360" w:lineRule="auto"/>
        <w:jc w:val="both"/>
      </w:pPr>
      <w:r w:rsidRPr="002A48DC">
        <w:t>Shute, S., Does Parole Work? The Empirical Evidence from England and Wales’(2004). Ohio State Journal of Criminal Law, 2, p.315.</w:t>
      </w:r>
    </w:p>
    <w:p w14:paraId="6EB3D431" w14:textId="77777777" w:rsidR="003B6629" w:rsidRDefault="003B6629" w:rsidP="00E97E7C">
      <w:pPr>
        <w:spacing w:line="360" w:lineRule="auto"/>
        <w:jc w:val="both"/>
      </w:pPr>
      <w:r w:rsidRPr="003B6629">
        <w:t>Smith, A., Heyes, K., Fox, C., Harrison, J., Kiss, Z. and Bradbury, A., 2018. The effectiveness of probation supervision towards reducing reoffending: A rapid evidence assessment. Probation Journal, 65(4), pp.407-428.</w:t>
      </w:r>
    </w:p>
    <w:p w14:paraId="03E03E43" w14:textId="77777777" w:rsidR="002A48DC" w:rsidRDefault="002A48DC" w:rsidP="00E97E7C">
      <w:pPr>
        <w:spacing w:line="360" w:lineRule="auto"/>
        <w:jc w:val="both"/>
      </w:pPr>
      <w:r w:rsidRPr="002A48DC">
        <w:t>Solomon, A., Kachnowski, V. and Bhati, A., 2005. Does parole work? Analyzing the impact of postprison supervision on rearrest outcomes. Washington, DC: Urban Institute. Retrieved February 1, 2009.</w:t>
      </w:r>
    </w:p>
    <w:p w14:paraId="4CC13787" w14:textId="77777777" w:rsidR="00BE548C" w:rsidRDefault="00BE548C" w:rsidP="00E97E7C">
      <w:pPr>
        <w:spacing w:line="360" w:lineRule="auto"/>
        <w:jc w:val="both"/>
      </w:pPr>
      <w:r w:rsidRPr="00BE548C">
        <w:t>Sutherland, E.H., 1939. Principles of criminology 3d ed. V Philadelphia: Lippincott.</w:t>
      </w:r>
      <w:r w:rsidR="002A48DC">
        <w:t xml:space="preserve"> </w:t>
      </w:r>
    </w:p>
    <w:p w14:paraId="2B7C0FCF" w14:textId="77777777" w:rsidR="003B6629" w:rsidRDefault="003B6629" w:rsidP="00E97E7C">
      <w:pPr>
        <w:spacing w:line="360" w:lineRule="auto"/>
        <w:jc w:val="both"/>
      </w:pPr>
      <w:r w:rsidRPr="003B6629">
        <w:t>Wan, W.-Y., Poynton, S. and Weatherburn, D. (2016) ‘Does parole supervision reduce the risk of re-offending?’, Australian &amp; New Zealand Journal of Criminology, 49(4), pp. 497–511. doi: 10.1177/0004865815585393.</w:t>
      </w:r>
    </w:p>
    <w:p w14:paraId="517742E7" w14:textId="77777777" w:rsidR="002A48DC" w:rsidRDefault="002A48DC" w:rsidP="00E97E7C">
      <w:pPr>
        <w:spacing w:line="360" w:lineRule="auto"/>
        <w:jc w:val="both"/>
      </w:pPr>
      <w:r>
        <w:t>Weatherburn, D. and Yeong, S. (2021) ‘Does correctional supervision of amphetamine users reduce the risk of re-offending?, Addictio, (Abbingdon, England), 116(6), pp. 1472-1481. doi:10.1111/add.15298</w:t>
      </w:r>
    </w:p>
    <w:p w14:paraId="674E756D" w14:textId="77777777" w:rsidR="002A48DC" w:rsidRDefault="002A48DC" w:rsidP="009C762A">
      <w:pPr>
        <w:spacing w:line="360" w:lineRule="auto"/>
        <w:jc w:val="both"/>
      </w:pPr>
    </w:p>
    <w:p w14:paraId="47FBCAD0" w14:textId="77777777" w:rsidR="00337C46" w:rsidRDefault="00337C46" w:rsidP="009C762A">
      <w:pPr>
        <w:spacing w:line="360" w:lineRule="auto"/>
        <w:jc w:val="both"/>
      </w:pPr>
      <w:r>
        <w:t>Q.4 Bibliography</w:t>
      </w:r>
    </w:p>
    <w:p w14:paraId="21A05CD7" w14:textId="77777777" w:rsidR="004A29D5" w:rsidRDefault="004A29D5" w:rsidP="009C762A">
      <w:pPr>
        <w:spacing w:line="360" w:lineRule="auto"/>
        <w:jc w:val="both"/>
      </w:pPr>
    </w:p>
    <w:p w14:paraId="20165E54" w14:textId="77777777" w:rsidR="004A29D5" w:rsidRDefault="004A29D5" w:rsidP="005B5A2D">
      <w:pPr>
        <w:spacing w:line="360" w:lineRule="auto"/>
        <w:jc w:val="both"/>
      </w:pPr>
      <w:r w:rsidRPr="004A29D5">
        <w:t>Ashton, S.A. and Bussu, A (2020) ‘Peer groups, street gangs and organised crime in the narratives of adolescent male offenders’, Journal of criminal psychology, 10(4), pp. 277–292. doi:10.1108/JCP-06-2020-0020.</w:t>
      </w:r>
    </w:p>
    <w:p w14:paraId="152D752A" w14:textId="77777777" w:rsidR="005D3DE2" w:rsidRDefault="005D3DE2" w:rsidP="005B5A2D">
      <w:pPr>
        <w:spacing w:line="360" w:lineRule="auto"/>
        <w:jc w:val="both"/>
      </w:pPr>
      <w:r w:rsidRPr="005D3DE2">
        <w:t>Avery, S. (2020) ‘For fraud, look under “serious and organized crime”’, Public money &amp; management, 40(5), pp. 407–414. doi:10.1080/09540962.2020.1714903.</w:t>
      </w:r>
    </w:p>
    <w:p w14:paraId="0BF48C06" w14:textId="77777777" w:rsidR="00634747" w:rsidRDefault="00BC0792" w:rsidP="005B5A2D">
      <w:pPr>
        <w:spacing w:line="360" w:lineRule="auto"/>
        <w:jc w:val="both"/>
      </w:pPr>
      <w:r w:rsidRPr="00BC0792">
        <w:t>Baika, L. and Campana, P. (2020) ‘Centrality, Mobility, and Specialization: A Study of Drug Markets in a Non-metropolitan Area in the United Kingdom’, Journal of Drug Issues, 50(2), pp. 107–126. doi: 10.1177/0022042619891962.</w:t>
      </w:r>
    </w:p>
    <w:p w14:paraId="3FAC8BC2" w14:textId="77777777" w:rsidR="004E6DFC" w:rsidRDefault="004E6DFC" w:rsidP="005B5A2D">
      <w:pPr>
        <w:spacing w:line="360" w:lineRule="auto"/>
        <w:jc w:val="both"/>
      </w:pPr>
      <w:r w:rsidRPr="004E6DFC">
        <w:t>Bolt, D. (2009) ‘Tackling serious organised crime drug harms’, Safer communities, 8(1), pp. 24–28. doi:10.1108/17578043200900004.</w:t>
      </w:r>
    </w:p>
    <w:p w14:paraId="597A798D" w14:textId="77777777" w:rsidR="00634747" w:rsidRDefault="00634747" w:rsidP="005B5A2D">
      <w:pPr>
        <w:spacing w:line="360" w:lineRule="auto"/>
        <w:jc w:val="both"/>
      </w:pPr>
      <w:r w:rsidRPr="00634747">
        <w:t>Bullock, K. and Leeney, D. (2012) ‘Public concern about serious organised crime’, Crime prevention and community safety, 14(4), pp. 278–292. doi:10.1057/cpcs.2012.8.</w:t>
      </w:r>
    </w:p>
    <w:p w14:paraId="4A95FB86" w14:textId="77777777" w:rsidR="007757F2" w:rsidRDefault="007757F2" w:rsidP="005B5A2D">
      <w:pPr>
        <w:spacing w:line="360" w:lineRule="auto"/>
        <w:jc w:val="both"/>
      </w:pPr>
      <w:r w:rsidRPr="007757F2">
        <w:t>Crocker, R. et al. (2018) ‘Tackling local organised crime groups: lessons from research in two UK cities’, Trends in organized crime, 22(4), pp. 433–449. doi:10.1007/s12117-018-9335-x.</w:t>
      </w:r>
    </w:p>
    <w:p w14:paraId="76DF33B2" w14:textId="77777777" w:rsidR="00A77A9C" w:rsidRDefault="00A77A9C" w:rsidP="005B5A2D">
      <w:pPr>
        <w:spacing w:line="360" w:lineRule="auto"/>
        <w:jc w:val="both"/>
      </w:pPr>
      <w:r w:rsidRPr="00A77A9C">
        <w:t>Fitzpatrick, D. (2005) ‘Advising the Serious Organised Crime Agency: the role of the specialist prosecutors’, Journal of financial crime, 12(3), pp. 251–263. doi:10.1108/EUM0000000007303</w:t>
      </w:r>
    </w:p>
    <w:p w14:paraId="6BCF22B5" w14:textId="77777777" w:rsidR="00055069" w:rsidRDefault="00055069" w:rsidP="005B5A2D">
      <w:pPr>
        <w:spacing w:line="360" w:lineRule="auto"/>
        <w:jc w:val="both"/>
      </w:pPr>
      <w:r w:rsidRPr="00055069">
        <w:t>Fitzpatrick, D. (2006) ‘Crime fighting in the twenty-first century?: A practitioner’s assessment of the Serious Organised Crime and Police Act 2005’, Journal of money laundering control, 9(2), pp. 129–140. doi:10.1108/13685200610660952</w:t>
      </w:r>
    </w:p>
    <w:p w14:paraId="04735B17" w14:textId="77777777" w:rsidR="00337C46" w:rsidRDefault="00A87CD5" w:rsidP="005B5A2D">
      <w:pPr>
        <w:spacing w:line="360" w:lineRule="auto"/>
        <w:jc w:val="both"/>
      </w:pPr>
      <w:r w:rsidRPr="00A87CD5">
        <w:t>Home Office, 2004. One step ahead: a 21st century strategy to defeat organised crime (Vol. 6167). Stationery Office.</w:t>
      </w:r>
    </w:p>
    <w:p w14:paraId="587A3308" w14:textId="77777777" w:rsidR="00A87CD5" w:rsidRDefault="00A87CD5" w:rsidP="005B5A2D">
      <w:pPr>
        <w:spacing w:line="360" w:lineRule="auto"/>
        <w:jc w:val="both"/>
      </w:pPr>
      <w:r w:rsidRPr="00A87CD5">
        <w:t>Home Office, 2009. Extending our reach: a comprehensive approach to tackling serious organised crime. DERECHO INTERNACIONAL.</w:t>
      </w:r>
    </w:p>
    <w:p w14:paraId="6304A427" w14:textId="77777777" w:rsidR="00887384" w:rsidRDefault="00887384" w:rsidP="005B5A2D">
      <w:pPr>
        <w:spacing w:line="360" w:lineRule="auto"/>
        <w:jc w:val="both"/>
      </w:pPr>
      <w:r w:rsidRPr="00887384">
        <w:t>Hurley, M. and Boulton, L.J. (2021) ‘Early identification and intervention with individuals at risk of becoming involved in serious and organised crime (SOC)’, Safer communities, 20(2), pp. 73–84. doi:10.1108/SC-11-2020-0039.</w:t>
      </w:r>
    </w:p>
    <w:p w14:paraId="441A5BBC" w14:textId="77777777" w:rsidR="00C00E97" w:rsidRDefault="00C00E97" w:rsidP="005B5A2D">
      <w:pPr>
        <w:spacing w:line="360" w:lineRule="auto"/>
        <w:jc w:val="both"/>
      </w:pPr>
      <w:r w:rsidRPr="00C00E97">
        <w:lastRenderedPageBreak/>
        <w:t>Kirby, S. and Nailer, L. (2013) ‘Reducing the offending of a UK organized crime group using an opportunity-reducing framework—a three year case study’, Trends in organized crime, 16(4), pp. 397–412. doi:10.1007/s12117-013-9195-3.</w:t>
      </w:r>
    </w:p>
    <w:p w14:paraId="423E26E5" w14:textId="77777777" w:rsidR="004D3A0B" w:rsidRDefault="004D3A0B" w:rsidP="005B5A2D">
      <w:pPr>
        <w:spacing w:line="360" w:lineRule="auto"/>
        <w:jc w:val="both"/>
      </w:pPr>
      <w:r w:rsidRPr="004D3A0B">
        <w:t>Maher, J. and Wyatt, T. (2021) ‘European illegal puppy trade and organised crime’, Trends in organized crime, 24(4), pp. 506–525. doi:10.1007/s12117-021-09429-8.</w:t>
      </w:r>
    </w:p>
    <w:p w14:paraId="6566F2BC" w14:textId="77777777" w:rsidR="00AB3AD2" w:rsidRDefault="00AB3AD2" w:rsidP="005B5A2D">
      <w:pPr>
        <w:spacing w:line="360" w:lineRule="auto"/>
        <w:jc w:val="both"/>
      </w:pPr>
      <w:r w:rsidRPr="00AB3AD2">
        <w:t>Olver, K. and Cockbain, E. (2021) ‘Professionals’ Views on Responding to County Lines‐Related Criminal Exploitation in the West Midlands, UK’, Child abuse review (Chichester, England : 1992), 30(4), pp. 347–362. doi:10.1002/car.2704.</w:t>
      </w:r>
    </w:p>
    <w:p w14:paraId="397B0471" w14:textId="77777777" w:rsidR="00065A34" w:rsidRDefault="00065A34" w:rsidP="005B5A2D">
      <w:pPr>
        <w:spacing w:line="360" w:lineRule="auto"/>
        <w:jc w:val="both"/>
      </w:pPr>
      <w:r w:rsidRPr="00065A34">
        <w:t>Paoli, L. (2014) ‘How to Tackle (Organized) Crime in Europe? The EU Policy Cycle on Serious and Organized Crime and the New Emphasis on Harm’, European journal of crime, criminal law, and criminal justice, 22(1), pp. 1–12. doi:10.1163/15718174-22012036.</w:t>
      </w:r>
    </w:p>
    <w:p w14:paraId="3F663D57" w14:textId="77777777" w:rsidR="00A12BE1" w:rsidRDefault="00A12BE1" w:rsidP="005B5A2D">
      <w:pPr>
        <w:spacing w:line="360" w:lineRule="auto"/>
        <w:jc w:val="both"/>
      </w:pPr>
      <w:r w:rsidRPr="00A12BE1">
        <w:t>Phillips, C. (2017) ‘From “Rogue Traders” to Organized Crime Groups: Doorstep Fraud of Older Adults’, British journal of criminology, 57(3), pp. 608–626. doi:10.1093/bjc/azw011.</w:t>
      </w:r>
    </w:p>
    <w:p w14:paraId="504C07B9" w14:textId="77777777" w:rsidR="00065A34" w:rsidRDefault="00065A34" w:rsidP="005B5A2D">
      <w:pPr>
        <w:spacing w:line="360" w:lineRule="auto"/>
        <w:jc w:val="both"/>
      </w:pPr>
      <w:r w:rsidRPr="00065A34">
        <w:t>Serious Organised Crime Agency. (2006) ‘The United Kingdom threat assessment of serious organised crime’ (2006) Trends in organized crime, 10(1), pp. 52–57. doi:10.1007/s12117-006-1028-1.</w:t>
      </w:r>
    </w:p>
    <w:p w14:paraId="0FD12B3D" w14:textId="77777777" w:rsidR="00337C46" w:rsidRPr="00A33DF3" w:rsidRDefault="00A87CD5" w:rsidP="005B5A2D">
      <w:pPr>
        <w:spacing w:line="360" w:lineRule="auto"/>
        <w:jc w:val="both"/>
      </w:pPr>
      <w:r w:rsidRPr="00A87CD5">
        <w:t>Sproat, P.A. (2012) ‘Phoney war or appeasement? The policing of organised crime in the UK’, Trends in organized crime, 15(4), pp. 313–330. doi:10.1007/s12117-012-9154-4.</w:t>
      </w:r>
    </w:p>
    <w:sectPr w:rsidR="00337C46" w:rsidRPr="00A33DF3" w:rsidSect="00643D0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B95A6" w14:textId="77777777" w:rsidR="00643D0D" w:rsidRDefault="00643D0D" w:rsidP="00643D0D">
      <w:pPr>
        <w:spacing w:after="0" w:line="240" w:lineRule="auto"/>
      </w:pPr>
      <w:r>
        <w:separator/>
      </w:r>
    </w:p>
  </w:endnote>
  <w:endnote w:type="continuationSeparator" w:id="0">
    <w:p w14:paraId="3B243ADB" w14:textId="77777777" w:rsidR="00643D0D" w:rsidRDefault="00643D0D" w:rsidP="00643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D299F" w14:textId="77777777" w:rsidR="00FB0995" w:rsidRDefault="005B5A2D" w:rsidP="005B5A2D">
    <w:pPr>
      <w:pStyle w:val="Footer"/>
      <w:rPr>
        <w:color w:val="000000"/>
        <w:sz w:val="17"/>
      </w:rPr>
    </w:pPr>
    <w:bookmarkStart w:id="2" w:name="TITUS1FooterEvenPages"/>
    <w:r>
      <w:rPr>
        <w:color w:val="000000"/>
        <w:sz w:val="17"/>
      </w:rPr>
      <w:t> </w:t>
    </w:r>
  </w:p>
  <w:bookmarkEnd w:id="2"/>
  <w:p w14:paraId="2B229261" w14:textId="77777777" w:rsidR="00FB0995" w:rsidRDefault="00FB0995" w:rsidP="00FB0995">
    <w:pPr>
      <w:pStyle w:val="Footer"/>
    </w:pPr>
  </w:p>
  <w:p w14:paraId="68565001" w14:textId="77777777" w:rsidR="00643D0D" w:rsidRDefault="00643D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B7800" w14:textId="77777777" w:rsidR="00643D0D" w:rsidRDefault="005B5A2D" w:rsidP="005B5A2D">
    <w:pPr>
      <w:pStyle w:val="Footer"/>
      <w:rPr>
        <w:color w:val="000000"/>
        <w:sz w:val="17"/>
      </w:rPr>
    </w:pPr>
    <w:bookmarkStart w:id="3" w:name="TITUS1FooterPrimary"/>
    <w:r>
      <w:rPr>
        <w:color w:val="000000"/>
        <w:sz w:val="17"/>
      </w:rPr>
      <w:t> </w:t>
    </w:r>
  </w:p>
  <w:bookmarkEnd w:id="3"/>
  <w:p w14:paraId="3CE76E51" w14:textId="77777777" w:rsidR="00643D0D" w:rsidRDefault="00643D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5F471" w14:textId="77777777" w:rsidR="00643D0D" w:rsidRDefault="005B5A2D" w:rsidP="005B5A2D">
    <w:pPr>
      <w:pStyle w:val="Footer"/>
      <w:rPr>
        <w:color w:val="000000"/>
        <w:sz w:val="17"/>
      </w:rPr>
    </w:pPr>
    <w:bookmarkStart w:id="5" w:name="TITUS1FooterFirstPage"/>
    <w:r>
      <w:rPr>
        <w:color w:val="000000"/>
        <w:sz w:val="17"/>
      </w:rPr>
      <w:t> </w:t>
    </w:r>
  </w:p>
  <w:bookmarkEnd w:id="5"/>
  <w:p w14:paraId="0ACF8EFC" w14:textId="77777777" w:rsidR="00643D0D" w:rsidRDefault="00643D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46D45" w14:textId="77777777" w:rsidR="00643D0D" w:rsidRDefault="00643D0D" w:rsidP="00643D0D">
      <w:pPr>
        <w:spacing w:after="0" w:line="240" w:lineRule="auto"/>
      </w:pPr>
      <w:r>
        <w:separator/>
      </w:r>
    </w:p>
  </w:footnote>
  <w:footnote w:type="continuationSeparator" w:id="0">
    <w:p w14:paraId="1D175586" w14:textId="77777777" w:rsidR="00643D0D" w:rsidRDefault="00643D0D" w:rsidP="00643D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1B435" w14:textId="77777777" w:rsidR="00FB0995" w:rsidRDefault="005B5A2D" w:rsidP="005B5A2D">
    <w:pPr>
      <w:pStyle w:val="Header"/>
      <w:rPr>
        <w:color w:val="000000"/>
        <w:sz w:val="17"/>
      </w:rPr>
    </w:pPr>
    <w:bookmarkStart w:id="0" w:name="TITUS1HeaderEvenPages"/>
    <w:r>
      <w:rPr>
        <w:color w:val="000000"/>
        <w:sz w:val="17"/>
      </w:rPr>
      <w:t> </w:t>
    </w:r>
  </w:p>
  <w:bookmarkEnd w:id="0"/>
  <w:p w14:paraId="375B32FD" w14:textId="77777777" w:rsidR="00FB0995" w:rsidRDefault="00FB0995" w:rsidP="00FB0995">
    <w:pPr>
      <w:pStyle w:val="Header"/>
    </w:pPr>
  </w:p>
  <w:p w14:paraId="40BFF6AA" w14:textId="77777777" w:rsidR="00643D0D" w:rsidRDefault="00643D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8319D" w14:textId="77777777" w:rsidR="00643D0D" w:rsidRDefault="005B5A2D" w:rsidP="005B5A2D">
    <w:pPr>
      <w:pStyle w:val="Header"/>
      <w:rPr>
        <w:color w:val="000000"/>
        <w:sz w:val="17"/>
      </w:rPr>
    </w:pPr>
    <w:bookmarkStart w:id="1" w:name="TITUS1HeaderPrimary"/>
    <w:r>
      <w:rPr>
        <w:color w:val="000000"/>
        <w:sz w:val="17"/>
      </w:rPr>
      <w:t> </w:t>
    </w:r>
  </w:p>
  <w:bookmarkEnd w:id="1"/>
  <w:p w14:paraId="0964287C" w14:textId="77777777" w:rsidR="00643D0D" w:rsidRDefault="00643D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438D2" w14:textId="77777777" w:rsidR="00643D0D" w:rsidRDefault="005B5A2D" w:rsidP="005B5A2D">
    <w:pPr>
      <w:pStyle w:val="Header"/>
      <w:rPr>
        <w:color w:val="000000"/>
        <w:sz w:val="17"/>
      </w:rPr>
    </w:pPr>
    <w:bookmarkStart w:id="4" w:name="TITUS1HeaderFirstPage"/>
    <w:r>
      <w:rPr>
        <w:color w:val="000000"/>
        <w:sz w:val="17"/>
      </w:rPr>
      <w:t> </w:t>
    </w:r>
  </w:p>
  <w:bookmarkEnd w:id="4"/>
  <w:p w14:paraId="24D4B345" w14:textId="77777777" w:rsidR="00643D0D" w:rsidRDefault="00643D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20D85"/>
    <w:multiLevelType w:val="hybridMultilevel"/>
    <w:tmpl w:val="AB9C26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D17FA9"/>
    <w:multiLevelType w:val="hybridMultilevel"/>
    <w:tmpl w:val="A2C00B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D34FB2"/>
    <w:multiLevelType w:val="hybridMultilevel"/>
    <w:tmpl w:val="499EC9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C71FCE"/>
    <w:multiLevelType w:val="hybridMultilevel"/>
    <w:tmpl w:val="91D87A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6F6B29"/>
    <w:multiLevelType w:val="hybridMultilevel"/>
    <w:tmpl w:val="88FCA2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D133BD"/>
    <w:multiLevelType w:val="hybridMultilevel"/>
    <w:tmpl w:val="515A63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1D72CF"/>
    <w:multiLevelType w:val="hybridMultilevel"/>
    <w:tmpl w:val="6F92BA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5D35C8"/>
    <w:multiLevelType w:val="hybridMultilevel"/>
    <w:tmpl w:val="FEFA59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F86371"/>
    <w:multiLevelType w:val="hybridMultilevel"/>
    <w:tmpl w:val="3DE018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2B5750"/>
    <w:multiLevelType w:val="hybridMultilevel"/>
    <w:tmpl w:val="A0F8D6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C60C7F"/>
    <w:multiLevelType w:val="hybridMultilevel"/>
    <w:tmpl w:val="2A08E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8E52E8"/>
    <w:multiLevelType w:val="hybridMultilevel"/>
    <w:tmpl w:val="A4E8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E558A0"/>
    <w:multiLevelType w:val="hybridMultilevel"/>
    <w:tmpl w:val="641632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39206C"/>
    <w:multiLevelType w:val="hybridMultilevel"/>
    <w:tmpl w:val="19C03F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384C97"/>
    <w:multiLevelType w:val="hybridMultilevel"/>
    <w:tmpl w:val="12CA30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0659F"/>
    <w:multiLevelType w:val="hybridMultilevel"/>
    <w:tmpl w:val="2EA02B6A"/>
    <w:lvl w:ilvl="0" w:tplc="0FBADA0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7B7BE4"/>
    <w:multiLevelType w:val="hybridMultilevel"/>
    <w:tmpl w:val="70D4D7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4B261C"/>
    <w:multiLevelType w:val="hybridMultilevel"/>
    <w:tmpl w:val="916A1A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6D40FE"/>
    <w:multiLevelType w:val="hybridMultilevel"/>
    <w:tmpl w:val="284C77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E7C6BC3"/>
    <w:multiLevelType w:val="hybridMultilevel"/>
    <w:tmpl w:val="C9AAFE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47578"/>
    <w:multiLevelType w:val="hybridMultilevel"/>
    <w:tmpl w:val="8EF6FDAC"/>
    <w:lvl w:ilvl="0" w:tplc="AC7245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FA44CB"/>
    <w:multiLevelType w:val="hybridMultilevel"/>
    <w:tmpl w:val="AF9EDD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91C0AC8"/>
    <w:multiLevelType w:val="hybridMultilevel"/>
    <w:tmpl w:val="BE3C74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11"/>
  </w:num>
  <w:num w:numId="3">
    <w:abstractNumId w:val="15"/>
  </w:num>
  <w:num w:numId="4">
    <w:abstractNumId w:val="16"/>
  </w:num>
  <w:num w:numId="5">
    <w:abstractNumId w:val="18"/>
  </w:num>
  <w:num w:numId="6">
    <w:abstractNumId w:val="19"/>
  </w:num>
  <w:num w:numId="7">
    <w:abstractNumId w:val="13"/>
  </w:num>
  <w:num w:numId="8">
    <w:abstractNumId w:val="8"/>
  </w:num>
  <w:num w:numId="9">
    <w:abstractNumId w:val="12"/>
  </w:num>
  <w:num w:numId="10">
    <w:abstractNumId w:val="6"/>
  </w:num>
  <w:num w:numId="11">
    <w:abstractNumId w:val="17"/>
  </w:num>
  <w:num w:numId="12">
    <w:abstractNumId w:val="7"/>
  </w:num>
  <w:num w:numId="13">
    <w:abstractNumId w:val="3"/>
  </w:num>
  <w:num w:numId="14">
    <w:abstractNumId w:val="2"/>
  </w:num>
  <w:num w:numId="15">
    <w:abstractNumId w:val="21"/>
  </w:num>
  <w:num w:numId="16">
    <w:abstractNumId w:val="14"/>
  </w:num>
  <w:num w:numId="17">
    <w:abstractNumId w:val="5"/>
  </w:num>
  <w:num w:numId="18">
    <w:abstractNumId w:val="10"/>
  </w:num>
  <w:num w:numId="19">
    <w:abstractNumId w:val="22"/>
  </w:num>
  <w:num w:numId="20">
    <w:abstractNumId w:val="1"/>
  </w:num>
  <w:num w:numId="21">
    <w:abstractNumId w:val="0"/>
  </w:num>
  <w:num w:numId="22">
    <w:abstractNumId w:val="4"/>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42D"/>
    <w:rsid w:val="00016604"/>
    <w:rsid w:val="0002579F"/>
    <w:rsid w:val="00043031"/>
    <w:rsid w:val="000543D5"/>
    <w:rsid w:val="00055069"/>
    <w:rsid w:val="0006407B"/>
    <w:rsid w:val="00065A34"/>
    <w:rsid w:val="000A4543"/>
    <w:rsid w:val="000C63AA"/>
    <w:rsid w:val="000D1DEC"/>
    <w:rsid w:val="001015EA"/>
    <w:rsid w:val="001149AB"/>
    <w:rsid w:val="00115E40"/>
    <w:rsid w:val="0011681F"/>
    <w:rsid w:val="001239D6"/>
    <w:rsid w:val="00135E56"/>
    <w:rsid w:val="00152C94"/>
    <w:rsid w:val="001626C5"/>
    <w:rsid w:val="001656BD"/>
    <w:rsid w:val="001657F8"/>
    <w:rsid w:val="0017455D"/>
    <w:rsid w:val="00182E16"/>
    <w:rsid w:val="001A2C20"/>
    <w:rsid w:val="001A3629"/>
    <w:rsid w:val="001B2CEA"/>
    <w:rsid w:val="001B37C6"/>
    <w:rsid w:val="001C06F7"/>
    <w:rsid w:val="001C3AB1"/>
    <w:rsid w:val="001C6EAD"/>
    <w:rsid w:val="001D60A2"/>
    <w:rsid w:val="001E20F7"/>
    <w:rsid w:val="001E2A28"/>
    <w:rsid w:val="001F543F"/>
    <w:rsid w:val="001F783A"/>
    <w:rsid w:val="00244B6D"/>
    <w:rsid w:val="00250624"/>
    <w:rsid w:val="002629BA"/>
    <w:rsid w:val="00265C09"/>
    <w:rsid w:val="00271CA0"/>
    <w:rsid w:val="002829EA"/>
    <w:rsid w:val="002A28BC"/>
    <w:rsid w:val="002A48DC"/>
    <w:rsid w:val="002A48EE"/>
    <w:rsid w:val="002A76CF"/>
    <w:rsid w:val="002B4663"/>
    <w:rsid w:val="002F3682"/>
    <w:rsid w:val="00326D15"/>
    <w:rsid w:val="00337C46"/>
    <w:rsid w:val="003414D6"/>
    <w:rsid w:val="0034512F"/>
    <w:rsid w:val="00345186"/>
    <w:rsid w:val="0035558C"/>
    <w:rsid w:val="00370BA3"/>
    <w:rsid w:val="00376DA5"/>
    <w:rsid w:val="003776DD"/>
    <w:rsid w:val="0039518F"/>
    <w:rsid w:val="003B6629"/>
    <w:rsid w:val="003B7D91"/>
    <w:rsid w:val="003C0152"/>
    <w:rsid w:val="003C307C"/>
    <w:rsid w:val="00404D43"/>
    <w:rsid w:val="004248F7"/>
    <w:rsid w:val="004401FA"/>
    <w:rsid w:val="00440F7B"/>
    <w:rsid w:val="004633F0"/>
    <w:rsid w:val="00472638"/>
    <w:rsid w:val="00474BC6"/>
    <w:rsid w:val="004808BD"/>
    <w:rsid w:val="00491BEB"/>
    <w:rsid w:val="004A17CF"/>
    <w:rsid w:val="004A29D5"/>
    <w:rsid w:val="004A44A9"/>
    <w:rsid w:val="004A7E9C"/>
    <w:rsid w:val="004B0BD4"/>
    <w:rsid w:val="004C3C33"/>
    <w:rsid w:val="004C73F6"/>
    <w:rsid w:val="004D3A0B"/>
    <w:rsid w:val="004E3340"/>
    <w:rsid w:val="004E6DFC"/>
    <w:rsid w:val="005018F8"/>
    <w:rsid w:val="005107F3"/>
    <w:rsid w:val="005274F4"/>
    <w:rsid w:val="00531EED"/>
    <w:rsid w:val="00563D84"/>
    <w:rsid w:val="00570EB1"/>
    <w:rsid w:val="00572C86"/>
    <w:rsid w:val="0058346F"/>
    <w:rsid w:val="00593E5B"/>
    <w:rsid w:val="00595D92"/>
    <w:rsid w:val="005A0959"/>
    <w:rsid w:val="005B5A2D"/>
    <w:rsid w:val="005C01D1"/>
    <w:rsid w:val="005D3DE2"/>
    <w:rsid w:val="005D4B9C"/>
    <w:rsid w:val="005E67C8"/>
    <w:rsid w:val="005E7A9E"/>
    <w:rsid w:val="005F03CD"/>
    <w:rsid w:val="005F6D4D"/>
    <w:rsid w:val="00634747"/>
    <w:rsid w:val="0064161F"/>
    <w:rsid w:val="00643D0D"/>
    <w:rsid w:val="00662231"/>
    <w:rsid w:val="00687C1E"/>
    <w:rsid w:val="006B13D8"/>
    <w:rsid w:val="006B2A5A"/>
    <w:rsid w:val="006C29F0"/>
    <w:rsid w:val="006C3003"/>
    <w:rsid w:val="006D28A9"/>
    <w:rsid w:val="0070578B"/>
    <w:rsid w:val="00711EE4"/>
    <w:rsid w:val="00712506"/>
    <w:rsid w:val="00737CE9"/>
    <w:rsid w:val="00741E9A"/>
    <w:rsid w:val="007629B7"/>
    <w:rsid w:val="00765F40"/>
    <w:rsid w:val="00766807"/>
    <w:rsid w:val="007757F2"/>
    <w:rsid w:val="00780873"/>
    <w:rsid w:val="007920B2"/>
    <w:rsid w:val="007A03FC"/>
    <w:rsid w:val="007A6181"/>
    <w:rsid w:val="007F0808"/>
    <w:rsid w:val="007F60D0"/>
    <w:rsid w:val="007F7703"/>
    <w:rsid w:val="00870698"/>
    <w:rsid w:val="00887384"/>
    <w:rsid w:val="008C5335"/>
    <w:rsid w:val="008D4E73"/>
    <w:rsid w:val="008F2A44"/>
    <w:rsid w:val="009101D1"/>
    <w:rsid w:val="0091244D"/>
    <w:rsid w:val="009252CD"/>
    <w:rsid w:val="00942659"/>
    <w:rsid w:val="0095033E"/>
    <w:rsid w:val="00982988"/>
    <w:rsid w:val="009922D0"/>
    <w:rsid w:val="009A7C1D"/>
    <w:rsid w:val="009C1218"/>
    <w:rsid w:val="009C762A"/>
    <w:rsid w:val="009E2ACC"/>
    <w:rsid w:val="00A0057F"/>
    <w:rsid w:val="00A12BE1"/>
    <w:rsid w:val="00A160CF"/>
    <w:rsid w:val="00A33DF3"/>
    <w:rsid w:val="00A34F0E"/>
    <w:rsid w:val="00A35DCB"/>
    <w:rsid w:val="00A411E6"/>
    <w:rsid w:val="00A66BA4"/>
    <w:rsid w:val="00A72703"/>
    <w:rsid w:val="00A77A9C"/>
    <w:rsid w:val="00A870C6"/>
    <w:rsid w:val="00A87CD5"/>
    <w:rsid w:val="00A947DE"/>
    <w:rsid w:val="00AA3D62"/>
    <w:rsid w:val="00AB08CD"/>
    <w:rsid w:val="00AB1FF8"/>
    <w:rsid w:val="00AB3AD2"/>
    <w:rsid w:val="00AC24CF"/>
    <w:rsid w:val="00AC2E2C"/>
    <w:rsid w:val="00AC60F1"/>
    <w:rsid w:val="00AD4AD9"/>
    <w:rsid w:val="00B01BB1"/>
    <w:rsid w:val="00B0395F"/>
    <w:rsid w:val="00B13F3D"/>
    <w:rsid w:val="00B15BFB"/>
    <w:rsid w:val="00B51844"/>
    <w:rsid w:val="00B56E34"/>
    <w:rsid w:val="00B80E6A"/>
    <w:rsid w:val="00B976F5"/>
    <w:rsid w:val="00BA5270"/>
    <w:rsid w:val="00BC0792"/>
    <w:rsid w:val="00BC76FA"/>
    <w:rsid w:val="00BC7EA6"/>
    <w:rsid w:val="00BD0E8C"/>
    <w:rsid w:val="00BE548C"/>
    <w:rsid w:val="00BE639F"/>
    <w:rsid w:val="00BF21B8"/>
    <w:rsid w:val="00C00E97"/>
    <w:rsid w:val="00C35B61"/>
    <w:rsid w:val="00C45053"/>
    <w:rsid w:val="00C46635"/>
    <w:rsid w:val="00C95D62"/>
    <w:rsid w:val="00CA4370"/>
    <w:rsid w:val="00CA7F9E"/>
    <w:rsid w:val="00CE704B"/>
    <w:rsid w:val="00D1014A"/>
    <w:rsid w:val="00D22356"/>
    <w:rsid w:val="00D30807"/>
    <w:rsid w:val="00D423FA"/>
    <w:rsid w:val="00D43BCD"/>
    <w:rsid w:val="00D50613"/>
    <w:rsid w:val="00D605D0"/>
    <w:rsid w:val="00D76834"/>
    <w:rsid w:val="00D770CB"/>
    <w:rsid w:val="00D97C89"/>
    <w:rsid w:val="00DA2322"/>
    <w:rsid w:val="00DB5231"/>
    <w:rsid w:val="00DD2DAB"/>
    <w:rsid w:val="00DD4F54"/>
    <w:rsid w:val="00DD5C2B"/>
    <w:rsid w:val="00E01360"/>
    <w:rsid w:val="00E35653"/>
    <w:rsid w:val="00E52EF9"/>
    <w:rsid w:val="00E54367"/>
    <w:rsid w:val="00E57DC6"/>
    <w:rsid w:val="00E620A2"/>
    <w:rsid w:val="00E73726"/>
    <w:rsid w:val="00E8214E"/>
    <w:rsid w:val="00E82624"/>
    <w:rsid w:val="00E97E7C"/>
    <w:rsid w:val="00EA4457"/>
    <w:rsid w:val="00ED31D1"/>
    <w:rsid w:val="00EE0100"/>
    <w:rsid w:val="00F3517F"/>
    <w:rsid w:val="00F4142D"/>
    <w:rsid w:val="00F66E05"/>
    <w:rsid w:val="00F82313"/>
    <w:rsid w:val="00F848DA"/>
    <w:rsid w:val="00FB0995"/>
    <w:rsid w:val="00FE1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EDAB9BC"/>
  <w15:chartTrackingRefBased/>
  <w15:docId w15:val="{797CA504-5AFC-4566-B817-EF2BB59EB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3D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3D0D"/>
  </w:style>
  <w:style w:type="paragraph" w:styleId="Footer">
    <w:name w:val="footer"/>
    <w:basedOn w:val="Normal"/>
    <w:link w:val="FooterChar"/>
    <w:uiPriority w:val="99"/>
    <w:unhideWhenUsed/>
    <w:rsid w:val="00643D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3D0D"/>
  </w:style>
  <w:style w:type="paragraph" w:styleId="ListParagraph">
    <w:name w:val="List Paragraph"/>
    <w:basedOn w:val="Normal"/>
    <w:uiPriority w:val="34"/>
    <w:qFormat/>
    <w:rsid w:val="002A76CF"/>
    <w:pPr>
      <w:ind w:left="720"/>
      <w:contextualSpacing/>
    </w:pPr>
  </w:style>
  <w:style w:type="character" w:styleId="Hyperlink">
    <w:name w:val="Hyperlink"/>
    <w:basedOn w:val="DefaultParagraphFont"/>
    <w:uiPriority w:val="99"/>
    <w:unhideWhenUsed/>
    <w:rsid w:val="00ED31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A9498-2BC9-4334-920E-EFB1AD950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6064</Words>
  <Characters>34565</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Roberts,Llyr swp6964</dc:creator>
  <cp:keywords/>
  <dc:description/>
  <cp:lastModifiedBy>Roberts,Llyr swp6964</cp:lastModifiedBy>
  <cp:revision>2</cp:revision>
  <dcterms:created xsi:type="dcterms:W3CDTF">2022-08-01T10:01:00Z</dcterms:created>
  <dcterms:modified xsi:type="dcterms:W3CDTF">2022-08-01T10:01:00Z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4481fcc9-4660-415d-8f70-f0db224edc1d</vt:lpwstr>
  </property>
  <property fmtid="{D5CDD505-2E9C-101B-9397-08002B2CF9AE}" pid="3" name="Classification">
    <vt:lpwstr>OFFICIAL</vt:lpwstr>
  </property>
  <property fmtid="{D5CDD505-2E9C-101B-9397-08002B2CF9AE}" pid="4" name="Visibility">
    <vt:lpwstr>NOT VISIBLE</vt:lpwstr>
  </property>
  <property fmtid="{D5CDD505-2E9C-101B-9397-08002B2CF9AE}" pid="5" name="MSIP_Label_66cf8fe5-b7b7-4df7-b38d-1c61ac2f6639_Enabled">
    <vt:lpwstr>true</vt:lpwstr>
  </property>
  <property fmtid="{D5CDD505-2E9C-101B-9397-08002B2CF9AE}" pid="6" name="MSIP_Label_66cf8fe5-b7b7-4df7-b38d-1c61ac2f6639_SetDate">
    <vt:lpwstr>2022-08-01T09:59:57Z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89f42e66-30bf-4cef-93c9-56a41b587341</vt:lpwstr>
  </property>
  <property fmtid="{D5CDD505-2E9C-101B-9397-08002B2CF9AE}" pid="11" name="MSIP_Label_66cf8fe5-b7b7-4df7-b38d-1c61ac2f6639_ContentBits">
    <vt:lpwstr>0</vt:lpwstr>
  </property>
</Properties>
</file>