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1ADB2" w14:textId="5070670A" w:rsidR="0077236B" w:rsidRPr="004F30D4" w:rsidRDefault="000B1744" w:rsidP="000B1744">
      <w:pPr>
        <w:jc w:val="center"/>
        <w:rPr>
          <w:rFonts w:ascii="Times New Roman" w:hAnsi="Times New Roman" w:cs="Times New Roman"/>
          <w:sz w:val="28"/>
          <w:szCs w:val="24"/>
          <w:u w:val="single"/>
        </w:rPr>
      </w:pPr>
      <w:r w:rsidRPr="004F30D4">
        <w:rPr>
          <w:rFonts w:ascii="Times New Roman" w:hAnsi="Times New Roman" w:cs="Times New Roman"/>
          <w:sz w:val="28"/>
          <w:szCs w:val="24"/>
          <w:u w:val="single"/>
        </w:rPr>
        <w:t>To what extent does the presentation of homosexuality and homosexual practices change from Spartacus to the modern era?</w:t>
      </w:r>
    </w:p>
    <w:p w14:paraId="2EC172B0" w14:textId="77777777" w:rsidR="0077236B" w:rsidRDefault="0077236B" w:rsidP="0077236B"/>
    <w:p w14:paraId="4E59886D" w14:textId="77777777" w:rsidR="0077236B" w:rsidRPr="004F30D4" w:rsidRDefault="0077236B" w:rsidP="0077236B">
      <w:pPr>
        <w:pStyle w:val="Heading2"/>
        <w:rPr>
          <w:color w:val="auto"/>
        </w:rPr>
      </w:pPr>
      <w:r w:rsidRPr="004F30D4">
        <w:rPr>
          <w:color w:val="auto"/>
        </w:rPr>
        <w:t>Introduction</w:t>
      </w:r>
    </w:p>
    <w:p w14:paraId="5BD3AA2B" w14:textId="77777777" w:rsidR="0077236B" w:rsidRDefault="0077236B" w:rsidP="0077236B"/>
    <w:p w14:paraId="62341507" w14:textId="77777777" w:rsidR="0077236B" w:rsidRDefault="0077236B" w:rsidP="0077236B">
      <w:pPr>
        <w:jc w:val="both"/>
      </w:pPr>
      <w:r>
        <w:tab/>
        <w:t xml:space="preserve">The representation of sexuality within films based in antiquity is something that has changed over the course of film history. As will be shown, the main cause for this change does appear to be social attitudes as well as the trends within the way sexuality, specifically homosexuality, is portrayed in other parts of film and television media. This research will demonstrate that though there has been significant progression the presentation of homosexuality in the films set in the classical world, the mention of sexuality is not something that is done without a specific point the filmmakers intend to portray, which will be addressed in the discussion of each individual film. To assess this progression in the presentation and the other changes that the presentation of homosexuality has undergone this research will address the films primarily in their </w:t>
      </w:r>
      <w:proofErr w:type="gramStart"/>
      <w:r>
        <w:t>time period</w:t>
      </w:r>
      <w:proofErr w:type="gramEnd"/>
      <w:r>
        <w:t xml:space="preserve">, whether it is the 1960’s or the resurgence after </w:t>
      </w:r>
      <w:r>
        <w:rPr>
          <w:i/>
        </w:rPr>
        <w:t>Gladiator,</w:t>
      </w:r>
      <w:r>
        <w:rPr>
          <w:rStyle w:val="FootnoteReference"/>
        </w:rPr>
        <w:footnoteReference w:id="1"/>
      </w:r>
      <w:r>
        <w:rPr>
          <w:i/>
        </w:rPr>
        <w:t xml:space="preserve"> </w:t>
      </w:r>
      <w:r>
        <w:t xml:space="preserve">and the films between them; then assess the way they approach the subject within that group. Many of these films, particularly the older selection, present homosexuality as a trait found within the villains, the causes for which will be discussed during that section. As this is the primary presentation in the earlier examples, it will then be necessary to analyse the example of </w:t>
      </w:r>
      <w:r>
        <w:rPr>
          <w:i/>
        </w:rPr>
        <w:t>Monty Python’s: The Life of Brian</w:t>
      </w:r>
      <w:r>
        <w:rPr>
          <w:rStyle w:val="FootnoteReference"/>
          <w:i/>
        </w:rPr>
        <w:footnoteReference w:id="2"/>
      </w:r>
      <w:r>
        <w:t xml:space="preserve"> where the sexuality of the actor may have been used to create controversy, to what ends shall be discussed. The last </w:t>
      </w:r>
      <w:proofErr w:type="gramStart"/>
      <w:r>
        <w:t>time period</w:t>
      </w:r>
      <w:proofErr w:type="gramEnd"/>
      <w:r>
        <w:t xml:space="preserve"> of films to be released will be divided into those who present homosexuality either as simply part of the character and the world of that time, or those who use it to demonstrate a character flaw, or finally those films that present homosexuality negatively within the modern period of film. These analyses will demonstrate that there is progression in the presentation of homosexuality, though it is not all of it is positive. It should be stated now that I am a bisexual male, which means on certain matters within this research I am not an objective </w:t>
      </w:r>
      <w:proofErr w:type="gramStart"/>
      <w:r>
        <w:t>observer, and</w:t>
      </w:r>
      <w:proofErr w:type="gramEnd"/>
      <w:r>
        <w:t xml:space="preserve"> may not provide a completely neutral perspective.</w:t>
      </w:r>
    </w:p>
    <w:p w14:paraId="03178C7B" w14:textId="77777777" w:rsidR="0077236B" w:rsidRDefault="0077236B" w:rsidP="0077236B">
      <w:pPr>
        <w:jc w:val="both"/>
      </w:pPr>
      <w:r>
        <w:tab/>
      </w:r>
    </w:p>
    <w:p w14:paraId="3975037B" w14:textId="77777777" w:rsidR="0077236B" w:rsidRPr="004F30D4" w:rsidRDefault="0077236B" w:rsidP="0077236B">
      <w:pPr>
        <w:pStyle w:val="Heading2"/>
        <w:rPr>
          <w:color w:val="auto"/>
        </w:rPr>
      </w:pPr>
      <w:r w:rsidRPr="004F30D4">
        <w:rPr>
          <w:color w:val="auto"/>
        </w:rPr>
        <w:t>Older grouping, and explanation of sexuality in the ancient world</w:t>
      </w:r>
    </w:p>
    <w:p w14:paraId="59135363" w14:textId="77777777" w:rsidR="0077236B" w:rsidRDefault="0077236B" w:rsidP="0077236B">
      <w:pPr>
        <w:jc w:val="both"/>
      </w:pPr>
    </w:p>
    <w:p w14:paraId="5572D54E" w14:textId="77777777" w:rsidR="0077236B" w:rsidRDefault="0077236B" w:rsidP="0077236B">
      <w:pPr>
        <w:jc w:val="both"/>
      </w:pPr>
      <w:r>
        <w:tab/>
        <w:t>The representation and presentation of homosexuality in films from the 1960’s is not prominent, and when it is presented it is shown as a characteristic of some of the villains. This aspect of the presentation is very much a part of the social opinion of the time, with homosexuality still being illegal in the UK and only legal in a small selection of states in the USA.</w:t>
      </w:r>
      <w:r>
        <w:rPr>
          <w:rStyle w:val="FootnoteReference"/>
        </w:rPr>
        <w:footnoteReference w:id="3"/>
      </w:r>
      <w:r>
        <w:t xml:space="preserve"> Many of the different films that use this device, present what can be considered to be Christian films, as they present either religious stories or they present religious undertones. This section intends to explore this fully.</w:t>
      </w:r>
    </w:p>
    <w:p w14:paraId="316DF118" w14:textId="53930E57" w:rsidR="0077236B" w:rsidRDefault="0077236B" w:rsidP="0077236B">
      <w:pPr>
        <w:jc w:val="both"/>
      </w:pPr>
      <w:r>
        <w:tab/>
        <w:t xml:space="preserve">One of the instances where this is the case is in the 1960 film </w:t>
      </w:r>
      <w:r>
        <w:rPr>
          <w:i/>
        </w:rPr>
        <w:t>Spartacus</w:t>
      </w:r>
      <w:r>
        <w:t>.</w:t>
      </w:r>
      <w:r>
        <w:rPr>
          <w:rStyle w:val="FootnoteReference"/>
        </w:rPr>
        <w:footnoteReference w:id="4"/>
      </w:r>
      <w:r>
        <w:t xml:space="preserve"> In this film there are several risqué moments for when this film was realised. Several of these moments are seen in the political themes of the film, which is often cited as presenting a more communist point of view than the American audience would be willing to accept, with this being the cause for the film to be </w:t>
      </w:r>
      <w:r>
        <w:lastRenderedPageBreak/>
        <w:t>blacklisted.</w:t>
      </w:r>
      <w:r>
        <w:rPr>
          <w:rStyle w:val="FootnoteReference"/>
        </w:rPr>
        <w:footnoteReference w:id="5"/>
      </w:r>
      <w:r>
        <w:t xml:space="preserve"> With these themes though there are also several scenes of sexual content</w:t>
      </w:r>
      <w:r>
        <w:rPr>
          <w:rStyle w:val="FootnoteReference"/>
        </w:rPr>
        <w:footnoteReference w:id="6"/>
      </w:r>
      <w:r>
        <w:t xml:space="preserve"> and a single scene possibly depicting a non-heteronormative sexuality. In one scene the character of </w:t>
      </w:r>
      <w:r w:rsidR="000C2F22">
        <w:t>Crassus</w:t>
      </w:r>
      <w:r>
        <w:t xml:space="preserve"> states that he enjoys </w:t>
      </w:r>
      <w:r w:rsidR="000C2F22">
        <w:t>“both snails</w:t>
      </w:r>
      <w:r>
        <w:t xml:space="preserve"> and </w:t>
      </w:r>
      <w:r w:rsidR="000C2F22">
        <w:t>oysters</w:t>
      </w:r>
      <w:r>
        <w:t>.”</w:t>
      </w:r>
      <w:r>
        <w:rPr>
          <w:rStyle w:val="FootnoteReference"/>
        </w:rPr>
        <w:footnoteReference w:id="7"/>
      </w:r>
      <w:r>
        <w:t xml:space="preserve"> This innuendo, delivered by </w:t>
      </w:r>
      <w:r w:rsidR="000C2F22">
        <w:t>Lawrence Oliver</w:t>
      </w:r>
      <w:r>
        <w:t xml:space="preserve">, is interpreted as the character revealing that he is bisexual. While this is not homosexuality as has been established previously, it is one of the examples where a non-heteronormative sexuality is presented. This presentation of the bisexuality being mentioned for two reasons: firstly, </w:t>
      </w:r>
      <w:r>
        <w:rPr>
          <w:i/>
        </w:rPr>
        <w:t>Spartacus</w:t>
      </w:r>
      <w:r>
        <w:t xml:space="preserve"> presents a Christian message; secondly, the relationship with the socio-historic context with homosexuality. As stated in the introduction to this research, the presentation of non-heteronormative sexualities </w:t>
      </w:r>
      <w:proofErr w:type="gramStart"/>
      <w:r>
        <w:t>are</w:t>
      </w:r>
      <w:proofErr w:type="gramEnd"/>
      <w:r>
        <w:t xml:space="preserve"> assigned primarily to the villains of the story, in this case to a Roman rather than specifically </w:t>
      </w:r>
      <w:r w:rsidR="000C2F22">
        <w:t>Crassus</w:t>
      </w:r>
      <w:r>
        <w:t>. This is in part to the Christian philosophy that is presented with the film, as</w:t>
      </w:r>
      <w:r w:rsidR="00F231C7">
        <w:t xml:space="preserve"> </w:t>
      </w:r>
      <w:proofErr w:type="spellStart"/>
      <w:r w:rsidR="00F231C7">
        <w:t>Malamund</w:t>
      </w:r>
      <w:proofErr w:type="spellEnd"/>
      <w:r>
        <w:t xml:space="preserve"> demonstrates.</w:t>
      </w:r>
      <w:r>
        <w:rPr>
          <w:rStyle w:val="FootnoteReference"/>
        </w:rPr>
        <w:footnoteReference w:id="8"/>
      </w:r>
      <w:r>
        <w:t xml:space="preserve"> This Christian ideology would have been very much in the minds of the film makers, and at this time it the Christian rhetoric was used to persecute homosexual practices,</w:t>
      </w:r>
      <w:r>
        <w:rPr>
          <w:rStyle w:val="FootnoteReference"/>
        </w:rPr>
        <w:footnoteReference w:id="9"/>
      </w:r>
      <w:r>
        <w:t xml:space="preserve"> as they still are in many parts of the world.</w:t>
      </w:r>
      <w:r w:rsidR="00A779F8">
        <w:t xml:space="preserve"> </w:t>
      </w:r>
      <w:r>
        <w:t xml:space="preserve">This makes the presentation of homosexuality in some of the villains of the film a statement, intentional or not, to evoke certain feeling in the audience. Using this imagery and association to place </w:t>
      </w:r>
      <w:proofErr w:type="gramStart"/>
      <w:r>
        <w:t>an uncomfortable responses</w:t>
      </w:r>
      <w:proofErr w:type="gramEnd"/>
      <w:r>
        <w:t xml:space="preserve"> in the audience, which may reinforce their dislike of the Romans. This would likely have been placed on the Romans as part of presenting them as a pagan religion, and so being presented as different as possible from the Christianised presentation of Spartacus himself. This would only increase the differentiation between the Romans and the rebellious slaves, who the audience are meant to identify with. To further the probable manner in which the audience would perceive the homosexual acts, the legality of homosexuality was still in question in most places in the world, including the UK and USA.</w:t>
      </w:r>
      <w:r>
        <w:rPr>
          <w:rStyle w:val="FootnoteReference"/>
        </w:rPr>
        <w:footnoteReference w:id="10"/>
      </w:r>
      <w:r>
        <w:t xml:space="preserve"> This is relevant as the legality of an act often discerns the public attitude towards it, and the fact that there are still nation states where homosexuality is currently illegal and where the public intolerance towards homosexuals are still high.</w:t>
      </w:r>
      <w:r>
        <w:rPr>
          <w:rStyle w:val="FootnoteReference"/>
        </w:rPr>
        <w:footnoteReference w:id="11"/>
      </w:r>
      <w:r>
        <w:t xml:space="preserve"> This all would factor into the audience perception of the film’s Romans, from their possible negativity towards the sexuality. </w:t>
      </w:r>
    </w:p>
    <w:p w14:paraId="61C704CD" w14:textId="710442DA" w:rsidR="0077236B" w:rsidRDefault="0077236B" w:rsidP="0077236B">
      <w:pPr>
        <w:jc w:val="both"/>
      </w:pPr>
      <w:r>
        <w:tab/>
        <w:t>Before moving on there is a factor in this work, which will be relevant again later in this research, that needs to be addressed: sexuality in the ancient world. This a large topic, the scope of which is unable to be discussed within the confines of this work, so this will be a brief summarisation. For the Romans (generally rather than a specific era) there is somewhat of a stigma against homosexual acts, though possibly not as prevalent as with the more modern persecution</w:t>
      </w:r>
      <w:r w:rsidR="003E5A35">
        <w:t xml:space="preserve"> from the 19</w:t>
      </w:r>
      <w:r w:rsidR="003E5A35" w:rsidRPr="003E5A35">
        <w:rPr>
          <w:vertAlign w:val="superscript"/>
        </w:rPr>
        <w:t>th</w:t>
      </w:r>
      <w:r w:rsidR="003E5A35">
        <w:t xml:space="preserve"> and early 20</w:t>
      </w:r>
      <w:r w:rsidR="003E5A35" w:rsidRPr="003E5A35">
        <w:rPr>
          <w:vertAlign w:val="superscript"/>
        </w:rPr>
        <w:t>th</w:t>
      </w:r>
      <w:r w:rsidR="003E5A35">
        <w:t xml:space="preserve"> centuries</w:t>
      </w:r>
      <w:r>
        <w:t>.</w:t>
      </w:r>
      <w:r>
        <w:rPr>
          <w:rStyle w:val="FootnoteReference"/>
        </w:rPr>
        <w:footnoteReference w:id="12"/>
      </w:r>
      <w:r>
        <w:t xml:space="preserve"> What this means is that representation of a bisexual in the manner that is depicted in </w:t>
      </w:r>
      <w:r>
        <w:rPr>
          <w:i/>
        </w:rPr>
        <w:t>Spartacus</w:t>
      </w:r>
      <w:r>
        <w:t xml:space="preserve"> might not necessarily be an incorrect presentation. Though it should be said that many sexual acts, heterosexual and homosexual, were considered to taint the individuals involved, a stigma that could be removed through piety.</w:t>
      </w:r>
      <w:r>
        <w:rPr>
          <w:rStyle w:val="FootnoteReference"/>
        </w:rPr>
        <w:footnoteReference w:id="13"/>
      </w:r>
      <w:r>
        <w:t xml:space="preserve"> In the context of male homosexual acts the dishonour appeared to be placed on whoe</w:t>
      </w:r>
      <w:r w:rsidR="009D4786">
        <w:t>ver the receiver of the act was.</w:t>
      </w:r>
      <w:r>
        <w:rPr>
          <w:rStyle w:val="FootnoteReference"/>
        </w:rPr>
        <w:footnoteReference w:id="14"/>
      </w:r>
      <w:r>
        <w:t xml:space="preserve"> This means that presenting a bisexual man is not inaccurate in </w:t>
      </w:r>
      <w:r>
        <w:rPr>
          <w:i/>
        </w:rPr>
        <w:t>Spartacus</w:t>
      </w:r>
      <w:r>
        <w:t xml:space="preserve">, but serves a different purpose than historical </w:t>
      </w:r>
      <w:r>
        <w:lastRenderedPageBreak/>
        <w:t xml:space="preserve">representation. Whilst addressing the Roman aspect it is also worth presenting the equivalent Greek perspective. </w:t>
      </w:r>
    </w:p>
    <w:p w14:paraId="2B101992" w14:textId="12644AB4" w:rsidR="0077236B" w:rsidRDefault="0077236B" w:rsidP="0077236B">
      <w:pPr>
        <w:ind w:firstLine="720"/>
        <w:jc w:val="both"/>
      </w:pPr>
      <w:r>
        <w:t>For the Greeks, from the Archaic to Hellenistic again as a generalisation, homosexuality would not have been consideration as it does not seem to have been recognised as anything abnormal.</w:t>
      </w:r>
      <w:r>
        <w:rPr>
          <w:rStyle w:val="FootnoteReference"/>
        </w:rPr>
        <w:footnoteReference w:id="15"/>
      </w:r>
      <w:r>
        <w:t xml:space="preserve"> Indeed there is the example of the attitude towards heterosexual and homosexual relationships from “</w:t>
      </w:r>
      <w:r w:rsidR="00514079">
        <w:t>…men; who…love women as well as men</w:t>
      </w:r>
      <w:r>
        <w:t>”.</w:t>
      </w:r>
      <w:r w:rsidR="00565CAB">
        <w:rPr>
          <w:rStyle w:val="FootnoteReference"/>
        </w:rPr>
        <w:footnoteReference w:id="16"/>
      </w:r>
      <w:r>
        <w:t xml:space="preserve"> This clearly shows that homosexuality and bisexuality are seemingly an accepted part of Greek life, if not necessarily acceptable at all times. There does appear to be somewhat of a similarity to the Roman attitudes in that these acts, if done in an indecent manner, would also taint the individuals involved.</w:t>
      </w:r>
      <w:r>
        <w:rPr>
          <w:rStyle w:val="FootnoteReference"/>
        </w:rPr>
        <w:footnoteReference w:id="17"/>
      </w:r>
      <w:r>
        <w:t xml:space="preserve"> However, this is to a greatly reduced extent from the Romans perspective, as can be seen with the Theban Sacred Band and the various comments about them from the both Greek and Roman sources. In explanation, the Theban Sacred Band were a group of elite soldiers in Thebes who were known for being in relationships with other members of the Sacred Band.</w:t>
      </w:r>
      <w:r>
        <w:rPr>
          <w:rStyle w:val="FootnoteReference"/>
        </w:rPr>
        <w:footnoteReference w:id="18"/>
      </w:r>
      <w:r>
        <w:t xml:space="preserve"> The Roman era writer </w:t>
      </w:r>
      <w:proofErr w:type="spellStart"/>
      <w:r w:rsidR="00652AB9" w:rsidRPr="00652AB9">
        <w:t>Athenaeus</w:t>
      </w:r>
      <w:proofErr w:type="spellEnd"/>
      <w:r w:rsidR="00652AB9" w:rsidRPr="00652AB9">
        <w:t xml:space="preserve"> </w:t>
      </w:r>
      <w:r>
        <w:t>has been translated as stating that the manner of their existence was “disgraceful” and it was intended for them the die in battle rather than live as they were.</w:t>
      </w:r>
      <w:r>
        <w:rPr>
          <w:rStyle w:val="FootnoteReference"/>
        </w:rPr>
        <w:footnoteReference w:id="19"/>
      </w:r>
      <w:r>
        <w:t xml:space="preserve"> This description does seem to depend on the era in which the passage was translated, inferring that there is somewhat of the translators opinions on the matter being transferred to this passage. </w:t>
      </w:r>
      <w:r w:rsidR="001037AE">
        <w:t xml:space="preserve">Though it should be worth note that Plutarch and </w:t>
      </w:r>
      <w:proofErr w:type="spellStart"/>
      <w:r w:rsidR="001037AE">
        <w:t>Polyaensus</w:t>
      </w:r>
      <w:proofErr w:type="spellEnd"/>
      <w:r w:rsidR="001037AE">
        <w:t xml:space="preserve"> do not raise an </w:t>
      </w:r>
      <w:proofErr w:type="gramStart"/>
      <w:r w:rsidR="001037AE">
        <w:t>objection</w:t>
      </w:r>
      <w:proofErr w:type="gramEnd"/>
      <w:r w:rsidR="001037AE">
        <w:t xml:space="preserve"> so this might be an issue that arises with later Christian values.</w:t>
      </w:r>
      <w:r w:rsidR="001037AE">
        <w:rPr>
          <w:rStyle w:val="FootnoteReference"/>
        </w:rPr>
        <w:footnoteReference w:id="20"/>
      </w:r>
    </w:p>
    <w:p w14:paraId="23B1BB80" w14:textId="1C0366C3" w:rsidR="0077236B" w:rsidRDefault="0077236B" w:rsidP="0077236B">
      <w:pPr>
        <w:ind w:firstLine="720"/>
        <w:jc w:val="both"/>
      </w:pPr>
      <w:r>
        <w:t>It should also be established now that there is a great difference between homosexuality and pederasty. It is a large misconception that scholars fall into that if a source criticises the acts of pederasty, they interpret this as the source also criticising homosexuality in general. This is categorically not the case, as homosexuality and pederasty are not the same thing. Equating the two is no different than those who have done the same with homosexuality and paedophilia within the last few decades. Indeed, this difference is so drastic that under the Wolfenden Report there were specific exceptions made to pederasts</w:t>
      </w:r>
      <w:r w:rsidR="00D00B20">
        <w:t>, meaning podophiles,</w:t>
      </w:r>
      <w:r>
        <w:t xml:space="preserve"> in the otherwise tolerant report which was instrumental in the decriminalisation of homosexuality. This differentiation was made because of the statement of the only homosexual man to testify to the enquiry committee who made the distinction clear.</w:t>
      </w:r>
      <w:r>
        <w:rPr>
          <w:rStyle w:val="FootnoteReference"/>
        </w:rPr>
        <w:footnoteReference w:id="21"/>
      </w:r>
      <w:r>
        <w:t xml:space="preserve"> While scholars who make this mistake have become rare, it does not necessarily mean they are not still making the mistake. It is difficult to accept the arguments of a scholar who makes such a fundamental mistake, however if there are valid points within the argument they are presenting that do not rely upon this mistaken idea then they should still be considered.</w:t>
      </w:r>
      <w:r w:rsidR="00D00B20">
        <w:t xml:space="preserve"> </w:t>
      </w:r>
      <w:proofErr w:type="gramStart"/>
      <w:r w:rsidR="00D00B20">
        <w:t>In spite of</w:t>
      </w:r>
      <w:proofErr w:type="gramEnd"/>
      <w:r w:rsidR="00D00B20">
        <w:t xml:space="preserve"> these comments pederasty has to be acknowledged as part of classical Greek homosexual practices, however, the two acts of homosexuality and pederasty are in no way mutually exclusive.</w:t>
      </w:r>
    </w:p>
    <w:p w14:paraId="7472DF95" w14:textId="2AEDC2F9" w:rsidR="0077236B" w:rsidRDefault="0077236B" w:rsidP="0077236B">
      <w:pPr>
        <w:ind w:firstLine="720"/>
        <w:jc w:val="both"/>
      </w:pPr>
      <w:r>
        <w:t xml:space="preserve">Now that that has been extensively </w:t>
      </w:r>
      <w:proofErr w:type="gramStart"/>
      <w:r>
        <w:t>looked into</w:t>
      </w:r>
      <w:proofErr w:type="gramEnd"/>
      <w:r>
        <w:t xml:space="preserve">, it has become clear that the presentation in </w:t>
      </w:r>
      <w:r>
        <w:rPr>
          <w:i/>
        </w:rPr>
        <w:t>Spartacus</w:t>
      </w:r>
      <w:r>
        <w:t xml:space="preserve"> is not overly contradictory to the apparent historical facts to cause a response from the audience. Although the film does play on the sexuality of </w:t>
      </w:r>
      <w:r w:rsidR="000C2F22">
        <w:t>Crassus</w:t>
      </w:r>
      <w:r>
        <w:t xml:space="preserve"> to create a degree of hostility from the audience, this could be interpreted as a creative liberty rather than an unrepresentative presentation. There are worse representations in the other films made in the same era, who add in </w:t>
      </w:r>
      <w:r>
        <w:lastRenderedPageBreak/>
        <w:t>sex as a selling point, although these are not properly representing sexuality.</w:t>
      </w:r>
      <w:r>
        <w:rPr>
          <w:rStyle w:val="FootnoteReference"/>
        </w:rPr>
        <w:footnoteReference w:id="22"/>
      </w:r>
      <w:r>
        <w:t xml:space="preserve"> This could always be the because of this era producing the biblical stories, and so the genre at the time would have been very Christianity based.</w:t>
      </w:r>
    </w:p>
    <w:p w14:paraId="75F85F45" w14:textId="77777777" w:rsidR="0077236B" w:rsidRDefault="0077236B" w:rsidP="0077236B">
      <w:pPr>
        <w:jc w:val="both"/>
      </w:pPr>
    </w:p>
    <w:p w14:paraId="546BDBEB" w14:textId="77777777" w:rsidR="0077236B" w:rsidRPr="004F30D4" w:rsidRDefault="0077236B" w:rsidP="0077236B">
      <w:pPr>
        <w:pStyle w:val="Heading2"/>
        <w:rPr>
          <w:color w:val="auto"/>
        </w:rPr>
      </w:pPr>
      <w:r w:rsidRPr="004F30D4">
        <w:rPr>
          <w:color w:val="auto"/>
        </w:rPr>
        <w:t>Controversy</w:t>
      </w:r>
    </w:p>
    <w:p w14:paraId="48E097F8" w14:textId="77777777" w:rsidR="0077236B" w:rsidRDefault="0077236B" w:rsidP="0077236B">
      <w:pPr>
        <w:jc w:val="both"/>
      </w:pPr>
    </w:p>
    <w:p w14:paraId="6B32D783" w14:textId="40DEC470" w:rsidR="0077236B" w:rsidRDefault="0077236B" w:rsidP="0077236B">
      <w:pPr>
        <w:jc w:val="both"/>
      </w:pPr>
      <w:r>
        <w:tab/>
        <w:t xml:space="preserve">Moving on from the 1960’s films on the ancient world to one that hat uses sexuality seemingly </w:t>
      </w:r>
      <w:r w:rsidR="00E63D2D">
        <w:t xml:space="preserve">as </w:t>
      </w:r>
      <w:r>
        <w:t xml:space="preserve">a way to cause controversy: </w:t>
      </w:r>
      <w:r w:rsidR="007E5730">
        <w:rPr>
          <w:i/>
        </w:rPr>
        <w:t>Monty Python’s</w:t>
      </w:r>
      <w:r>
        <w:rPr>
          <w:i/>
        </w:rPr>
        <w:t xml:space="preserve"> </w:t>
      </w:r>
      <w:proofErr w:type="gramStart"/>
      <w:r>
        <w:rPr>
          <w:i/>
        </w:rPr>
        <w:t>The</w:t>
      </w:r>
      <w:proofErr w:type="gramEnd"/>
      <w:r>
        <w:rPr>
          <w:i/>
        </w:rPr>
        <w:t xml:space="preserve"> Life of Brian</w:t>
      </w:r>
      <w:r>
        <w:t>.</w:t>
      </w:r>
      <w:r w:rsidR="007E5730">
        <w:rPr>
          <w:rStyle w:val="FootnoteReference"/>
        </w:rPr>
        <w:footnoteReference w:id="23"/>
      </w:r>
      <w:r>
        <w:t xml:space="preserve"> Released in 1979 this film came only twelve years after homosexuality was decriminalised in the UK. Incidentally, in the US only twenty-nine states and territories had decriminalised homosexuality before 1979, though many only partially. This film would have been release when this subject was one that would be sensitive to many people in the targeted audience, though possibly slightly less in the UK than in America. This makes the casting of Graham Chapman, an openly homosexual man and activist for gay rights since 1972,</w:t>
      </w:r>
      <w:r>
        <w:rPr>
          <w:rStyle w:val="FootnoteReference"/>
        </w:rPr>
        <w:footnoteReference w:id="24"/>
      </w:r>
      <w:r>
        <w:t xml:space="preserve"> as Brian, particularly provocative and controversial. </w:t>
      </w:r>
    </w:p>
    <w:p w14:paraId="1882B54D" w14:textId="7A87552C" w:rsidR="0077236B" w:rsidRDefault="0077236B" w:rsidP="0077236B">
      <w:pPr>
        <w:jc w:val="both"/>
      </w:pPr>
      <w:r>
        <w:tab/>
        <w:t>The character of Brian in the film is a clear allegory for Jesus, despite Jesus appearing in the film at the sermon on the mount</w:t>
      </w:r>
      <w:r>
        <w:rPr>
          <w:rStyle w:val="FootnoteReference"/>
        </w:rPr>
        <w:footnoteReference w:id="25"/>
      </w:r>
      <w:r>
        <w:t xml:space="preserve"> In the early interviews from the cast of Monty Python, they insisted that the character of Brian was not a repr</w:t>
      </w:r>
      <w:r w:rsidR="00C55B8B">
        <w:t>esentation or allegory of Jesus.</w:t>
      </w:r>
      <w:r>
        <w:rPr>
          <w:rStyle w:val="FootnoteReference"/>
        </w:rPr>
        <w:footnoteReference w:id="26"/>
      </w:r>
      <w:r>
        <w:t xml:space="preserve"> This in itself would have caused controversy, as can be seen with the representation of Jesus in </w:t>
      </w:r>
      <w:r>
        <w:rPr>
          <w:i/>
        </w:rPr>
        <w:t>Andrew Lloyd Webber’s: Jesus Christ Superstar</w:t>
      </w:r>
      <w:r>
        <w:t xml:space="preserve"> which opened in 1970.</w:t>
      </w:r>
      <w:r>
        <w:rPr>
          <w:rStyle w:val="FootnoteReference"/>
        </w:rPr>
        <w:footnoteReference w:id="27"/>
      </w:r>
      <w:r>
        <w:t xml:space="preserve"> However, the addition of the character being played by a gay rights activist would only add to the controversy that can be seen with </w:t>
      </w:r>
      <w:r>
        <w:rPr>
          <w:i/>
        </w:rPr>
        <w:t>Jesus Christ Superstar</w:t>
      </w:r>
      <w:r>
        <w:t xml:space="preserve"> due to the many different biblical passages that damn homosexuality.</w:t>
      </w:r>
      <w:r>
        <w:rPr>
          <w:rStyle w:val="FootnoteReference"/>
        </w:rPr>
        <w:footnoteReference w:id="28"/>
      </w:r>
      <w:r>
        <w:t xml:space="preserve"> This controversy is something that Monty Python often used to promote themselves, and thus have the film reach more people. Casting Chapman as the principle character would make this controversy worse. </w:t>
      </w:r>
    </w:p>
    <w:p w14:paraId="6972166C" w14:textId="68A27C8F" w:rsidR="0077236B" w:rsidRDefault="0077236B" w:rsidP="0077236B">
      <w:pPr>
        <w:jc w:val="both"/>
      </w:pPr>
      <w:r>
        <w:tab/>
        <w:t>It needs to be acknowledged that there are other ways in which this film caused controversy at the time of its release, such as depicti</w:t>
      </w:r>
      <w:r w:rsidR="00F231C7">
        <w:t>ng an allegory for Jesus itself</w:t>
      </w:r>
      <w:r>
        <w:t xml:space="preserve">. These contributed to the film being banned by many </w:t>
      </w:r>
      <w:r w:rsidR="00C55B8B">
        <w:t>towns</w:t>
      </w:r>
      <w:r w:rsidR="008B1CDB">
        <w:t xml:space="preserve"> and some countries</w:t>
      </w:r>
      <w:r>
        <w:t>.</w:t>
      </w:r>
      <w:r>
        <w:rPr>
          <w:rStyle w:val="FootnoteReference"/>
        </w:rPr>
        <w:footnoteReference w:id="29"/>
      </w:r>
      <w:r>
        <w:t xml:space="preserve"> While this aspect of the reception the film would have likely been lessened by if one of the other cast members of Monty Python had played Brian, the fact that Chapman was homosexual would have added to the infuriation that many felt at the film. There are numerous interviews and articles from the time that show the attitude of many and have members of Monty Python, most notable and most often John Cleese, defending their casting and the making of this film against the criticism that it is blasphemous and should therefore not be shown in cinemas. This claim of blasphemy was also raised against </w:t>
      </w:r>
      <w:r>
        <w:rPr>
          <w:i/>
        </w:rPr>
        <w:t>Jesus Christ Superstar</w:t>
      </w:r>
      <w:r>
        <w:t xml:space="preserve">, so cannot be placed solely upon the casting. However, it should also be noted that much of the controversy was over the depiction of Jesus in a comedy film, considering the previous biblical films did not present Jesus himself and not present the biblical figures in a potentially disrespectful way. Specifically, </w:t>
      </w:r>
      <w:r>
        <w:rPr>
          <w:i/>
        </w:rPr>
        <w:t>The Life of Brian</w:t>
      </w:r>
      <w:r>
        <w:t xml:space="preserve"> has a scene of full frontal nudity depicting Brian waking the morning after sleeping with the character Judith, played by Sue Jones-Davies.</w:t>
      </w:r>
      <w:r>
        <w:rPr>
          <w:rStyle w:val="FootnoteReference"/>
        </w:rPr>
        <w:footnoteReference w:id="30"/>
      </w:r>
      <w:r>
        <w:t xml:space="preserve"> This would have also added to any of the potential outrage </w:t>
      </w:r>
      <w:r>
        <w:lastRenderedPageBreak/>
        <w:t>caused by the film. In addition to this, there is also the fact that Jesus is depicted in the film at the Sermon on the Mount</w:t>
      </w:r>
      <w:r>
        <w:rPr>
          <w:rStyle w:val="FootnoteReference"/>
        </w:rPr>
        <w:footnoteReference w:id="31"/>
      </w:r>
      <w:r>
        <w:t xml:space="preserve"> meaning the objections to Jesus being depicted are valid as he is indisputably shown. Further to this there is also the stoning scene near the beginning of the film.</w:t>
      </w:r>
      <w:r>
        <w:rPr>
          <w:rStyle w:val="FootnoteReference"/>
        </w:rPr>
        <w:footnoteReference w:id="32"/>
      </w:r>
      <w:r>
        <w:t xml:space="preserve"> This scene comments on the extreme response to someone saying the name of god, and in doing so the character of the priest, played by John Cleese,</w:t>
      </w:r>
      <w:r w:rsidR="00FE098F">
        <w:rPr>
          <w:rStyle w:val="FootnoteReference"/>
        </w:rPr>
        <w:footnoteReference w:id="33"/>
      </w:r>
      <w:r>
        <w:t xml:space="preserve"> says Jehovah on many occasions. This scene could easily </w:t>
      </w:r>
      <w:proofErr w:type="gramStart"/>
      <w:r>
        <w:t>be seen as</w:t>
      </w:r>
      <w:proofErr w:type="gramEnd"/>
      <w:r>
        <w:t xml:space="preserve"> a blasphemy by itself, this would also have added to the controversy.  Essentially, there are many aspects of the film that could easily have contributed to the film’s controversy and whilst the casting of Graham Chapman added to this controversy it is not the only factor.</w:t>
      </w:r>
    </w:p>
    <w:p w14:paraId="58D32A10" w14:textId="2EA59110" w:rsidR="0077236B" w:rsidRDefault="0077236B" w:rsidP="0077236B">
      <w:pPr>
        <w:jc w:val="both"/>
      </w:pPr>
      <w:r>
        <w:tab/>
        <w:t xml:space="preserve">There is also the other consideration that should be discussed regarding Graham Chapman, and that is that Graham Chapman would often play the more significant roles, the key example being that he played King Arthur in </w:t>
      </w:r>
      <w:r>
        <w:rPr>
          <w:i/>
        </w:rPr>
        <w:t>Monty Python and the Holy Grail</w:t>
      </w:r>
      <w:r>
        <w:t>.</w:t>
      </w:r>
      <w:r>
        <w:rPr>
          <w:rStyle w:val="FootnoteReference"/>
        </w:rPr>
        <w:footnoteReference w:id="34"/>
      </w:r>
      <w:r>
        <w:t xml:space="preserve"> Something that </w:t>
      </w:r>
      <w:r w:rsidR="007160D3">
        <w:t>Terry Jones</w:t>
      </w:r>
      <w:r>
        <w:t xml:space="preserve"> has said in </w:t>
      </w:r>
      <w:r w:rsidR="007160D3">
        <w:t>2014</w:t>
      </w:r>
      <w:r>
        <w:t xml:space="preserve"> is the statement that Monty Python “had lost their leading man.”</w:t>
      </w:r>
      <w:r>
        <w:rPr>
          <w:rStyle w:val="FootnoteReference"/>
        </w:rPr>
        <w:footnoteReference w:id="35"/>
      </w:r>
      <w:r>
        <w:t xml:space="preserve"> This shows that no matter what the subject of the film was that Chapman would have taken the prominent role and that the other five members of Monty Python (John Cleese, Terry Gilliam, Eric Idle, Terry Jones, and Michael Palin) playing an assortment of supporting roles as they do in both </w:t>
      </w:r>
      <w:r>
        <w:rPr>
          <w:i/>
        </w:rPr>
        <w:t>The Holy Grail</w:t>
      </w:r>
      <w:r>
        <w:t xml:space="preserve"> and </w:t>
      </w:r>
      <w:r>
        <w:rPr>
          <w:i/>
        </w:rPr>
        <w:t>Life of Brian</w:t>
      </w:r>
      <w:r>
        <w:t xml:space="preserve">. This would mean that a large portion of the casting of Chapman would be because of his skill as an actor and capability, therefore his casting was not to create a controversy over him being a homosexual man playing a Jesus allegory. It might also be that he fell into these roles because of his drinking problems which could often interfere with filming schedules, when they were making </w:t>
      </w:r>
      <w:r>
        <w:rPr>
          <w:i/>
        </w:rPr>
        <w:t>The Flying Circus</w:t>
      </w:r>
      <w:r>
        <w:t xml:space="preserve"> as Chapman would often begin drinking at lunch and remain intoxicated for the rest of the day.</w:t>
      </w:r>
      <w:r>
        <w:rPr>
          <w:rStyle w:val="FootnoteReference"/>
        </w:rPr>
        <w:footnoteReference w:id="36"/>
      </w:r>
      <w:r>
        <w:t xml:space="preserve"> This would mean that playing the same character would make it easier on Chapman if he returned to the addiction, as it seems to be he had the problem under control by the time of filming </w:t>
      </w:r>
      <w:r>
        <w:rPr>
          <w:i/>
        </w:rPr>
        <w:t>Life of Brian</w:t>
      </w:r>
      <w:r>
        <w:t>,</w:t>
      </w:r>
      <w:r>
        <w:rPr>
          <w:rStyle w:val="FootnoteReference"/>
        </w:rPr>
        <w:footnoteReference w:id="37"/>
      </w:r>
      <w:r>
        <w:t xml:space="preserve"> rather than having to be constantly flitting between characters as he had to do on </w:t>
      </w:r>
      <w:r>
        <w:rPr>
          <w:i/>
        </w:rPr>
        <w:t>Flying Circus</w:t>
      </w:r>
      <w:r>
        <w:t xml:space="preserve">. Considering all of this it does appear to be that the casting of Chapman would have occurred regardless of it creating the controversy that Monty Python could have used </w:t>
      </w:r>
      <w:proofErr w:type="gramStart"/>
      <w:r>
        <w:t>in order to</w:t>
      </w:r>
      <w:proofErr w:type="gramEnd"/>
      <w:r>
        <w:t xml:space="preserve"> sell tickets to the public. </w:t>
      </w:r>
    </w:p>
    <w:p w14:paraId="3801992E" w14:textId="27DF778C" w:rsidR="0077236B" w:rsidRDefault="0077236B" w:rsidP="0077236B">
      <w:pPr>
        <w:jc w:val="both"/>
      </w:pPr>
      <w:r>
        <w:tab/>
        <w:t xml:space="preserve">The question remains, did Monty Python uses the sexuality of Graham Chapman </w:t>
      </w:r>
      <w:proofErr w:type="gramStart"/>
      <w:r>
        <w:t>as a way to</w:t>
      </w:r>
      <w:proofErr w:type="gramEnd"/>
      <w:r>
        <w:t xml:space="preserve"> create further controversy in order to sell the tickets? It is unclear, as it is not something that they seem to ever have fully addressed either way. As it does not seem as if this is something that they would do without Chapman’s permission on the matter, which they probably would have got considering Chapman’s </w:t>
      </w:r>
      <w:r w:rsidR="00FC3C47">
        <w:t>promotion of gay rights</w:t>
      </w:r>
      <w:r>
        <w:t>. Considering it is an objection that was raised frequently in the interviews and debates of the time it is not unreasonable to assume it is something that Monty Python considered during the marketing of the film. However, it does not appear to be the case that he was cast in the role because of his sexuality to create controversy, but rather that it is something that came about during the promotions for the film that Monty Python utilised to further the already existing controversy.</w:t>
      </w:r>
      <w:r>
        <w:rPr>
          <w:rStyle w:val="FootnoteReference"/>
        </w:rPr>
        <w:footnoteReference w:id="38"/>
      </w:r>
      <w:r>
        <w:t xml:space="preserve"> The sexuality of Chapman seems as if it is something that Monty Python did not intend to use to create the controversy but something that when controversy began around it they used to promote the film.</w:t>
      </w:r>
    </w:p>
    <w:p w14:paraId="305E4CBC" w14:textId="1361A054" w:rsidR="0077236B" w:rsidRDefault="0077236B" w:rsidP="0077236B">
      <w:pPr>
        <w:jc w:val="both"/>
      </w:pPr>
      <w:r>
        <w:lastRenderedPageBreak/>
        <w:tab/>
        <w:t>There is also one other factor that should be addressed briefly when assessing sexuality in the Life of Brian, and that is the character of Stan or Loretta, played by Eric Idle.</w:t>
      </w:r>
      <w:r>
        <w:rPr>
          <w:rStyle w:val="FootnoteReference"/>
        </w:rPr>
        <w:footnoteReference w:id="39"/>
      </w:r>
      <w:r>
        <w:t xml:space="preserve"> This character, as the two names suggests, is a character that wishes to be identified by another gender, what would </w:t>
      </w:r>
      <w:proofErr w:type="gramStart"/>
      <w:r>
        <w:t>called</w:t>
      </w:r>
      <w:proofErr w:type="gramEnd"/>
      <w:r>
        <w:t xml:space="preserve"> transgender today. Again, the distinctions between transgender and homosexuality needs to be made as they are not the same thing, which is why this aspect of the film will not be being discussed fully, but how they handle the character in the context of the film does shed some light on their attitudes towards progressive matters such as this. Fundamentally, the way that Monty Python handles this matter is not only sensitive for a comedy where it is a joke, but relatively</w:t>
      </w:r>
      <w:r w:rsidR="008F61FA">
        <w:t xml:space="preserve"> progressively and acceptingly</w:t>
      </w:r>
      <w:r>
        <w:t xml:space="preserve">. Once the issue has been raised by Loretta, the character’s preferred name, the other characters in the film refer to the character as Loretta rather than Stan, clearly demonstrating that they respect the character’s decision. While this may be a commentary on many things, it could also </w:t>
      </w:r>
      <w:proofErr w:type="gramStart"/>
      <w:r>
        <w:t>be a reflection of</w:t>
      </w:r>
      <w:proofErr w:type="gramEnd"/>
      <w:r>
        <w:t xml:space="preserve"> the attitudes of Monty Python to Chapman coming out in 1966. What interviews with Chapman and the other members of Monty Python reveal is that John Cleese was the member who was most taken aback by the revelation, with Chapman saying he was shocked with negative connotations and Cleese saying it was a surprise with more neutral connotations.</w:t>
      </w:r>
      <w:r>
        <w:rPr>
          <w:rStyle w:val="FootnoteReference"/>
        </w:rPr>
        <w:footnoteReference w:id="40"/>
      </w:r>
      <w:r>
        <w:t xml:space="preserve"> In either case, all seem to agree that Cleese was the most affected by it. This seems to also be the case in the scene with Loretta, as Cleese’s character Reg</w:t>
      </w:r>
      <w:r w:rsidR="00FB3193">
        <w:rPr>
          <w:rStyle w:val="FootnoteReference"/>
        </w:rPr>
        <w:footnoteReference w:id="41"/>
      </w:r>
      <w:r>
        <w:t xml:space="preserve"> seems the most opposed to the idea, though ultimately respects the decision. As this scene follows many of the same beats, with a newer issue on gender and sexuality it would appear as if this scene is, at least subconsciously, to be a reflection on how the Monty Python cast reacted to Chapman coming out to them.</w:t>
      </w:r>
    </w:p>
    <w:p w14:paraId="2CB285AA" w14:textId="77777777" w:rsidR="0077236B" w:rsidRDefault="0077236B" w:rsidP="0077236B">
      <w:pPr>
        <w:jc w:val="both"/>
      </w:pPr>
      <w:r>
        <w:tab/>
        <w:t xml:space="preserve">This attitude does appear to be a progression from what </w:t>
      </w:r>
      <w:r>
        <w:rPr>
          <w:i/>
        </w:rPr>
        <w:t>Spartacus</w:t>
      </w:r>
      <w:r>
        <w:t xml:space="preserve"> does in the representation of homosexuality. From </w:t>
      </w:r>
      <w:r>
        <w:rPr>
          <w:i/>
        </w:rPr>
        <w:t>Spartacus</w:t>
      </w:r>
      <w:r>
        <w:t xml:space="preserve"> to the </w:t>
      </w:r>
      <w:r>
        <w:rPr>
          <w:i/>
        </w:rPr>
        <w:t>Life of Brian</w:t>
      </w:r>
      <w:r>
        <w:t xml:space="preserve"> there is the distinct shift from using sexuality to mark the villains, to what could be considered progressive attitudes for the time within the film, and less progressive but more accepting outside of the film. While Graham Chapman’s sexuality does seem to be utilised as a promotional method for the film, it is not one that seems to be done in an offensive way to him of other homosexuals, but rather to offend those who were staunchly against homosexuality. Indeed, it could be considered progressive to have a homosexual man play Jesus, however this is unlikely to be the case, for the reasons explained before, regarding Chapman as a leading man. From </w:t>
      </w:r>
      <w:r>
        <w:rPr>
          <w:i/>
        </w:rPr>
        <w:t>Spartacus</w:t>
      </w:r>
      <w:r>
        <w:t xml:space="preserve"> to the </w:t>
      </w:r>
      <w:r>
        <w:rPr>
          <w:i/>
        </w:rPr>
        <w:t>Life of Brian,</w:t>
      </w:r>
      <w:r>
        <w:t xml:space="preserve"> there does seem to be progress in the attitudes of film makers towards accepting homosexuality. The obvious reason for this shift in attitude is both the decriminalisation of homosexuality in the UK and the fact that one of the creators of the film was not only a homosexual but also an activist for gay rights. The latter of these two causes is probably the primary basis for the change in presentation in the </w:t>
      </w:r>
      <w:r>
        <w:rPr>
          <w:i/>
        </w:rPr>
        <w:t>Life of Brian,</w:t>
      </w:r>
      <w:r>
        <w:t xml:space="preserve"> even with the strained relationship between him and the other members of Monty Python;</w:t>
      </w:r>
      <w:r>
        <w:rPr>
          <w:rStyle w:val="FootnoteReference"/>
        </w:rPr>
        <w:footnoteReference w:id="42"/>
      </w:r>
      <w:r>
        <w:t xml:space="preserve"> however, there is probably a link between the decriminalisation and the date that Chapman revealed he was homosexual.</w:t>
      </w:r>
    </w:p>
    <w:p w14:paraId="57BE9B88" w14:textId="77777777" w:rsidR="0077236B" w:rsidRDefault="0077236B" w:rsidP="0077236B">
      <w:pPr>
        <w:jc w:val="both"/>
      </w:pPr>
    </w:p>
    <w:p w14:paraId="466182E7" w14:textId="77777777" w:rsidR="0077236B" w:rsidRPr="004F30D4" w:rsidRDefault="0077236B" w:rsidP="0077236B">
      <w:pPr>
        <w:pStyle w:val="Heading2"/>
        <w:rPr>
          <w:color w:val="auto"/>
        </w:rPr>
      </w:pPr>
      <w:r w:rsidRPr="004F30D4">
        <w:rPr>
          <w:color w:val="auto"/>
        </w:rPr>
        <w:t>Post-</w:t>
      </w:r>
      <w:r w:rsidRPr="004F30D4">
        <w:rPr>
          <w:i/>
          <w:color w:val="auto"/>
        </w:rPr>
        <w:t>Gladiator</w:t>
      </w:r>
      <w:r w:rsidRPr="004F30D4">
        <w:rPr>
          <w:color w:val="auto"/>
        </w:rPr>
        <w:t xml:space="preserve"> Films</w:t>
      </w:r>
    </w:p>
    <w:p w14:paraId="25E7B13C" w14:textId="77777777" w:rsidR="0077236B" w:rsidRDefault="0077236B" w:rsidP="0077236B">
      <w:pPr>
        <w:jc w:val="both"/>
      </w:pPr>
    </w:p>
    <w:p w14:paraId="4487120E" w14:textId="77777777" w:rsidR="0077236B" w:rsidRDefault="0077236B" w:rsidP="0077236B">
      <w:pPr>
        <w:jc w:val="both"/>
      </w:pPr>
      <w:r>
        <w:tab/>
        <w:t xml:space="preserve">The recent resurgence in the ‘swords and sandals’ genre has led to several films that present the different aspects of sexuality in the ancient world. As </w:t>
      </w:r>
      <w:r>
        <w:rPr>
          <w:i/>
        </w:rPr>
        <w:t>Gladiator</w:t>
      </w:r>
      <w:r>
        <w:t xml:space="preserve"> itself does not overtly present or reference homosexuality it will not be discussed in this essay, though it does address incest. Two films </w:t>
      </w:r>
      <w:r>
        <w:lastRenderedPageBreak/>
        <w:t xml:space="preserve">that do address homosexuality or bisexuality are </w:t>
      </w:r>
      <w:r>
        <w:rPr>
          <w:i/>
        </w:rPr>
        <w:t>Alexander</w:t>
      </w:r>
      <w:r>
        <w:rPr>
          <w:rStyle w:val="FootnoteReference"/>
          <w:i/>
        </w:rPr>
        <w:footnoteReference w:id="43"/>
      </w:r>
      <w:r>
        <w:t xml:space="preserve"> and </w:t>
      </w:r>
      <w:r>
        <w:rPr>
          <w:i/>
        </w:rPr>
        <w:t>300</w:t>
      </w:r>
      <w:r>
        <w:t>.</w:t>
      </w:r>
      <w:r>
        <w:rPr>
          <w:rStyle w:val="FootnoteReference"/>
        </w:rPr>
        <w:footnoteReference w:id="44"/>
      </w:r>
      <w:r>
        <w:t xml:space="preserve"> For future reference when referring to Alexander it will be in reference to primarily the ‘Final Cut’ version of the film, though scenes from any versions of the film will be considered as scenes have been added and removed in all versions of the film.</w:t>
      </w:r>
      <w:r>
        <w:rPr>
          <w:rStyle w:val="FootnoteReference"/>
        </w:rPr>
        <w:footnoteReference w:id="45"/>
      </w:r>
      <w:r>
        <w:t xml:space="preserve"> Both </w:t>
      </w:r>
      <w:r>
        <w:rPr>
          <w:i/>
        </w:rPr>
        <w:t>Alexander</w:t>
      </w:r>
      <w:r>
        <w:t xml:space="preserve"> and </w:t>
      </w:r>
      <w:r>
        <w:rPr>
          <w:i/>
        </w:rPr>
        <w:t>300</w:t>
      </w:r>
      <w:r>
        <w:t xml:space="preserve"> present sexuality in very different ways in their films, and as such will be addressed separately for the way attitudes both have changed and have not changed since </w:t>
      </w:r>
      <w:r>
        <w:rPr>
          <w:i/>
        </w:rPr>
        <w:t>Spartacus</w:t>
      </w:r>
      <w:r>
        <w:t xml:space="preserve">, with </w:t>
      </w:r>
      <w:r>
        <w:rPr>
          <w:i/>
        </w:rPr>
        <w:t>Alexander</w:t>
      </w:r>
      <w:r>
        <w:t xml:space="preserve"> being relatively neutral in presentation and </w:t>
      </w:r>
      <w:r>
        <w:rPr>
          <w:i/>
        </w:rPr>
        <w:t>300</w:t>
      </w:r>
      <w:r>
        <w:t xml:space="preserve"> being relatively negative.</w:t>
      </w:r>
    </w:p>
    <w:p w14:paraId="0CCC72F7" w14:textId="557C7E90" w:rsidR="0077236B" w:rsidRDefault="0077236B" w:rsidP="0077236B">
      <w:pPr>
        <w:jc w:val="both"/>
      </w:pPr>
      <w:r>
        <w:tab/>
        <w:t xml:space="preserve">First to be analysed will be </w:t>
      </w:r>
      <w:r>
        <w:rPr>
          <w:i/>
        </w:rPr>
        <w:t>Alexander</w:t>
      </w:r>
      <w:r>
        <w:t>. This 2004 film, directed by Oliver Stone, presents many aspects of the life of Alexander the Great, including the probable sexuality of Alexander himself. There is some discussion of Alexander’s sexuality as there are different descriptions of his sexual acts, most not being explicit in disclosing whether he was homosexual or bisexual or heterosexual. For instance, Plutarch is very explicit that Alexander was not homosexual,</w:t>
      </w:r>
      <w:r>
        <w:rPr>
          <w:rStyle w:val="FootnoteReference"/>
        </w:rPr>
        <w:footnoteReference w:id="46"/>
      </w:r>
      <w:r>
        <w:t xml:space="preserve"> implying that the others of the era would be either homosexual or bisexual. This would have been an easy route for Oliver Stone to take in the making of Alexander, as it would not potentially offend any of the audience. However, Stone decided to address the potential relationship between Alexander, played by Colin Farrell,</w:t>
      </w:r>
      <w:r w:rsidR="00FE098F">
        <w:rPr>
          <w:rStyle w:val="FootnoteReference"/>
        </w:rPr>
        <w:footnoteReference w:id="47"/>
      </w:r>
      <w:r>
        <w:t xml:space="preserve"> and Hephaestion, played by Jered Leto.</w:t>
      </w:r>
      <w:r>
        <w:rPr>
          <w:rStyle w:val="FootnoteReference"/>
        </w:rPr>
        <w:footnoteReference w:id="48"/>
      </w:r>
      <w:r>
        <w:t xml:space="preserve"> The relationship between these two characters can be seen in the apparent sacrifices made to the shrines of Achilles and Patroclus who are prominently read as being in a relationship with each other,</w:t>
      </w:r>
      <w:r>
        <w:rPr>
          <w:rStyle w:val="FootnoteReference"/>
        </w:rPr>
        <w:footnoteReference w:id="49"/>
      </w:r>
      <w:r>
        <w:t xml:space="preserve"> though this comparison might have been made after Hephaestion’s death to emphasise their relationship. On which, it is said that after Hephaestion’s death Alexander mourned for longer than he did anyone else.</w:t>
      </w:r>
      <w:r>
        <w:rPr>
          <w:rStyle w:val="FootnoteReference"/>
        </w:rPr>
        <w:footnoteReference w:id="50"/>
      </w:r>
      <w:r>
        <w:t xml:space="preserve"> It is generally considered that these two were in a relationship during their lifetimes, meaning that Alexander would have been bisexual, which is how they are presented by Stone in the film. This means that Stone is being historically accurate, which he has said in interviews was one of his primary goals.</w:t>
      </w:r>
      <w:r>
        <w:rPr>
          <w:rStyle w:val="FootnoteReference"/>
        </w:rPr>
        <w:footnoteReference w:id="51"/>
      </w:r>
    </w:p>
    <w:p w14:paraId="20774DEA" w14:textId="602F3126" w:rsidR="00893F95" w:rsidRDefault="0077236B" w:rsidP="0077236B">
      <w:pPr>
        <w:jc w:val="both"/>
      </w:pPr>
      <w:r>
        <w:tab/>
        <w:t xml:space="preserve">With the accuracy of the films presentation being addressed, there is also the matter of how this factors into the </w:t>
      </w:r>
      <w:proofErr w:type="gramStart"/>
      <w:r>
        <w:t>film as a whole</w:t>
      </w:r>
      <w:proofErr w:type="gramEnd"/>
      <w:r>
        <w:t xml:space="preserve">. Ultimately, this aspect of Alexander the Great is shown in part for historical accuracy and to demonstrate it as a flaw in his character. While this is done relatively well and respectfully, it can be potentially </w:t>
      </w:r>
      <w:proofErr w:type="gramStart"/>
      <w:r>
        <w:t>be</w:t>
      </w:r>
      <w:proofErr w:type="gramEnd"/>
      <w:r>
        <w:t xml:space="preserve"> seen as a negative way to portray bisexuality. This is because the focus of Alexander’s relationship is around his mother Olympia, played by Angelina Jolie,</w:t>
      </w:r>
      <w:r w:rsidR="00FE098F">
        <w:rPr>
          <w:rStyle w:val="FootnoteReference"/>
        </w:rPr>
        <w:footnoteReference w:id="52"/>
      </w:r>
      <w:r>
        <w:t xml:space="preserve"> and his wife Roxanne, played by Rosario Dawson.</w:t>
      </w:r>
      <w:r w:rsidR="00FE098F">
        <w:rPr>
          <w:rStyle w:val="FootnoteReference"/>
        </w:rPr>
        <w:footnoteReference w:id="53"/>
      </w:r>
      <w:r>
        <w:t xml:space="preserve"> Whilst this is an interesting look at the relationship between the three, even with the blatant Oedipus Complex that Alexander shows,</w:t>
      </w:r>
      <w:r>
        <w:rPr>
          <w:rStyle w:val="FootnoteReference"/>
        </w:rPr>
        <w:footnoteReference w:id="54"/>
      </w:r>
      <w:r>
        <w:t xml:space="preserve"> the film </w:t>
      </w:r>
      <w:r w:rsidR="006B1ECC">
        <w:t>presents Hephaestion</w:t>
      </w:r>
      <w:r>
        <w:t xml:space="preserve"> as being a character present to amplify tension between Alexander and Roxanne. While this does work in the context of the film, presenting Roxanne as a secondary relationship to Hephaestion, it does seem to favour the heteronormative perspective due to presenting Roxanne as a character to be sympathised with. The key scene for this is when </w:t>
      </w:r>
      <w:r w:rsidR="00893F95">
        <w:t xml:space="preserve">Roxanne enters during a tender moment between Alexander and Hephaestion leading to an argument between Alexander and </w:t>
      </w:r>
      <w:r w:rsidR="00893F95">
        <w:lastRenderedPageBreak/>
        <w:t>Roxanne</w:t>
      </w:r>
      <w:r>
        <w:t>,</w:t>
      </w:r>
      <w:r>
        <w:rPr>
          <w:rStyle w:val="FootnoteReference"/>
        </w:rPr>
        <w:footnoteReference w:id="55"/>
      </w:r>
      <w:r>
        <w:t xml:space="preserve"> showing that he is part of the cause of the issues in the relationship and part of the weakness of Alexander’s character. While a large part of the empathy that the audience is encouraged to feel is from the Oedipal feelings from Alexander, Hephaestion being present only furthers the issues between Alexander and Roxanne.</w:t>
      </w:r>
      <w:r w:rsidR="00893F95">
        <w:t xml:space="preserve"> </w:t>
      </w:r>
    </w:p>
    <w:p w14:paraId="65DB987F" w14:textId="3FBEF34A" w:rsidR="0077236B" w:rsidRDefault="0077236B" w:rsidP="0077236B">
      <w:pPr>
        <w:jc w:val="both"/>
      </w:pPr>
      <w:r>
        <w:tab/>
        <w:t xml:space="preserve">However, there are aspects to this that are resoundingly positive; primarily, that the relationship presented between Alexander and Hephaestion is genuine and caring relationship between them. This positive presentation is not undermined by the negative aspects as explained in the paragraph above; as was stated then, </w:t>
      </w:r>
      <w:proofErr w:type="gramStart"/>
      <w:r>
        <w:t>it is clear that Alexander’s</w:t>
      </w:r>
      <w:proofErr w:type="gramEnd"/>
      <w:r>
        <w:t xml:space="preserve"> attentions are primarily directed towards Hephaestion, and that these feelings appear to be genuine. Throughout the film there are numerous scenes where the sincere care between the two characters is shown and explored in a way many other films would present a heterosexual relationship. The way in which Oliver Stone presents this relationship is more equal than </w:t>
      </w:r>
      <w:r w:rsidR="002857BD">
        <w:t>many more modern works because he does not seem to see any issue with presenting homosexuality or bisexuality</w:t>
      </w:r>
      <w:r>
        <w:t>.</w:t>
      </w:r>
      <w:r>
        <w:rPr>
          <w:rStyle w:val="FootnoteReference"/>
        </w:rPr>
        <w:footnoteReference w:id="56"/>
      </w:r>
      <w:r>
        <w:t xml:space="preserve"> This presentation of them is one that should be applauded in its efforts to maintain historically accuracy and an overall good presentation of the homosexual relationship. This aspect of the relationship shows the progress from </w:t>
      </w:r>
      <w:r>
        <w:rPr>
          <w:i/>
        </w:rPr>
        <w:t>Spartacus</w:t>
      </w:r>
      <w:r>
        <w:t xml:space="preserve"> well, as it </w:t>
      </w:r>
      <w:proofErr w:type="gramStart"/>
      <w:r>
        <w:t>in itself is</w:t>
      </w:r>
      <w:proofErr w:type="gramEnd"/>
      <w:r>
        <w:t xml:space="preserve"> not a negative that should be associated with the villains of the story, but rather a trait of Alexander with little association either way. Whilst the film does use the sexuality of Alexander </w:t>
      </w:r>
      <w:proofErr w:type="gramStart"/>
      <w:r>
        <w:t>as a way to</w:t>
      </w:r>
      <w:proofErr w:type="gramEnd"/>
      <w:r>
        <w:t xml:space="preserve"> explore his faults, it does seem unlikely that the gender of Hephaestion would have played much of a role in the presentation of the events. The drama appears to primarily come from the existence of another person rather than specifically the gender, though it does play a role in the drama that is presented.</w:t>
      </w:r>
      <w:r w:rsidR="001C7841" w:rsidRPr="001C7841">
        <w:t xml:space="preserve"> </w:t>
      </w:r>
      <w:r w:rsidR="001C7841">
        <w:t xml:space="preserve">There is also the character of </w:t>
      </w:r>
      <w:proofErr w:type="spellStart"/>
      <w:r w:rsidR="001C7841">
        <w:t>Bagoas</w:t>
      </w:r>
      <w:proofErr w:type="spellEnd"/>
      <w:r w:rsidR="001C7841">
        <w:t xml:space="preserve">, played by </w:t>
      </w:r>
      <w:r w:rsidR="001C7841">
        <w:t>Francisco Bosch</w:t>
      </w:r>
      <w:r w:rsidR="001C7841">
        <w:t>,</w:t>
      </w:r>
      <w:r w:rsidR="001C7841">
        <w:rPr>
          <w:rStyle w:val="FootnoteReference"/>
        </w:rPr>
        <w:footnoteReference w:id="57"/>
      </w:r>
      <w:r w:rsidR="001C7841">
        <w:t xml:space="preserve"> who is shown as another lover to Alexander, however, this causes a great deal less of conflict in the film which is why it was not the relationship addressed. It is still worth addressing that this relationship also appears to be one that is caring </w:t>
      </w:r>
      <w:proofErr w:type="gramStart"/>
      <w:r w:rsidR="001C7841">
        <w:t>an</w:t>
      </w:r>
      <w:proofErr w:type="gramEnd"/>
      <w:r w:rsidR="001C7841">
        <w:t xml:space="preserve"> genuine.</w:t>
      </w:r>
      <w:r w:rsidR="001C7841">
        <w:rPr>
          <w:rStyle w:val="FootnoteReference"/>
        </w:rPr>
        <w:footnoteReference w:id="58"/>
      </w:r>
      <w:r w:rsidR="001C7841">
        <w:t xml:space="preserve"> </w:t>
      </w:r>
      <w:r>
        <w:tab/>
        <w:t xml:space="preserve"> </w:t>
      </w:r>
      <w:r>
        <w:tab/>
      </w:r>
    </w:p>
    <w:p w14:paraId="34762943" w14:textId="685F2F19" w:rsidR="0077236B" w:rsidRDefault="0077236B" w:rsidP="0077236B">
      <w:pPr>
        <w:jc w:val="both"/>
      </w:pPr>
      <w:r>
        <w:tab/>
        <w:t xml:space="preserve">The other film that presents homosexuality, though this time in a negative way, is the 2006 film </w:t>
      </w:r>
      <w:r>
        <w:rPr>
          <w:i/>
        </w:rPr>
        <w:t>300</w:t>
      </w:r>
      <w:r>
        <w:t xml:space="preserve">. This film is not especially positive in the way it presents homosexuality. </w:t>
      </w:r>
      <w:r w:rsidR="00EE4321">
        <w:t>The sexuality of the characters themselves is not a</w:t>
      </w:r>
      <w:r w:rsidR="0099799C">
        <w:t>ddressed in the film, though considering the two leading characters in the Spartan force both explicitly have either a wife or children</w:t>
      </w:r>
      <w:r w:rsidR="0099799C">
        <w:rPr>
          <w:rStyle w:val="FootnoteReference"/>
        </w:rPr>
        <w:footnoteReference w:id="59"/>
      </w:r>
      <w:r w:rsidR="0099799C">
        <w:t xml:space="preserve"> it is fair to presume that this heterosexual presentation extends to the others in the film. </w:t>
      </w:r>
      <w:r>
        <w:t xml:space="preserve">There is one explicit reference to homosexuality in </w:t>
      </w:r>
      <w:r>
        <w:rPr>
          <w:i/>
        </w:rPr>
        <w:t>300</w:t>
      </w:r>
      <w:r>
        <w:t xml:space="preserve"> though, in a scene relatively early on in the film the character of Leonidas, played by Gerard Butler,</w:t>
      </w:r>
      <w:r w:rsidR="00FE098F">
        <w:rPr>
          <w:rStyle w:val="FootnoteReference"/>
        </w:rPr>
        <w:footnoteReference w:id="60"/>
      </w:r>
      <w:r>
        <w:t xml:space="preserve"> refers to the Athenians as “philosophers and boy lovers”.</w:t>
      </w:r>
      <w:r>
        <w:rPr>
          <w:rStyle w:val="FootnoteReference"/>
        </w:rPr>
        <w:footnoteReference w:id="61"/>
      </w:r>
      <w:r>
        <w:t xml:space="preserve"> This is clearly referring to the Athenians as pederasts, with the act of pederasty in the ancient world being associated with the educated.</w:t>
      </w:r>
      <w:r>
        <w:rPr>
          <w:rStyle w:val="FootnoteReference"/>
        </w:rPr>
        <w:footnoteReference w:id="62"/>
      </w:r>
      <w:r>
        <w:t xml:space="preserve"> From the previous discussion about scholars who make this error in their perception of homosexuality it will be no surprise that this representation is not something that is particularly positive. This association presented between homosexuality and pederasty or paedophilia, does little more than proliferate the idea that homosexuality is in any way equitable. As pederasty was primarily between two males, there can be considered somewhat of an association in the ancient sources, however, this is not the case and should not be presented in a modern film. While this film was criticised for being little more than an excuse for stylised gore, this continuation of the misconception </w:t>
      </w:r>
      <w:r>
        <w:lastRenderedPageBreak/>
        <w:t xml:space="preserve">is not only an extremely negative presentation but may cause the continuation of homophobia and prejudice. This representation, is not really any different from the presentation in </w:t>
      </w:r>
      <w:r>
        <w:rPr>
          <w:i/>
        </w:rPr>
        <w:t>Spartacus</w:t>
      </w:r>
      <w:r>
        <w:t>, if not potentially worse due to the changing attitudes and legal standing of homosexuality.</w:t>
      </w:r>
      <w:r>
        <w:rPr>
          <w:rStyle w:val="FootnoteReference"/>
        </w:rPr>
        <w:footnoteReference w:id="63"/>
      </w:r>
      <w:r>
        <w:t xml:space="preserve"> </w:t>
      </w:r>
      <w:r>
        <w:rPr>
          <w:i/>
        </w:rPr>
        <w:t>300</w:t>
      </w:r>
      <w:r>
        <w:t xml:space="preserve"> shows that even when the social attitudes of the time change, there will still be films that are not in line with the social attitudes and continue to present misconceptions.</w:t>
      </w:r>
    </w:p>
    <w:p w14:paraId="3419C31C" w14:textId="77777777" w:rsidR="0077236B" w:rsidRDefault="0077236B" w:rsidP="0077236B">
      <w:pPr>
        <w:jc w:val="both"/>
      </w:pPr>
    </w:p>
    <w:p w14:paraId="5B5EE5DB" w14:textId="77777777" w:rsidR="0077236B" w:rsidRPr="004F30D4" w:rsidRDefault="0077236B" w:rsidP="0077236B">
      <w:pPr>
        <w:pStyle w:val="Heading2"/>
        <w:rPr>
          <w:color w:val="auto"/>
        </w:rPr>
      </w:pPr>
      <w:r w:rsidRPr="004F30D4">
        <w:rPr>
          <w:color w:val="auto"/>
        </w:rPr>
        <w:t>Conclusion</w:t>
      </w:r>
    </w:p>
    <w:p w14:paraId="62A4F6D8" w14:textId="77777777" w:rsidR="0077236B" w:rsidRDefault="0077236B" w:rsidP="0077236B">
      <w:pPr>
        <w:jc w:val="both"/>
      </w:pPr>
      <w:bookmarkStart w:id="0" w:name="_GoBack"/>
      <w:bookmarkEnd w:id="0"/>
    </w:p>
    <w:p w14:paraId="6D9EB912" w14:textId="63D7BF48" w:rsidR="0077236B" w:rsidRDefault="0077236B" w:rsidP="0077236B">
      <w:pPr>
        <w:jc w:val="both"/>
      </w:pPr>
      <w:r>
        <w:tab/>
        <w:t xml:space="preserve">From the examples given, there appears to be both progression in the presentation of homosexuality and shortcomings in the representation. The clearest example of progress comes from </w:t>
      </w:r>
      <w:r>
        <w:rPr>
          <w:i/>
        </w:rPr>
        <w:t>Alexander</w:t>
      </w:r>
      <w:r>
        <w:t xml:space="preserve"> and the way the rela</w:t>
      </w:r>
      <w:r w:rsidR="00F231C7">
        <w:t>tionship between Alexander and Hephaestion</w:t>
      </w:r>
      <w:r>
        <w:t xml:space="preserve"> is demonstrated. This presentation is positive overall, with only minor negatives to the presentation. This representation is one that worked well in the context of the film and in the historical accuracy. </w:t>
      </w:r>
      <w:r>
        <w:rPr>
          <w:i/>
        </w:rPr>
        <w:t>Alexander</w:t>
      </w:r>
      <w:r>
        <w:t xml:space="preserve"> does have the biggest change from the presentation of bisexuality in </w:t>
      </w:r>
      <w:r>
        <w:rPr>
          <w:i/>
        </w:rPr>
        <w:t>Spartacus</w:t>
      </w:r>
      <w:r>
        <w:t xml:space="preserve">. Although there are some negatives of the presentation in </w:t>
      </w:r>
      <w:r>
        <w:rPr>
          <w:i/>
        </w:rPr>
        <w:t>300</w:t>
      </w:r>
      <w:r>
        <w:t xml:space="preserve">, these are not the preeminent presentation of homosexuality in the media. Overall, </w:t>
      </w:r>
      <w:proofErr w:type="gramStart"/>
      <w:r>
        <w:t>in the majority of instances</w:t>
      </w:r>
      <w:proofErr w:type="gramEnd"/>
      <w:r>
        <w:t xml:space="preserve"> there has been progression in the way homosexuality is presented as something not abnormal. As Monty Python showed early after the change in legality in the UK the social perception was mixed, allowing for the controversy that promoted the film. Aside from a few minor instances of regression in the presentation of homosexuality, there has been development towards the positive presentations of homosexuality and bisexuality, in a similar manner to social attitudes.</w:t>
      </w:r>
    </w:p>
    <w:p w14:paraId="7D2EEA5C" w14:textId="77777777" w:rsidR="0077236B" w:rsidRDefault="0077236B" w:rsidP="0077236B">
      <w:pPr>
        <w:jc w:val="both"/>
      </w:pPr>
    </w:p>
    <w:p w14:paraId="0BE1D152" w14:textId="77777777" w:rsidR="0077236B" w:rsidRDefault="0077236B" w:rsidP="0077236B">
      <w:r>
        <w:br w:type="page"/>
      </w:r>
    </w:p>
    <w:p w14:paraId="7128010A" w14:textId="77777777" w:rsidR="0077236B" w:rsidRDefault="0077236B" w:rsidP="0077236B">
      <w:pPr>
        <w:pStyle w:val="Heading2"/>
      </w:pPr>
      <w:r>
        <w:lastRenderedPageBreak/>
        <w:t>Bibliography</w:t>
      </w:r>
    </w:p>
    <w:p w14:paraId="26BCDD10" w14:textId="1BE3B570" w:rsidR="0077236B" w:rsidRDefault="0077236B" w:rsidP="0077236B">
      <w:pPr>
        <w:jc w:val="both"/>
      </w:pPr>
    </w:p>
    <w:p w14:paraId="20610471" w14:textId="77777777" w:rsidR="003010A5" w:rsidRPr="0077236B" w:rsidRDefault="003010A5" w:rsidP="003010A5">
      <w:proofErr w:type="spellStart"/>
      <w:r>
        <w:rPr>
          <w:shd w:val="clear" w:color="auto" w:fill="FFFFFF"/>
        </w:rPr>
        <w:t>Athenaeus</w:t>
      </w:r>
      <w:proofErr w:type="spellEnd"/>
      <w:r>
        <w:rPr>
          <w:shd w:val="clear" w:color="auto" w:fill="FFFFFF"/>
        </w:rPr>
        <w:t>, (transl.) Gulick, C. (1969). </w:t>
      </w:r>
      <w:r>
        <w:rPr>
          <w:i/>
          <w:iCs/>
          <w:shd w:val="clear" w:color="auto" w:fill="FFFFFF"/>
        </w:rPr>
        <w:t xml:space="preserve">The </w:t>
      </w:r>
      <w:proofErr w:type="spellStart"/>
      <w:r>
        <w:rPr>
          <w:i/>
          <w:iCs/>
          <w:shd w:val="clear" w:color="auto" w:fill="FFFFFF"/>
        </w:rPr>
        <w:t>Deipnosophists</w:t>
      </w:r>
      <w:proofErr w:type="spellEnd"/>
      <w:r>
        <w:rPr>
          <w:shd w:val="clear" w:color="auto" w:fill="FFFFFF"/>
        </w:rPr>
        <w:t>. London: W. Heinemann.</w:t>
      </w:r>
    </w:p>
    <w:p w14:paraId="44F413FB" w14:textId="77777777" w:rsidR="003010A5" w:rsidRDefault="003010A5" w:rsidP="006D7D69">
      <w:pPr>
        <w:rPr>
          <w:shd w:val="clear" w:color="auto" w:fill="FFFFFF"/>
        </w:rPr>
      </w:pPr>
      <w:proofErr w:type="spellStart"/>
      <w:r>
        <w:rPr>
          <w:shd w:val="clear" w:color="auto" w:fill="FFFFFF"/>
        </w:rPr>
        <w:t>Platon</w:t>
      </w:r>
      <w:proofErr w:type="spellEnd"/>
      <w:r>
        <w:rPr>
          <w:shd w:val="clear" w:color="auto" w:fill="FFFFFF"/>
        </w:rPr>
        <w:t xml:space="preserve">, (transl.) </w:t>
      </w:r>
      <w:proofErr w:type="spellStart"/>
      <w:r>
        <w:rPr>
          <w:shd w:val="clear" w:color="auto" w:fill="FFFFFF"/>
        </w:rPr>
        <w:t>Benardete</w:t>
      </w:r>
      <w:proofErr w:type="spellEnd"/>
      <w:r>
        <w:rPr>
          <w:shd w:val="clear" w:color="auto" w:fill="FFFFFF"/>
        </w:rPr>
        <w:t>, S. and Bloom, A. (2001). </w:t>
      </w:r>
      <w:r>
        <w:rPr>
          <w:i/>
          <w:iCs/>
          <w:shd w:val="clear" w:color="auto" w:fill="FFFFFF"/>
        </w:rPr>
        <w:t>Plato's Symposium</w:t>
      </w:r>
      <w:r>
        <w:rPr>
          <w:shd w:val="clear" w:color="auto" w:fill="FFFFFF"/>
        </w:rPr>
        <w:t>. Chicago: University of Chicago Press.</w:t>
      </w:r>
    </w:p>
    <w:p w14:paraId="62AF4F1C" w14:textId="77777777" w:rsidR="003010A5" w:rsidRPr="00E934D0" w:rsidRDefault="003010A5" w:rsidP="006D7D69">
      <w:pPr>
        <w:rPr>
          <w:shd w:val="clear" w:color="auto" w:fill="FFFFFF"/>
        </w:rPr>
      </w:pPr>
      <w:r w:rsidRPr="00E934D0">
        <w:rPr>
          <w:shd w:val="clear" w:color="auto" w:fill="FFFFFF"/>
        </w:rPr>
        <w:t>Plutarch. (transl.) Dryden, J. (2014). Complete collection of Plutarch's Parallel lives.</w:t>
      </w:r>
    </w:p>
    <w:p w14:paraId="2BD0D717" w14:textId="77777777" w:rsidR="003010A5" w:rsidRPr="00AD6D11" w:rsidRDefault="003010A5" w:rsidP="00700165">
      <w:pPr>
        <w:rPr>
          <w:shd w:val="clear" w:color="auto" w:fill="FFFFFF"/>
        </w:rPr>
      </w:pPr>
    </w:p>
    <w:p w14:paraId="29637D74" w14:textId="77777777" w:rsidR="00D73EC1" w:rsidRDefault="00D73EC1" w:rsidP="00700165">
      <w:pPr>
        <w:rPr>
          <w:shd w:val="clear" w:color="auto" w:fill="FFFFFF"/>
        </w:rPr>
      </w:pPr>
      <w:r>
        <w:rPr>
          <w:i/>
          <w:shd w:val="clear" w:color="auto" w:fill="FFFFFF"/>
        </w:rPr>
        <w:t>300</w:t>
      </w:r>
      <w:r>
        <w:rPr>
          <w:shd w:val="clear" w:color="auto" w:fill="FFFFFF"/>
        </w:rPr>
        <w:t>. (2006). [film] Warner Brothers. Zack Snyder.</w:t>
      </w:r>
    </w:p>
    <w:p w14:paraId="68D0A1FB" w14:textId="77777777" w:rsidR="00D73EC1" w:rsidRDefault="00D73EC1" w:rsidP="00700165">
      <w:pPr>
        <w:rPr>
          <w:shd w:val="clear" w:color="auto" w:fill="FFFFFF"/>
        </w:rPr>
      </w:pPr>
      <w:r>
        <w:rPr>
          <w:i/>
          <w:iCs/>
          <w:shd w:val="clear" w:color="auto" w:fill="FFFFFF"/>
        </w:rPr>
        <w:t>Alexander</w:t>
      </w:r>
      <w:r>
        <w:rPr>
          <w:shd w:val="clear" w:color="auto" w:fill="FFFFFF"/>
        </w:rPr>
        <w:t>. (2004). [film] Warner Brothers: Oliver Stone.</w:t>
      </w:r>
    </w:p>
    <w:p w14:paraId="26E30808" w14:textId="77777777" w:rsidR="00D73EC1" w:rsidRPr="00E63D2D" w:rsidRDefault="00D73EC1" w:rsidP="00E63D2D">
      <w:pPr>
        <w:rPr>
          <w:shd w:val="clear" w:color="auto" w:fill="FFFFFF"/>
        </w:rPr>
      </w:pPr>
      <w:proofErr w:type="spellStart"/>
      <w:r w:rsidRPr="00E63D2D">
        <w:rPr>
          <w:shd w:val="clear" w:color="auto" w:fill="FFFFFF"/>
        </w:rPr>
        <w:t>Bengry</w:t>
      </w:r>
      <w:proofErr w:type="spellEnd"/>
      <w:r w:rsidRPr="00E63D2D">
        <w:rPr>
          <w:shd w:val="clear" w:color="auto" w:fill="FFFFFF"/>
        </w:rPr>
        <w:t>, Justin. “Wolfenden50: Sex / Life / Politics in the British World 1945-1969, King's College London, 28-30 July 2007.” </w:t>
      </w:r>
      <w:r w:rsidRPr="00E63D2D">
        <w:rPr>
          <w:i/>
          <w:iCs/>
          <w:shd w:val="clear" w:color="auto" w:fill="FFFFFF"/>
        </w:rPr>
        <w:t>History Workshop Journal</w:t>
      </w:r>
      <w:r w:rsidRPr="00E63D2D">
        <w:rPr>
          <w:shd w:val="clear" w:color="auto" w:fill="FFFFFF"/>
        </w:rPr>
        <w:t>, no. 65, 2008, pp. 286–288.</w:t>
      </w:r>
    </w:p>
    <w:p w14:paraId="6EB7D952" w14:textId="77777777" w:rsidR="00D73EC1" w:rsidRPr="00E63D2D" w:rsidRDefault="00D73EC1" w:rsidP="00E63D2D">
      <w:pPr>
        <w:rPr>
          <w:shd w:val="clear" w:color="auto" w:fill="FFFFFF"/>
        </w:rPr>
      </w:pPr>
      <w:r w:rsidRPr="00E63D2D">
        <w:rPr>
          <w:shd w:val="clear" w:color="auto" w:fill="FFFFFF"/>
        </w:rPr>
        <w:t>Cavendish, Marshall (2010). </w:t>
      </w:r>
      <w:r w:rsidRPr="00E63D2D">
        <w:rPr>
          <w:i/>
          <w:iCs/>
          <w:shd w:val="clear" w:color="auto" w:fill="FFFFFF"/>
        </w:rPr>
        <w:t>Sex and Society</w:t>
      </w:r>
      <w:r w:rsidRPr="00E63D2D">
        <w:rPr>
          <w:shd w:val="clear" w:color="auto" w:fill="FFFFFF"/>
        </w:rPr>
        <w:t>. New York. Marshall Cavendish Corporation</w:t>
      </w:r>
    </w:p>
    <w:p w14:paraId="1E190465" w14:textId="77777777" w:rsidR="00D73EC1" w:rsidRPr="00E63D2D" w:rsidRDefault="00D73EC1" w:rsidP="00E63D2D">
      <w:pPr>
        <w:rPr>
          <w:shd w:val="clear" w:color="auto" w:fill="FFFFFF"/>
        </w:rPr>
      </w:pPr>
      <w:r w:rsidRPr="00E63D2D">
        <w:rPr>
          <w:shd w:val="clear" w:color="auto" w:fill="FFFFFF"/>
        </w:rPr>
        <w:t>Clarke, W. M. “Achilles and Patroclus in Love.” </w:t>
      </w:r>
      <w:r w:rsidRPr="00E63D2D">
        <w:rPr>
          <w:i/>
          <w:iCs/>
          <w:shd w:val="clear" w:color="auto" w:fill="FFFFFF"/>
        </w:rPr>
        <w:t>Hermes</w:t>
      </w:r>
      <w:r w:rsidRPr="00E63D2D">
        <w:rPr>
          <w:shd w:val="clear" w:color="auto" w:fill="FFFFFF"/>
        </w:rPr>
        <w:t>, vol. 106, no. 3, 1978, pp. 381–396. </w:t>
      </w:r>
    </w:p>
    <w:p w14:paraId="40CA55DB" w14:textId="77777777" w:rsidR="00D73EC1" w:rsidRDefault="00D73EC1" w:rsidP="00700165">
      <w:pPr>
        <w:rPr>
          <w:shd w:val="clear" w:color="auto" w:fill="FFFFFF"/>
        </w:rPr>
      </w:pPr>
      <w:r w:rsidRPr="006331F7">
        <w:rPr>
          <w:i/>
          <w:shd w:val="clear" w:color="auto" w:fill="FFFFFF"/>
        </w:rPr>
        <w:t>Cleopatra</w:t>
      </w:r>
      <w:r>
        <w:rPr>
          <w:shd w:val="clear" w:color="auto" w:fill="FFFFFF"/>
        </w:rPr>
        <w:t>. (1963). [film] Twentieth Century Fox. Joseph Mankiewicz</w:t>
      </w:r>
    </w:p>
    <w:p w14:paraId="2D4C911F" w14:textId="77777777" w:rsidR="00D73EC1" w:rsidRDefault="00D73EC1" w:rsidP="00700165">
      <w:pPr>
        <w:rPr>
          <w:shd w:val="clear" w:color="auto" w:fill="FFFFFF"/>
        </w:rPr>
      </w:pPr>
      <w:r>
        <w:rPr>
          <w:i/>
          <w:iCs/>
          <w:shd w:val="clear" w:color="auto" w:fill="FFFFFF"/>
        </w:rPr>
        <w:t>Gladiator</w:t>
      </w:r>
      <w:r>
        <w:rPr>
          <w:shd w:val="clear" w:color="auto" w:fill="FFFFFF"/>
        </w:rPr>
        <w:t>. (2000). [film] Universal Pictures: Ridley Scott.</w:t>
      </w:r>
    </w:p>
    <w:p w14:paraId="6D680E94" w14:textId="77777777" w:rsidR="00D73EC1" w:rsidRPr="00CE0B82" w:rsidRDefault="00D73EC1" w:rsidP="00CE0B82">
      <w:pPr>
        <w:rPr>
          <w:rFonts w:cstheme="minorHAnsi"/>
          <w:shd w:val="clear" w:color="auto" w:fill="FFFFFF"/>
        </w:rPr>
      </w:pPr>
      <w:r w:rsidRPr="00CE0B82">
        <w:rPr>
          <w:rFonts w:cstheme="minorHAnsi"/>
          <w:shd w:val="clear" w:color="auto" w:fill="FFFFFF"/>
        </w:rPr>
        <w:t>Holy Bible</w:t>
      </w:r>
      <w:r>
        <w:rPr>
          <w:rFonts w:cstheme="minorHAnsi"/>
          <w:shd w:val="clear" w:color="auto" w:fill="FFFFFF"/>
        </w:rPr>
        <w:t xml:space="preserve">: </w:t>
      </w:r>
      <w:r w:rsidRPr="00CE0B82">
        <w:rPr>
          <w:rFonts w:cstheme="minorHAnsi"/>
          <w:shd w:val="clear" w:color="auto" w:fill="FFFFFF"/>
        </w:rPr>
        <w:t xml:space="preserve">The New International Version. (2015) London. </w:t>
      </w:r>
      <w:r w:rsidRPr="00CE0B82">
        <w:rPr>
          <w:rFonts w:cstheme="minorHAnsi"/>
          <w:color w:val="000000"/>
          <w:shd w:val="clear" w:color="auto" w:fill="FFFFFF"/>
        </w:rPr>
        <w:t>Hodder &amp; Stoughton</w:t>
      </w:r>
      <w:r w:rsidRPr="00CE0B82">
        <w:rPr>
          <w:rFonts w:cstheme="minorHAnsi"/>
          <w:color w:val="000000"/>
          <w:shd w:val="clear" w:color="auto" w:fill="FFFFFF"/>
        </w:rPr>
        <w:t>.</w:t>
      </w:r>
    </w:p>
    <w:p w14:paraId="4C042612" w14:textId="77777777" w:rsidR="00D73EC1" w:rsidRPr="00E63D2D" w:rsidRDefault="00D73EC1" w:rsidP="00E63D2D">
      <w:pPr>
        <w:rPr>
          <w:shd w:val="clear" w:color="auto" w:fill="FFFFFF"/>
        </w:rPr>
      </w:pPr>
      <w:r w:rsidRPr="00E63D2D">
        <w:rPr>
          <w:shd w:val="clear" w:color="auto" w:fill="FFFFFF"/>
        </w:rPr>
        <w:t>Hubbard, T. K. “Popular Perceptions of Elite Homosexuality in Classical Athens.” </w:t>
      </w:r>
      <w:r w:rsidRPr="00E63D2D">
        <w:rPr>
          <w:i/>
          <w:iCs/>
          <w:shd w:val="clear" w:color="auto" w:fill="FFFFFF"/>
        </w:rPr>
        <w:t>Arion: A Journal of Humanities and the Classics</w:t>
      </w:r>
      <w:r w:rsidRPr="00E63D2D">
        <w:rPr>
          <w:shd w:val="clear" w:color="auto" w:fill="FFFFFF"/>
        </w:rPr>
        <w:t>, vol. 6, no. 1, 1998, pp. 48–78.</w:t>
      </w:r>
    </w:p>
    <w:p w14:paraId="5635665E" w14:textId="77777777" w:rsidR="00D73EC1" w:rsidRDefault="00D73EC1" w:rsidP="00D73EC1">
      <w:pPr>
        <w:rPr>
          <w:shd w:val="clear" w:color="auto" w:fill="FFFFFF"/>
        </w:rPr>
      </w:pPr>
      <w:r>
        <w:rPr>
          <w:shd w:val="clear" w:color="auto" w:fill="FFFFFF"/>
        </w:rPr>
        <w:t>Jones, T</w:t>
      </w:r>
      <w:r>
        <w:rPr>
          <w:shd w:val="clear" w:color="auto" w:fill="FFFFFF"/>
        </w:rPr>
        <w:t>.</w:t>
      </w:r>
      <w:r>
        <w:rPr>
          <w:shd w:val="clear" w:color="auto" w:fill="FFFFFF"/>
        </w:rPr>
        <w:t xml:space="preserve"> (2018). </w:t>
      </w:r>
      <w:r>
        <w:rPr>
          <w:i/>
          <w:iCs/>
          <w:shd w:val="clear" w:color="auto" w:fill="FFFFFF"/>
        </w:rPr>
        <w:t>Life of Brian (1979)</w:t>
      </w:r>
      <w:r>
        <w:rPr>
          <w:shd w:val="clear" w:color="auto" w:fill="FFFFFF"/>
        </w:rPr>
        <w:t>. [online] IMDb. Available at: https://www.imdb.com/title/tt0079470/ [Accessed 24 May 2018].</w:t>
      </w:r>
    </w:p>
    <w:p w14:paraId="59A4F837" w14:textId="77777777" w:rsidR="00D73EC1" w:rsidRPr="00E63D2D" w:rsidRDefault="00D73EC1" w:rsidP="00E63D2D">
      <w:pPr>
        <w:rPr>
          <w:shd w:val="clear" w:color="auto" w:fill="FFFFFF"/>
        </w:rPr>
      </w:pPr>
      <w:r w:rsidRPr="00E63D2D">
        <w:rPr>
          <w:shd w:val="clear" w:color="auto" w:fill="FFFFFF"/>
        </w:rPr>
        <w:t>Ludwig, P. (2002). </w:t>
      </w:r>
      <w:r w:rsidRPr="00E63D2D">
        <w:rPr>
          <w:i/>
          <w:iCs/>
          <w:shd w:val="clear" w:color="auto" w:fill="FFFFFF"/>
        </w:rPr>
        <w:t>Eros and polis</w:t>
      </w:r>
      <w:r w:rsidRPr="00E63D2D">
        <w:rPr>
          <w:shd w:val="clear" w:color="auto" w:fill="FFFFFF"/>
        </w:rPr>
        <w:t>. Cambridge: Cambridge University Press.</w:t>
      </w:r>
    </w:p>
    <w:p w14:paraId="28D34E8B" w14:textId="77777777" w:rsidR="00D73EC1" w:rsidRPr="00E63D2D" w:rsidRDefault="00D73EC1" w:rsidP="00E63D2D">
      <w:pPr>
        <w:rPr>
          <w:shd w:val="clear" w:color="auto" w:fill="FFFFFF"/>
        </w:rPr>
      </w:pPr>
      <w:proofErr w:type="spellStart"/>
      <w:r w:rsidRPr="00E63D2D">
        <w:rPr>
          <w:shd w:val="clear" w:color="auto" w:fill="FFFFFF"/>
        </w:rPr>
        <w:t>MacMullen</w:t>
      </w:r>
      <w:proofErr w:type="spellEnd"/>
      <w:r w:rsidRPr="00E63D2D">
        <w:rPr>
          <w:shd w:val="clear" w:color="auto" w:fill="FFFFFF"/>
        </w:rPr>
        <w:t>, Ramsay. “Roman Attitudes to Greek Love.” </w:t>
      </w:r>
      <w:r w:rsidRPr="00E63D2D">
        <w:rPr>
          <w:i/>
          <w:iCs/>
          <w:shd w:val="clear" w:color="auto" w:fill="FFFFFF"/>
        </w:rPr>
        <w:t xml:space="preserve">Historia: </w:t>
      </w:r>
      <w:proofErr w:type="spellStart"/>
      <w:r w:rsidRPr="00E63D2D">
        <w:rPr>
          <w:i/>
          <w:iCs/>
          <w:shd w:val="clear" w:color="auto" w:fill="FFFFFF"/>
        </w:rPr>
        <w:t>Zeitschrift</w:t>
      </w:r>
      <w:proofErr w:type="spellEnd"/>
      <w:r w:rsidRPr="00E63D2D">
        <w:rPr>
          <w:i/>
          <w:iCs/>
          <w:shd w:val="clear" w:color="auto" w:fill="FFFFFF"/>
        </w:rPr>
        <w:t xml:space="preserve"> </w:t>
      </w:r>
      <w:proofErr w:type="spellStart"/>
      <w:r w:rsidRPr="00E63D2D">
        <w:rPr>
          <w:i/>
          <w:iCs/>
          <w:shd w:val="clear" w:color="auto" w:fill="FFFFFF"/>
        </w:rPr>
        <w:t>Für</w:t>
      </w:r>
      <w:proofErr w:type="spellEnd"/>
      <w:r w:rsidRPr="00E63D2D">
        <w:rPr>
          <w:i/>
          <w:iCs/>
          <w:shd w:val="clear" w:color="auto" w:fill="FFFFFF"/>
        </w:rPr>
        <w:t xml:space="preserve"> Alte </w:t>
      </w:r>
      <w:proofErr w:type="spellStart"/>
      <w:r w:rsidRPr="00E63D2D">
        <w:rPr>
          <w:i/>
          <w:iCs/>
          <w:shd w:val="clear" w:color="auto" w:fill="FFFFFF"/>
        </w:rPr>
        <w:t>Geschichte</w:t>
      </w:r>
      <w:proofErr w:type="spellEnd"/>
      <w:r w:rsidRPr="00E63D2D">
        <w:rPr>
          <w:shd w:val="clear" w:color="auto" w:fill="FFFFFF"/>
        </w:rPr>
        <w:t>, vol. 31, no. 4, 1982, pp. 484–502. </w:t>
      </w:r>
    </w:p>
    <w:p w14:paraId="4D78E7F0" w14:textId="77777777" w:rsidR="00D73EC1" w:rsidRPr="00E63D2D" w:rsidRDefault="00D73EC1" w:rsidP="00E63D2D">
      <w:r w:rsidRPr="00E63D2D">
        <w:rPr>
          <w:shd w:val="clear" w:color="auto" w:fill="FFFFFF"/>
        </w:rPr>
        <w:t>Malamud, Margaret. “Cold War Romans.” </w:t>
      </w:r>
      <w:r w:rsidRPr="00E63D2D">
        <w:rPr>
          <w:i/>
          <w:iCs/>
          <w:shd w:val="clear" w:color="auto" w:fill="FFFFFF"/>
        </w:rPr>
        <w:t>Arion: A Journal of Humanities and the Classics</w:t>
      </w:r>
      <w:r w:rsidRPr="00E63D2D">
        <w:rPr>
          <w:shd w:val="clear" w:color="auto" w:fill="FFFFFF"/>
        </w:rPr>
        <w:t>, vol. 14, no. 3, 2007, pp. 121–154. </w:t>
      </w:r>
    </w:p>
    <w:p w14:paraId="3266B9EE" w14:textId="77777777" w:rsidR="00D73EC1" w:rsidRPr="00E63D2D" w:rsidRDefault="00D73EC1" w:rsidP="00E63D2D">
      <w:pPr>
        <w:rPr>
          <w:shd w:val="clear" w:color="auto" w:fill="FFFFFF"/>
        </w:rPr>
      </w:pPr>
      <w:r w:rsidRPr="00E63D2D">
        <w:rPr>
          <w:shd w:val="clear" w:color="auto" w:fill="FFFFFF"/>
        </w:rPr>
        <w:t>McCabe, B. (2005). </w:t>
      </w:r>
      <w:r w:rsidRPr="00E63D2D">
        <w:rPr>
          <w:i/>
          <w:iCs/>
          <w:shd w:val="clear" w:color="auto" w:fill="FFFFFF"/>
        </w:rPr>
        <w:t>The life of Graham</w:t>
      </w:r>
      <w:r w:rsidRPr="00E63D2D">
        <w:rPr>
          <w:shd w:val="clear" w:color="auto" w:fill="FFFFFF"/>
        </w:rPr>
        <w:t>. London: Orion.</w:t>
      </w:r>
    </w:p>
    <w:p w14:paraId="29F7ADD6" w14:textId="77777777" w:rsidR="00D73EC1" w:rsidRPr="00E63D2D" w:rsidRDefault="00D73EC1" w:rsidP="00E63D2D">
      <w:pPr>
        <w:rPr>
          <w:shd w:val="clear" w:color="auto" w:fill="FFFFFF"/>
        </w:rPr>
      </w:pPr>
      <w:r w:rsidRPr="00E63D2D">
        <w:rPr>
          <w:shd w:val="clear" w:color="auto" w:fill="FFFFFF"/>
        </w:rPr>
        <w:t>McCall, D. (2014). </w:t>
      </w:r>
      <w:r w:rsidRPr="00E63D2D">
        <w:rPr>
          <w:i/>
          <w:iCs/>
          <w:shd w:val="clear" w:color="auto" w:fill="FFFFFF"/>
        </w:rPr>
        <w:t>Monty Python</w:t>
      </w:r>
      <w:r w:rsidRPr="00E63D2D">
        <w:rPr>
          <w:shd w:val="clear" w:color="auto" w:fill="FFFFFF"/>
        </w:rPr>
        <w:t>. Jefferson, North Carolina: McFarland.</w:t>
      </w:r>
    </w:p>
    <w:p w14:paraId="1DD4C46F" w14:textId="77777777" w:rsidR="00D73EC1" w:rsidRDefault="00D73EC1" w:rsidP="00700165">
      <w:pPr>
        <w:rPr>
          <w:shd w:val="clear" w:color="auto" w:fill="FFFFFF"/>
        </w:rPr>
      </w:pPr>
      <w:r w:rsidRPr="006331F7">
        <w:rPr>
          <w:i/>
          <w:shd w:val="clear" w:color="auto" w:fill="FFFFFF"/>
        </w:rPr>
        <w:t>Monty Python and the Holy Grail</w:t>
      </w:r>
      <w:r>
        <w:rPr>
          <w:shd w:val="clear" w:color="auto" w:fill="FFFFFF"/>
        </w:rPr>
        <w:t>. (1975). [film] Michael White Productions. Terry Gilliam, and Terry Jones.</w:t>
      </w:r>
    </w:p>
    <w:p w14:paraId="06809A10" w14:textId="77777777" w:rsidR="00D73EC1" w:rsidRDefault="00D73EC1" w:rsidP="00700165">
      <w:pPr>
        <w:rPr>
          <w:shd w:val="clear" w:color="auto" w:fill="FFFFFF"/>
        </w:rPr>
      </w:pPr>
      <w:r>
        <w:rPr>
          <w:i/>
          <w:shd w:val="clear" w:color="auto" w:fill="FFFFFF"/>
        </w:rPr>
        <w:t>Monty Python’s Life of Brian</w:t>
      </w:r>
      <w:r>
        <w:rPr>
          <w:shd w:val="clear" w:color="auto" w:fill="FFFFFF"/>
        </w:rPr>
        <w:t xml:space="preserve">. (1979). [film] </w:t>
      </w:r>
      <w:proofErr w:type="spellStart"/>
      <w:r>
        <w:rPr>
          <w:shd w:val="clear" w:color="auto" w:fill="FFFFFF"/>
        </w:rPr>
        <w:t>HandMade</w:t>
      </w:r>
      <w:proofErr w:type="spellEnd"/>
      <w:r>
        <w:rPr>
          <w:shd w:val="clear" w:color="auto" w:fill="FFFFFF"/>
        </w:rPr>
        <w:t xml:space="preserve"> Films. Terry Jones.</w:t>
      </w:r>
    </w:p>
    <w:p w14:paraId="0EA31316" w14:textId="77777777" w:rsidR="00D73EC1" w:rsidRPr="00E63D2D" w:rsidRDefault="00D73EC1" w:rsidP="00E63D2D">
      <w:pPr>
        <w:rPr>
          <w:shd w:val="clear" w:color="auto" w:fill="FFFFFF"/>
        </w:rPr>
      </w:pPr>
      <w:r w:rsidRPr="00E63D2D">
        <w:rPr>
          <w:shd w:val="clear" w:color="auto" w:fill="FFFFFF"/>
        </w:rPr>
        <w:t xml:space="preserve">Morales, Manuel Sanz, and Gabriel Laguna Mariscal. “The Relationship between Achilles and Patroclus According to Chariton of </w:t>
      </w:r>
      <w:proofErr w:type="spellStart"/>
      <w:r w:rsidRPr="00E63D2D">
        <w:rPr>
          <w:shd w:val="clear" w:color="auto" w:fill="FFFFFF"/>
        </w:rPr>
        <w:t>Aphrodisias</w:t>
      </w:r>
      <w:proofErr w:type="spellEnd"/>
      <w:r w:rsidRPr="00E63D2D">
        <w:rPr>
          <w:shd w:val="clear" w:color="auto" w:fill="FFFFFF"/>
        </w:rPr>
        <w:t>.” </w:t>
      </w:r>
      <w:r w:rsidRPr="00E63D2D">
        <w:rPr>
          <w:i/>
          <w:iCs/>
          <w:shd w:val="clear" w:color="auto" w:fill="FFFFFF"/>
        </w:rPr>
        <w:t>The Classical Quarterly</w:t>
      </w:r>
      <w:r w:rsidRPr="00E63D2D">
        <w:rPr>
          <w:shd w:val="clear" w:color="auto" w:fill="FFFFFF"/>
        </w:rPr>
        <w:t>, vol. 53, no. 1, 2003, pp. 292–295. </w:t>
      </w:r>
    </w:p>
    <w:p w14:paraId="211FDA1B" w14:textId="77777777" w:rsidR="00D73EC1" w:rsidRPr="00E63D2D" w:rsidRDefault="00D73EC1" w:rsidP="00E63D2D">
      <w:pPr>
        <w:rPr>
          <w:shd w:val="clear" w:color="auto" w:fill="FFFFFF"/>
        </w:rPr>
      </w:pPr>
      <w:r w:rsidRPr="00E63D2D">
        <w:rPr>
          <w:shd w:val="clear" w:color="auto" w:fill="FFFFFF"/>
        </w:rPr>
        <w:t>Skinner, M. “Sexuality in Greek and Roman Culture.” 2013, Hoboken. John Wiley &amp; Sons.</w:t>
      </w:r>
    </w:p>
    <w:p w14:paraId="5DFF109A" w14:textId="77777777" w:rsidR="00D73EC1" w:rsidRPr="00E63D2D" w:rsidRDefault="00D73EC1" w:rsidP="00D73EC1">
      <w:pPr>
        <w:rPr>
          <w:shd w:val="clear" w:color="auto" w:fill="FFFFFF"/>
        </w:rPr>
      </w:pPr>
      <w:r>
        <w:rPr>
          <w:shd w:val="clear" w:color="auto" w:fill="FFFFFF"/>
        </w:rPr>
        <w:lastRenderedPageBreak/>
        <w:t>Snyder, Z. (2018). </w:t>
      </w:r>
      <w:r>
        <w:rPr>
          <w:i/>
          <w:iCs/>
          <w:shd w:val="clear" w:color="auto" w:fill="FFFFFF"/>
        </w:rPr>
        <w:t>300 (2006)</w:t>
      </w:r>
      <w:r>
        <w:rPr>
          <w:shd w:val="clear" w:color="auto" w:fill="FFFFFF"/>
        </w:rPr>
        <w:t>. [online] IMDb. Available at: https://www.imdb.com/title/tt0416449/?ref_=nv_sr_1 [Accessed 24 May 2018].</w:t>
      </w:r>
    </w:p>
    <w:p w14:paraId="1D2CD923" w14:textId="77777777" w:rsidR="00D73EC1" w:rsidRPr="006331F7" w:rsidRDefault="00D73EC1" w:rsidP="006331F7">
      <w:pPr>
        <w:rPr>
          <w:shd w:val="clear" w:color="auto" w:fill="FFFFFF"/>
        </w:rPr>
      </w:pPr>
      <w:r>
        <w:rPr>
          <w:i/>
          <w:shd w:val="clear" w:color="auto" w:fill="FFFFFF"/>
        </w:rPr>
        <w:t>Spartacus.</w:t>
      </w:r>
      <w:r>
        <w:rPr>
          <w:shd w:val="clear" w:color="auto" w:fill="FFFFFF"/>
        </w:rPr>
        <w:t xml:space="preserve"> (1960). [film] </w:t>
      </w:r>
      <w:proofErr w:type="spellStart"/>
      <w:r>
        <w:rPr>
          <w:shd w:val="clear" w:color="auto" w:fill="FFFFFF"/>
        </w:rPr>
        <w:t>Bryna</w:t>
      </w:r>
      <w:proofErr w:type="spellEnd"/>
      <w:r>
        <w:rPr>
          <w:shd w:val="clear" w:color="auto" w:fill="FFFFFF"/>
        </w:rPr>
        <w:t xml:space="preserve"> Productions. Stanley Kubrick.</w:t>
      </w:r>
    </w:p>
    <w:p w14:paraId="5C92CA7C" w14:textId="77777777" w:rsidR="00D73EC1" w:rsidRDefault="00D73EC1" w:rsidP="00D73EC1">
      <w:pPr>
        <w:rPr>
          <w:shd w:val="clear" w:color="auto" w:fill="FFFFFF"/>
        </w:rPr>
      </w:pPr>
      <w:r>
        <w:rPr>
          <w:shd w:val="clear" w:color="auto" w:fill="FFFFFF"/>
        </w:rPr>
        <w:t>Stone, O. (2018). </w:t>
      </w:r>
      <w:r>
        <w:rPr>
          <w:i/>
          <w:iCs/>
          <w:shd w:val="clear" w:color="auto" w:fill="FFFFFF"/>
        </w:rPr>
        <w:t>Alexander (2004)</w:t>
      </w:r>
      <w:r>
        <w:rPr>
          <w:shd w:val="clear" w:color="auto" w:fill="FFFFFF"/>
        </w:rPr>
        <w:t>. [online] IMDb. Available at: https://www.imdb.com/title/tt0346491/fullcredits?ref_=tt_cl_sm#cast [Accessed 24 May 2018].</w:t>
      </w:r>
    </w:p>
    <w:p w14:paraId="066EEEC9" w14:textId="77777777" w:rsidR="00D73EC1" w:rsidRPr="00E63D2D" w:rsidRDefault="00D73EC1" w:rsidP="00E63D2D">
      <w:pPr>
        <w:rPr>
          <w:shd w:val="clear" w:color="auto" w:fill="FFFFFF"/>
        </w:rPr>
      </w:pPr>
      <w:r w:rsidRPr="00E63D2D">
        <w:rPr>
          <w:shd w:val="clear" w:color="auto" w:fill="FFFFFF"/>
        </w:rPr>
        <w:t>UK Parliament. (2018). </w:t>
      </w:r>
      <w:r w:rsidRPr="00E63D2D">
        <w:rPr>
          <w:i/>
          <w:iCs/>
          <w:shd w:val="clear" w:color="auto" w:fill="FFFFFF"/>
        </w:rPr>
        <w:t>Wolfenden Report</w:t>
      </w:r>
      <w:r w:rsidRPr="00E63D2D">
        <w:rPr>
          <w:shd w:val="clear" w:color="auto" w:fill="FFFFFF"/>
        </w:rPr>
        <w:t>. [online] Available at: https://www.parliament.uk/about/living-heritage/transformingsociety/private-lives/relationships/collections1/sexual-offences-act-1967/wolfenden-report-/ [Accessed 22 May 2018].</w:t>
      </w:r>
    </w:p>
    <w:p w14:paraId="68CB5289" w14:textId="77777777" w:rsidR="00D73EC1" w:rsidRPr="00E63D2D" w:rsidRDefault="00D73EC1" w:rsidP="00E63D2D">
      <w:pPr>
        <w:rPr>
          <w:shd w:val="clear" w:color="auto" w:fill="FFFFFF"/>
        </w:rPr>
      </w:pPr>
      <w:r w:rsidRPr="00E63D2D">
        <w:rPr>
          <w:shd w:val="clear" w:color="auto" w:fill="FFFFFF"/>
        </w:rPr>
        <w:t>Yang, Alan S. “Trends: Attitudes Toward Homosexuality.” </w:t>
      </w:r>
      <w:r w:rsidRPr="00E63D2D">
        <w:rPr>
          <w:i/>
          <w:iCs/>
          <w:shd w:val="clear" w:color="auto" w:fill="FFFFFF"/>
        </w:rPr>
        <w:t>The Public Opinion Quarterly</w:t>
      </w:r>
      <w:r w:rsidRPr="00E63D2D">
        <w:rPr>
          <w:shd w:val="clear" w:color="auto" w:fill="FFFFFF"/>
        </w:rPr>
        <w:t>, vol. 61, no. 3, 1997, pp. 477–507. </w:t>
      </w:r>
    </w:p>
    <w:p w14:paraId="5B2A307A" w14:textId="77777777" w:rsidR="00D73EC1" w:rsidRPr="00E63D2D" w:rsidRDefault="00D73EC1" w:rsidP="00E63D2D">
      <w:pPr>
        <w:rPr>
          <w:shd w:val="clear" w:color="auto" w:fill="FFFFFF"/>
        </w:rPr>
      </w:pPr>
      <w:r w:rsidRPr="00E63D2D">
        <w:rPr>
          <w:shd w:val="clear" w:color="auto" w:fill="FFFFFF"/>
        </w:rPr>
        <w:t>YouTube. (2018). </w:t>
      </w:r>
      <w:r w:rsidRPr="00E63D2D">
        <w:rPr>
          <w:i/>
          <w:iCs/>
          <w:shd w:val="clear" w:color="auto" w:fill="FFFFFF"/>
        </w:rPr>
        <w:t xml:space="preserve">Life </w:t>
      </w:r>
      <w:proofErr w:type="gramStart"/>
      <w:r w:rsidRPr="00E63D2D">
        <w:rPr>
          <w:i/>
          <w:iCs/>
          <w:shd w:val="clear" w:color="auto" w:fill="FFFFFF"/>
        </w:rPr>
        <w:t>Of</w:t>
      </w:r>
      <w:proofErr w:type="gramEnd"/>
      <w:r w:rsidRPr="00E63D2D">
        <w:rPr>
          <w:i/>
          <w:iCs/>
          <w:shd w:val="clear" w:color="auto" w:fill="FFFFFF"/>
        </w:rPr>
        <w:t xml:space="preserve"> Brian- 1979 Debate (1/4)</w:t>
      </w:r>
      <w:r w:rsidRPr="00E63D2D">
        <w:rPr>
          <w:shd w:val="clear" w:color="auto" w:fill="FFFFFF"/>
        </w:rPr>
        <w:t>. [online] Available at: https://www.youtube.com/watch?v=1ni559bHXDg [Accessed 23 May 2018].</w:t>
      </w:r>
    </w:p>
    <w:p w14:paraId="7C92A8EF" w14:textId="77777777" w:rsidR="00D73EC1" w:rsidRPr="00E63D2D" w:rsidRDefault="00D73EC1" w:rsidP="00E63D2D">
      <w:pPr>
        <w:rPr>
          <w:shd w:val="clear" w:color="auto" w:fill="FFFFFF"/>
        </w:rPr>
      </w:pPr>
      <w:r w:rsidRPr="00E63D2D">
        <w:rPr>
          <w:shd w:val="clear" w:color="auto" w:fill="FFFFFF"/>
        </w:rPr>
        <w:t>YouTube. (2018). </w:t>
      </w:r>
      <w:r w:rsidRPr="00E63D2D">
        <w:rPr>
          <w:i/>
          <w:iCs/>
          <w:shd w:val="clear" w:color="auto" w:fill="FFFFFF"/>
        </w:rPr>
        <w:t>Monty Python - Pythons on Graham Chapman</w:t>
      </w:r>
      <w:r w:rsidRPr="00E63D2D">
        <w:rPr>
          <w:shd w:val="clear" w:color="auto" w:fill="FFFFFF"/>
        </w:rPr>
        <w:t>. [online] Available at: https://www.youtube.com/watch?v=xqz1x5fgv9Q [Accessed 24 May 2018].</w:t>
      </w:r>
    </w:p>
    <w:p w14:paraId="2167D941" w14:textId="77777777" w:rsidR="00D73EC1" w:rsidRPr="00E63D2D" w:rsidRDefault="00D73EC1" w:rsidP="00E63D2D">
      <w:pPr>
        <w:rPr>
          <w:shd w:val="clear" w:color="auto" w:fill="FFFFFF"/>
        </w:rPr>
      </w:pPr>
      <w:r w:rsidRPr="00E63D2D">
        <w:rPr>
          <w:shd w:val="clear" w:color="auto" w:fill="FFFFFF"/>
        </w:rPr>
        <w:t>YouTube. (2018). </w:t>
      </w:r>
      <w:r w:rsidRPr="00E63D2D">
        <w:rPr>
          <w:i/>
          <w:iCs/>
          <w:shd w:val="clear" w:color="auto" w:fill="FFFFFF"/>
        </w:rPr>
        <w:t>Monty Python talk about Graham Chapman in 2014</w:t>
      </w:r>
      <w:r w:rsidRPr="00E63D2D">
        <w:rPr>
          <w:shd w:val="clear" w:color="auto" w:fill="FFFFFF"/>
        </w:rPr>
        <w:t>. [online] Available at: https://www.youtube.com/watch?v=zzAAaeri9Fs [Accessed 24 May 2018].</w:t>
      </w:r>
    </w:p>
    <w:p w14:paraId="280652FA" w14:textId="77777777" w:rsidR="00D73EC1" w:rsidRPr="00E63D2D" w:rsidRDefault="00D73EC1" w:rsidP="00E63D2D">
      <w:pPr>
        <w:rPr>
          <w:shd w:val="clear" w:color="auto" w:fill="FFFFFF"/>
        </w:rPr>
      </w:pPr>
      <w:r w:rsidRPr="00E63D2D">
        <w:rPr>
          <w:shd w:val="clear" w:color="auto" w:fill="FFFFFF"/>
        </w:rPr>
        <w:t>YouTube. (2018). </w:t>
      </w:r>
      <w:r w:rsidRPr="00E63D2D">
        <w:rPr>
          <w:i/>
          <w:iCs/>
          <w:shd w:val="clear" w:color="auto" w:fill="FFFFFF"/>
        </w:rPr>
        <w:t xml:space="preserve">Oliver Stone </w:t>
      </w:r>
      <w:proofErr w:type="gramStart"/>
      <w:r w:rsidRPr="00E63D2D">
        <w:rPr>
          <w:i/>
          <w:iCs/>
          <w:shd w:val="clear" w:color="auto" w:fill="FFFFFF"/>
        </w:rPr>
        <w:t>On</w:t>
      </w:r>
      <w:proofErr w:type="gramEnd"/>
      <w:r w:rsidRPr="00E63D2D">
        <w:rPr>
          <w:i/>
          <w:iCs/>
          <w:shd w:val="clear" w:color="auto" w:fill="FFFFFF"/>
        </w:rPr>
        <w:t xml:space="preserve"> The Directors Cut of "Alexander"</w:t>
      </w:r>
      <w:r w:rsidRPr="00E63D2D">
        <w:rPr>
          <w:shd w:val="clear" w:color="auto" w:fill="FFFFFF"/>
        </w:rPr>
        <w:t>. [online] Available at: https://www.youtube.com/watch?v=Lj0GmTJM8TM [Accessed 23 May 2018].</w:t>
      </w:r>
    </w:p>
    <w:p w14:paraId="15AA1BC9" w14:textId="77777777" w:rsidR="00D73EC1" w:rsidRDefault="00D73EC1" w:rsidP="00E63D2D">
      <w:pPr>
        <w:rPr>
          <w:shd w:val="clear" w:color="auto" w:fill="FFFFFF"/>
        </w:rPr>
      </w:pPr>
      <w:r w:rsidRPr="00E63D2D">
        <w:rPr>
          <w:shd w:val="clear" w:color="auto" w:fill="FFFFFF"/>
        </w:rPr>
        <w:t>YouTube. (2018). </w:t>
      </w:r>
      <w:r w:rsidRPr="00E63D2D">
        <w:rPr>
          <w:i/>
          <w:iCs/>
          <w:shd w:val="clear" w:color="auto" w:fill="FFFFFF"/>
        </w:rPr>
        <w:t>The History of Jesus Christ Superstar - 'The Making of Jesus Christ Superstar'</w:t>
      </w:r>
      <w:r w:rsidRPr="00E63D2D">
        <w:rPr>
          <w:shd w:val="clear" w:color="auto" w:fill="FFFFFF"/>
        </w:rPr>
        <w:t>. [online] Available at: https://www.youtube.com/watch?v=-cI1XEE9De8 [Accessed 23 May 2018].</w:t>
      </w:r>
    </w:p>
    <w:sectPr w:rsidR="00D73EC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FD6BE" w14:textId="77777777" w:rsidR="002643A9" w:rsidRDefault="002643A9" w:rsidP="004B71B1">
      <w:pPr>
        <w:spacing w:after="0" w:line="240" w:lineRule="auto"/>
      </w:pPr>
      <w:r>
        <w:separator/>
      </w:r>
    </w:p>
  </w:endnote>
  <w:endnote w:type="continuationSeparator" w:id="0">
    <w:p w14:paraId="4119F5DF" w14:textId="77777777" w:rsidR="002643A9" w:rsidRDefault="002643A9" w:rsidP="004B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2009383"/>
      <w:docPartObj>
        <w:docPartGallery w:val="Page Numbers (Bottom of Page)"/>
        <w:docPartUnique/>
      </w:docPartObj>
    </w:sdtPr>
    <w:sdtEndPr>
      <w:rPr>
        <w:noProof/>
      </w:rPr>
    </w:sdtEndPr>
    <w:sdtContent>
      <w:p w14:paraId="45AB35AC" w14:textId="59B6B014" w:rsidR="002643A9" w:rsidRDefault="002643A9">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EB56B66" w14:textId="77777777" w:rsidR="002643A9" w:rsidRDefault="00264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6B94F" w14:textId="77777777" w:rsidR="002643A9" w:rsidRDefault="002643A9" w:rsidP="004B71B1">
      <w:pPr>
        <w:spacing w:after="0" w:line="240" w:lineRule="auto"/>
      </w:pPr>
      <w:r>
        <w:separator/>
      </w:r>
    </w:p>
  </w:footnote>
  <w:footnote w:type="continuationSeparator" w:id="0">
    <w:p w14:paraId="15B6528C" w14:textId="77777777" w:rsidR="002643A9" w:rsidRDefault="002643A9" w:rsidP="004B71B1">
      <w:pPr>
        <w:spacing w:after="0" w:line="240" w:lineRule="auto"/>
      </w:pPr>
      <w:r>
        <w:continuationSeparator/>
      </w:r>
    </w:p>
  </w:footnote>
  <w:footnote w:id="1">
    <w:p w14:paraId="5D5CCD1B" w14:textId="51F8C602" w:rsidR="0077236B" w:rsidRPr="005F1029" w:rsidRDefault="0077236B" w:rsidP="0077236B">
      <w:pPr>
        <w:pStyle w:val="FootnoteText"/>
      </w:pPr>
      <w:r>
        <w:rPr>
          <w:rStyle w:val="FootnoteReference"/>
        </w:rPr>
        <w:footnoteRef/>
      </w:r>
      <w:r>
        <w:t xml:space="preserve"> </w:t>
      </w:r>
      <w:r w:rsidR="005F1029">
        <w:rPr>
          <w:i/>
        </w:rPr>
        <w:t>Gladiator</w:t>
      </w:r>
      <w:r w:rsidR="00D964A4">
        <w:t>, 2000, directed by Ridley Scott</w:t>
      </w:r>
    </w:p>
  </w:footnote>
  <w:footnote w:id="2">
    <w:p w14:paraId="4C35774D" w14:textId="597833B5" w:rsidR="0077236B" w:rsidRDefault="0077236B" w:rsidP="0077236B">
      <w:pPr>
        <w:pStyle w:val="FootnoteText"/>
      </w:pPr>
      <w:r>
        <w:rPr>
          <w:rStyle w:val="FootnoteReference"/>
        </w:rPr>
        <w:footnoteRef/>
      </w:r>
      <w:r>
        <w:t xml:space="preserve"> </w:t>
      </w:r>
      <w:r w:rsidR="005F1029">
        <w:rPr>
          <w:i/>
        </w:rPr>
        <w:t>Monty Python’s Life of Brian</w:t>
      </w:r>
      <w:r w:rsidR="005F1029">
        <w:t>, 1979, directed by Terry Jones</w:t>
      </w:r>
    </w:p>
  </w:footnote>
  <w:footnote w:id="3">
    <w:p w14:paraId="3A2E9B11" w14:textId="22317A4F" w:rsidR="0077236B" w:rsidRDefault="0077236B" w:rsidP="0077236B">
      <w:pPr>
        <w:pStyle w:val="FootnoteText"/>
      </w:pPr>
      <w:r>
        <w:rPr>
          <w:rStyle w:val="FootnoteReference"/>
        </w:rPr>
        <w:footnoteRef/>
      </w:r>
      <w:r>
        <w:t xml:space="preserve"> </w:t>
      </w:r>
      <w:r w:rsidR="00DB3003">
        <w:t>Illinois being the first to revoke the ‘Sodomy Laws’ in 1962</w:t>
      </w:r>
    </w:p>
  </w:footnote>
  <w:footnote w:id="4">
    <w:p w14:paraId="28FFA9B4" w14:textId="000BC9D6" w:rsidR="0077236B" w:rsidRDefault="0077236B" w:rsidP="0077236B">
      <w:pPr>
        <w:pStyle w:val="FootnoteText"/>
      </w:pPr>
      <w:r>
        <w:rPr>
          <w:rStyle w:val="FootnoteReference"/>
        </w:rPr>
        <w:footnoteRef/>
      </w:r>
      <w:r>
        <w:t xml:space="preserve"> </w:t>
      </w:r>
      <w:r w:rsidR="008A01CF" w:rsidRPr="008A01CF">
        <w:rPr>
          <w:i/>
        </w:rPr>
        <w:t>Spartacus</w:t>
      </w:r>
      <w:r w:rsidR="008A01CF">
        <w:t>, 1960, directed by Stanley Kubrick</w:t>
      </w:r>
    </w:p>
  </w:footnote>
  <w:footnote w:id="5">
    <w:p w14:paraId="65B12B86" w14:textId="360992B3" w:rsidR="0077236B" w:rsidRDefault="0077236B" w:rsidP="0077236B">
      <w:pPr>
        <w:pStyle w:val="FootnoteText"/>
      </w:pPr>
      <w:r>
        <w:rPr>
          <w:rStyle w:val="FootnoteReference"/>
        </w:rPr>
        <w:footnoteRef/>
      </w:r>
      <w:r>
        <w:t xml:space="preserve"> </w:t>
      </w:r>
      <w:proofErr w:type="spellStart"/>
      <w:r w:rsidR="00E45E9D">
        <w:t>Malamund</w:t>
      </w:r>
      <w:proofErr w:type="spellEnd"/>
      <w:r w:rsidR="00E45E9D">
        <w:t xml:space="preserve"> 2007</w:t>
      </w:r>
    </w:p>
  </w:footnote>
  <w:footnote w:id="6">
    <w:p w14:paraId="58DF9636" w14:textId="3A86C217" w:rsidR="0077236B" w:rsidRPr="000C2F22" w:rsidRDefault="0077236B" w:rsidP="0077236B">
      <w:pPr>
        <w:pStyle w:val="FootnoteText"/>
      </w:pPr>
      <w:r>
        <w:rPr>
          <w:rStyle w:val="FootnoteReference"/>
        </w:rPr>
        <w:footnoteRef/>
      </w:r>
      <w:r>
        <w:t xml:space="preserve"> </w:t>
      </w:r>
      <w:r w:rsidR="000C2F22">
        <w:t>Primarily the gladiators wearing little other than a loin cloth</w:t>
      </w:r>
      <w:r w:rsidR="006331F7">
        <w:t xml:space="preserve">. </w:t>
      </w:r>
      <w:r w:rsidR="000C2F22">
        <w:rPr>
          <w:i/>
        </w:rPr>
        <w:t>Spartacus</w:t>
      </w:r>
      <w:r w:rsidR="000C2F22">
        <w:t>: 0:18:30, 0:47:45</w:t>
      </w:r>
    </w:p>
  </w:footnote>
  <w:footnote w:id="7">
    <w:p w14:paraId="149269FD" w14:textId="4C5EDE63" w:rsidR="0077236B" w:rsidRPr="00CE0B82" w:rsidRDefault="0077236B" w:rsidP="0077236B">
      <w:pPr>
        <w:pStyle w:val="FootnoteText"/>
      </w:pPr>
      <w:r>
        <w:rPr>
          <w:rStyle w:val="FootnoteReference"/>
        </w:rPr>
        <w:footnoteRef/>
      </w:r>
      <w:r>
        <w:t xml:space="preserve"> </w:t>
      </w:r>
      <w:r w:rsidR="00CE0B82">
        <w:rPr>
          <w:i/>
        </w:rPr>
        <w:t>Spartacus</w:t>
      </w:r>
      <w:r w:rsidR="00CE0B82">
        <w:t>: 1:23:05</w:t>
      </w:r>
      <w:r w:rsidR="000C2F22">
        <w:t xml:space="preserve"> </w:t>
      </w:r>
    </w:p>
  </w:footnote>
  <w:footnote w:id="8">
    <w:p w14:paraId="4FF8D69E" w14:textId="4BC939A6" w:rsidR="0077236B" w:rsidRDefault="0077236B" w:rsidP="0077236B">
      <w:pPr>
        <w:pStyle w:val="FootnoteText"/>
      </w:pPr>
      <w:r>
        <w:rPr>
          <w:rStyle w:val="FootnoteReference"/>
        </w:rPr>
        <w:footnoteRef/>
      </w:r>
      <w:r>
        <w:t xml:space="preserve"> </w:t>
      </w:r>
      <w:proofErr w:type="spellStart"/>
      <w:r w:rsidR="00E45E9D">
        <w:t>Malamund</w:t>
      </w:r>
      <w:proofErr w:type="spellEnd"/>
      <w:r w:rsidR="00E45E9D">
        <w:t xml:space="preserve"> 2007</w:t>
      </w:r>
    </w:p>
  </w:footnote>
  <w:footnote w:id="9">
    <w:p w14:paraId="184E3EB9" w14:textId="6B3B7589" w:rsidR="0077236B" w:rsidRDefault="0077236B" w:rsidP="0077236B">
      <w:pPr>
        <w:pStyle w:val="FootnoteText"/>
      </w:pPr>
      <w:r>
        <w:rPr>
          <w:rStyle w:val="FootnoteReference"/>
        </w:rPr>
        <w:footnoteRef/>
      </w:r>
      <w:r>
        <w:t xml:space="preserve"> </w:t>
      </w:r>
      <w:r w:rsidR="00E45E9D">
        <w:t>Leviticus 20 is the most commonly cited: “</w:t>
      </w:r>
      <w:r w:rsidR="00E45E9D" w:rsidRPr="00E45E9D">
        <w:t xml:space="preserve">If a man has sexual relations with a man as one does with a woman, </w:t>
      </w:r>
      <w:proofErr w:type="gramStart"/>
      <w:r w:rsidR="00E45E9D" w:rsidRPr="00E45E9D">
        <w:t>both of them</w:t>
      </w:r>
      <w:proofErr w:type="gramEnd"/>
      <w:r w:rsidR="00E45E9D" w:rsidRPr="00E45E9D">
        <w:t xml:space="preserve"> have done what is detestable.</w:t>
      </w:r>
      <w:r w:rsidR="00210D5B">
        <w:t>” (NIV)</w:t>
      </w:r>
    </w:p>
  </w:footnote>
  <w:footnote w:id="10">
    <w:p w14:paraId="4423FC27" w14:textId="29BFE737" w:rsidR="0077236B" w:rsidRDefault="0077236B" w:rsidP="0077236B">
      <w:pPr>
        <w:pStyle w:val="FootnoteText"/>
      </w:pPr>
      <w:r>
        <w:rPr>
          <w:rStyle w:val="FootnoteReference"/>
        </w:rPr>
        <w:footnoteRef/>
      </w:r>
      <w:r>
        <w:t xml:space="preserve"> </w:t>
      </w:r>
      <w:r w:rsidR="00A779F8">
        <w:t>Wolfenden Report, the first report to state that homosexuality should not be illegal, was published in 1957, UK Parliament</w:t>
      </w:r>
      <w:r w:rsidR="003204B9">
        <w:t xml:space="preserve"> Website 2018</w:t>
      </w:r>
    </w:p>
  </w:footnote>
  <w:footnote w:id="11">
    <w:p w14:paraId="338D2F66" w14:textId="7AEBCCD2" w:rsidR="0077236B" w:rsidRDefault="0077236B" w:rsidP="0077236B">
      <w:pPr>
        <w:pStyle w:val="FootnoteText"/>
      </w:pPr>
      <w:r>
        <w:rPr>
          <w:rStyle w:val="FootnoteReference"/>
        </w:rPr>
        <w:footnoteRef/>
      </w:r>
      <w:r>
        <w:t xml:space="preserve"> </w:t>
      </w:r>
      <w:r w:rsidR="003C7853">
        <w:t>Yang 1997</w:t>
      </w:r>
    </w:p>
  </w:footnote>
  <w:footnote w:id="12">
    <w:p w14:paraId="4A601D9E" w14:textId="588AC5AA" w:rsidR="0077236B" w:rsidRDefault="0077236B" w:rsidP="0077236B">
      <w:pPr>
        <w:pStyle w:val="FootnoteText"/>
      </w:pPr>
      <w:r>
        <w:rPr>
          <w:rStyle w:val="FootnoteReference"/>
        </w:rPr>
        <w:footnoteRef/>
      </w:r>
      <w:r>
        <w:t xml:space="preserve"> </w:t>
      </w:r>
      <w:proofErr w:type="spellStart"/>
      <w:r w:rsidR="003E5A35">
        <w:t>MacMullen</w:t>
      </w:r>
      <w:proofErr w:type="spellEnd"/>
      <w:r w:rsidR="003E5A35">
        <w:t xml:space="preserve"> 1982, discuses that the subculture existed,</w:t>
      </w:r>
      <w:r w:rsidR="00EA6365">
        <w:t xml:space="preserve"> and that many Romans adopted a </w:t>
      </w:r>
      <w:r w:rsidR="00EA6365" w:rsidRPr="00EA6365">
        <w:t>laissez faire</w:t>
      </w:r>
      <w:r w:rsidR="00EA6365">
        <w:t xml:space="preserve"> attitude.</w:t>
      </w:r>
    </w:p>
  </w:footnote>
  <w:footnote w:id="13">
    <w:p w14:paraId="645D0DC3" w14:textId="346434A7" w:rsidR="0077236B" w:rsidRDefault="0077236B" w:rsidP="0077236B">
      <w:pPr>
        <w:pStyle w:val="FootnoteText"/>
      </w:pPr>
      <w:r>
        <w:rPr>
          <w:rStyle w:val="FootnoteReference"/>
        </w:rPr>
        <w:footnoteRef/>
      </w:r>
      <w:r>
        <w:t xml:space="preserve"> </w:t>
      </w:r>
      <w:r w:rsidR="009D4786">
        <w:t>Skinner 2013</w:t>
      </w:r>
    </w:p>
  </w:footnote>
  <w:footnote w:id="14">
    <w:p w14:paraId="60E5EA19" w14:textId="0C93D550" w:rsidR="0077236B" w:rsidRDefault="0077236B" w:rsidP="0077236B">
      <w:pPr>
        <w:pStyle w:val="FootnoteText"/>
      </w:pPr>
      <w:r>
        <w:rPr>
          <w:rStyle w:val="FootnoteReference"/>
        </w:rPr>
        <w:footnoteRef/>
      </w:r>
      <w:r>
        <w:t xml:space="preserve"> </w:t>
      </w:r>
      <w:proofErr w:type="spellStart"/>
      <w:r w:rsidR="009D4786">
        <w:t>MacMullen</w:t>
      </w:r>
      <w:proofErr w:type="spellEnd"/>
      <w:r w:rsidR="009D4786">
        <w:t xml:space="preserve"> 1982</w:t>
      </w:r>
    </w:p>
  </w:footnote>
  <w:footnote w:id="15">
    <w:p w14:paraId="521EDE19" w14:textId="2C8E3CEB" w:rsidR="0077236B" w:rsidRDefault="0077236B" w:rsidP="0077236B">
      <w:pPr>
        <w:pStyle w:val="FootnoteText"/>
      </w:pPr>
      <w:r>
        <w:rPr>
          <w:rStyle w:val="FootnoteReference"/>
        </w:rPr>
        <w:footnoteRef/>
      </w:r>
      <w:r>
        <w:t xml:space="preserve"> </w:t>
      </w:r>
      <w:r w:rsidR="00F4695E">
        <w:t>Hubbard 1998</w:t>
      </w:r>
    </w:p>
  </w:footnote>
  <w:footnote w:id="16">
    <w:p w14:paraId="1FAE4B24" w14:textId="58DE4B4F" w:rsidR="00565CAB" w:rsidRDefault="00565CAB">
      <w:pPr>
        <w:pStyle w:val="FootnoteText"/>
      </w:pPr>
      <w:r>
        <w:rPr>
          <w:rStyle w:val="FootnoteReference"/>
        </w:rPr>
        <w:footnoteRef/>
      </w:r>
      <w:r>
        <w:t xml:space="preserve"> </w:t>
      </w:r>
      <w:r w:rsidR="00514079">
        <w:t>Plato, Symposium, 181b. While the speech from Pausanias presents a mixed attitude it overall seems to acknowledge that bisexual practices are present.</w:t>
      </w:r>
    </w:p>
  </w:footnote>
  <w:footnote w:id="17">
    <w:p w14:paraId="053B5867" w14:textId="6FA9FACF" w:rsidR="0077236B" w:rsidRDefault="0077236B" w:rsidP="0077236B">
      <w:pPr>
        <w:pStyle w:val="FootnoteText"/>
      </w:pPr>
      <w:r>
        <w:rPr>
          <w:rStyle w:val="FootnoteReference"/>
        </w:rPr>
        <w:footnoteRef/>
      </w:r>
      <w:r>
        <w:t xml:space="preserve"> </w:t>
      </w:r>
      <w:r w:rsidR="00F4695E">
        <w:t>Skinner 2013</w:t>
      </w:r>
    </w:p>
  </w:footnote>
  <w:footnote w:id="18">
    <w:p w14:paraId="50BB096F" w14:textId="543E26F3" w:rsidR="0077236B" w:rsidRDefault="0077236B" w:rsidP="0077236B">
      <w:pPr>
        <w:pStyle w:val="FootnoteText"/>
      </w:pPr>
      <w:r>
        <w:rPr>
          <w:rStyle w:val="FootnoteReference"/>
        </w:rPr>
        <w:footnoteRef/>
      </w:r>
      <w:r>
        <w:t xml:space="preserve"> </w:t>
      </w:r>
      <w:r w:rsidR="00F4695E">
        <w:t>Ludwig 2002</w:t>
      </w:r>
    </w:p>
  </w:footnote>
  <w:footnote w:id="19">
    <w:p w14:paraId="075C5B27" w14:textId="69C28875" w:rsidR="0077236B" w:rsidRDefault="0077236B" w:rsidP="0077236B">
      <w:pPr>
        <w:pStyle w:val="FootnoteText"/>
      </w:pPr>
      <w:r>
        <w:rPr>
          <w:rStyle w:val="FootnoteReference"/>
        </w:rPr>
        <w:footnoteRef/>
      </w:r>
      <w:r>
        <w:t xml:space="preserve"> </w:t>
      </w:r>
      <w:proofErr w:type="spellStart"/>
      <w:r w:rsidR="001037AE" w:rsidRPr="001037AE">
        <w:t>Athenaeus</w:t>
      </w:r>
      <w:proofErr w:type="spellEnd"/>
      <w:r w:rsidR="001037AE">
        <w:t xml:space="preserve">, </w:t>
      </w:r>
      <w:proofErr w:type="spellStart"/>
      <w:r w:rsidR="001037AE">
        <w:t>Deipnosophistae</w:t>
      </w:r>
      <w:proofErr w:type="spellEnd"/>
      <w:r w:rsidR="001037AE">
        <w:t>, 13.12</w:t>
      </w:r>
    </w:p>
  </w:footnote>
  <w:footnote w:id="20">
    <w:p w14:paraId="2C929C48" w14:textId="5A7D035C" w:rsidR="001037AE" w:rsidRDefault="001037AE">
      <w:pPr>
        <w:pStyle w:val="FootnoteText"/>
      </w:pPr>
      <w:r>
        <w:rPr>
          <w:rStyle w:val="FootnoteReference"/>
        </w:rPr>
        <w:footnoteRef/>
      </w:r>
      <w:r w:rsidR="00D964A4">
        <w:t xml:space="preserve"> Plutarch, Pelopidas, 18. </w:t>
      </w:r>
      <w:proofErr w:type="spellStart"/>
      <w:r w:rsidR="00D964A4">
        <w:t>Polyaenus</w:t>
      </w:r>
      <w:proofErr w:type="spellEnd"/>
      <w:r w:rsidR="00D964A4">
        <w:t>, Stratagems of War, 5.1.</w:t>
      </w:r>
    </w:p>
  </w:footnote>
  <w:footnote w:id="21">
    <w:p w14:paraId="7D21AAD3" w14:textId="64C5424B" w:rsidR="0077236B" w:rsidRDefault="0077236B" w:rsidP="0077236B">
      <w:pPr>
        <w:pStyle w:val="FootnoteText"/>
      </w:pPr>
      <w:r>
        <w:rPr>
          <w:rStyle w:val="FootnoteReference"/>
        </w:rPr>
        <w:footnoteRef/>
      </w:r>
      <w:r>
        <w:t xml:space="preserve"> </w:t>
      </w:r>
      <w:proofErr w:type="spellStart"/>
      <w:r w:rsidR="00547308">
        <w:t>Bengry</w:t>
      </w:r>
      <w:proofErr w:type="spellEnd"/>
      <w:r w:rsidR="00547308">
        <w:t xml:space="preserve"> 2007</w:t>
      </w:r>
    </w:p>
  </w:footnote>
  <w:footnote w:id="22">
    <w:p w14:paraId="0FA361AF" w14:textId="4A82FD3A" w:rsidR="0077236B" w:rsidRPr="001878BE" w:rsidRDefault="0077236B" w:rsidP="0077236B">
      <w:pPr>
        <w:pStyle w:val="FootnoteText"/>
      </w:pPr>
      <w:r>
        <w:rPr>
          <w:rStyle w:val="FootnoteReference"/>
        </w:rPr>
        <w:footnoteRef/>
      </w:r>
      <w:r>
        <w:t xml:space="preserve"> </w:t>
      </w:r>
      <w:r w:rsidR="001878BE">
        <w:rPr>
          <w:i/>
        </w:rPr>
        <w:t>Cleopatra</w:t>
      </w:r>
      <w:r w:rsidR="001878BE">
        <w:t xml:space="preserve">, 1963, </w:t>
      </w:r>
      <w:r w:rsidR="009C40DA">
        <w:t>directed by Joseph Mankiewicz</w:t>
      </w:r>
    </w:p>
  </w:footnote>
  <w:footnote w:id="23">
    <w:p w14:paraId="573391FD" w14:textId="09385FD7" w:rsidR="007E5730" w:rsidRPr="007E5730" w:rsidRDefault="007E5730">
      <w:pPr>
        <w:pStyle w:val="FootnoteText"/>
      </w:pPr>
      <w:r>
        <w:rPr>
          <w:rStyle w:val="FootnoteReference"/>
        </w:rPr>
        <w:footnoteRef/>
      </w:r>
      <w:r>
        <w:t xml:space="preserve"> </w:t>
      </w:r>
      <w:r>
        <w:rPr>
          <w:i/>
        </w:rPr>
        <w:t xml:space="preserve">Monty Python’s </w:t>
      </w:r>
      <w:proofErr w:type="gramStart"/>
      <w:r>
        <w:rPr>
          <w:i/>
        </w:rPr>
        <w:t>The</w:t>
      </w:r>
      <w:proofErr w:type="gramEnd"/>
      <w:r>
        <w:rPr>
          <w:i/>
        </w:rPr>
        <w:t xml:space="preserve"> Life of Brian</w:t>
      </w:r>
      <w:r>
        <w:t>, 1979, directed by Terry Jones</w:t>
      </w:r>
    </w:p>
  </w:footnote>
  <w:footnote w:id="24">
    <w:p w14:paraId="030E945E" w14:textId="3691514F" w:rsidR="0077236B" w:rsidRDefault="0077236B" w:rsidP="0077236B">
      <w:pPr>
        <w:pStyle w:val="FootnoteText"/>
      </w:pPr>
      <w:r>
        <w:rPr>
          <w:rStyle w:val="FootnoteReference"/>
        </w:rPr>
        <w:footnoteRef/>
      </w:r>
      <w:r>
        <w:t xml:space="preserve"> </w:t>
      </w:r>
      <w:r w:rsidR="009C40DA">
        <w:t>McCabe 2005</w:t>
      </w:r>
    </w:p>
  </w:footnote>
  <w:footnote w:id="25">
    <w:p w14:paraId="615E7DE3" w14:textId="35C1868D" w:rsidR="0077236B" w:rsidRPr="000C2F22" w:rsidRDefault="0077236B" w:rsidP="0077236B">
      <w:pPr>
        <w:pStyle w:val="FootnoteText"/>
      </w:pPr>
      <w:r>
        <w:rPr>
          <w:rStyle w:val="FootnoteReference"/>
        </w:rPr>
        <w:footnoteRef/>
      </w:r>
      <w:r>
        <w:t xml:space="preserve"> </w:t>
      </w:r>
      <w:r w:rsidR="000C2F22">
        <w:rPr>
          <w:i/>
        </w:rPr>
        <w:t>Monty Python’s Life of Brian</w:t>
      </w:r>
      <w:r w:rsidR="000C2F22">
        <w:t xml:space="preserve">: </w:t>
      </w:r>
      <w:r w:rsidR="006B1ECC">
        <w:t>0:07:00</w:t>
      </w:r>
    </w:p>
  </w:footnote>
  <w:footnote w:id="26">
    <w:p w14:paraId="01105FF6" w14:textId="37F902CD" w:rsidR="0077236B" w:rsidRPr="00586F75" w:rsidRDefault="0077236B" w:rsidP="0077236B">
      <w:pPr>
        <w:pStyle w:val="FootnoteText"/>
      </w:pPr>
      <w:r>
        <w:rPr>
          <w:rStyle w:val="FootnoteReference"/>
        </w:rPr>
        <w:footnoteRef/>
      </w:r>
      <w:r w:rsidR="00B942F8">
        <w:t xml:space="preserve"> </w:t>
      </w:r>
      <w:r w:rsidR="00586F75">
        <w:rPr>
          <w:i/>
        </w:rPr>
        <w:t xml:space="preserve">Life </w:t>
      </w:r>
      <w:proofErr w:type="gramStart"/>
      <w:r w:rsidR="00586F75">
        <w:rPr>
          <w:i/>
        </w:rPr>
        <w:t>Of</w:t>
      </w:r>
      <w:proofErr w:type="gramEnd"/>
      <w:r w:rsidR="00586F75">
        <w:rPr>
          <w:i/>
        </w:rPr>
        <w:t xml:space="preserve"> Brian- 1979 Debate (1/4)</w:t>
      </w:r>
      <w:r w:rsidR="00586F75">
        <w:t>, YouTube, 2018: discussion on Christ and the wider film begins at 4:50</w:t>
      </w:r>
    </w:p>
  </w:footnote>
  <w:footnote w:id="27">
    <w:p w14:paraId="2563AD72" w14:textId="3E127F50" w:rsidR="0077236B" w:rsidRPr="008F61FA" w:rsidRDefault="0077236B" w:rsidP="0077236B">
      <w:pPr>
        <w:pStyle w:val="FootnoteText"/>
      </w:pPr>
      <w:r>
        <w:rPr>
          <w:rStyle w:val="FootnoteReference"/>
        </w:rPr>
        <w:footnoteRef/>
      </w:r>
      <w:r>
        <w:t xml:space="preserve"> </w:t>
      </w:r>
      <w:r w:rsidR="008F61FA" w:rsidRPr="008F61FA">
        <w:rPr>
          <w:i/>
        </w:rPr>
        <w:t>The History of Jesus Christ Superstar - 'The Making of Jesus Christ Superstar'</w:t>
      </w:r>
      <w:r w:rsidR="008F61FA">
        <w:t xml:space="preserve">, </w:t>
      </w:r>
      <w:proofErr w:type="spellStart"/>
      <w:r w:rsidR="008F61FA">
        <w:t>Youtube</w:t>
      </w:r>
      <w:proofErr w:type="spellEnd"/>
      <w:r w:rsidR="008F61FA">
        <w:t>, 2018</w:t>
      </w:r>
    </w:p>
  </w:footnote>
  <w:footnote w:id="28">
    <w:p w14:paraId="7C01AAE1" w14:textId="4E5AEA08" w:rsidR="0077236B" w:rsidRDefault="0077236B" w:rsidP="0077236B">
      <w:pPr>
        <w:pStyle w:val="FootnoteText"/>
      </w:pPr>
      <w:r>
        <w:rPr>
          <w:rStyle w:val="FootnoteReference"/>
        </w:rPr>
        <w:footnoteRef/>
      </w:r>
      <w:r>
        <w:t xml:space="preserve"> </w:t>
      </w:r>
      <w:r w:rsidR="00A657E5">
        <w:t>Leviticus 20:13, Romans 1:26-27, 1 Corinthians 6:9</w:t>
      </w:r>
    </w:p>
  </w:footnote>
  <w:footnote w:id="29">
    <w:p w14:paraId="670569FB" w14:textId="71BBC020" w:rsidR="0077236B" w:rsidRDefault="0077236B" w:rsidP="0077236B">
      <w:pPr>
        <w:pStyle w:val="FootnoteText"/>
      </w:pPr>
      <w:r>
        <w:rPr>
          <w:rStyle w:val="FootnoteReference"/>
        </w:rPr>
        <w:footnoteRef/>
      </w:r>
      <w:r>
        <w:t xml:space="preserve"> </w:t>
      </w:r>
      <w:r w:rsidR="00482307">
        <w:t>McCall 2014</w:t>
      </w:r>
    </w:p>
  </w:footnote>
  <w:footnote w:id="30">
    <w:p w14:paraId="3366DD21" w14:textId="2C7023C0" w:rsidR="0077236B" w:rsidRPr="00FB3193" w:rsidRDefault="0077236B" w:rsidP="0077236B">
      <w:pPr>
        <w:pStyle w:val="FootnoteText"/>
      </w:pPr>
      <w:r>
        <w:rPr>
          <w:rStyle w:val="FootnoteReference"/>
        </w:rPr>
        <w:footnoteRef/>
      </w:r>
      <w:r>
        <w:t xml:space="preserve"> </w:t>
      </w:r>
      <w:r w:rsidR="00FB3193">
        <w:rPr>
          <w:i/>
        </w:rPr>
        <w:t>Life of Brian (1979)</w:t>
      </w:r>
      <w:r w:rsidR="00FB3193">
        <w:t>. I</w:t>
      </w:r>
      <w:r w:rsidR="00FB3193" w:rsidRPr="00FB3193">
        <w:t>MDB</w:t>
      </w:r>
      <w:r w:rsidR="00FB3193">
        <w:t>. 2018</w:t>
      </w:r>
    </w:p>
  </w:footnote>
  <w:footnote w:id="31">
    <w:p w14:paraId="0C3DFDE7" w14:textId="2299316E" w:rsidR="0077236B" w:rsidRDefault="0077236B" w:rsidP="0077236B">
      <w:pPr>
        <w:pStyle w:val="FootnoteText"/>
      </w:pPr>
      <w:r>
        <w:rPr>
          <w:rStyle w:val="FootnoteReference"/>
        </w:rPr>
        <w:footnoteRef/>
      </w:r>
      <w:r>
        <w:t xml:space="preserve"> </w:t>
      </w:r>
      <w:r w:rsidR="006B1ECC">
        <w:rPr>
          <w:i/>
        </w:rPr>
        <w:t>Monty Python’s Life of Brian</w:t>
      </w:r>
      <w:r w:rsidR="006B1ECC">
        <w:t>: 0:07:00</w:t>
      </w:r>
    </w:p>
  </w:footnote>
  <w:footnote w:id="32">
    <w:p w14:paraId="41424243" w14:textId="176C3553" w:rsidR="0077236B" w:rsidRDefault="0077236B" w:rsidP="0077236B">
      <w:pPr>
        <w:pStyle w:val="FootnoteText"/>
      </w:pPr>
      <w:r>
        <w:rPr>
          <w:rStyle w:val="FootnoteReference"/>
        </w:rPr>
        <w:footnoteRef/>
      </w:r>
      <w:r>
        <w:t xml:space="preserve"> </w:t>
      </w:r>
      <w:r w:rsidR="006B1ECC">
        <w:rPr>
          <w:i/>
        </w:rPr>
        <w:t>Monty Python’s Life of Brian</w:t>
      </w:r>
      <w:r w:rsidR="006B1ECC">
        <w:t>:</w:t>
      </w:r>
      <w:r w:rsidR="006B1ECC">
        <w:t xml:space="preserve"> 0:11:30</w:t>
      </w:r>
    </w:p>
  </w:footnote>
  <w:footnote w:id="33">
    <w:p w14:paraId="3C917103" w14:textId="39CB52CA" w:rsidR="00FE098F" w:rsidRDefault="00FE098F">
      <w:pPr>
        <w:pStyle w:val="FootnoteText"/>
      </w:pPr>
      <w:r>
        <w:rPr>
          <w:rStyle w:val="FootnoteReference"/>
        </w:rPr>
        <w:footnoteRef/>
      </w:r>
      <w:r>
        <w:t xml:space="preserve"> </w:t>
      </w:r>
      <w:r>
        <w:rPr>
          <w:i/>
        </w:rPr>
        <w:t>Life of Brian (1979)</w:t>
      </w:r>
      <w:r>
        <w:t>. I</w:t>
      </w:r>
      <w:r w:rsidRPr="00FB3193">
        <w:t>MDB</w:t>
      </w:r>
      <w:r>
        <w:t>. 2018</w:t>
      </w:r>
    </w:p>
  </w:footnote>
  <w:footnote w:id="34">
    <w:p w14:paraId="3D2D65B2" w14:textId="63B0E2CE" w:rsidR="0077236B" w:rsidRPr="007E5730" w:rsidRDefault="0077236B" w:rsidP="0077236B">
      <w:pPr>
        <w:pStyle w:val="FootnoteText"/>
      </w:pPr>
      <w:r>
        <w:rPr>
          <w:rStyle w:val="FootnoteReference"/>
        </w:rPr>
        <w:footnoteRef/>
      </w:r>
      <w:r>
        <w:t xml:space="preserve"> </w:t>
      </w:r>
      <w:r w:rsidR="007E5730">
        <w:rPr>
          <w:i/>
        </w:rPr>
        <w:t>Monty Python and the Holy Grail</w:t>
      </w:r>
      <w:r w:rsidR="007E5730">
        <w:rPr>
          <w:rStyle w:val="CommentReference"/>
          <w:i/>
        </w:rPr>
        <w:t/>
      </w:r>
      <w:r w:rsidR="007E5730">
        <w:t xml:space="preserve">, </w:t>
      </w:r>
      <w:r w:rsidR="00FC3C47">
        <w:t>1975,</w:t>
      </w:r>
      <w:r w:rsidR="007E5730">
        <w:t xml:space="preserve"> directed by Terry Gilliam and John Cleese</w:t>
      </w:r>
    </w:p>
  </w:footnote>
  <w:footnote w:id="35">
    <w:p w14:paraId="3BFCF3E6" w14:textId="6BF534AA" w:rsidR="0077236B" w:rsidRPr="00FC3C47" w:rsidRDefault="0077236B" w:rsidP="0077236B">
      <w:pPr>
        <w:pStyle w:val="FootnoteText"/>
      </w:pPr>
      <w:r>
        <w:rPr>
          <w:rStyle w:val="FootnoteReference"/>
        </w:rPr>
        <w:footnoteRef/>
      </w:r>
      <w:r>
        <w:t xml:space="preserve"> </w:t>
      </w:r>
      <w:r w:rsidR="00FC3C47" w:rsidRPr="00FC3C47">
        <w:rPr>
          <w:i/>
        </w:rPr>
        <w:t>Monty Python talk about Graham Chapman in 2014</w:t>
      </w:r>
      <w:r w:rsidR="00FC3C47">
        <w:t>, YouTube, 2018</w:t>
      </w:r>
    </w:p>
  </w:footnote>
  <w:footnote w:id="36">
    <w:p w14:paraId="7225A1AF" w14:textId="4F6FF19D" w:rsidR="0077236B" w:rsidRDefault="0077236B" w:rsidP="0077236B">
      <w:pPr>
        <w:pStyle w:val="FootnoteText"/>
      </w:pPr>
      <w:r>
        <w:rPr>
          <w:rStyle w:val="FootnoteReference"/>
        </w:rPr>
        <w:footnoteRef/>
      </w:r>
      <w:r>
        <w:t xml:space="preserve"> </w:t>
      </w:r>
      <w:r w:rsidR="00FC3C47" w:rsidRPr="0085366A">
        <w:rPr>
          <w:i/>
        </w:rPr>
        <w:t>Monty Python - Pythons on Graham Chapman</w:t>
      </w:r>
      <w:r w:rsidR="00FC3C47">
        <w:t>, YouTube, 2018</w:t>
      </w:r>
    </w:p>
  </w:footnote>
  <w:footnote w:id="37">
    <w:p w14:paraId="28B89C54" w14:textId="3E9D944E" w:rsidR="0077236B" w:rsidRDefault="0077236B" w:rsidP="0077236B">
      <w:pPr>
        <w:pStyle w:val="FootnoteText"/>
      </w:pPr>
      <w:r>
        <w:rPr>
          <w:rStyle w:val="FootnoteReference"/>
        </w:rPr>
        <w:footnoteRef/>
      </w:r>
      <w:r>
        <w:t xml:space="preserve"> </w:t>
      </w:r>
      <w:r w:rsidR="008F61FA">
        <w:t>McCabe 2005</w:t>
      </w:r>
    </w:p>
  </w:footnote>
  <w:footnote w:id="38">
    <w:p w14:paraId="6033B675" w14:textId="7CDC96A6" w:rsidR="0077236B" w:rsidRDefault="0077236B" w:rsidP="0077236B">
      <w:pPr>
        <w:pStyle w:val="FootnoteText"/>
      </w:pPr>
      <w:r>
        <w:rPr>
          <w:rStyle w:val="FootnoteReference"/>
        </w:rPr>
        <w:footnoteRef/>
      </w:r>
      <w:r>
        <w:t xml:space="preserve"> </w:t>
      </w:r>
      <w:r w:rsidR="008F61FA">
        <w:t>The controversy can be seen in the 1979 interview referenced in footnote 26</w:t>
      </w:r>
      <w:r w:rsidR="00FC3C47">
        <w:t>, and the following parts of the interview.</w:t>
      </w:r>
    </w:p>
  </w:footnote>
  <w:footnote w:id="39">
    <w:p w14:paraId="3AEB81B1" w14:textId="602F5876" w:rsidR="0077236B" w:rsidRDefault="0077236B" w:rsidP="0077236B">
      <w:pPr>
        <w:pStyle w:val="FootnoteText"/>
      </w:pPr>
      <w:r>
        <w:rPr>
          <w:rStyle w:val="FootnoteReference"/>
        </w:rPr>
        <w:footnoteRef/>
      </w:r>
      <w:r>
        <w:t xml:space="preserve"> </w:t>
      </w:r>
      <w:r w:rsidR="00FB3193">
        <w:rPr>
          <w:i/>
        </w:rPr>
        <w:t>Life of Brian (1979)</w:t>
      </w:r>
      <w:r w:rsidR="00FB3193">
        <w:t>. I</w:t>
      </w:r>
      <w:r w:rsidR="00FB3193" w:rsidRPr="00FB3193">
        <w:t>MDB</w:t>
      </w:r>
      <w:r w:rsidR="00FB3193">
        <w:t>. 2018</w:t>
      </w:r>
    </w:p>
  </w:footnote>
  <w:footnote w:id="40">
    <w:p w14:paraId="698D830D" w14:textId="1F674D35" w:rsidR="0077236B" w:rsidRPr="0085366A" w:rsidRDefault="0077236B" w:rsidP="0077236B">
      <w:pPr>
        <w:pStyle w:val="FootnoteText"/>
      </w:pPr>
      <w:r>
        <w:rPr>
          <w:rStyle w:val="FootnoteReference"/>
        </w:rPr>
        <w:footnoteRef/>
      </w:r>
      <w:r>
        <w:t xml:space="preserve"> </w:t>
      </w:r>
      <w:r w:rsidR="0085366A" w:rsidRPr="0085366A">
        <w:rPr>
          <w:i/>
        </w:rPr>
        <w:t>Monty Python - Pythons on Graham Chapman</w:t>
      </w:r>
      <w:r w:rsidR="0085366A">
        <w:t>, YouTube, 2018</w:t>
      </w:r>
    </w:p>
  </w:footnote>
  <w:footnote w:id="41">
    <w:p w14:paraId="23507ADA" w14:textId="03FA3B30" w:rsidR="00FB3193" w:rsidRDefault="00FB3193">
      <w:pPr>
        <w:pStyle w:val="FootnoteText"/>
      </w:pPr>
      <w:r>
        <w:rPr>
          <w:rStyle w:val="FootnoteReference"/>
        </w:rPr>
        <w:footnoteRef/>
      </w:r>
      <w:r>
        <w:t xml:space="preserve"> </w:t>
      </w:r>
      <w:r>
        <w:rPr>
          <w:i/>
        </w:rPr>
        <w:t>Life of Brian (1979)</w:t>
      </w:r>
      <w:r>
        <w:t>. I</w:t>
      </w:r>
      <w:r w:rsidRPr="00FB3193">
        <w:t>MDB</w:t>
      </w:r>
      <w:r>
        <w:t>. 2018</w:t>
      </w:r>
    </w:p>
  </w:footnote>
  <w:footnote w:id="42">
    <w:p w14:paraId="74E984AD" w14:textId="310332F2" w:rsidR="0077236B" w:rsidRDefault="0077236B" w:rsidP="0077236B">
      <w:pPr>
        <w:pStyle w:val="FootnoteText"/>
      </w:pPr>
      <w:r>
        <w:rPr>
          <w:rStyle w:val="FootnoteReference"/>
        </w:rPr>
        <w:footnoteRef/>
      </w:r>
      <w:r>
        <w:t xml:space="preserve"> </w:t>
      </w:r>
      <w:r w:rsidR="00811689">
        <w:t>McCabe 2005</w:t>
      </w:r>
    </w:p>
  </w:footnote>
  <w:footnote w:id="43">
    <w:p w14:paraId="3D93E3D3" w14:textId="5DD61F92" w:rsidR="0077236B" w:rsidRDefault="0077236B" w:rsidP="0077236B">
      <w:pPr>
        <w:pStyle w:val="FootnoteText"/>
      </w:pPr>
      <w:r>
        <w:rPr>
          <w:rStyle w:val="FootnoteReference"/>
        </w:rPr>
        <w:footnoteRef/>
      </w:r>
      <w:r>
        <w:t xml:space="preserve"> </w:t>
      </w:r>
      <w:r w:rsidR="009E4A16" w:rsidRPr="009E4A16">
        <w:rPr>
          <w:i/>
        </w:rPr>
        <w:t>Alexander</w:t>
      </w:r>
      <w:r w:rsidR="009E4A16">
        <w:t>, 2004, di</w:t>
      </w:r>
      <w:r w:rsidR="007E5730">
        <w:t>rected by Oliver Stone</w:t>
      </w:r>
    </w:p>
  </w:footnote>
  <w:footnote w:id="44">
    <w:p w14:paraId="6D97DC9B" w14:textId="3458C8A3" w:rsidR="0077236B" w:rsidRDefault="0077236B" w:rsidP="0077236B">
      <w:pPr>
        <w:pStyle w:val="FootnoteText"/>
      </w:pPr>
      <w:r>
        <w:rPr>
          <w:rStyle w:val="FootnoteReference"/>
        </w:rPr>
        <w:footnoteRef/>
      </w:r>
      <w:r>
        <w:t xml:space="preserve"> </w:t>
      </w:r>
      <w:r w:rsidR="007E5730" w:rsidRPr="007E5730">
        <w:rPr>
          <w:i/>
        </w:rPr>
        <w:t>300</w:t>
      </w:r>
      <w:r w:rsidR="007E5730">
        <w:t>, 2006, directed by Zach Snyder</w:t>
      </w:r>
    </w:p>
  </w:footnote>
  <w:footnote w:id="45">
    <w:p w14:paraId="75F72708" w14:textId="78DF1A18" w:rsidR="0077236B" w:rsidRDefault="0077236B" w:rsidP="0077236B">
      <w:pPr>
        <w:pStyle w:val="FootnoteText"/>
      </w:pPr>
      <w:r>
        <w:rPr>
          <w:rStyle w:val="FootnoteReference"/>
        </w:rPr>
        <w:footnoteRef/>
      </w:r>
      <w:r>
        <w:t xml:space="preserve"> These versions being: the theatrical release, ‘Director Cut’, ‘Final Cut’, and ‘Ultimate Cut’.</w:t>
      </w:r>
      <w:r w:rsidR="00FB3193">
        <w:t xml:space="preserve"> </w:t>
      </w:r>
    </w:p>
  </w:footnote>
  <w:footnote w:id="46">
    <w:p w14:paraId="25A16082" w14:textId="55731976" w:rsidR="0077236B" w:rsidRDefault="0077236B" w:rsidP="0077236B">
      <w:pPr>
        <w:pStyle w:val="FootnoteText"/>
      </w:pPr>
      <w:r>
        <w:rPr>
          <w:rStyle w:val="FootnoteReference"/>
        </w:rPr>
        <w:footnoteRef/>
      </w:r>
      <w:r>
        <w:t xml:space="preserve"> </w:t>
      </w:r>
      <w:r w:rsidR="00D036D0">
        <w:t>Plutarch, Life of Alexander, 22</w:t>
      </w:r>
    </w:p>
  </w:footnote>
  <w:footnote w:id="47">
    <w:p w14:paraId="24104A1C" w14:textId="5D385491" w:rsidR="00FE098F" w:rsidRDefault="00FE098F">
      <w:pPr>
        <w:pStyle w:val="FootnoteText"/>
      </w:pPr>
      <w:r>
        <w:rPr>
          <w:rStyle w:val="FootnoteReference"/>
        </w:rPr>
        <w:footnoteRef/>
      </w:r>
      <w:r>
        <w:t xml:space="preserve"> </w:t>
      </w:r>
      <w:r w:rsidRPr="00FE098F">
        <w:rPr>
          <w:i/>
        </w:rPr>
        <w:t>Alexander</w:t>
      </w:r>
      <w:r>
        <w:rPr>
          <w:i/>
        </w:rPr>
        <w:t xml:space="preserve"> (2004)</w:t>
      </w:r>
      <w:r>
        <w:t>. I</w:t>
      </w:r>
      <w:r w:rsidRPr="00FB3193">
        <w:t>MDB</w:t>
      </w:r>
      <w:r>
        <w:t>. 2018</w:t>
      </w:r>
    </w:p>
  </w:footnote>
  <w:footnote w:id="48">
    <w:p w14:paraId="3B0025C8" w14:textId="3C974EAB" w:rsidR="0077236B" w:rsidRDefault="0077236B" w:rsidP="0077236B">
      <w:pPr>
        <w:pStyle w:val="FootnoteText"/>
      </w:pPr>
      <w:r>
        <w:rPr>
          <w:rStyle w:val="FootnoteReference"/>
        </w:rPr>
        <w:footnoteRef/>
      </w:r>
      <w:r>
        <w:t xml:space="preserve"> </w:t>
      </w:r>
      <w:r w:rsidR="00FE098F" w:rsidRPr="00FE098F">
        <w:rPr>
          <w:i/>
        </w:rPr>
        <w:t>Alexander</w:t>
      </w:r>
      <w:r w:rsidR="00FE098F">
        <w:rPr>
          <w:i/>
        </w:rPr>
        <w:t xml:space="preserve"> (2004</w:t>
      </w:r>
      <w:r w:rsidR="00FE098F">
        <w:rPr>
          <w:i/>
        </w:rPr>
        <w:t>)</w:t>
      </w:r>
      <w:r w:rsidR="00FE098F">
        <w:t>. I</w:t>
      </w:r>
      <w:r w:rsidR="00FE098F" w:rsidRPr="00FB3193">
        <w:t>MDB</w:t>
      </w:r>
      <w:r w:rsidR="00FE098F">
        <w:t>. 2018</w:t>
      </w:r>
      <w:r w:rsidR="00FE098F">
        <w:t>:</w:t>
      </w:r>
      <w:r w:rsidR="00FB3193">
        <w:t xml:space="preserve"> the historical spelling will be used rather than the spelling in the film’s credits, as with the other characters with names spelt differently.</w:t>
      </w:r>
    </w:p>
  </w:footnote>
  <w:footnote w:id="49">
    <w:p w14:paraId="5CBE6286" w14:textId="1040003C" w:rsidR="0077236B" w:rsidRDefault="0077236B" w:rsidP="0077236B">
      <w:pPr>
        <w:pStyle w:val="FootnoteText"/>
      </w:pPr>
      <w:r>
        <w:rPr>
          <w:rStyle w:val="FootnoteReference"/>
        </w:rPr>
        <w:footnoteRef/>
      </w:r>
      <w:r>
        <w:t xml:space="preserve"> </w:t>
      </w:r>
      <w:r w:rsidR="000A37D5">
        <w:t>Morales and Mariscal 2003, Clarke 1978</w:t>
      </w:r>
    </w:p>
  </w:footnote>
  <w:footnote w:id="50">
    <w:p w14:paraId="5B4DD94D" w14:textId="2B2F2FE4" w:rsidR="0077236B" w:rsidRDefault="0077236B" w:rsidP="0077236B">
      <w:pPr>
        <w:pStyle w:val="FootnoteText"/>
      </w:pPr>
      <w:r>
        <w:rPr>
          <w:rStyle w:val="FootnoteReference"/>
        </w:rPr>
        <w:footnoteRef/>
      </w:r>
      <w:r>
        <w:t xml:space="preserve"> </w:t>
      </w:r>
      <w:r w:rsidR="001F1FA8">
        <w:t>Plutarch, Life of Alexander</w:t>
      </w:r>
    </w:p>
  </w:footnote>
  <w:footnote w:id="51">
    <w:p w14:paraId="549640D4" w14:textId="2D1725CF" w:rsidR="0077236B" w:rsidRDefault="0077236B" w:rsidP="0077236B">
      <w:pPr>
        <w:pStyle w:val="FootnoteText"/>
      </w:pPr>
      <w:r>
        <w:rPr>
          <w:rStyle w:val="FootnoteReference"/>
        </w:rPr>
        <w:footnoteRef/>
      </w:r>
      <w:r>
        <w:t xml:space="preserve"> </w:t>
      </w:r>
      <w:r w:rsidR="002857BD">
        <w:t>Stone states this at several points during the commentary on the ‘Final Cut’ DVD.</w:t>
      </w:r>
    </w:p>
  </w:footnote>
  <w:footnote w:id="52">
    <w:p w14:paraId="16DBAFB9" w14:textId="55112733" w:rsidR="00FE098F" w:rsidRDefault="00FE098F">
      <w:pPr>
        <w:pStyle w:val="FootnoteText"/>
      </w:pPr>
      <w:r>
        <w:rPr>
          <w:rStyle w:val="FootnoteReference"/>
        </w:rPr>
        <w:footnoteRef/>
      </w:r>
      <w:r>
        <w:t xml:space="preserve"> </w:t>
      </w:r>
      <w:r w:rsidRPr="00FE098F">
        <w:rPr>
          <w:i/>
        </w:rPr>
        <w:t>Alexander</w:t>
      </w:r>
      <w:r>
        <w:rPr>
          <w:i/>
        </w:rPr>
        <w:t xml:space="preserve"> (2004)</w:t>
      </w:r>
      <w:r>
        <w:t>. I</w:t>
      </w:r>
      <w:r w:rsidRPr="00FB3193">
        <w:t>MDB</w:t>
      </w:r>
      <w:r>
        <w:t>. 2018</w:t>
      </w:r>
    </w:p>
  </w:footnote>
  <w:footnote w:id="53">
    <w:p w14:paraId="0D7D7066" w14:textId="0E19B848" w:rsidR="00FE098F" w:rsidRDefault="00FE098F">
      <w:pPr>
        <w:pStyle w:val="FootnoteText"/>
      </w:pPr>
      <w:r>
        <w:rPr>
          <w:rStyle w:val="FootnoteReference"/>
        </w:rPr>
        <w:footnoteRef/>
      </w:r>
      <w:r>
        <w:t xml:space="preserve"> </w:t>
      </w:r>
      <w:r w:rsidRPr="00FE098F">
        <w:rPr>
          <w:i/>
        </w:rPr>
        <w:t>Alexander</w:t>
      </w:r>
      <w:r>
        <w:rPr>
          <w:i/>
        </w:rPr>
        <w:t xml:space="preserve"> (2004)</w:t>
      </w:r>
      <w:r>
        <w:t>. I</w:t>
      </w:r>
      <w:r w:rsidRPr="00FB3193">
        <w:t>MDB</w:t>
      </w:r>
      <w:r>
        <w:t>. 2018</w:t>
      </w:r>
    </w:p>
  </w:footnote>
  <w:footnote w:id="54">
    <w:p w14:paraId="3256FA7D" w14:textId="64F0056E" w:rsidR="0077236B" w:rsidRPr="006B1ECC" w:rsidRDefault="0077236B" w:rsidP="0077236B">
      <w:pPr>
        <w:pStyle w:val="FootnoteText"/>
      </w:pPr>
      <w:r>
        <w:rPr>
          <w:rStyle w:val="FootnoteReference"/>
        </w:rPr>
        <w:footnoteRef/>
      </w:r>
      <w:r>
        <w:t xml:space="preserve"> </w:t>
      </w:r>
      <w:r w:rsidR="006B1ECC">
        <w:rPr>
          <w:i/>
        </w:rPr>
        <w:t>Alexander</w:t>
      </w:r>
      <w:r w:rsidR="006B1ECC">
        <w:t>: 1:41:35</w:t>
      </w:r>
    </w:p>
  </w:footnote>
  <w:footnote w:id="55">
    <w:p w14:paraId="4DD45D5C" w14:textId="139F4646" w:rsidR="0077236B" w:rsidRPr="00893F95" w:rsidRDefault="0077236B" w:rsidP="0077236B">
      <w:pPr>
        <w:pStyle w:val="FootnoteText"/>
      </w:pPr>
      <w:r>
        <w:rPr>
          <w:rStyle w:val="FootnoteReference"/>
        </w:rPr>
        <w:footnoteRef/>
      </w:r>
      <w:r>
        <w:t xml:space="preserve"> </w:t>
      </w:r>
      <w:r w:rsidR="00893F95">
        <w:rPr>
          <w:i/>
        </w:rPr>
        <w:t>Alexander</w:t>
      </w:r>
      <w:r w:rsidR="00893F95">
        <w:t>: 1:33:55</w:t>
      </w:r>
    </w:p>
  </w:footnote>
  <w:footnote w:id="56">
    <w:p w14:paraId="3263E516" w14:textId="3AE1694F" w:rsidR="0077236B" w:rsidRPr="002857BD" w:rsidRDefault="0077236B" w:rsidP="0077236B">
      <w:pPr>
        <w:pStyle w:val="FootnoteText"/>
      </w:pPr>
      <w:r>
        <w:rPr>
          <w:rStyle w:val="FootnoteReference"/>
        </w:rPr>
        <w:footnoteRef/>
      </w:r>
      <w:r>
        <w:t xml:space="preserve"> </w:t>
      </w:r>
      <w:r w:rsidR="002857BD">
        <w:rPr>
          <w:i/>
        </w:rPr>
        <w:t xml:space="preserve">Oliver Stone </w:t>
      </w:r>
      <w:proofErr w:type="gramStart"/>
      <w:r w:rsidR="002857BD">
        <w:rPr>
          <w:i/>
        </w:rPr>
        <w:t>On</w:t>
      </w:r>
      <w:proofErr w:type="gramEnd"/>
      <w:r w:rsidR="002857BD">
        <w:rPr>
          <w:i/>
        </w:rPr>
        <w:t xml:space="preserve"> The Directors Cut of “Alexander”,</w:t>
      </w:r>
      <w:r w:rsidR="002857BD">
        <w:t xml:space="preserve"> </w:t>
      </w:r>
      <w:r w:rsidR="009E3BF3">
        <w:t>YouTube, 2018</w:t>
      </w:r>
    </w:p>
  </w:footnote>
  <w:footnote w:id="57">
    <w:p w14:paraId="1B8832A1" w14:textId="15E5B443" w:rsidR="001C7841" w:rsidRDefault="001C7841">
      <w:pPr>
        <w:pStyle w:val="FootnoteText"/>
      </w:pPr>
      <w:r>
        <w:rPr>
          <w:rStyle w:val="FootnoteReference"/>
        </w:rPr>
        <w:footnoteRef/>
      </w:r>
      <w:r>
        <w:t xml:space="preserve"> </w:t>
      </w:r>
      <w:r w:rsidR="00FE098F">
        <w:t>Alexander</w:t>
      </w:r>
      <w:r w:rsidR="00FE098F">
        <w:rPr>
          <w:i/>
        </w:rPr>
        <w:t xml:space="preserve"> (2004)</w:t>
      </w:r>
      <w:r w:rsidR="00FE098F">
        <w:t>. I</w:t>
      </w:r>
      <w:r w:rsidR="00FE098F" w:rsidRPr="00FB3193">
        <w:t>MDB</w:t>
      </w:r>
      <w:r w:rsidR="00FE098F">
        <w:t>. 2018</w:t>
      </w:r>
    </w:p>
  </w:footnote>
  <w:footnote w:id="58">
    <w:p w14:paraId="5F3856ED" w14:textId="77777777" w:rsidR="001C7841" w:rsidRPr="001C7841" w:rsidRDefault="001C7841" w:rsidP="001C7841">
      <w:pPr>
        <w:pStyle w:val="FootnoteText"/>
      </w:pPr>
      <w:r>
        <w:rPr>
          <w:rStyle w:val="FootnoteReference"/>
        </w:rPr>
        <w:footnoteRef/>
      </w:r>
      <w:r>
        <w:t xml:space="preserve"> </w:t>
      </w:r>
      <w:r>
        <w:rPr>
          <w:i/>
        </w:rPr>
        <w:t>Alexander</w:t>
      </w:r>
      <w:r>
        <w:t>: 3:11:25</w:t>
      </w:r>
    </w:p>
  </w:footnote>
  <w:footnote w:id="59">
    <w:p w14:paraId="74D6B937" w14:textId="0DDD62D8" w:rsidR="0099799C" w:rsidRPr="001C7841" w:rsidRDefault="0099799C">
      <w:pPr>
        <w:pStyle w:val="FootnoteText"/>
      </w:pPr>
      <w:r>
        <w:rPr>
          <w:rStyle w:val="FootnoteReference"/>
        </w:rPr>
        <w:footnoteRef/>
      </w:r>
      <w:r>
        <w:t xml:space="preserve"> </w:t>
      </w:r>
      <w:r w:rsidR="001C7841">
        <w:t xml:space="preserve">Leonidas has </w:t>
      </w:r>
      <w:proofErr w:type="spellStart"/>
      <w:r w:rsidR="001C7841">
        <w:t>Gorgo</w:t>
      </w:r>
      <w:proofErr w:type="spellEnd"/>
      <w:r w:rsidR="001C7841">
        <w:t xml:space="preserve"> as a wife and a son </w:t>
      </w:r>
      <w:r w:rsidR="001C7841">
        <w:rPr>
          <w:i/>
        </w:rPr>
        <w:t>300</w:t>
      </w:r>
      <w:r w:rsidR="001C7841">
        <w:t xml:space="preserve">: 0:07:53, and the Captain has his son </w:t>
      </w:r>
      <w:r w:rsidR="001C7841">
        <w:rPr>
          <w:i/>
        </w:rPr>
        <w:t>300</w:t>
      </w:r>
      <w:r w:rsidR="001C7841">
        <w:t>: 0:23:05</w:t>
      </w:r>
    </w:p>
  </w:footnote>
  <w:footnote w:id="60">
    <w:p w14:paraId="269EC061" w14:textId="2643ED3F" w:rsidR="00FE098F" w:rsidRDefault="00FE098F">
      <w:pPr>
        <w:pStyle w:val="FootnoteText"/>
      </w:pPr>
      <w:r>
        <w:rPr>
          <w:rStyle w:val="FootnoteReference"/>
        </w:rPr>
        <w:footnoteRef/>
      </w:r>
      <w:r>
        <w:t xml:space="preserve"> </w:t>
      </w:r>
      <w:r>
        <w:rPr>
          <w:i/>
        </w:rPr>
        <w:t>300 (2006</w:t>
      </w:r>
      <w:r>
        <w:rPr>
          <w:i/>
        </w:rPr>
        <w:t>)</w:t>
      </w:r>
      <w:r>
        <w:t>. I</w:t>
      </w:r>
      <w:r w:rsidRPr="00FB3193">
        <w:t>MDB</w:t>
      </w:r>
      <w:r>
        <w:t>. 2018</w:t>
      </w:r>
    </w:p>
  </w:footnote>
  <w:footnote w:id="61">
    <w:p w14:paraId="0702091C" w14:textId="242633EB" w:rsidR="0077236B" w:rsidRDefault="0077236B" w:rsidP="0077236B">
      <w:pPr>
        <w:pStyle w:val="FootnoteText"/>
      </w:pPr>
      <w:r>
        <w:rPr>
          <w:rStyle w:val="FootnoteReference"/>
        </w:rPr>
        <w:footnoteRef/>
      </w:r>
      <w:r>
        <w:t xml:space="preserve"> </w:t>
      </w:r>
      <w:r w:rsidR="00FE098F">
        <w:rPr>
          <w:i/>
        </w:rPr>
        <w:t>300</w:t>
      </w:r>
      <w:r w:rsidR="00FE098F">
        <w:t>: 0:10:40</w:t>
      </w:r>
    </w:p>
  </w:footnote>
  <w:footnote w:id="62">
    <w:p w14:paraId="74243BE1" w14:textId="019D1818" w:rsidR="0077236B" w:rsidRDefault="0077236B" w:rsidP="0077236B">
      <w:pPr>
        <w:pStyle w:val="FootnoteText"/>
      </w:pPr>
      <w:r>
        <w:rPr>
          <w:rStyle w:val="FootnoteReference"/>
        </w:rPr>
        <w:footnoteRef/>
      </w:r>
      <w:r>
        <w:t xml:space="preserve"> </w:t>
      </w:r>
      <w:r w:rsidR="0099799C">
        <w:t>Hubbard 1998</w:t>
      </w:r>
    </w:p>
  </w:footnote>
  <w:footnote w:id="63">
    <w:p w14:paraId="2D1A163C" w14:textId="2528BBE7" w:rsidR="0077236B" w:rsidRDefault="0077236B" w:rsidP="0077236B">
      <w:pPr>
        <w:pStyle w:val="FootnoteText"/>
      </w:pPr>
      <w:r>
        <w:rPr>
          <w:rStyle w:val="FootnoteReference"/>
        </w:rPr>
        <w:footnoteRef/>
      </w:r>
      <w:r>
        <w:t xml:space="preserve"> </w:t>
      </w:r>
      <w:r w:rsidR="009E3BF3">
        <w:t>Cavendish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79B6B" w14:textId="5843EE8A" w:rsidR="002643A9" w:rsidRDefault="002643A9">
    <w:pPr>
      <w:pStyle w:val="Header"/>
    </w:pPr>
    <w:r>
      <w:t>CLCS7001</w:t>
    </w:r>
    <w:r>
      <w:tab/>
      <w:t>1400752</w:t>
    </w:r>
    <w:r>
      <w:tab/>
      <w:t>Russell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036"/>
    <w:rsid w:val="000068E9"/>
    <w:rsid w:val="00053CD7"/>
    <w:rsid w:val="000A37D5"/>
    <w:rsid w:val="000B0BCD"/>
    <w:rsid w:val="000B1744"/>
    <w:rsid w:val="000C2F22"/>
    <w:rsid w:val="000C6603"/>
    <w:rsid w:val="000D05E1"/>
    <w:rsid w:val="000D563D"/>
    <w:rsid w:val="000E1A70"/>
    <w:rsid w:val="001037AE"/>
    <w:rsid w:val="001136B8"/>
    <w:rsid w:val="001140F3"/>
    <w:rsid w:val="00147B28"/>
    <w:rsid w:val="00164F25"/>
    <w:rsid w:val="001878BE"/>
    <w:rsid w:val="001A168F"/>
    <w:rsid w:val="001C7841"/>
    <w:rsid w:val="001D02DC"/>
    <w:rsid w:val="001F1FA8"/>
    <w:rsid w:val="00205B05"/>
    <w:rsid w:val="00210D5B"/>
    <w:rsid w:val="00211AB9"/>
    <w:rsid w:val="002269FB"/>
    <w:rsid w:val="002551BB"/>
    <w:rsid w:val="002643A9"/>
    <w:rsid w:val="002857BD"/>
    <w:rsid w:val="002A08C8"/>
    <w:rsid w:val="002A3CD1"/>
    <w:rsid w:val="002B375C"/>
    <w:rsid w:val="002B5A11"/>
    <w:rsid w:val="002E0CE8"/>
    <w:rsid w:val="003010A5"/>
    <w:rsid w:val="003101F5"/>
    <w:rsid w:val="00310E35"/>
    <w:rsid w:val="003204B9"/>
    <w:rsid w:val="00343F96"/>
    <w:rsid w:val="00346B19"/>
    <w:rsid w:val="003716DF"/>
    <w:rsid w:val="00372F51"/>
    <w:rsid w:val="003C4A7F"/>
    <w:rsid w:val="003C7853"/>
    <w:rsid w:val="003D2B58"/>
    <w:rsid w:val="003E5A35"/>
    <w:rsid w:val="003F7130"/>
    <w:rsid w:val="00403121"/>
    <w:rsid w:val="004049AB"/>
    <w:rsid w:val="0040616A"/>
    <w:rsid w:val="004206B6"/>
    <w:rsid w:val="00420D0D"/>
    <w:rsid w:val="00431280"/>
    <w:rsid w:val="00452B2C"/>
    <w:rsid w:val="00452DFB"/>
    <w:rsid w:val="00467A03"/>
    <w:rsid w:val="00482307"/>
    <w:rsid w:val="004B71B1"/>
    <w:rsid w:val="004E1BAD"/>
    <w:rsid w:val="004E568C"/>
    <w:rsid w:val="004F292E"/>
    <w:rsid w:val="004F30D4"/>
    <w:rsid w:val="0050359F"/>
    <w:rsid w:val="00514079"/>
    <w:rsid w:val="00514608"/>
    <w:rsid w:val="00520DCF"/>
    <w:rsid w:val="00532520"/>
    <w:rsid w:val="00535A0C"/>
    <w:rsid w:val="0054132C"/>
    <w:rsid w:val="00547308"/>
    <w:rsid w:val="00565CAB"/>
    <w:rsid w:val="00572BC7"/>
    <w:rsid w:val="00586F75"/>
    <w:rsid w:val="00590036"/>
    <w:rsid w:val="005965B8"/>
    <w:rsid w:val="005A26F4"/>
    <w:rsid w:val="005B3DF3"/>
    <w:rsid w:val="005C772A"/>
    <w:rsid w:val="005D540A"/>
    <w:rsid w:val="005F1029"/>
    <w:rsid w:val="005F13A8"/>
    <w:rsid w:val="005F797B"/>
    <w:rsid w:val="006051C9"/>
    <w:rsid w:val="006055F3"/>
    <w:rsid w:val="006107BB"/>
    <w:rsid w:val="00610908"/>
    <w:rsid w:val="006121F8"/>
    <w:rsid w:val="00620222"/>
    <w:rsid w:val="006239E3"/>
    <w:rsid w:val="00630812"/>
    <w:rsid w:val="006331F7"/>
    <w:rsid w:val="00652AB9"/>
    <w:rsid w:val="006619D5"/>
    <w:rsid w:val="0066313C"/>
    <w:rsid w:val="00684B16"/>
    <w:rsid w:val="006B1ECC"/>
    <w:rsid w:val="006D7D69"/>
    <w:rsid w:val="00700165"/>
    <w:rsid w:val="007016FB"/>
    <w:rsid w:val="00711CF5"/>
    <w:rsid w:val="007160D3"/>
    <w:rsid w:val="00731BC6"/>
    <w:rsid w:val="0073568A"/>
    <w:rsid w:val="007377D0"/>
    <w:rsid w:val="0077236B"/>
    <w:rsid w:val="0077585D"/>
    <w:rsid w:val="0077589B"/>
    <w:rsid w:val="0077650D"/>
    <w:rsid w:val="0079259B"/>
    <w:rsid w:val="0079720B"/>
    <w:rsid w:val="007D3A84"/>
    <w:rsid w:val="007E5730"/>
    <w:rsid w:val="007F15E0"/>
    <w:rsid w:val="007F5ABC"/>
    <w:rsid w:val="0080287E"/>
    <w:rsid w:val="00810CAE"/>
    <w:rsid w:val="00811689"/>
    <w:rsid w:val="0082259E"/>
    <w:rsid w:val="00840522"/>
    <w:rsid w:val="00850743"/>
    <w:rsid w:val="0085366A"/>
    <w:rsid w:val="00880E80"/>
    <w:rsid w:val="00893F95"/>
    <w:rsid w:val="008A01CF"/>
    <w:rsid w:val="008B1CDB"/>
    <w:rsid w:val="008B3B48"/>
    <w:rsid w:val="008E5E1C"/>
    <w:rsid w:val="008F61FA"/>
    <w:rsid w:val="00922030"/>
    <w:rsid w:val="009334B2"/>
    <w:rsid w:val="00956CB5"/>
    <w:rsid w:val="00963348"/>
    <w:rsid w:val="009654A0"/>
    <w:rsid w:val="00970204"/>
    <w:rsid w:val="0099799C"/>
    <w:rsid w:val="009C40DA"/>
    <w:rsid w:val="009D108B"/>
    <w:rsid w:val="009D4786"/>
    <w:rsid w:val="009E3BF3"/>
    <w:rsid w:val="009E4A16"/>
    <w:rsid w:val="00A003DE"/>
    <w:rsid w:val="00A12298"/>
    <w:rsid w:val="00A1409D"/>
    <w:rsid w:val="00A16313"/>
    <w:rsid w:val="00A30824"/>
    <w:rsid w:val="00A65650"/>
    <w:rsid w:val="00A657E5"/>
    <w:rsid w:val="00A72440"/>
    <w:rsid w:val="00A76862"/>
    <w:rsid w:val="00A779F8"/>
    <w:rsid w:val="00A93FFE"/>
    <w:rsid w:val="00AB17E1"/>
    <w:rsid w:val="00AD6D11"/>
    <w:rsid w:val="00AE0F0C"/>
    <w:rsid w:val="00AE6192"/>
    <w:rsid w:val="00AE6DB7"/>
    <w:rsid w:val="00B229EF"/>
    <w:rsid w:val="00B23110"/>
    <w:rsid w:val="00B31AF2"/>
    <w:rsid w:val="00B43225"/>
    <w:rsid w:val="00B942F8"/>
    <w:rsid w:val="00BA4654"/>
    <w:rsid w:val="00BC6E2E"/>
    <w:rsid w:val="00BD47B2"/>
    <w:rsid w:val="00BE08ED"/>
    <w:rsid w:val="00BE47ED"/>
    <w:rsid w:val="00C163D0"/>
    <w:rsid w:val="00C414C8"/>
    <w:rsid w:val="00C469CB"/>
    <w:rsid w:val="00C47ABD"/>
    <w:rsid w:val="00C55B8B"/>
    <w:rsid w:val="00C62EE8"/>
    <w:rsid w:val="00C63CD3"/>
    <w:rsid w:val="00C75242"/>
    <w:rsid w:val="00C8046C"/>
    <w:rsid w:val="00CB1427"/>
    <w:rsid w:val="00CD1A63"/>
    <w:rsid w:val="00CD313C"/>
    <w:rsid w:val="00CE0B82"/>
    <w:rsid w:val="00CE1CA3"/>
    <w:rsid w:val="00CF7E36"/>
    <w:rsid w:val="00D00B20"/>
    <w:rsid w:val="00D036D0"/>
    <w:rsid w:val="00D223A8"/>
    <w:rsid w:val="00D23BC1"/>
    <w:rsid w:val="00D30787"/>
    <w:rsid w:val="00D37548"/>
    <w:rsid w:val="00D70D9A"/>
    <w:rsid w:val="00D73EC1"/>
    <w:rsid w:val="00D74621"/>
    <w:rsid w:val="00D964A4"/>
    <w:rsid w:val="00DA7185"/>
    <w:rsid w:val="00DB3003"/>
    <w:rsid w:val="00DE0CAA"/>
    <w:rsid w:val="00E12049"/>
    <w:rsid w:val="00E45E9D"/>
    <w:rsid w:val="00E63D2D"/>
    <w:rsid w:val="00E7140C"/>
    <w:rsid w:val="00E7483C"/>
    <w:rsid w:val="00E75F45"/>
    <w:rsid w:val="00E80259"/>
    <w:rsid w:val="00E92E76"/>
    <w:rsid w:val="00EA6365"/>
    <w:rsid w:val="00EE1C0A"/>
    <w:rsid w:val="00EE423E"/>
    <w:rsid w:val="00EE4321"/>
    <w:rsid w:val="00F0603D"/>
    <w:rsid w:val="00F231C7"/>
    <w:rsid w:val="00F345DC"/>
    <w:rsid w:val="00F436E0"/>
    <w:rsid w:val="00F4695E"/>
    <w:rsid w:val="00F6031E"/>
    <w:rsid w:val="00F82C2B"/>
    <w:rsid w:val="00F9695E"/>
    <w:rsid w:val="00FB3193"/>
    <w:rsid w:val="00FC3C47"/>
    <w:rsid w:val="00FD3EEF"/>
    <w:rsid w:val="00FD6458"/>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71AF6"/>
  <w15:chartTrackingRefBased/>
  <w15:docId w15:val="{DAE66B89-9A29-4E83-8200-0C3C001A0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236B"/>
    <w:pPr>
      <w:spacing w:line="256" w:lineRule="auto"/>
    </w:pPr>
  </w:style>
  <w:style w:type="paragraph" w:styleId="Heading1">
    <w:name w:val="heading 1"/>
    <w:basedOn w:val="Normal"/>
    <w:next w:val="Normal"/>
    <w:link w:val="Heading1Char"/>
    <w:uiPriority w:val="9"/>
    <w:qFormat/>
    <w:rsid w:val="002857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2B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71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71B1"/>
    <w:rPr>
      <w:sz w:val="20"/>
      <w:szCs w:val="20"/>
    </w:rPr>
  </w:style>
  <w:style w:type="character" w:styleId="FootnoteReference">
    <w:name w:val="footnote reference"/>
    <w:basedOn w:val="DefaultParagraphFont"/>
    <w:uiPriority w:val="99"/>
    <w:semiHidden/>
    <w:unhideWhenUsed/>
    <w:rsid w:val="004B71B1"/>
    <w:rPr>
      <w:vertAlign w:val="superscript"/>
    </w:rPr>
  </w:style>
  <w:style w:type="paragraph" w:styleId="Header">
    <w:name w:val="header"/>
    <w:basedOn w:val="Normal"/>
    <w:link w:val="HeaderChar"/>
    <w:uiPriority w:val="99"/>
    <w:unhideWhenUsed/>
    <w:rsid w:val="00431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280"/>
  </w:style>
  <w:style w:type="paragraph" w:styleId="Footer">
    <w:name w:val="footer"/>
    <w:basedOn w:val="Normal"/>
    <w:link w:val="FooterChar"/>
    <w:uiPriority w:val="99"/>
    <w:unhideWhenUsed/>
    <w:rsid w:val="00431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280"/>
  </w:style>
  <w:style w:type="character" w:customStyle="1" w:styleId="Heading2Char">
    <w:name w:val="Heading 2 Char"/>
    <w:basedOn w:val="DefaultParagraphFont"/>
    <w:link w:val="Heading2"/>
    <w:uiPriority w:val="9"/>
    <w:rsid w:val="00572BC7"/>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AE6DB7"/>
    <w:rPr>
      <w:sz w:val="16"/>
      <w:szCs w:val="16"/>
    </w:rPr>
  </w:style>
  <w:style w:type="paragraph" w:styleId="CommentText">
    <w:name w:val="annotation text"/>
    <w:basedOn w:val="Normal"/>
    <w:link w:val="CommentTextChar"/>
    <w:uiPriority w:val="99"/>
    <w:semiHidden/>
    <w:unhideWhenUsed/>
    <w:rsid w:val="00AE6DB7"/>
    <w:pPr>
      <w:spacing w:line="240" w:lineRule="auto"/>
    </w:pPr>
    <w:rPr>
      <w:sz w:val="20"/>
      <w:szCs w:val="20"/>
    </w:rPr>
  </w:style>
  <w:style w:type="character" w:customStyle="1" w:styleId="CommentTextChar">
    <w:name w:val="Comment Text Char"/>
    <w:basedOn w:val="DefaultParagraphFont"/>
    <w:link w:val="CommentText"/>
    <w:uiPriority w:val="99"/>
    <w:semiHidden/>
    <w:rsid w:val="00AE6DB7"/>
    <w:rPr>
      <w:sz w:val="20"/>
      <w:szCs w:val="20"/>
    </w:rPr>
  </w:style>
  <w:style w:type="paragraph" w:styleId="CommentSubject">
    <w:name w:val="annotation subject"/>
    <w:basedOn w:val="CommentText"/>
    <w:next w:val="CommentText"/>
    <w:link w:val="CommentSubjectChar"/>
    <w:uiPriority w:val="99"/>
    <w:semiHidden/>
    <w:unhideWhenUsed/>
    <w:rsid w:val="00AE6DB7"/>
    <w:rPr>
      <w:b/>
      <w:bCs/>
    </w:rPr>
  </w:style>
  <w:style w:type="character" w:customStyle="1" w:styleId="CommentSubjectChar">
    <w:name w:val="Comment Subject Char"/>
    <w:basedOn w:val="CommentTextChar"/>
    <w:link w:val="CommentSubject"/>
    <w:uiPriority w:val="99"/>
    <w:semiHidden/>
    <w:rsid w:val="00AE6DB7"/>
    <w:rPr>
      <w:b/>
      <w:bCs/>
      <w:sz w:val="20"/>
      <w:szCs w:val="20"/>
    </w:rPr>
  </w:style>
  <w:style w:type="paragraph" w:styleId="BalloonText">
    <w:name w:val="Balloon Text"/>
    <w:basedOn w:val="Normal"/>
    <w:link w:val="BalloonTextChar"/>
    <w:uiPriority w:val="99"/>
    <w:semiHidden/>
    <w:unhideWhenUsed/>
    <w:rsid w:val="00AE6D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DB7"/>
    <w:rPr>
      <w:rFonts w:ascii="Segoe UI" w:hAnsi="Segoe UI" w:cs="Segoe UI"/>
      <w:sz w:val="18"/>
      <w:szCs w:val="18"/>
    </w:rPr>
  </w:style>
  <w:style w:type="character" w:customStyle="1" w:styleId="Heading1Char">
    <w:name w:val="Heading 1 Char"/>
    <w:basedOn w:val="DefaultParagraphFont"/>
    <w:link w:val="Heading1"/>
    <w:uiPriority w:val="9"/>
    <w:rsid w:val="002857B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129753">
      <w:bodyDiv w:val="1"/>
      <w:marLeft w:val="0"/>
      <w:marRight w:val="0"/>
      <w:marTop w:val="0"/>
      <w:marBottom w:val="0"/>
      <w:divBdr>
        <w:top w:val="none" w:sz="0" w:space="0" w:color="auto"/>
        <w:left w:val="none" w:sz="0" w:space="0" w:color="auto"/>
        <w:bottom w:val="none" w:sz="0" w:space="0" w:color="auto"/>
        <w:right w:val="none" w:sz="0" w:space="0" w:color="auto"/>
      </w:divBdr>
    </w:div>
    <w:div w:id="139404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0E753-6B1F-4FEE-B6A0-F65FFF605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4999</Words>
  <Characters>28499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Russell</dc:creator>
  <cp:keywords/>
  <dc:description/>
  <cp:lastModifiedBy>Will Russell</cp:lastModifiedBy>
  <cp:revision>3</cp:revision>
  <dcterms:created xsi:type="dcterms:W3CDTF">2018-05-24T14:43:00Z</dcterms:created>
  <dcterms:modified xsi:type="dcterms:W3CDTF">2018-05-24T14:43:00Z</dcterms:modified>
</cp:coreProperties>
</file>