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1EFB8E" w14:textId="77777777" w:rsidR="000246EA" w:rsidRPr="00094507" w:rsidRDefault="000246EA" w:rsidP="000246EA">
      <w:pPr>
        <w:rPr>
          <w:u w:val="single"/>
        </w:rPr>
      </w:pPr>
      <w:r>
        <w:rPr>
          <w:u w:val="single"/>
        </w:rPr>
        <w:t>Equity’s Time Frame</w:t>
      </w:r>
    </w:p>
    <w:p w14:paraId="28A5767E" w14:textId="77777777" w:rsidR="000246EA" w:rsidRPr="00094507" w:rsidRDefault="000246EA" w:rsidP="000246EA">
      <w:r w:rsidRPr="00094507">
        <w:t>Continued ebb and flow between compatibility and competition with the common law.</w:t>
      </w:r>
    </w:p>
    <w:p w14:paraId="6EBF75A5" w14:textId="77777777" w:rsidR="000246EA" w:rsidRPr="00094507" w:rsidRDefault="000246EA" w:rsidP="000246EA">
      <w:r w:rsidRPr="00094507">
        <w:rPr>
          <w:u w:val="single"/>
        </w:rPr>
        <w:t>12</w:t>
      </w:r>
      <w:r w:rsidRPr="00094507">
        <w:rPr>
          <w:u w:val="single"/>
          <w:vertAlign w:val="superscript"/>
        </w:rPr>
        <w:t>th</w:t>
      </w:r>
      <w:r w:rsidRPr="00094507">
        <w:rPr>
          <w:u w:val="single"/>
        </w:rPr>
        <w:t xml:space="preserve"> -13</w:t>
      </w:r>
      <w:r w:rsidRPr="00094507">
        <w:rPr>
          <w:u w:val="single"/>
          <w:vertAlign w:val="superscript"/>
        </w:rPr>
        <w:t>th</w:t>
      </w:r>
      <w:r w:rsidRPr="00094507">
        <w:rPr>
          <w:u w:val="single"/>
        </w:rPr>
        <w:t xml:space="preserve"> Century </w:t>
      </w:r>
    </w:p>
    <w:p w14:paraId="42112BC9" w14:textId="77777777" w:rsidR="000246EA" w:rsidRPr="00094507" w:rsidRDefault="000246EA" w:rsidP="000246EA">
      <w:r w:rsidRPr="00094507">
        <w:t>The Royal court moved around; Carlisle, Norwich, Southampton and Normandy between 1119-23 whilst still campaigning for war in Wales. 1 of the chief courtiers was the King’s Chancellor, a learned cleric who would advise the King and his Council.</w:t>
      </w:r>
    </w:p>
    <w:p w14:paraId="27C986C7" w14:textId="77777777" w:rsidR="000246EA" w:rsidRDefault="000246EA" w:rsidP="000246EA">
      <w:proofErr w:type="spellStart"/>
      <w:r w:rsidRPr="00094507">
        <w:t>Eg.</w:t>
      </w:r>
      <w:proofErr w:type="spellEnd"/>
      <w:r w:rsidRPr="00094507">
        <w:t xml:space="preserve"> St Thomas a Becket, the Archbishop of Canterbury, assassinated in 1170.</w:t>
      </w:r>
    </w:p>
    <w:p w14:paraId="79444214" w14:textId="77777777" w:rsidR="000246EA" w:rsidRPr="00094507" w:rsidRDefault="000246EA" w:rsidP="000246EA">
      <w:r w:rsidRPr="00094507">
        <w:t>The chancellor was keeper of the King’s Great Seal, and beneath him were the Chancery scribes who were responsible for the King’s paperwork.</w:t>
      </w:r>
    </w:p>
    <w:p w14:paraId="4AA7E589" w14:textId="77777777" w:rsidR="000246EA" w:rsidRPr="00094507" w:rsidRDefault="000246EA" w:rsidP="000246EA">
      <w:r w:rsidRPr="00094507">
        <w:rPr>
          <w:u w:val="single"/>
        </w:rPr>
        <w:t>14th -15</w:t>
      </w:r>
      <w:r w:rsidRPr="00094507">
        <w:rPr>
          <w:u w:val="single"/>
          <w:vertAlign w:val="superscript"/>
        </w:rPr>
        <w:t>th</w:t>
      </w:r>
      <w:r w:rsidRPr="00094507">
        <w:rPr>
          <w:u w:val="single"/>
        </w:rPr>
        <w:t xml:space="preserve"> Century</w:t>
      </w:r>
    </w:p>
    <w:p w14:paraId="261DA4BE" w14:textId="77777777" w:rsidR="000246EA" w:rsidRPr="00094507" w:rsidRDefault="000246EA" w:rsidP="000246EA">
      <w:r w:rsidRPr="00094507">
        <w:t>King’s common law fairly well established and where it caused injustice, and embarrassment to the King’s conscience, the Chancellor would provide a remedy. By the end of 14</w:t>
      </w:r>
      <w:r w:rsidRPr="00094507">
        <w:rPr>
          <w:vertAlign w:val="superscript"/>
        </w:rPr>
        <w:t>th</w:t>
      </w:r>
      <w:r w:rsidRPr="00094507">
        <w:t xml:space="preserve"> Century Chancellor was dispensing justice from his base in Westminster; remedying the rigidity of the common law on grounds of conscience.  The Petitions to him grew and the Court of Chancery grew.</w:t>
      </w:r>
    </w:p>
    <w:p w14:paraId="5A45DD0C" w14:textId="77777777" w:rsidR="000246EA" w:rsidRPr="00094507" w:rsidRDefault="000246EA" w:rsidP="000246EA">
      <w:r w:rsidRPr="00094507">
        <w:rPr>
          <w:u w:val="single"/>
        </w:rPr>
        <w:t>16</w:t>
      </w:r>
      <w:r w:rsidRPr="00094507">
        <w:rPr>
          <w:u w:val="single"/>
          <w:vertAlign w:val="superscript"/>
        </w:rPr>
        <w:t>th</w:t>
      </w:r>
      <w:r w:rsidRPr="00094507">
        <w:rPr>
          <w:u w:val="single"/>
        </w:rPr>
        <w:t xml:space="preserve"> Century</w:t>
      </w:r>
    </w:p>
    <w:p w14:paraId="453DEEE6" w14:textId="77777777" w:rsidR="000246EA" w:rsidRPr="00094507" w:rsidRDefault="000246EA" w:rsidP="000246EA">
      <w:r w:rsidRPr="00094507">
        <w:t xml:space="preserve">Common law suits were subject to technical and inflexible forms of action, with the result that a just cause would fail due to some formality. Petitions increased.  Chancery’s ad hoc dispensation of justice prompted the accusation that equity was undermining the certainty of the law.  </w:t>
      </w:r>
    </w:p>
    <w:p w14:paraId="7402C9B7" w14:textId="77777777" w:rsidR="000246EA" w:rsidRPr="00094507" w:rsidRDefault="000246EA" w:rsidP="000246EA">
      <w:r w:rsidRPr="00094507">
        <w:rPr>
          <w:u w:val="single"/>
        </w:rPr>
        <w:t>17</w:t>
      </w:r>
      <w:r w:rsidRPr="00094507">
        <w:rPr>
          <w:u w:val="single"/>
          <w:vertAlign w:val="superscript"/>
        </w:rPr>
        <w:t>th</w:t>
      </w:r>
      <w:r w:rsidRPr="00094507">
        <w:rPr>
          <w:u w:val="single"/>
        </w:rPr>
        <w:t xml:space="preserve"> Century</w:t>
      </w:r>
    </w:p>
    <w:p w14:paraId="2A015B5B" w14:textId="77777777" w:rsidR="000246EA" w:rsidRPr="00094507" w:rsidRDefault="000246EA" w:rsidP="000246EA">
      <w:r w:rsidRPr="00094507">
        <w:t xml:space="preserve">The competition between common law and equity came to a head with </w:t>
      </w:r>
      <w:r w:rsidRPr="00094507">
        <w:rPr>
          <w:b/>
          <w:bCs/>
          <w:i/>
          <w:iCs/>
        </w:rPr>
        <w:t>Earl Oxford’s case [1615]</w:t>
      </w:r>
    </w:p>
    <w:p w14:paraId="111A7EDD" w14:textId="77777777" w:rsidR="000246EA" w:rsidRPr="00094507" w:rsidRDefault="000246EA" w:rsidP="000246EA">
      <w:r w:rsidRPr="00094507">
        <w:t>In the end the dispute between the Chief Justice and the Lord Chancellor was referred to King James I and he resolved the dispute in favour of LC Ellesmere.</w:t>
      </w:r>
    </w:p>
    <w:p w14:paraId="40819EBB" w14:textId="77777777" w:rsidR="000246EA" w:rsidRPr="00094507" w:rsidRDefault="000246EA" w:rsidP="000246EA">
      <w:r w:rsidRPr="00094507">
        <w:t>It was therefore established that where equity and law conflict, equity would prevail.</w:t>
      </w:r>
    </w:p>
    <w:p w14:paraId="47B3397C" w14:textId="77777777" w:rsidR="000246EA" w:rsidRPr="00094507" w:rsidRDefault="000246EA" w:rsidP="000246EA">
      <w:r w:rsidRPr="00094507">
        <w:rPr>
          <w:u w:val="single"/>
        </w:rPr>
        <w:t>18</w:t>
      </w:r>
      <w:r w:rsidRPr="00094507">
        <w:rPr>
          <w:u w:val="single"/>
          <w:vertAlign w:val="superscript"/>
        </w:rPr>
        <w:t>th</w:t>
      </w:r>
      <w:r w:rsidRPr="00094507">
        <w:rPr>
          <w:u w:val="single"/>
        </w:rPr>
        <w:t xml:space="preserve"> Century</w:t>
      </w:r>
    </w:p>
    <w:p w14:paraId="41B123D0" w14:textId="77777777" w:rsidR="000246EA" w:rsidRPr="00094507" w:rsidRDefault="000246EA" w:rsidP="000246EA">
      <w:r w:rsidRPr="00094507">
        <w:t>Equity matured through various careful Chancellors; Heneage Finch, Lord Nottingham (known as the father of modern equity).</w:t>
      </w:r>
    </w:p>
    <w:p w14:paraId="43B7AD44" w14:textId="77777777" w:rsidR="000246EA" w:rsidRPr="00094507" w:rsidRDefault="000246EA" w:rsidP="000246EA">
      <w:r w:rsidRPr="00094507">
        <w:t>It developed in a manner harmonious with the common law. Possibly part of the ‘Enlightenment’ philosophy which emerged in that century.</w:t>
      </w:r>
    </w:p>
    <w:p w14:paraId="787EE736" w14:textId="77777777" w:rsidR="000246EA" w:rsidRPr="00094507" w:rsidRDefault="000246EA" w:rsidP="000246EA">
      <w:r w:rsidRPr="00094507">
        <w:rPr>
          <w:u w:val="single"/>
        </w:rPr>
        <w:t>19</w:t>
      </w:r>
      <w:r w:rsidRPr="00094507">
        <w:rPr>
          <w:u w:val="single"/>
          <w:vertAlign w:val="superscript"/>
        </w:rPr>
        <w:t>th</w:t>
      </w:r>
      <w:r w:rsidRPr="00094507">
        <w:rPr>
          <w:u w:val="single"/>
        </w:rPr>
        <w:t xml:space="preserve"> Century</w:t>
      </w:r>
    </w:p>
    <w:p w14:paraId="3778F6D5" w14:textId="77777777" w:rsidR="000246EA" w:rsidRPr="00094507" w:rsidRDefault="000246EA" w:rsidP="000246EA">
      <w:r w:rsidRPr="00094507">
        <w:t>Somewhat a victim of its own success, the Court of Chancery became hopelessly busy, despite the appointment in 1729 of the chief Chancery Master, the Master of the Roles, to sit as a 2</w:t>
      </w:r>
      <w:r w:rsidRPr="00094507">
        <w:rPr>
          <w:vertAlign w:val="superscript"/>
        </w:rPr>
        <w:t>nd</w:t>
      </w:r>
      <w:r w:rsidRPr="00094507">
        <w:t xml:space="preserve"> judge.  In 1813 a vice chancellor was appointed so there were 3 judges.</w:t>
      </w:r>
    </w:p>
    <w:p w14:paraId="36A218BB" w14:textId="77777777" w:rsidR="000246EA" w:rsidRPr="00094507" w:rsidRDefault="000246EA" w:rsidP="000246EA">
      <w:r w:rsidRPr="00094507">
        <w:t>The Court of Chancery 1850 and the Court of Chancery Procedure Act 1852 were early attempts to combat procedural problems but the great step came with the JA 1873 went to Parliament.</w:t>
      </w:r>
    </w:p>
    <w:p w14:paraId="039B7F20" w14:textId="77777777" w:rsidR="000246EA" w:rsidRPr="00094507" w:rsidRDefault="000246EA" w:rsidP="000246EA">
      <w:r w:rsidRPr="00094507">
        <w:t>Ironically, administrative delays meant that the Act did not come into force until 1875 so we now refer collectively to the JA 1873-75.  They established the Supreme Court of Judicature with concurrent jurisdiction for equity and law.</w:t>
      </w:r>
    </w:p>
    <w:p w14:paraId="7F68A325" w14:textId="77777777" w:rsidR="000246EA" w:rsidRPr="00094507" w:rsidRDefault="000246EA" w:rsidP="000246EA">
      <w:r w:rsidRPr="00094507">
        <w:rPr>
          <w:u w:val="single"/>
        </w:rPr>
        <w:t>20</w:t>
      </w:r>
      <w:r w:rsidRPr="00094507">
        <w:rPr>
          <w:u w:val="single"/>
          <w:vertAlign w:val="superscript"/>
        </w:rPr>
        <w:t>th</w:t>
      </w:r>
      <w:r w:rsidRPr="00094507">
        <w:rPr>
          <w:u w:val="single"/>
        </w:rPr>
        <w:t xml:space="preserve"> Century</w:t>
      </w:r>
    </w:p>
    <w:p w14:paraId="6C47CF4E" w14:textId="77777777" w:rsidR="000246EA" w:rsidRDefault="000246EA" w:rsidP="000246EA">
      <w:r w:rsidRPr="00094507">
        <w:t>The J</w:t>
      </w:r>
      <w:r>
        <w:t>udicature Act</w:t>
      </w:r>
      <w:r w:rsidRPr="00094507">
        <w:t>s did not end the distinction between law and equity – nowadays we should expect to fund the equity function flourishing in every court and every corner of the law. The leading legal historian Professor J H Baker has observed that as the business of the Chancery Division of the High Court increasingly concerns commerce and property, where certainty is most highly prized, nowadays,</w:t>
      </w:r>
    </w:p>
    <w:p w14:paraId="19E8CFC3" w14:textId="77777777" w:rsidR="000246EA" w:rsidRPr="00094507" w:rsidRDefault="000246EA" w:rsidP="000246EA">
      <w:r w:rsidRPr="00094507">
        <w:lastRenderedPageBreak/>
        <w:t>‘Chancery judges are the least likely to administer equity in the broad sense.’</w:t>
      </w:r>
    </w:p>
    <w:p w14:paraId="13771906" w14:textId="77777777" w:rsidR="000246EA" w:rsidRPr="00094507" w:rsidRDefault="000246EA" w:rsidP="000246EA">
      <w:r w:rsidRPr="00094507">
        <w:t xml:space="preserve">This has some truth but remember that, on the other hand, we have learned that equity is needed </w:t>
      </w:r>
      <w:r w:rsidRPr="00094507">
        <w:rPr>
          <w:b/>
          <w:bCs/>
        </w:rPr>
        <w:t xml:space="preserve">most </w:t>
      </w:r>
      <w:r w:rsidRPr="00094507">
        <w:t xml:space="preserve">where the law is </w:t>
      </w:r>
      <w:r w:rsidRPr="00094507">
        <w:rPr>
          <w:b/>
          <w:bCs/>
        </w:rPr>
        <w:t xml:space="preserve">most </w:t>
      </w:r>
      <w:r w:rsidRPr="00094507">
        <w:t>certain.</w:t>
      </w:r>
    </w:p>
    <w:p w14:paraId="5B07C2F6" w14:textId="77777777" w:rsidR="000246EA" w:rsidRPr="00094507" w:rsidRDefault="000246EA" w:rsidP="000246EA"/>
    <w:p w14:paraId="53CF31A8" w14:textId="77777777" w:rsidR="000246EA" w:rsidRPr="00094507" w:rsidRDefault="000246EA" w:rsidP="000246EA"/>
    <w:p w14:paraId="41A78A0B" w14:textId="77777777" w:rsidR="009257EB" w:rsidRDefault="009257EB"/>
    <w:sectPr w:rsidR="009257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6EA"/>
    <w:rsid w:val="000246EA"/>
    <w:rsid w:val="00925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64DCA"/>
  <w15:chartTrackingRefBased/>
  <w15:docId w15:val="{D9B1D66F-BCB3-48E9-B812-8439C3AEB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EA"/>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480</Words>
  <Characters>2737</Characters>
  <Application>Microsoft Office Word</Application>
  <DocSecurity>0</DocSecurity>
  <Lines>22</Lines>
  <Paragraphs>6</Paragraphs>
  <ScaleCrop>false</ScaleCrop>
  <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1</cp:revision>
  <dcterms:created xsi:type="dcterms:W3CDTF">2020-09-30T17:32:00Z</dcterms:created>
  <dcterms:modified xsi:type="dcterms:W3CDTF">2020-09-30T17:33:00Z</dcterms:modified>
</cp:coreProperties>
</file>