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180" w:right="-334"/>
        <w:spacing w:before="0" w:after="0" w:beforeAutospacing="0" w:afterAutospacing="0"/>
      </w:pPr>
      <w:r>
        <w:rPr>
          <w:noProof/>
        </w:rPr>
        <w:drawing>
          <wp:inline distT="0" distB="0" distL="0" distR="0">
            <wp:extent cx="1906270" cy="638175"/>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
                          <sm:smNativeData xmlns:sm="sm" val="SMDATA_17_kNlXaR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BAAAAAAAAAAAAAAAeAAAAAQAAACMAAAAjAAAAIwAAAB4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ugsAAO0DAAAAAAAAAAAAAAAAAAAoAAAACAAAAAEAAAABAAAAMAAAABQAAAAAAAAAAAD//wAAAQAAAP//AAABAA=="/>
                        </a:ext>
                      </a:extLst>
                    </pic:cNvPicPr>
                  </pic:nvPicPr>
                  <pic:blipFill>
                    <a:blip r:embed="rId8"/>
                    <a:stretch>
                      <a:fillRect/>
                    </a:stretch>
                  </pic:blipFill>
                  <pic:spPr>
                    <a:xfrm>
                      <a:off x="0" y="0"/>
                      <a:ext cx="1906270" cy="638175"/>
                    </a:xfrm>
                    <a:prstGeom prst="rect">
                      <a:avLst/>
                    </a:prstGeom>
                    <a:noFill/>
                    <a:ln w="19050">
                      <a:solidFill>
                        <a:srgbClr val="000000"/>
                      </a:solidFill>
                    </a:ln>
                  </pic:spPr>
                </pic:pic>
              </a:graphicData>
            </a:graphic>
          </wp:inline>
        </w:drawing>
      </w:r>
      <w:r/>
    </w:p>
    <w:p>
      <w:pPr>
        <w:pStyle w:val="para4"/>
        <w:ind w:left="-180" w:right="-334"/>
        <w:spacing w:before="0" w:after="0" w:beforeAutospacing="0" w:afterAutospacing="0"/>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Assignment coversheet &amp; feedback form</w:t>
      </w:r>
      <w:r>
        <w:rPr>
          <w:rFonts w:ascii="Arial" w:hAnsi="Arial" w:cs="Arial"/>
          <w:b/>
          <w:sz w:val="28"/>
          <w:szCs w:val="28"/>
        </w:rPr>
      </w:r>
    </w:p>
    <w:p>
      <w:pPr>
        <w:rPr>
          <w:rFonts w:ascii="Arial" w:hAnsi="Arial" w:cs="Arial"/>
          <w:sz w:val="28"/>
          <w:szCs w:val="28"/>
          <w:lang w:val="cy-gb"/>
        </w:rPr>
      </w:pPr>
      <w:r>
        <w:rPr>
          <w:rFonts w:ascii="Arial" w:hAnsi="Arial" w:cs="Arial"/>
          <w:sz w:val="28"/>
          <w:szCs w:val="28"/>
          <w:lang w:val="cy-gb"/>
        </w:rPr>
      </w:r>
    </w:p>
    <w:p>
      <w:pPr>
        <w:pStyle w:val="para1"/>
        <w:spacing/>
        <w:jc w:val="center"/>
      </w:pPr>
      <w:r>
        <w:t>THIS SHEET MUST BE THE FIRST PAGE OF THE ASSIGNMENT YOU ARE SUBMITTING  (DO NOT SEND AS A SEPARATE FILE)</w:t>
      </w:r>
    </w:p>
    <w:p>
      <w:pPr>
        <w:pStyle w:val="para1"/>
        <w:spacing/>
        <w:jc w:val="center"/>
        <w:rPr>
          <w:rFonts w:ascii="Trebuchet MS" w:hAnsi="Trebuchet MS"/>
        </w:rPr>
      </w:pPr>
      <w:r>
        <w:rPr>
          <w:rFonts w:ascii="Trebuchet MS" w:hAnsi="Trebuchet MS"/>
        </w:rPr>
      </w:r>
    </w:p>
    <w:tbl>
      <w:tblPr>
        <w:tblStyle w:val="TableNormal"/>
        <w:name w:val="Table2"/>
        <w:tabOrder w:val="0"/>
        <w:jc w:val="left"/>
        <w:tblInd w:w="0" w:type="dxa"/>
        <w:tblW w:w="9564" w:type="dxa"/>
        <w:pPr>
          <w:spacing/>
          <w:jc w:val="left"/>
        </w:pPr>
        <w:tblLook w:val="04A0" w:firstRow="1" w:lastRow="0" w:firstColumn="1" w:lastColumn="0" w:noHBand="0" w:noVBand="1"/>
      </w:tblPr>
      <w:tblGrid>
        <w:gridCol w:w="4788"/>
        <w:gridCol w:w="420"/>
        <w:gridCol w:w="3"/>
        <w:gridCol w:w="1843"/>
        <w:gridCol w:w="2510"/>
      </w:tblGrid>
      <w:tr>
        <w:trPr>
          <w:tblHeader w:val="0"/>
          <w:cantSplit w:val="0"/>
          <w:trHeight w:val="614"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88"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HPCA7014</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Sacred Geography</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6"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ID number: </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510"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None</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r>
      <w:tr>
        <w:trPr>
          <w:tblHeader w:val="0"/>
          <w:cantSplit w:val="0"/>
          <w:trHeight w:val="1139"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Is sacred space a human construct or a natural phenomenon?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5</w:t>
            </w:r>
            <w:r>
              <w:rPr>
                <w:rFonts w:ascii="Arial" w:hAnsi="Arial" w:cs="Arial"/>
                <w:sz w:val="22"/>
                <w:szCs w:val="22"/>
                <w:vertAlign w:val="superscript"/>
              </w:rPr>
              <w:t>th</w:t>
            </w:r>
            <w:r>
              <w:rPr>
                <w:rFonts w:ascii="Arial" w:hAnsi="Arial" w:cs="Arial"/>
                <w:sz w:val="22"/>
                <w:szCs w:val="22"/>
              </w:rPr>
              <w:t xml:space="preserve"> January 2025</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Word Count: 5,450</w:t>
            </w:r>
          </w:p>
        </w:tc>
      </w:tr>
      <w:tr>
        <w:trPr>
          <w:tblHeader w:val="0"/>
          <w:cantSplit w:val="0"/>
          <w:trHeight w:val="978"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ind w:firstLine="0"/>
              <w:rPr>
                <w:rFonts w:ascii="Arial" w:hAnsi="Arial" w:cs="Arial"/>
              </w:rPr>
            </w:pPr>
            <w:r>
              <w:rPr>
                <w:rFonts w:ascii="Arial" w:hAnsi="Arial" w:cs="Arial"/>
              </w:rPr>
              <w:t>This assignment is for the       1</w:t>
            </w:r>
            <w:r>
              <w:rPr>
                <w:rFonts w:ascii="Arial" w:hAnsi="Arial" w:cs="Arial"/>
                <w:vertAlign w:val="superscript"/>
              </w:rPr>
              <w:t xml:space="preserve">st  </w:t>
            </w:r>
            <w:r/>
            <w:bookmarkStart w:id="0" w:name="Check14"/>
            <w:r/>
            <w:r>
              <w:rPr>
                <w:rFonts w:ascii="Arial" w:hAnsi="Arial" w:cs="Arial"/>
              </w:rPr>
            </w:r>
            <w:r>
              <w:rPr>
                <w:rFonts w:ascii="Arial" w:hAnsi="Arial" w:cs="Arial"/>
              </w:rPr>
              <w:fldChar w:fldCharType="begin">
                <w:ffData>
                  <w:name w:val="Check14"/>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0"/>
            <w:r/>
            <w:r>
              <w:rPr>
                <w:rFonts w:ascii="Arial" w:hAnsi="Arial" w:cs="Arial"/>
              </w:rPr>
              <w:t xml:space="preserve"> 2</w:t>
            </w:r>
            <w:r>
              <w:rPr>
                <w:rFonts w:ascii="Arial" w:hAnsi="Arial" w:cs="Arial"/>
                <w:vertAlign w:val="superscript"/>
              </w:rPr>
              <w:t>nd</w:t>
            </w:r>
            <w:r>
              <w:rPr>
                <w:rFonts w:ascii="Arial" w:hAnsi="Arial" w:cs="Arial"/>
              </w:rPr>
              <w:t xml:space="preserve">   </w:t>
            </w:r>
            <w:r/>
            <w:bookmarkStart w:id="1" w:name="Check15"/>
            <w:r/>
            <w:r>
              <w:rPr>
                <w:rFonts w:ascii="Arial" w:hAnsi="Arial" w:cs="Arial"/>
              </w:rPr>
            </w:r>
            <w:r>
              <w:rPr>
                <w:rFonts w:ascii="Arial" w:hAnsi="Arial" w:cs="Arial"/>
              </w:rPr>
              <w:fldChar w:fldCharType="begin">
                <w:ffData>
                  <w:name w:val="Check15"/>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1"/>
            <w:r/>
            <w:r>
              <w:rPr>
                <w:rFonts w:ascii="Arial" w:hAnsi="Arial" w:cs="Arial"/>
              </w:rPr>
              <w:t xml:space="preserve">    3</w:t>
            </w:r>
            <w:r>
              <w:rPr>
                <w:rFonts w:ascii="Arial" w:hAnsi="Arial" w:cs="Arial"/>
                <w:vertAlign w:val="superscript"/>
              </w:rPr>
              <w:t>rd</w:t>
            </w:r>
            <w:r>
              <w:rPr>
                <w:rFonts w:ascii="Arial" w:hAnsi="Arial" w:cs="Arial"/>
              </w:rPr>
              <w:t xml:space="preserve">  </w:t>
            </w:r>
            <w:r/>
            <w:bookmarkStart w:id="2" w:name="Check_16"/>
            <w:r/>
            <w:r>
              <w:rPr>
                <w:rFonts w:ascii="Arial" w:hAnsi="Arial" w:cs="Arial"/>
              </w:rPr>
            </w:r>
            <w:r>
              <w:rPr>
                <w:rFonts w:ascii="Arial" w:hAnsi="Arial" w:cs="Arial"/>
              </w:rPr>
              <w:fldChar w:fldCharType="begin">
                <w:ffData>
                  <w:name w:val="Check 16"/>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2"/>
            <w:r/>
            <w:r>
              <w:rPr>
                <w:rFonts w:ascii="Arial" w:hAnsi="Arial" w:cs="Arial"/>
              </w:rPr>
              <w:t xml:space="preserve">      4</w:t>
            </w:r>
            <w:r>
              <w:rPr>
                <w:rFonts w:ascii="Arial" w:hAnsi="Arial" w:cs="Arial"/>
                <w:vertAlign w:val="superscript"/>
              </w:rPr>
              <w:t>th</w:t>
            </w:r>
            <w:r>
              <w:rPr>
                <w:rFonts w:ascii="Arial" w:hAnsi="Arial" w:cs="Arial"/>
              </w:rPr>
              <w:t xml:space="preserve"> </w:t>
            </w:r>
            <w:r/>
            <w:bookmarkStart w:id="3" w:name="Check16"/>
            <w:r/>
            <w:r>
              <w:rPr>
                <w:rFonts w:ascii="Arial" w:hAnsi="Arial" w:cs="Arial"/>
              </w:rPr>
            </w:r>
            <w:r>
              <w:rPr>
                <w:rFonts w:ascii="Arial" w:hAnsi="Arial" w:cs="Arial"/>
              </w:rPr>
              <w:fldChar w:fldCharType="begin">
                <w:ffData>
                  <w:name w:val="Check16"/>
                  <w:enabled/>
                  <w:calcOnExit w:val="0"/>
                  <w:checkBox>
                    <w:sizeAuto/>
                    <w:checked w:val="1"/>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3"/>
            <w:r/>
            <w:r>
              <w:rPr>
                <w:rFonts w:ascii="Arial" w:hAnsi="Arial" w:cs="Arial"/>
              </w:rPr>
              <w:t xml:space="preserve">      5</w:t>
            </w:r>
            <w:r>
              <w:rPr>
                <w:rFonts w:ascii="Arial" w:hAnsi="Arial" w:cs="Arial"/>
                <w:vertAlign w:val="superscript"/>
              </w:rPr>
              <w:t>th</w:t>
            </w:r>
            <w:r>
              <w:rPr>
                <w:rFonts w:ascii="Arial" w:hAnsi="Arial" w:cs="Arial"/>
              </w:rPr>
              <w:t xml:space="preserve"> </w:t>
            </w:r>
            <w:r/>
            <w:bookmarkStart w:id="4" w:name="Check17"/>
            <w:r/>
            <w:r>
              <w:rPr>
                <w:rFonts w:ascii="Arial" w:hAnsi="Arial" w:cs="Arial"/>
              </w:rPr>
            </w:r>
            <w:r>
              <w:rPr>
                <w:rFonts w:ascii="Arial" w:hAnsi="Arial" w:cs="Arial"/>
              </w:rPr>
              <w:fldChar w:fldCharType="begin">
                <w:ffData>
                  <w:name w:val="Check17"/>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4"/>
            <w:r/>
            <w:r>
              <w:rPr>
                <w:rFonts w:ascii="Arial" w:hAnsi="Arial" w:cs="Arial"/>
              </w:rPr>
              <w:t xml:space="preserve">      6</w:t>
            </w:r>
            <w:r>
              <w:rPr>
                <w:rFonts w:ascii="Arial" w:hAnsi="Arial" w:cs="Arial"/>
                <w:vertAlign w:val="superscript"/>
              </w:rPr>
              <w:t>th</w:t>
            </w:r>
            <w:r>
              <w:rPr>
                <w:rFonts w:ascii="Arial" w:hAnsi="Arial" w:cs="Arial"/>
              </w:rPr>
              <w:t xml:space="preserve"> </w:t>
            </w:r>
            <w:r/>
            <w:bookmarkStart w:id="5" w:name="Check18"/>
            <w:r/>
            <w:r>
              <w:rPr>
                <w:rFonts w:ascii="Arial" w:hAnsi="Arial" w:cs="Arial"/>
              </w:rPr>
            </w:r>
            <w:r>
              <w:rPr>
                <w:rFonts w:ascii="Arial" w:hAnsi="Arial" w:cs="Arial"/>
              </w:rPr>
              <w:fldChar w:fldCharType="begin">
                <w:ffData>
                  <w:name w:val="Check18"/>
                  <w:enabled/>
                  <w:calcOnExit w:val="0"/>
                  <w:checkBox>
                    <w:sizeAuto/>
                    <w:checked w:val="0"/>
                  </w:checkBox>
                  <w:dim/>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r>
            <w:r/>
            <w:bookmarkEnd w:id="5"/>
            <w:r/>
            <w:r>
              <w:rPr>
                <w:rFonts w:ascii="Arial" w:hAnsi="Arial" w:cs="Arial"/>
                <w:b/>
              </w:rPr>
              <w:t xml:space="preserve">   </w:t>
            </w:r>
            <w:r>
              <w:rPr>
                <w:rFonts w:ascii="Arial" w:hAnsi="Arial" w:cs="Arial"/>
              </w:rPr>
              <w:t>module of the degree</w:t>
            </w:r>
            <w:r>
              <w:rPr>
                <w:rFonts w:ascii="Arial" w:hAnsi="Arial" w:cs="Arial"/>
              </w:rPr>
            </w:r>
          </w:p>
        </w:tc>
      </w:tr>
      <w:tr>
        <w:trPr>
          <w:tblHeader w:val="0"/>
          <w:cantSplit w:val="0"/>
          <w:trHeight w:val="978" w:hRule="atLeast"/>
        </w:trPr>
        <w:tc>
          <w:tcPr>
            <w:tcW w:w="9564" w:type="dxa"/>
            <w:gridSpan w:val="5"/>
            <w:shd w:val="solid" w:color="D9D9D9" tmshd="1677721856, 0, 14277081"/>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Plagiarism declaration</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Artificial Intelligence (AI) declaration</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For this assessment, you can use Generative AI to check your own text/creation for grammatical and syntactical mistakes, including rephrasing of your own work within specific standards.*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Times New Roman" w:hAnsi="Times New Roman"/>
                <w:sz w:val="22"/>
                <w:szCs w:val="22"/>
              </w:rPr>
            </w:pPr>
            <w:r>
              <w:rPr>
                <w:rFonts w:ascii="Times New Roman" w:hAnsi="Times New Roman"/>
                <w:sz w:val="22"/>
                <w:szCs w:val="22"/>
              </w:rPr>
              <w:t>*See separate guidance in the MA Writing Guidelines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I have not used any AI tools in the research and creation of this assignment, except as permitted above.</w:t>
            </w:r>
            <w:r>
              <w:rPr>
                <w:rFonts w:ascii="Arial" w:hAnsi="Arial" w:cs="Arial"/>
                <w:color w:val="ee0000"/>
                <w:sz w:val="22"/>
                <w:szCs w:val="22"/>
              </w:rPr>
              <w:t xml:space="preserve"> </w:t>
            </w:r>
            <w:r>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r>
      <w:tr>
        <w:trPr>
          <w:tblHeader w:val="0"/>
          <w:cantSplit w:val="0"/>
          <w:trHeight w:val="3972"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ind w:firstLine="0"/>
              <w:rPr>
                <w:rFonts w:ascii="Arial" w:hAnsi="Arial"/>
              </w:rPr>
            </w:pPr>
            <w:r>
              <w:rPr>
                <w:rFonts w:ascii="Arial" w:hAnsi="Arial"/>
                <w:b/>
              </w:rPr>
              <w:t>Assignment Mark</w:t>
            </w:r>
            <w:r>
              <w:rPr>
                <w:rFonts w:ascii="Arial" w:hAnsi="Arial"/>
              </w:rPr>
            </w:r>
          </w:p>
          <w:tbl>
            <w:tblPr>
              <w:tblStyle w:val="TableNormal"/>
              <w:name w:val="Table1"/>
              <w:tabOrder w:val="0"/>
              <w:jc w:val="left"/>
              <w:tblInd w:w="0" w:type="dxa"/>
              <w:tblW w:w="9374" w:type="dxa"/>
              <w:tblLook w:val="01E0" w:firstRow="1" w:lastRow="1" w:firstColumn="1" w:lastColumn="1" w:noHBand="0" w:noVBand="0"/>
            </w:tblPr>
            <w:tblGrid>
              <w:gridCol w:w="6970"/>
              <w:gridCol w:w="2404"/>
            </w:tblGrid>
            <w:tr>
              <w:trPr>
                <w:tblHeader w:val="0"/>
                <w:cantSplit w:val="0"/>
                <w:trHeight w:val="0" w:hRule="auto"/>
              </w:trPr>
              <w:tc>
                <w:tcPr>
                  <w:tcW w:w="6970"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p>
                  <w:pPr>
                    <w:ind w:firstLine="0"/>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240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tc>
            </w:tr>
            <w:tr>
              <w:trPr>
                <w:tblHeader w:val="0"/>
                <w:cantSplit w:val="0"/>
                <w:trHeight w:val="0" w:hRule="auto"/>
              </w:trPr>
              <w:tc>
                <w:tcPr>
                  <w:tcW w:w="6970"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p>
                  <w:pPr>
                    <w:ind w:firstLine="0"/>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240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tc>
            </w:tr>
            <w:tr>
              <w:trPr>
                <w:tblHeader w:val="0"/>
                <w:cantSplit w:val="0"/>
                <w:trHeight w:val="0" w:hRule="auto"/>
              </w:trPr>
              <w:tc>
                <w:tcPr>
                  <w:tcW w:w="6970"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p>
                  <w:pPr>
                    <w:ind w:firstLine="0"/>
                    <w:rPr>
                      <w:rFonts w:ascii="Arial" w:hAnsi="Arial"/>
                      <w:sz w:val="20"/>
                      <w:szCs w:val="20"/>
                    </w:rPr>
                  </w:pPr>
                  <w:r>
                    <w:rPr>
                      <w:rFonts w:ascii="Arial" w:hAnsi="Arial"/>
                      <w:sz w:val="20"/>
                      <w:szCs w:val="20"/>
                    </w:rPr>
                    <w:t>External Examiner’s mark (if relevant)</w:t>
                  </w:r>
                </w:p>
              </w:tc>
              <w:tc>
                <w:tcPr>
                  <w:tcW w:w="240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tc>
            </w:tr>
            <w:tr>
              <w:trPr>
                <w:tblHeader w:val="0"/>
                <w:cantSplit w:val="0"/>
                <w:trHeight w:val="0" w:hRule="auto"/>
              </w:trPr>
              <w:tc>
                <w:tcPr>
                  <w:tcW w:w="6970"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p>
                  <w:pPr>
                    <w:ind w:firstLine="0"/>
                    <w:rPr>
                      <w:rFonts w:ascii="Arial" w:hAnsi="Arial"/>
                      <w:b/>
                      <w:sz w:val="20"/>
                      <w:szCs w:val="20"/>
                    </w:rPr>
                  </w:pPr>
                  <w:r>
                    <w:rPr>
                      <w:rFonts w:ascii="Arial" w:hAnsi="Arial"/>
                      <w:b/>
                      <w:sz w:val="20"/>
                      <w:szCs w:val="20"/>
                    </w:rPr>
                    <w:t>Final Mark</w:t>
                  </w:r>
                </w:p>
              </w:tc>
              <w:tc>
                <w:tcPr>
                  <w:tcW w:w="2404" w:type="dxa"/>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rPr>
                      <w:rFonts w:ascii="Arial" w:hAnsi="Arial"/>
                      <w:sz w:val="20"/>
                      <w:szCs w:val="20"/>
                    </w:rPr>
                  </w:pPr>
                  <w:r>
                    <w:rPr>
                      <w:rFonts w:ascii="Arial" w:hAnsi="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rPr>
                <w:rFonts w:ascii="Arial" w:hAnsi="Arial" w:cs="Arial"/>
                <w:sz w:val="22"/>
                <w:szCs w:val="22"/>
              </w:rPr>
            </w:pPr>
            <w:r>
              <w:rPr>
                <w:rFonts w:ascii="Arial" w:hAnsi="Arial" w:cs="Arial"/>
                <w:sz w:val="22"/>
                <w:szCs w:val="22"/>
              </w:rPr>
            </w:r>
          </w:p>
        </w:tc>
      </w:tr>
      <w:tr>
        <w:trPr>
          <w:tblHeader w:val="0"/>
          <w:cantSplit w:val="0"/>
          <w:trHeight w:val="492" w:hRule="atLeast"/>
        </w:trPr>
        <w:tc>
          <w:tcPr>
            <w:tcW w:w="5208"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left="0" w:right="34" w:firstLine="0"/>
              <w:rPr>
                <w:rFonts w:ascii="Arial" w:hAnsi="Arial" w:cs="Arial"/>
                <w:sz w:val="22"/>
                <w:szCs w:val="22"/>
              </w:rPr>
            </w:pPr>
            <w:r>
              <w:rPr>
                <w:rFonts w:ascii="Arial" w:hAnsi="Arial" w:cs="Arial"/>
                <w:sz w:val="22"/>
                <w:szCs w:val="22"/>
              </w:rPr>
              <w:t>Marker’s signature:</w:t>
            </w:r>
          </w:p>
        </w:tc>
        <w:tc>
          <w:tcPr>
            <w:tcW w:w="4356"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left="0" w:right="34" w:firstLine="0"/>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spacing w:before="0" w:after="0" w:beforeAutospacing="0" w:afterAutospacing="0"/>
              <w:rPr>
                <w:rFonts w:ascii="Arial" w:hAnsi="Arial" w:cs="Arial"/>
                <w:b/>
                <w:bCs/>
                <w:sz w:val="22"/>
                <w:szCs w:val="22"/>
              </w:rPr>
            </w:pPr>
            <w:r>
              <w:rPr>
                <w:rFonts w:ascii="Arial" w:hAnsi="Arial" w:cs="Arial"/>
                <w:b/>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11"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353"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564" w:type="dxa"/>
            <w:gridSpan w:val="5"/>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ind w:firstLine="0"/>
              <w:rPr>
                <w:rFonts w:ascii="Arial" w:hAnsi="Arial" w:cs="Arial"/>
                <w:b/>
              </w:rPr>
            </w:pPr>
            <w:r>
              <w:rPr>
                <w:rFonts w:ascii="Arial" w:hAnsi="Arial" w:cs="Arial"/>
                <w:b/>
              </w:rPr>
              <w:t>External Examiner’s comments (if relevant)</w:t>
            </w:r>
          </w:p>
          <w:p>
            <w:pPr>
              <w:ind w:firstLine="0"/>
              <w:rPr>
                <w:rFonts w:ascii="Arial" w:hAnsi="Arial" w:cs="Arial"/>
                <w:b/>
              </w:rPr>
            </w:pPr>
            <w:r>
              <w:rPr>
                <w:rFonts w:ascii="Arial" w:hAnsi="Arial" w:cs="Arial"/>
                <w:b/>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11" w:type="dxa"/>
            <w:gridSpan w:val="3"/>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ind w:firstLine="0"/>
              <w:rPr>
                <w:rFonts w:ascii="Arial" w:hAnsi="Arial" w:cs="Arial"/>
              </w:rPr>
            </w:pPr>
            <w:r>
              <w:rPr>
                <w:rFonts w:ascii="Arial" w:hAnsi="Arial" w:cs="Arial"/>
              </w:rPr>
              <w:t>External Examiner’s Signature:</w:t>
            </w:r>
          </w:p>
        </w:tc>
        <w:tc>
          <w:tcPr>
            <w:tcW w:w="4353" w:type="dxa"/>
            <w:gridSpan w:val="2"/>
            <w:tcBorders>
              <w:top w:val="single" w:sz="4" w:space="0" w:color="000000" tmln="10, 20, 20, 0, 0"/>
              <w:left w:val="single" w:sz="4" w:space="0" w:color="000000" tmln="10, 20, 20, 0, 0"/>
              <w:bottom w:val="single" w:sz="4" w:space="0" w:color="000000" tmln="10, 20, 20, 0, 0"/>
              <w:right w:val="single" w:sz="4" w:space="0" w:color="000000" tmln="10, 20, 20, 0, 0"/>
            </w:tcBorders>
            <w:tmTcPr id="1767365008" protected="0"/>
          </w:tcPr>
          <w:p>
            <w:pPr>
              <w:ind w:firstLine="0"/>
              <w:rPr>
                <w:rFonts w:ascii="Arial" w:hAnsi="Arial" w:cs="Arial"/>
              </w:rPr>
            </w:pPr>
            <w:r>
              <w:rPr>
                <w:rFonts w:ascii="Arial" w:hAnsi="Arial" w:cs="Arial"/>
              </w:rPr>
              <w:t>Date:</w:t>
            </w:r>
          </w:p>
        </w:tc>
      </w:tr>
    </w:tbl>
    <w:p>
      <w:r/>
    </w:p>
    <w:p>
      <w:pPr>
        <w:pStyle w:val="para7"/>
      </w:pPr>
      <w:r>
        <w:br w:type="page"/>
      </w:r>
      <w:r>
        <w:t>Is sacred space a human construct or a natural phenomenon?</w:t>
      </w:r>
    </w:p>
    <w:p>
      <w:pPr>
        <w:pStyle w:val="para8"/>
        <w:spacing/>
        <w:jc w:val="center"/>
        <w:rPr>
          <w:sz w:val="28"/>
          <w:szCs w:val="28"/>
        </w:rPr>
      </w:pPr>
      <w:r>
        <w:rPr>
          <w:sz w:val="28"/>
          <w:szCs w:val="28"/>
        </w:rPr>
        <w:t>DO THE SARSEN STONES OF PORTESHAM REPRESENT SACRED SPACE?</w:t>
      </w:r>
    </w:p>
    <w:p>
      <w:pPr>
        <w:pStyle w:val="para8"/>
      </w:pPr>
      <w:r>
        <w:t>Introduction</w:t>
      </w:r>
    </w:p>
    <w:p>
      <w:pPr>
        <w:ind w:firstLine="0"/>
      </w:pPr>
      <w:r>
        <w:t>The aim of this research is to consider the question of whether sacred space is a human construct or a natural phenomenon. It will do this by investigating the Sarsen Stones in the West Dorset village of Portesham.</w:t>
      </w:r>
    </w:p>
    <w:p>
      <w:r>
        <w:t>According to archaeological reports the village has hosted humans for over 4,000 years. Finds suggest it was used as a religious centre and settlement which may have been influenced by abundance of stone, and the natural spring at the north end of the village</w:t>
      </w:r>
      <w:r>
        <w:rPr>
          <w:rStyle w:val="char3"/>
        </w:rPr>
      </w:r>
      <w:r>
        <w:rPr>
          <w:rStyle w:val="char3"/>
        </w:rPr>
        <w:footnoteReference w:id="7"/>
      </w:r>
      <w:r>
        <w:t>.</w:t>
      </w:r>
    </w:p>
    <w:p>
      <w:r>
        <w:t>Surveys of publicly accessible stones were carried out to determine if there was any correlation to other features in the landscape. In addition to physical surveys, the use of additional data from various archeological resources was also incorporated to help frame the project within a broader context. Local history pamphlets and booklets were consulted to understand contemporary perspectives.</w:t>
      </w:r>
    </w:p>
    <w:p>
      <w:r>
        <w:t>The theories of Mircea Eliade (1907-86) and Émile Durkheim (1858-1917) provided the foundational assumptions about sacred space. The work of Paul Devereux on sacred stones, earth energies and coffin paths was particularly relevant, together with additional surveys of local stones by previous researchers. Archaeological reports from work in the centre of the village was helpful in understanding how specific areas came to be shaped by death and burial, and this was supported by the academic perspectives of Belden Lane and Tim Ingold.</w:t>
      </w:r>
    </w:p>
    <w:p>
      <w:pPr>
        <w:pStyle w:val="para8"/>
      </w:pPr>
      <w:r>
        <w:t>Academic Rationale</w:t>
      </w:r>
    </w:p>
    <w:p>
      <w:r>
        <w:t>Portesham sits beneath the South Dorset Ridgeway an area described by Time Team archaeologists as '.. a feature as important as Stonehenge or Avebury in understanding the lives of our prehistoric ancestors.'</w:t>
      </w:r>
      <w:r>
        <w:rPr>
          <w:rStyle w:val="char3"/>
        </w:rPr>
      </w:r>
      <w:r>
        <w:rPr>
          <w:rStyle w:val="char3"/>
        </w:rPr>
        <w:footnoteReference w:id="8"/>
      </w:r>
      <w:r>
        <w:t xml:space="preserve"> Local folklore says that barrows lying on the hills above Portesham are ’.. the third largest (group) in the country, exceeded only by Stonehenge and Avebury’</w:t>
      </w:r>
      <w:r>
        <w:rPr>
          <w:rStyle w:val="char3"/>
        </w:rPr>
      </w:r>
      <w:r>
        <w:rPr>
          <w:rStyle w:val="char3"/>
        </w:rPr>
        <w:footnoteReference w:id="9"/>
      </w:r>
      <w:r>
        <w:t>. The village is less than a quarter of a mile from the Valley of the Stones containing neolithic polishing stones, enclosures and stone circles</w:t>
      </w:r>
      <w:r>
        <w:rPr>
          <w:rStyle w:val="char3"/>
        </w:rPr>
      </w:r>
      <w:r>
        <w:rPr>
          <w:rStyle w:val="char3"/>
        </w:rPr>
        <w:footnoteReference w:id="10"/>
      </w:r>
      <w:r>
        <w:t>. Additionally, the Hampton Down stone circle</w:t>
      </w:r>
      <w:r>
        <w:rPr>
          <w:rStyle w:val="char3"/>
        </w:rPr>
      </w:r>
      <w:r>
        <w:rPr>
          <w:rStyle w:val="char3"/>
        </w:rPr>
        <w:footnoteReference w:id="11"/>
      </w:r>
      <w:r>
        <w:t>, the Hell Stone chambered long barrow</w:t>
      </w:r>
      <w:r>
        <w:rPr>
          <w:rStyle w:val="char3"/>
        </w:rPr>
      </w:r>
      <w:r>
        <w:rPr>
          <w:rStyle w:val="char3"/>
        </w:rPr>
        <w:footnoteReference w:id="12"/>
      </w:r>
      <w:r>
        <w:t xml:space="preserve"> and at least twenty two round barrows</w:t>
      </w:r>
      <w:r>
        <w:rPr>
          <w:rStyle w:val="char3"/>
        </w:rPr>
      </w:r>
      <w:r>
        <w:rPr>
          <w:rStyle w:val="char3"/>
        </w:rPr>
        <w:footnoteReference w:id="13"/>
      </w:r>
      <w:r>
        <w:t xml:space="preserve"> all lie within the parish boundaries. Within the village, a mound for which date and function is not known, once existed at the north end of the village and was ploughed out</w:t>
      </w:r>
      <w:r>
        <w:rPr>
          <w:rStyle w:val="char3"/>
        </w:rPr>
      </w:r>
      <w:r>
        <w:rPr>
          <w:rStyle w:val="char3"/>
        </w:rPr>
        <w:footnoteReference w:id="14"/>
      </w:r>
      <w:r>
        <w:t xml:space="preserve">. </w:t>
      </w:r>
    </w:p>
    <w:p>
      <w:r>
        <w:t>According to a 1901 geological survey map (Fig 1.) there were ‘UPWARDS OF SIXTY GREAT BLOCKS OF TERTIARY SANDSTONE AND FLINT-BRECCIA IN PORTESHAM MAIN STREET’</w:t>
      </w:r>
      <w:r>
        <w:rPr>
          <w:rStyle w:val="char3"/>
        </w:rPr>
      </w:r>
      <w:r>
        <w:rPr>
          <w:rStyle w:val="char3"/>
        </w:rPr>
        <w:footnoteReference w:id="15"/>
      </w:r>
      <w:r>
        <w:t xml:space="preserve">. </w:t>
      </w:r>
    </w:p>
    <w:tbl>
      <w:tblPr>
        <w:tblStyle w:val="TableGrid"/>
        <w:name w:val="Table6"/>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tmTcPr id="1767365008" protected="0"/>
          </w:tcPr>
          <w:p>
            <w:pPr>
              <w:ind w:firstLine="0"/>
            </w:pPr>
            <w:r>
              <w:rPr>
                <w:noProof/>
              </w:rPr>
              <mc:AlternateContent>
                <mc:Choice Requires="wpg">
                  <w:drawing>
                    <wp:inline distT="89535" distB="89535" distL="0" distR="89535">
                      <wp:extent cx="5939155" cy="3759200"/>
                      <wp:effectExtent l="0" t="0" r="0" b="0"/>
                      <wp:docPr id="2" name="Group1"/>
                      <wp:cNvGraphicFramePr/>
                      <a:graphic xmlns:a="http://schemas.openxmlformats.org/drawingml/2006/main">
                        <a:graphicData uri="http://schemas.microsoft.com/office/word/2010/wordprocessingGroup">
                          <wpg:wgp>
                            <wpg:cNvGrpSpPr>
                              <a:extLst>
                                <a:ext uri="sm">
                                  <sm:smNativeData xmlns:sm="sm" val="SMDATA_5_kNlXaRMAAAAlAAAAAQAAAE0BAAAAkAAAAEgAAACQAAAASAAAAAAAAAAAAAAAAAAAABcAAAAUAAAAAAAAAAAAAAD/fwAA/38AAAAAAAAJAAAABAAAAAAAAAAhAAAAQAAAADwAAAASAAAAB6AAAAAAAAABAAAAAAAAAAAAAAAAAAAAAAAAAAAAAAAAAAAAiSQAACAXAAAAAAAAAAAAAAAAAAAoAAAACAAAAAEAAAABAAAA"/>
                                </a:ext>
                              </a:extLst>
                            </wpg:cNvGrpSpPr>
                            <wpg:grpSpPr>
                              <a:xfrm>
                                <a:off x="0" y="0"/>
                                <a:ext cx="5939155" cy="3759200"/>
                                <a:chOff x="0" y="0"/>
                                <a:chExt cx="5939155" cy="3759200"/>
                              </a:xfrm>
                            </wpg:grpSpPr>
                            <pic:pic xmlns:pic="http://schemas.openxmlformats.org/drawingml/2006/picture">
                              <pic:nvPicPr>
                                <pic:cNvPr id="3" name="Picture2"/>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FgjAAAeFAAAWCMAAB4U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AIIAAAAAAAAAAAAAAAAAAAAAAAAAAAAAAAAAAAAAAAAAAAAAiSQAAMwUAAAAAAAAAAAAAAAAAAAoAAAACAAAAAEAAAABAAAAMAAAABQAAAAAAAAAAAD//wAAAQAAAP//AAABAA=="/>
                                    </a:ext>
                                  </a:extLst>
                                </pic:cNvPicPr>
                              </pic:nvPicPr>
                              <pic:blipFill>
                                <a:blip r:embed="rId10"/>
                                <a:stretch>
                                  <a:fillRect/>
                                </a:stretch>
                              </pic:blipFill>
                              <pic:spPr>
                                <a:xfrm>
                                  <a:off x="0" y="0"/>
                                  <a:ext cx="5939155" cy="3380740"/>
                                </a:xfrm>
                                <a:prstGeom prst="rect">
                                  <a:avLst/>
                                </a:prstGeom>
                                <a:noFill/>
                                <a:ln w="12700">
                                  <a:noFill/>
                                </a:ln>
                              </pic:spPr>
                            </pic:pic>
                            <wps:wsp>
                              <wps:cNvPr id="4" name="Textbox1"/>
                              <wps:cNvSpPr txBox="1">
                                <a:extLst>
                                  <a:ext uri="sm">
                                    <sm:smNativeData xmlns:sm="sm" val="SMDATA_15_kNlXaRMAAAAlAAAAEgAAAA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"/>
                                  </a:ext>
                                </a:extLst>
                              </wps:cNvSpPr>
                              <wps:spPr>
                                <a:xfrm>
                                  <a:off x="0" y="3380740"/>
                                  <a:ext cx="5939155" cy="378460"/>
                                </a:xfrm>
                                <a:prstGeom prst="rect">
                                  <a:avLst/>
                                </a:prstGeom>
                                <a:noFill/>
                                <a:ln w="12700">
                                  <a:noFill/>
                                </a:ln>
                              </wps:spPr>
                              <wps:txbx>
                                <w:txbxContent>
                                  <w:p>
                                    <w:pPr>
                                      <w:pStyle w:val="para10"/>
                                    </w:pPr>
                                    <w:r>
                                      <w:t xml:space="preserve">Figure </w:t>
                                    </w:r>
                                    <w:r>
                                      <w:fldChar w:fldCharType="begin"/>
                                      <w:instrText xml:space="preserve"> SEQ "Figure" \* Arabic </w:instrText>
                                      <w:fldChar w:fldCharType="separate"/>
                                      <w:t>1</w:t>
                                      <w:fldChar w:fldCharType="end"/>
                                    </w:r>
                                    <w:r>
                                      <w:t>: Reproduced with the permission of the National Library of Scotland.</w:t>
                                    </w:r>
                                  </w:p>
                                </w:txbxContent>
                              </wps:txbx>
                              <wps:bodyPr spcFirstLastPara="1" vertOverflow="clip" horzOverflow="clip" upright="1">
                                <a:prstTxWarp prst="textNoShape">
                                  <a:avLst/>
                                </a:prstTxWarp>
                                <a:spAutoFit/>
                              </wps:bodyPr>
                            </wps:wsp>
                          </wpg:wgp>
                        </a:graphicData>
                      </a:graphic>
                    </wp:inline>
                  </w:drawing>
                </mc:Choice>
                <mc:Fallback>
                  <w:object>
                    <v:group style="width:467.65pt;height:296.00pt;z-index:251658242;mso-wrap-distance-left:0.00pt;mso-wrap-distance-top:7.05pt;mso-wrap-distance-right:7.05pt;mso-wrap-distance-bottom:7.05pt" coordorigin="0,0" coordsize="9353,5920">
                      <v:shapetype id="_x0000_t75" coordsize="21600,21600" o:spt="75" o:preferrelative="t" path="m,l,21600r21600,l21600,xe">
                        <v:path gradientshapeok="t" o:connecttype="rect"/>
                      </v:shapetype>
                      <v:shape id="Picture2" o:spid="_x0000_s1026" type="#_x0000_t75" style="position:absolute;left:0;top:0;width:9353;height:5324" stroked="f" filled="f" v:ext="SMDATA_16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FgjAAAeFAAAWCMAAB4U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oAAAACAAAAAEAAAABAAAAMAAAABQAAAAAAAAAAAD//wAAAQAAAP//AAABAA==">
                        <v:imagedata r:id="rId10" o:title="media/image2"/>
                      </v:shape>
                      <v:shapetype id="_x0000_t202" coordsize="21600,21600" o:spt="202" path="m,l,21600r21600,l21600,xe">
                        <v:path gradientshapeok="t" o:connecttype="rect"/>
                      </v:shapetype>
                      <v:shape id="Textbox1" o:spid="_x0000_s1027" type="#_x0000_t202" style="position:absolute;left:0;top:5324;width:9353;height:596" stroked="f" filled="f" v:ext="SMDATA_14_kNlXaRMAAAAlAAAAEgAAAA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BcAAAAUAAAAiSQAABsBAAD/fwAA/38AAAACAAAJAAAABAAAAAAAAAAeAAAAaAAAAAAAAAAAAAAAAAAAAAAAAAAAAAAAECcAABAnAAAAAAAAAAAAAAAAAAAAAAAAAAAAAAAAAAAAAAAAAAAAABQAAAAAAAAAwMD/AAAAAABkAAAAMgAAAAAAAABkAAAAAAAAAH9/fwAKAAAAIgAAABgAAAAAAAAAAAAAAAAAAAAAAAAAAAAAAAAAAAAkAAAAJAAAAAAAAAAHAAAAAAAAAAAAAAAAAAAAAAAAAAAAAAAAAAAAf39/ACUAAABYAAAAAAAAAAAAAAAAAAAAAAAAAAAAAAAAAAAAAAAAAAAAAAAAAAAAAAAAAAAAAAA/AAAAAAAAAKCGAQAAAAAAAAAAAAAAAAAMAAAAAQAAAAAAAAAAAAAAAAAAACgAAAAIAAAAAQAAAAIAAAAwAAAAFAAAAAAAAAAAAP//AAABAAAA//8AAAEA" o:insetmode="custom">
                        <v:textbox inset="2.8pt,2.8pt,2.8pt,2.8pt">
                          <w:txbxContent>
                            <w:p>
                              <w:pPr>
                                <w:pStyle w:val="para10"/>
                              </w:pPr>
                              <w:r>
                                <w:t xml:space="preserve">Figure </w:t>
                              </w:r>
                              <w:r>
                                <w:fldChar w:fldCharType="begin"/>
                                <w:instrText xml:space="preserve"> SEQ "Figure" \* Arabic </w:instrText>
                                <w:fldChar w:fldCharType="separate"/>
                                <w:t>1</w:t>
                                <w:fldChar w:fldCharType="end"/>
                              </w:r>
                              <w:r>
                                <w:t>: Reproduced with the permission of the National Library of Scotland.</w:t>
                              </w:r>
                            </w:p>
                          </w:txbxContent>
                        </v:textbox>
                      </v:shape>
                    </v:group>
                  </w:object>
                </mc:Fallback>
              </mc:AlternateContent>
            </w:r>
            <w:r/>
          </w:p>
        </w:tc>
      </w:tr>
    </w:tbl>
    <w:p>
      <w:r>
        <w:t>Stones can be found built over and incorporated into buildings, walls and pavements. Many are in publicly accessible locations, others in homes and gardens. A walk through the village shows some have been moved/removed but others appear to be in situ. Some stones lie at junctions and crossroads.</w:t>
      </w:r>
    </w:p>
    <w:p>
      <w:r>
        <w:t>The village was granted its Charter by King Cnut when given to his theign Orc and his wife Thola in 1024</w:t>
      </w:r>
      <w:r>
        <w:rPr>
          <w:rStyle w:val="char3"/>
        </w:rPr>
      </w:r>
      <w:r>
        <w:rPr>
          <w:rStyle w:val="char3"/>
        </w:rPr>
        <w:footnoteReference w:id="16"/>
      </w:r>
      <w:r>
        <w:t>. The parish church of St Peter has Saxon origins and may originally have been a minster church</w:t>
      </w:r>
      <w:r>
        <w:rPr>
          <w:rStyle w:val="char3"/>
        </w:rPr>
      </w:r>
      <w:r>
        <w:rPr>
          <w:rStyle w:val="char3"/>
        </w:rPr>
        <w:footnoteReference w:id="17"/>
      </w:r>
      <w:r>
        <w:t xml:space="preserve"> as a study of Dorset Minsters referenced by John Valentin notes it had ecclesiastical jurisdiction over a large area, including Abbotsbury, which only gained status after the lands were gifted to Abbotsbury Monks on Thola’s death</w:t>
      </w:r>
      <w:r>
        <w:rPr>
          <w:rStyle w:val="char3"/>
        </w:rPr>
      </w:r>
      <w:r>
        <w:rPr>
          <w:rStyle w:val="char3"/>
        </w:rPr>
        <w:footnoteReference w:id="18"/>
      </w:r>
      <w:r>
        <w:t>.</w:t>
      </w:r>
    </w:p>
    <w:p>
      <w:r>
        <w:t>A recent archaeological survey in heart of the village concluded it was a site of continuous occupation over 4,000 years. The survey uncovered Durotrigian (local tribe of West Dorset) and Romano-British burials, cemetery and possible pre-Roman temple</w:t>
      </w:r>
      <w:r>
        <w:rPr>
          <w:rStyle w:val="char3"/>
        </w:rPr>
      </w:r>
      <w:r>
        <w:rPr>
          <w:rStyle w:val="char3"/>
        </w:rPr>
        <w:footnoteReference w:id="19"/>
      </w:r>
      <w:r>
        <w:t>.</w:t>
      </w:r>
    </w:p>
    <w:p>
      <w:pPr>
        <w:pStyle w:val="para8"/>
      </w:pPr>
      <w:r>
        <w:t>Methodology</w:t>
      </w:r>
    </w:p>
    <w:p>
      <w:r>
        <w:t>The field work used a mixed methods approach as defined by Abbas Tashakkori and John Cresswell in Monique Hutter et al, where the researcher uses quantitative and qualitative data ‘in a single study or program of enquiry’</w:t>
      </w:r>
      <w:r>
        <w:rPr>
          <w:rStyle w:val="char3"/>
        </w:rPr>
      </w:r>
      <w:r>
        <w:rPr>
          <w:rStyle w:val="char3"/>
        </w:rPr>
        <w:footnoteReference w:id="20"/>
      </w:r>
      <w:r>
        <w:t>.</w:t>
      </w:r>
    </w:p>
    <w:p>
      <w:r>
        <w:t>Quantitative data included the mapping of Sarsen Stones and other significant archaeological sites, noting any alignments or other curiosities about their position and environment. Notes included some or all of the following: longitude and latitude using a freely available GPS app</w:t>
      </w:r>
      <w:r>
        <w:rPr>
          <w:rStyle w:val="char3"/>
        </w:rPr>
      </w:r>
      <w:r>
        <w:rPr>
          <w:rStyle w:val="char3"/>
        </w:rPr>
        <w:footnoteReference w:id="21"/>
      </w:r>
      <w:r>
        <w:t>, orientation, magnetic quality, positive or negative polarity using dowsing, measurements, if they were in situ or had been obviously moved, dressed or undressed state, recumbent or upright state. Observations about the immediate environment were recorded and each stone was photographed. The data helped determine any obvious organisation to the stones due to human intervention and are supported by Paul Devereux’s methodology</w:t>
      </w:r>
      <w:r>
        <w:rPr>
          <w:rStyle w:val="char3"/>
        </w:rPr>
      </w:r>
      <w:r>
        <w:rPr>
          <w:rStyle w:val="char3"/>
        </w:rPr>
        <w:footnoteReference w:id="22"/>
      </w:r>
      <w:r>
        <w:t>.</w:t>
      </w:r>
    </w:p>
    <w:p>
      <w:r>
        <w:t>A spreadsheet logged all data and each stone was assigned a unique reference number which also served as a naming convention for photographs, see Appendix 1.</w:t>
      </w:r>
    </w:p>
    <w:p>
      <w:pPr>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
        <w:t>Finally, each stone was added to an ordnance survey map of the village using Digimap</w:t>
      </w:r>
      <w:r>
        <w:rPr>
          <w:rStyle w:val="char3"/>
        </w:rPr>
      </w:r>
      <w:r>
        <w:rPr>
          <w:rStyle w:val="char3"/>
        </w:rPr>
        <w:footnoteReference w:id="23"/>
      </w:r>
      <w:r>
        <w:t>. Additional, relevant archaeological features were also added to the same files using information obtained from the Dorset Historic Environment Record</w:t>
      </w:r>
      <w:r>
        <w:rPr>
          <w:rStyle w:val="char3"/>
        </w:rPr>
      </w:r>
      <w:r>
        <w:rPr>
          <w:rStyle w:val="char3"/>
        </w:rPr>
        <w:footnoteReference w:id="24"/>
      </w:r>
      <w:r>
        <w:t xml:space="preserve"> and additional archaeological reports</w:t>
      </w:r>
      <w:r>
        <w:rPr>
          <w:rStyle w:val="char3"/>
        </w:rPr>
      </w:r>
      <w:r>
        <w:rPr>
          <w:rStyle w:val="char3"/>
        </w:rPr>
        <w:footnoteReference w:id="25"/>
      </w:r>
      <w:r>
        <w:t>.</w:t>
      </w:r>
    </w:p>
    <w:p>
      <w:r>
        <w:t>Qualitative data was primarily Belden Lane’s local ‘social phenomena’</w:t>
      </w:r>
      <w:r>
        <w:rPr>
          <w:rStyle w:val="char3"/>
        </w:rPr>
      </w:r>
      <w:r>
        <w:rPr>
          <w:rStyle w:val="char3"/>
        </w:rPr>
        <w:footnoteReference w:id="26"/>
      </w:r>
      <w:r>
        <w:t xml:space="preserve"> as ’sacred place is “storied place”</w:t>
      </w:r>
      <w:r>
        <w:rPr>
          <w:rStyle w:val="char3"/>
        </w:rPr>
      </w:r>
      <w:r>
        <w:rPr>
          <w:rStyle w:val="char3"/>
        </w:rPr>
        <w:footnoteReference w:id="27"/>
      </w:r>
      <w:r>
        <w:t>. This enabled an understanding of the importance of stones to or current inhabitants of the village, and if this would contribute to their participation in creating a sacred space.</w:t>
      </w:r>
    </w:p>
    <w:p>
      <w:pPr>
        <w:pStyle w:val="para8"/>
      </w:pPr>
      <w:r>
        <w:t>Ethical Considerations and Reflexivity</w:t>
      </w:r>
    </w:p>
    <w:p>
      <w:r>
        <w:t>This research project arose because of my fascination with the sarsen stones littering the village and an obscure statement in a booklet about Portesham which stated ‘The great Sarsen Stones which adorn the village still rise in gentle curves above the school playground, rocky wall and grassy bank as they have done for centuries’</w:t>
      </w:r>
      <w:r>
        <w:rPr>
          <w:rStyle w:val="char3"/>
        </w:rPr>
      </w:r>
      <w:r>
        <w:rPr>
          <w:rStyle w:val="char3"/>
        </w:rPr>
        <w:footnoteReference w:id="28"/>
      </w:r>
      <w:r>
        <w:t xml:space="preserve">. </w:t>
      </w:r>
    </w:p>
    <w:p>
      <w:r>
        <w:t>Surveying sarsen stones is essentially quantitative in nature. Locations are mapped, dimensions measured, polarities and directions are recorded and, as Alan Bryman suggests, the implication of both logic and structure lends itself to a suggestion that the researcher’s personal position is largely irrelevant</w:t>
      </w:r>
      <w:r>
        <w:rPr>
          <w:rStyle w:val="char3"/>
        </w:rPr>
      </w:r>
      <w:r>
        <w:rPr>
          <w:rStyle w:val="char3"/>
        </w:rPr>
        <w:footnoteReference w:id="29"/>
      </w:r>
      <w:r>
        <w:t>. It is therefore useful to be reminded by Monique Hutter of the impact a researcher has in defining the research undertaken, its interpretation and eventual conclusions</w:t>
      </w:r>
      <w:r>
        <w:rPr>
          <w:rStyle w:val="char3"/>
        </w:rPr>
      </w:r>
      <w:r>
        <w:rPr>
          <w:rStyle w:val="char3"/>
        </w:rPr>
        <w:footnoteReference w:id="30"/>
      </w:r>
      <w:r>
        <w:t xml:space="preserve"> a position supported by Devereux’s comment that ’.. no Westerner, can quite recover the state of mind, sociological structuring and environmental conditions that occurred in authentic, traditional forms of paganism and shamanism.’</w:t>
      </w:r>
      <w:r>
        <w:rPr>
          <w:rStyle w:val="char3"/>
        </w:rPr>
      </w:r>
      <w:r>
        <w:rPr>
          <w:rStyle w:val="char3"/>
        </w:rPr>
        <w:footnoteReference w:id="31"/>
      </w:r>
      <w:r>
        <w:t>,  going on to comment that contemporary actions and beliefs are largely ’.. wish fulfillment and theatrics’</w:t>
      </w:r>
      <w:r>
        <w:rPr>
          <w:rStyle w:val="char3"/>
        </w:rPr>
      </w:r>
      <w:r>
        <w:rPr>
          <w:rStyle w:val="char3"/>
        </w:rPr>
        <w:footnoteReference w:id="32"/>
      </w:r>
      <w:r>
        <w:t>.</w:t>
      </w:r>
    </w:p>
    <w:p>
      <w:r>
        <w:t>Knowing why the project was conceived and recognising the inherent dangers of bias alluded to above, it is therefore critical that I follow the advice of Judith Bell and Stephen Waters and become aware of and critical to my own assumptions when it comes to interpreting the data gathered</w:t>
      </w:r>
      <w:r>
        <w:rPr>
          <w:rStyle w:val="char3"/>
        </w:rPr>
      </w:r>
      <w:r>
        <w:rPr>
          <w:rStyle w:val="char3"/>
        </w:rPr>
        <w:footnoteReference w:id="33"/>
      </w:r>
      <w:r>
        <w:t>.</w:t>
      </w:r>
    </w:p>
    <w:p>
      <w:pPr>
        <w:pStyle w:val="para8"/>
      </w:pPr>
      <w:r>
        <w:t>Literature Search and Review</w:t>
      </w:r>
    </w:p>
    <w:p>
      <w:r>
        <w:t>Portesham (Portisham/Portishamme in some instances) may mean ‘enclosure of the port’ suggesting an area which had significant status</w:t>
      </w:r>
      <w:r>
        <w:rPr>
          <w:rStyle w:val="char3"/>
        </w:rPr>
      </w:r>
      <w:r>
        <w:rPr>
          <w:rStyle w:val="char3"/>
        </w:rPr>
        <w:footnoteReference w:id="34"/>
      </w:r>
      <w:r>
        <w:t>. It is situated along a narrow valley running towards the sea from the South Dorset Ridgeway providing access for fishing and arable fields. It has significant supplies of fresh water from the spring and stream, and stone for building. See Figure 2 for a map of the village.</w:t>
      </w:r>
    </w:p>
    <w:p>
      <w:r>
        <w:t xml:space="preserve">Broadly, there are two schools of thought about how sacred space comes into being, they originate in the work of Eliade and Durkheim. Eliade primarily postulates that some locations are inherently sacred and revealed through an experience of ‘hierophany’ which he explains as </w:t>
      </w:r>
      <w:r>
        <w:rPr>
          <w:i/>
          <w:iCs/>
        </w:rPr>
        <w:t>’</w:t>
      </w:r>
      <w:r>
        <w:t>[..] the revelation of the real, an encounter with that which saves us by giving meaning to our existence.’</w:t>
      </w:r>
      <w:r>
        <w:rPr>
          <w:rStyle w:val="char3"/>
        </w:rPr>
      </w:r>
      <w:r>
        <w:rPr>
          <w:rStyle w:val="char3"/>
        </w:rPr>
        <w:footnoteReference w:id="35"/>
      </w:r>
      <w:r>
        <w:t xml:space="preserve">. Alternatively, Durkheim’s position was that all sacred space is created by </w:t>
      </w:r>
      <w:r>
        <w:rPr>
          <w:i/>
          <w:iCs/>
        </w:rPr>
        <w:t>‘</w:t>
      </w:r>
      <w:r>
        <w:t>.. the beliefs, myths, dogmas and legends [that] are either representations or systems of representations which express the nature of sacred things.</w:t>
      </w:r>
      <w:r>
        <w:rPr>
          <w:i/>
          <w:iCs/>
        </w:rPr>
        <w:t>’</w:t>
      </w:r>
      <w:r>
        <w:rPr>
          <w:rStyle w:val="char3"/>
        </w:rPr>
      </w:r>
      <w:r>
        <w:rPr>
          <w:rStyle w:val="char3"/>
        </w:rPr>
        <w:footnoteReference w:id="36"/>
      </w:r>
      <w:r>
        <w:t xml:space="preserve"> </w:t>
      </w:r>
    </w:p>
    <w:p>
      <w:r>
        <w:t>Additionally, Lane offers four ‘rules’. The first that the sacred chooses its inhabitants and may be considered ‘a construction of the imagination’; the second that although the space might be ordinary it is made significant through ritual; the third that it is accessible to anyone without a need for them to be aware of its sacred nature; and finally, that it is ‘local and universal’ in its attraction. Lane stresses that not all are necessary to indicate the sacred but that between them one or more can point the way</w:t>
      </w:r>
      <w:r>
        <w:rPr>
          <w:rStyle w:val="char3"/>
        </w:rPr>
      </w:r>
      <w:r>
        <w:rPr>
          <w:rStyle w:val="char3"/>
        </w:rPr>
        <w:footnoteReference w:id="37"/>
      </w:r>
      <w:r>
        <w:t>. This approach tends towards a Durkeimian perspective, but doesn’t entirely rule out Eliade in the sense that Lane notes it is possible to walk a sacred space without being aware that it is so.</w:t>
      </w:r>
    </w:p>
    <w:tbl>
      <w:tblPr>
        <w:tblStyle w:val="TableGrid"/>
        <w:name w:val="Table16"/>
        <w:tabOrder w:val="0"/>
        <w:jc w:val="left"/>
        <w:tblInd w:w="0" w:type="dxa"/>
        <w:tblW w:w="9639" w:type="dxa"/>
        <w:pPr>
          <w:ind w:firstLine="0"/>
        </w:pPr>
        <w:tblLook w:val="04A0" w:firstRow="1" w:lastRow="0" w:firstColumn="1" w:lastColumn="0" w:noHBand="0" w:noVBand="1"/>
      </w:tblPr>
      <w:tblGrid>
        <w:gridCol w:w="9639"/>
      </w:tblGrid>
      <w:tr>
        <w:trPr>
          <w:tblHeader w:val="0"/>
          <w:cantSplit w:val="0"/>
          <w:trHeight w:val="0" w:hRule="auto"/>
        </w:trPr>
        <w:tc>
          <w:tcPr>
            <w:tcW w:w="5000" w:type="pct"/>
            <w:vAlign w:val="center"/>
            <w:tmTcPr id="1767365008" protected="0"/>
          </w:tcPr>
          <w:p>
            <w:pPr>
              <w:ind w:firstLine="0"/>
              <w:spacing/>
              <w:jc w:val="center"/>
            </w:pPr>
            <w:r>
              <w:rPr>
                <w:noProof/>
              </w:rPr>
              <w:drawing>
                <wp:inline distT="89535" distB="89535" distL="89535" distR="89535">
                  <wp:extent cx="4572000" cy="4663440"/>
                  <wp:effectExtent l="0" t="0" r="0" b="0"/>
                  <wp:docPr id="5" name="Picture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24"/>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AIIAAAAAAAAAAAAAAAAAAAAAAACcAAAAAAAAAAAAAACcAAAAIBwAALAcAAAAAAAAnAAAAJwAAAAoAAAACAAAAAEAAAABAAAAMAAAABQAAAAAAAAAAAD//wAAAQAAAP//AAABAA=="/>
                              </a:ext>
                            </a:extLst>
                          </pic:cNvPicPr>
                        </pic:nvPicPr>
                        <pic:blipFill>
                          <a:blip r:embed="rId11"/>
                          <a:stretch>
                            <a:fillRect/>
                          </a:stretch>
                        </pic:blipFill>
                        <pic:spPr>
                          <a:xfrm>
                            <a:off x="0" y="0"/>
                            <a:ext cx="4572000" cy="4663440"/>
                          </a:xfrm>
                          <a:prstGeom prst="rect">
                            <a:avLst/>
                          </a:prstGeom>
                          <a:noFill/>
                          <a:ln w="12700">
                            <a:noFill/>
                          </a:ln>
                        </pic:spPr>
                      </pic:pic>
                    </a:graphicData>
                  </a:graphic>
                </wp:inline>
              </w:drawing>
            </w:r>
            <w:r/>
          </w:p>
          <w:p>
            <w:pPr>
              <w:spacing/>
              <w:jc w:val="center"/>
            </w:pPr>
            <w:r>
              <w:t>Figure 2: Map of Portesham. Reproduced by kind permission from the village map in the village hall</w:t>
            </w:r>
          </w:p>
        </w:tc>
      </w:tr>
    </w:tbl>
    <w:p>
      <w:r>
        <w:t>Such definitions support the contemporary view of the South Dorset Ridgeway as the ‘Land of Bone and Stone’ for the number of stone circles, barrows and hillforts</w:t>
      </w:r>
      <w:r>
        <w:rPr>
          <w:rStyle w:val="char3"/>
        </w:rPr>
      </w:r>
      <w:r>
        <w:rPr>
          <w:rStyle w:val="char3"/>
        </w:rPr>
        <w:footnoteReference w:id="38"/>
      </w:r>
      <w:r>
        <w:t>; and Barbara Bender, referring to Paul Tacon, notes ’..in many societies, bone and stone are symbols of persistence and immortality..’</w:t>
      </w:r>
      <w:r>
        <w:rPr>
          <w:rStyle w:val="char3"/>
        </w:rPr>
      </w:r>
      <w:r>
        <w:rPr>
          <w:rStyle w:val="char3"/>
        </w:rPr>
        <w:footnoteReference w:id="39"/>
      </w:r>
      <w:r>
        <w:t xml:space="preserve"> This suggests that this area may be both inherently sacred and was also deemed so by man.</w:t>
      </w:r>
    </w:p>
    <w:p>
      <w:r>
        <w:t>Devereux’s work on ancient sites frames both points of view. For example, he notes British stone circles are usually in proximity to geological faults and that (as a result) some stones exhibit naturally radioactive magnetic anomalies that can be measured</w:t>
      </w:r>
      <w:r>
        <w:rPr>
          <w:rStyle w:val="char3"/>
        </w:rPr>
      </w:r>
      <w:r>
        <w:rPr>
          <w:rStyle w:val="char3"/>
        </w:rPr>
        <w:footnoteReference w:id="40"/>
      </w:r>
      <w:r>
        <w:t>. Such earth energies might be considered examples of an Eliadian ‘hierophany’ which humans may have been better able to sense in ways unavailable to contemporary Western minds</w:t>
      </w:r>
      <w:r>
        <w:rPr>
          <w:rStyle w:val="char3"/>
        </w:rPr>
      </w:r>
      <w:r>
        <w:rPr>
          <w:rStyle w:val="char3"/>
        </w:rPr>
        <w:footnoteReference w:id="41"/>
      </w:r>
      <w:r>
        <w:t>. However, he also acknowledges the importance of the human hand upon the earth through astronomy, geomancy, sacred measurement, myth and symbolism which, he suggests, enhance sites already activated by the earth in some way</w:t>
      </w:r>
      <w:r>
        <w:rPr>
          <w:rStyle w:val="char3"/>
        </w:rPr>
      </w:r>
      <w:r>
        <w:rPr>
          <w:rStyle w:val="char3"/>
        </w:rPr>
        <w:footnoteReference w:id="42"/>
      </w:r>
      <w:r>
        <w:t xml:space="preserve">. </w:t>
      </w:r>
    </w:p>
    <w:p>
      <w:r>
        <w:t>Lane complements this perspective in the statement that ‘The sacred place … is wholly infused with a sense of extranormal power’, noting that for some researchers such places have an experience often explained as ley lines, vortex centres and energy fields which cannot be explained by contemporary science</w:t>
      </w:r>
      <w:r>
        <w:rPr>
          <w:rStyle w:val="char3"/>
        </w:rPr>
      </w:r>
      <w:r>
        <w:rPr>
          <w:rStyle w:val="char3"/>
        </w:rPr>
        <w:footnoteReference w:id="43"/>
      </w:r>
      <w:r>
        <w:t>.</w:t>
      </w:r>
    </w:p>
    <w:p>
      <w:r>
        <w:t>The use of stone to represent something sacred to humanity is common; for example,  Jean-Pierre Mohen says standing stones, dolmens and stone circles ’.. stood for seven thousand years along the Western edge of Europe, from Portugal to Scandinavia, practically forming a wall against the Atlantic ..’</w:t>
      </w:r>
      <w:r>
        <w:rPr>
          <w:rStyle w:val="char3"/>
        </w:rPr>
      </w:r>
      <w:r>
        <w:rPr>
          <w:rStyle w:val="char3"/>
        </w:rPr>
        <w:footnoteReference w:id="44"/>
      </w:r>
      <w:r>
        <w:t>. Peter Knight notes that such stones are called Sarsen Stones in Dorset which he suggests is derived from the Saxon ‘sar’ (stone) and ‘stan’ meaning troublesome; they are, he states, ‘the weathered out remains of locally available limestone blocks’</w:t>
      </w:r>
      <w:r>
        <w:rPr>
          <w:rStyle w:val="char3"/>
        </w:rPr>
      </w:r>
      <w:r>
        <w:rPr>
          <w:rStyle w:val="char3"/>
        </w:rPr>
        <w:footnoteReference w:id="45"/>
      </w:r>
      <w:r>
        <w:t>. Because of their ubiquity across Dorset, and their variation in size, shape and material, Knight also acknowledges there is some challenge in determining which are purposefully situated amongst those which occur naturally</w:t>
      </w:r>
      <w:r>
        <w:rPr>
          <w:rStyle w:val="char3"/>
        </w:rPr>
      </w:r>
      <w:r>
        <w:rPr>
          <w:rStyle w:val="char3"/>
        </w:rPr>
        <w:footnoteReference w:id="46"/>
      </w:r>
      <w:r>
        <w:t>. In Portesham specifically, he says:</w:t>
      </w:r>
    </w:p>
    <w:p>
      <w:pPr>
        <w:pStyle w:val="para11"/>
      </w:pPr>
      <w:r>
        <w:t>‘The problem … is to interpret the large number of naturally weathering-out sarsens that lie around the fields, and even still litter the village centre itself. Which ones were used by Prehistoric man? How many are in their present localities due to field clearances? How can we tell which were once standing as a result of human endeavours?’</w:t>
      </w:r>
      <w:r>
        <w:rPr>
          <w:rStyle w:val="char3"/>
          <w:lang w:bidi="ar-sa"/>
        </w:rPr>
      </w:r>
      <w:r>
        <w:rPr>
          <w:rStyle w:val="char3"/>
          <w:lang w:bidi="ar-sa"/>
        </w:rPr>
        <w:footnoteReference w:id="47"/>
      </w:r>
      <w:r/>
    </w:p>
    <w:p>
      <w:r>
        <w:t>Although such stones can be considered local, their exact originating point is often inconclusive, as James Day points out the impact of environmental degradation and change over geological time often gives them different ‘petrographic and geochemical features to their source rock’</w:t>
      </w:r>
      <w:r>
        <w:rPr>
          <w:rStyle w:val="char3"/>
        </w:rPr>
      </w:r>
      <w:r>
        <w:rPr>
          <w:rStyle w:val="char3"/>
        </w:rPr>
        <w:footnoteReference w:id="48"/>
      </w:r>
      <w:r>
        <w:t xml:space="preserve"> rendering it impossible to determine their originating location. In 1974 the Portesham Environmental Studies Pilot Project noted that how the sarsens in Portesham were formed is at best conjectural, although it is believed they were moved to the area by melting soils, a process known as solifluction, as the land warmed during early interglacial periods</w:t>
      </w:r>
      <w:r>
        <w:rPr>
          <w:rStyle w:val="char3"/>
        </w:rPr>
      </w:r>
      <w:r>
        <w:rPr>
          <w:rStyle w:val="char3"/>
        </w:rPr>
        <w:footnoteReference w:id="49"/>
      </w:r>
      <w:r>
        <w:t>.</w:t>
      </w:r>
    </w:p>
    <w:p>
      <w:r>
        <w:t xml:space="preserve">It is obvious then, that determining which stones were/are important is not without controversy. As Devereux comments </w:t>
      </w:r>
      <w:r>
        <w:rPr>
          <w:lang w:bidi="en-us"/>
        </w:rPr>
        <w:t>’.. when we come to the “deep time” of the Stone Age, we have nothing but the features themselves and have to rely on whatever archaeological and interpretive information can be gleaned from them.’</w:t>
      </w:r>
      <w:r>
        <w:rPr>
          <w:rStyle w:val="char3"/>
        </w:rPr>
      </w:r>
      <w:r>
        <w:rPr>
          <w:rStyle w:val="char3"/>
        </w:rPr>
        <w:footnoteReference w:id="50"/>
      </w:r>
      <w:r/>
    </w:p>
    <w:p>
      <w:r>
        <w:t>It appears that how stones are arranged might be one way of interpreting their importance and  Alexander Thom notes many circles, for example, were erected in such a way that they mark precisely significant positions in the lunar cycle noting that they exhibit common shapes, circular, elliptical, flattened circle and egg shaped all of which are deliberately oriented</w:t>
      </w:r>
      <w:r>
        <w:rPr>
          <w:rStyle w:val="char3"/>
        </w:rPr>
      </w:r>
      <w:r>
        <w:rPr>
          <w:rStyle w:val="char3"/>
        </w:rPr>
        <w:footnoteReference w:id="51"/>
      </w:r>
      <w:r>
        <w:t>. Peter Knight refers to a 1974 catalogue listing 963 stone circles in Britain commenting it may not reflect the true number</w:t>
      </w:r>
      <w:r>
        <w:rPr>
          <w:rStyle w:val="char3"/>
        </w:rPr>
      </w:r>
      <w:r>
        <w:rPr>
          <w:rStyle w:val="char3"/>
        </w:rPr>
        <w:footnoteReference w:id="52"/>
      </w:r>
      <w:r>
        <w:t>. He also references a 1972 Dorset compendium recording just five stone circles, three standing stones and one chambered long barrow</w:t>
      </w:r>
      <w:r>
        <w:rPr>
          <w:rStyle w:val="char3"/>
        </w:rPr>
      </w:r>
      <w:r>
        <w:rPr>
          <w:rStyle w:val="char3"/>
        </w:rPr>
        <w:footnoteReference w:id="53"/>
      </w:r>
      <w:r>
        <w:t xml:space="preserve"> none of which were located in Portesham. When compiling his own record of stones in Dorset he collated just under 200 of various types and ages</w:t>
      </w:r>
      <w:r>
        <w:rPr>
          <w:rStyle w:val="char3"/>
        </w:rPr>
      </w:r>
      <w:r>
        <w:rPr>
          <w:rStyle w:val="char3"/>
        </w:rPr>
        <w:footnoteReference w:id="54"/>
      </w:r>
      <w:r>
        <w:t xml:space="preserve"> of which five individuals or groups are in the village including one he suggests is a ley marker, with a further seven within the wider parish</w:t>
      </w:r>
      <w:r>
        <w:rPr>
          <w:rStyle w:val="char3"/>
        </w:rPr>
      </w:r>
      <w:r>
        <w:rPr>
          <w:rStyle w:val="char3"/>
        </w:rPr>
        <w:footnoteReference w:id="55"/>
      </w:r>
      <w:r>
        <w:t xml:space="preserve">. </w:t>
      </w:r>
    </w:p>
    <w:p>
      <w:r>
        <w:t>In 2017 Katy Whittaker undertook a data transcription project to digitise data from the 1970’s and 80’s ‘Sarsen Stones in Wessex’ survey. The resulting dataset records 133 sarsen stones or stone groups in Dorset</w:t>
      </w:r>
      <w:r>
        <w:rPr>
          <w:rStyle w:val="char3"/>
        </w:rPr>
      </w:r>
      <w:r>
        <w:rPr>
          <w:rStyle w:val="char3"/>
        </w:rPr>
        <w:footnoteReference w:id="56"/>
      </w:r>
      <w:r>
        <w:t>, of which 17 are located in and around Portesham. A similar issue to that noted by Peter Knight above is also present in this dataset. As Whittaker says:</w:t>
      </w:r>
    </w:p>
    <w:p>
      <w:pPr>
        <w:pStyle w:val="para11"/>
      </w:pPr>
      <w:r>
        <w:t>’.. multiple records tend to be in areas with dense sarsen survivals, such as Portesham village (Dorset), where reference PRT6 was used to describe sarsens on the High Street [Front Street], in buildings alongside and adjacent to the High Street, and in yards and gardens in the environs.’</w:t>
      </w:r>
      <w:r>
        <w:rPr>
          <w:rStyle w:val="char3"/>
        </w:rPr>
      </w:r>
      <w:r>
        <w:rPr>
          <w:rStyle w:val="char3"/>
        </w:rPr>
        <w:footnoteReference w:id="57"/>
      </w:r>
      <w:r/>
    </w:p>
    <w:p>
      <w:r>
        <w:t>It is interesting to note that the number of Sarsens listed for PRT6 is 99</w:t>
      </w:r>
      <w:r>
        <w:rPr>
          <w:rStyle w:val="char3"/>
        </w:rPr>
      </w:r>
      <w:r>
        <w:rPr>
          <w:rStyle w:val="char3"/>
        </w:rPr>
        <w:footnoteReference w:id="58"/>
      </w:r>
      <w:r>
        <w:t xml:space="preserve"> although this is probably not accurate as the original data capture required volunteers to use ‘99’ if it was an ‘uncounted/innumerable group’</w:t>
      </w:r>
      <w:r>
        <w:rPr>
          <w:rStyle w:val="char3"/>
        </w:rPr>
      </w:r>
      <w:r>
        <w:rPr>
          <w:rStyle w:val="char3"/>
        </w:rPr>
        <w:footnoteReference w:id="59"/>
      </w:r>
      <w:r>
        <w:t>. This figure as an ‘innumerable’ group was verified by a count of the stones on Front Street by children at the village school participating in the Portesham Environmental Studies Pilot Programme who counted 92 sarsens on the stream-side and 70 on the house-side</w:t>
      </w:r>
      <w:r>
        <w:rPr>
          <w:rStyle w:val="char3"/>
        </w:rPr>
      </w:r>
      <w:r>
        <w:rPr>
          <w:rStyle w:val="char3"/>
        </w:rPr>
        <w:footnoteReference w:id="60"/>
      </w:r>
      <w:r>
        <w:t>.</w:t>
      </w:r>
    </w:p>
    <w:p>
      <w:r>
        <w:t>Finally, the website Megalithic.co.uk lists 48 stone sites including single and multiple standing stones, and stone circles in Dorset</w:t>
      </w:r>
      <w:r>
        <w:rPr>
          <w:rStyle w:val="char3"/>
        </w:rPr>
      </w:r>
      <w:r>
        <w:rPr>
          <w:rStyle w:val="char3"/>
        </w:rPr>
        <w:footnoteReference w:id="61"/>
      </w:r>
      <w:r>
        <w:t xml:space="preserve"> and 11 stones in Portesham excluding the Hell Stone or Hampton Down Stone Circle.</w:t>
      </w:r>
    </w:p>
    <w:p>
      <w:r>
        <w:t>Aside from their arrangement, Barbara Bender’s reminder that the use of such sites is important regardless of how it changes over time is an effect Peter Knight terms ‘site evolution’. He gives the example of standing stones being modified and reshaped into stone crosses commenting that ’.. things are not always as they seem’</w:t>
      </w:r>
      <w:r>
        <w:rPr>
          <w:rStyle w:val="char3"/>
        </w:rPr>
      </w:r>
      <w:r>
        <w:rPr>
          <w:rStyle w:val="char3"/>
        </w:rPr>
        <w:footnoteReference w:id="62"/>
      </w:r>
      <w:r>
        <w:t>. and Tim Ingold’s comment that life creates traces and threads as people develop understanding of the world around them is helpful</w:t>
      </w:r>
      <w:r>
        <w:rPr>
          <w:rStyle w:val="char3"/>
        </w:rPr>
      </w:r>
      <w:r>
        <w:rPr>
          <w:rStyle w:val="char3"/>
        </w:rPr>
        <w:footnoteReference w:id="63"/>
      </w:r>
      <w:r>
        <w:t>. Two local examples offer insight into this effect.</w:t>
      </w:r>
    </w:p>
    <w:p>
      <w:r>
        <w:t>The first occurs in the original village school playground which contained two large sarsen stones, one was undermined and buried to make more room, see the first photograph in Figure 3. According to local historian Jeany Poulsen, the school sweatshirts were originally yellow and the logo of the school was the remaining sarsen stone</w:t>
      </w:r>
      <w:r>
        <w:rPr>
          <w:rStyle w:val="char3"/>
        </w:rPr>
      </w:r>
      <w:r>
        <w:rPr>
          <w:rStyle w:val="char3"/>
        </w:rPr>
        <w:footnoteReference w:id="64"/>
      </w:r>
      <w:r>
        <w:t>. She also notes ‘Despite generations of bruised and bloody heads, scratched knees and scuffed shoes, all are agreed “the Rock” must stay’</w:t>
      </w:r>
      <w:r>
        <w:rPr>
          <w:rStyle w:val="char3"/>
        </w:rPr>
      </w:r>
      <w:r>
        <w:rPr>
          <w:rStyle w:val="char3"/>
        </w:rPr>
        <w:footnoteReference w:id="65"/>
      </w:r>
      <w:r>
        <w:t>. And redevelopment work in the 1990’s  included cutting a sarsen stone in half to accommodate a new school extension</w:t>
      </w:r>
      <w:r>
        <w:rPr>
          <w:rStyle w:val="char3"/>
        </w:rPr>
      </w:r>
      <w:r>
        <w:rPr>
          <w:rStyle w:val="char3"/>
        </w:rPr>
        <w:footnoteReference w:id="66"/>
      </w:r>
      <w:r>
        <w:t>.</w:t>
      </w:r>
    </w:p>
    <w:tbl>
      <w:tblPr>
        <w:tblStyle w:val="TableGrid"/>
        <w:name w:val="Table7"/>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4850130" cy="2317115"/>
                  <wp:effectExtent l="0" t="0" r="0" b="0"/>
                  <wp:docPr id="6"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9"/>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NYdAABBDgAA1h0AAEEO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0AAAAB6IAAAAAAAACAAAAAQAAAAAAAACcAAAAAAAAAAAAAACcAAAA1h0AAEEOAAAAAAAAnAAAAJwAAAAoAAAACAAAAAEAAAABAAAAMAAAABQAAAAAAAAAAAD//wAAAQAAAP//AAABAA=="/>
                              </a:ext>
                            </a:extLst>
                          </pic:cNvPicPr>
                        </pic:nvPicPr>
                        <pic:blipFill>
                          <a:blip r:embed="rId12"/>
                          <a:stretch>
                            <a:fillRect/>
                          </a:stretch>
                        </pic:blipFill>
                        <pic:spPr>
                          <a:xfrm>
                            <a:off x="0" y="0"/>
                            <a:ext cx="4850130" cy="2317115"/>
                          </a:xfrm>
                          <a:prstGeom prst="rect">
                            <a:avLst/>
                          </a:prstGeom>
                          <a:noFill/>
                          <a:ln w="12700">
                            <a:noFill/>
                          </a:ln>
                        </pic:spPr>
                      </pic:pic>
                    </a:graphicData>
                  </a:graphic>
                </wp:inline>
              </w:drawing>
            </w:r>
            <w:r/>
          </w:p>
          <w:p>
            <w:pPr>
              <w:spacing/>
              <w:jc w:val="center"/>
            </w:pPr>
            <w:r>
              <w:t>Figure 3: Portesham School Sarsen(s) 19</w:t>
            </w:r>
            <w:r>
              <w:rPr>
                <w:vertAlign w:val="superscript"/>
              </w:rPr>
              <w:t>th</w:t>
            </w:r>
            <w:r>
              <w:t>-20</w:t>
            </w:r>
            <w:r>
              <w:rPr>
                <w:vertAlign w:val="superscript"/>
              </w:rPr>
              <w:t>th</w:t>
            </w:r>
            <w:r>
              <w:t xml:space="preserve"> Century. </w:t>
            </w:r>
          </w:p>
        </w:tc>
      </w:tr>
    </w:tbl>
    <w:p>
      <w:r>
        <w:t>The second is Possum Fez Wik, a local festival held at the beginning of August until 1913, with a brief revival in the 1990’s and early 2000’s. A programme from the 2000 event states ’The origins of Fez Wik is so far in the past that even the meaning of the name is not certain..’. What is not mentioned, is that it happens to fall on Lammas, the Christianised Celtic Lughnasadh festival celebrating the corn harvest centred on the village green and Church</w:t>
      </w:r>
      <w:r>
        <w:rPr>
          <w:rStyle w:val="char3"/>
        </w:rPr>
      </w:r>
      <w:r>
        <w:rPr>
          <w:rStyle w:val="char3"/>
        </w:rPr>
        <w:footnoteReference w:id="67"/>
      </w:r>
      <w:r>
        <w:t>.</w:t>
      </w:r>
    </w:p>
    <w:p>
      <w:r>
        <w:t>The work of several researchers reflects on the correlation of burial with stone avenues connected to major Neolithic sites such Stonehenge and Avebury. For example, Devereux notes that whilst the purpose of such avenues is not known, evidence suggests they may be associated with the transportation of the dead and burial</w:t>
      </w:r>
      <w:r>
        <w:rPr>
          <w:rStyle w:val="char3"/>
        </w:rPr>
      </w:r>
      <w:r>
        <w:rPr>
          <w:rStyle w:val="char3"/>
        </w:rPr>
        <w:footnoteReference w:id="68"/>
      </w:r>
      <w:r>
        <w:t>. It is worth noting that, according to Eliade, death confers a change in ontological and social status where, for the religious, this may require certain sacred rites to be performed and although similar rites may take place for the non-religious, these have a secular, more profane character largely devoid of meaning</w:t>
      </w:r>
      <w:r>
        <w:rPr>
          <w:rStyle w:val="char3"/>
        </w:rPr>
      </w:r>
      <w:r>
        <w:rPr>
          <w:rStyle w:val="char3"/>
        </w:rPr>
        <w:footnoteReference w:id="69"/>
      </w:r>
      <w:r>
        <w:t>. Durkheim also notes that the soul is always considered sacred whilst the body is profane and this duality gives rise to ’.. a whole world of ideas and sentiments’ in society regarding it</w:t>
      </w:r>
      <w:r>
        <w:rPr>
          <w:rStyle w:val="char3"/>
        </w:rPr>
      </w:r>
      <w:r>
        <w:rPr>
          <w:rStyle w:val="char3"/>
        </w:rPr>
        <w:footnoteReference w:id="70"/>
      </w:r>
      <w:r>
        <w:t>. The relationship between death and sacrality is made clear by both statements.</w:t>
      </w:r>
    </w:p>
    <w:p>
      <w:r>
        <w:t>Barbara Bender writes that, at Stonehenge at least, the mounds, causewayed enclosures, cursus and original bank and ditch were within the settled every-day use of the land, they were not set apart as was originally assumed</w:t>
      </w:r>
      <w:r>
        <w:rPr>
          <w:rStyle w:val="char3"/>
        </w:rPr>
      </w:r>
      <w:r>
        <w:rPr>
          <w:rStyle w:val="char3"/>
        </w:rPr>
        <w:footnoteReference w:id="71"/>
      </w:r>
      <w:r>
        <w:t xml:space="preserve"> noting that sites change as social structures change which is evidenced by such things as cremation replacing burial, alterations from lunar to solar orientation, or the back-filling of ditches</w:t>
      </w:r>
      <w:r>
        <w:rPr>
          <w:rStyle w:val="char3"/>
        </w:rPr>
      </w:r>
      <w:r>
        <w:rPr>
          <w:rStyle w:val="char3"/>
        </w:rPr>
        <w:footnoteReference w:id="72"/>
      </w:r>
      <w:r>
        <w:t>, as well as the use of causewayed enclosures for ‘feasting and burial’</w:t>
      </w:r>
      <w:r>
        <w:rPr>
          <w:rStyle w:val="char3"/>
        </w:rPr>
      </w:r>
      <w:r>
        <w:rPr>
          <w:rStyle w:val="char3"/>
        </w:rPr>
        <w:footnoteReference w:id="73"/>
      </w:r>
      <w:r>
        <w:t>.</w:t>
      </w:r>
    </w:p>
    <w:p>
      <w:r>
        <w:t>One type of avenue is named the Cursus by William Stukeley</w:t>
      </w:r>
      <w:r>
        <w:rPr>
          <w:rStyle w:val="char3"/>
        </w:rPr>
      </w:r>
      <w:r>
        <w:rPr>
          <w:rStyle w:val="char3"/>
        </w:rPr>
        <w:footnoteReference w:id="74"/>
      </w:r>
      <w:r>
        <w:t xml:space="preserve"> range in size from 200 yards to six miles have been found across Britain. They appear to have several common features and Evan Hadingham notes their relationship to fresh water, streams and rivers</w:t>
      </w:r>
      <w:r>
        <w:rPr>
          <w:rStyle w:val="char3"/>
        </w:rPr>
      </w:r>
      <w:r>
        <w:rPr>
          <w:rStyle w:val="char3"/>
        </w:rPr>
        <w:footnoteReference w:id="75"/>
      </w:r>
      <w:r>
        <w:t xml:space="preserve"> also noted by Devereux who adds reference to the surrounding higher ground, being placed in association with other monuments such as henges, connecting or passing through ancient places of burial, alignment with other ancient monuments beyond their ends and that a large percentage appear to be associated with medieval churches</w:t>
      </w:r>
      <w:r>
        <w:rPr>
          <w:rStyle w:val="char3"/>
        </w:rPr>
      </w:r>
      <w:r>
        <w:rPr>
          <w:rStyle w:val="char3"/>
        </w:rPr>
        <w:footnoteReference w:id="76"/>
      </w:r>
      <w:r>
        <w:t>. Some of these commonalities are also noted by Bender, particularly the relationship to other monuments</w:t>
      </w:r>
      <w:r>
        <w:rPr>
          <w:rStyle w:val="char3"/>
        </w:rPr>
      </w:r>
      <w:r>
        <w:rPr>
          <w:rStyle w:val="char3"/>
        </w:rPr>
        <w:footnoteReference w:id="77"/>
      </w:r>
      <w:r>
        <w:t>. Christopher Tilley also notes that the Dorset Cursus was, at the time of its building, one of the two most spectacular monuments in Neolithic Britain and associated with at least nine long barrows, visible to at least fourteen others and built in the only place possible to achieve this number of connections to other monuments</w:t>
      </w:r>
      <w:r>
        <w:rPr>
          <w:rStyle w:val="char3"/>
        </w:rPr>
      </w:r>
      <w:r>
        <w:rPr>
          <w:rStyle w:val="char3"/>
        </w:rPr>
        <w:footnoteReference w:id="78"/>
      </w:r>
      <w:r>
        <w:t>.</w:t>
      </w:r>
    </w:p>
    <w:p>
      <w:r>
        <w:t>A further type of avenue noted by Devereux is the Neolithic or Bronze Age stone row which, like avenues and cursus, pass through or connect burial sites</w:t>
      </w:r>
      <w:r>
        <w:rPr>
          <w:rStyle w:val="char3"/>
        </w:rPr>
      </w:r>
      <w:r>
        <w:rPr>
          <w:rStyle w:val="char3"/>
        </w:rPr>
        <w:footnoteReference w:id="79"/>
      </w:r>
      <w:r>
        <w:t>. Perhaps they are a forerunner to Devereux’s medieval corpse road which he says is ’.. usually synonymous with a Church path or churchway’ allowing easy transport of the dead for burial</w:t>
      </w:r>
      <w:r>
        <w:rPr>
          <w:rStyle w:val="char3"/>
        </w:rPr>
      </w:r>
      <w:r>
        <w:rPr>
          <w:rStyle w:val="char3"/>
        </w:rPr>
        <w:footnoteReference w:id="80"/>
      </w:r>
      <w:r>
        <w:t>. The route included stopping places such as coffin stones and crosses where prayers could be said and hymns sung. A lych-gate often stood at the boundary of the churchyard, something he calls ‘the temenos between the sacred and mundane’, together with another resting place for the coffin</w:t>
      </w:r>
      <w:r>
        <w:rPr>
          <w:rStyle w:val="char3"/>
        </w:rPr>
      </w:r>
      <w:r>
        <w:rPr>
          <w:rStyle w:val="char3"/>
        </w:rPr>
        <w:footnoteReference w:id="81"/>
      </w:r>
      <w:r>
        <w:t>. He mentions the lore preventing the spirit of the deceased from returning to its human habitation such as carrying the coffin with the feet pointing away from the homestead, adding bends to the route, and crossing the liminal space created by flowing water</w:t>
      </w:r>
      <w:r>
        <w:rPr>
          <w:rStyle w:val="char3"/>
        </w:rPr>
      </w:r>
      <w:r>
        <w:rPr>
          <w:rStyle w:val="char3"/>
        </w:rPr>
        <w:footnoteReference w:id="82"/>
      </w:r>
      <w:r>
        <w:t>.</w:t>
      </w:r>
    </w:p>
    <w:p>
      <w:r>
        <w:t>It is interesting to note the use of Portesham as a place of burial in the archaeological record where, according to Valentin four inhumation burials were discovered in 1996 during archaeological investigations on a site in the village centre</w:t>
      </w:r>
      <w:r>
        <w:rPr>
          <w:rStyle w:val="char3"/>
        </w:rPr>
      </w:r>
      <w:r>
        <w:rPr>
          <w:rStyle w:val="char3"/>
        </w:rPr>
        <w:footnoteReference w:id="83"/>
      </w:r>
      <w:r>
        <w:t>. Six additional ‘Durotrigian’ burials dating to the 1</w:t>
      </w:r>
      <w:r>
        <w:rPr>
          <w:vertAlign w:val="superscript"/>
        </w:rPr>
        <w:t>st</w:t>
      </w:r>
      <w:r>
        <w:t xml:space="preserve"> Century AD were also discovered, four of which contained grave goods of broaches, animal deposits and pots</w:t>
      </w:r>
      <w:r>
        <w:rPr>
          <w:rStyle w:val="char3"/>
        </w:rPr>
      </w:r>
      <w:r>
        <w:rPr>
          <w:rStyle w:val="char3"/>
        </w:rPr>
        <w:footnoteReference w:id="84"/>
      </w:r>
      <w:r>
        <w:t>. Valentin suggests that all ten burials are part of ‘a more extensive rural cemetery’ covering more than one period of occupation. He also notes two features, firstly all the burials were oriented on a North-South alignment with the head facing East or West; and secondly, the presence of an Iron Age style circular structure within the cemetery complex which he identities as a structure with a religious or ritual focus such as a shrine or a temple</w:t>
      </w:r>
      <w:r>
        <w:rPr>
          <w:rStyle w:val="char3"/>
        </w:rPr>
      </w:r>
      <w:r>
        <w:rPr>
          <w:rStyle w:val="char3"/>
        </w:rPr>
        <w:footnoteReference w:id="85"/>
      </w:r>
      <w:r>
        <w:t>. Finds from the site date from the late Neolithic (2000BC) to Early Modern (c 1700-1900AD)</w:t>
      </w:r>
      <w:r>
        <w:rPr>
          <w:rStyle w:val="char3"/>
        </w:rPr>
      </w:r>
      <w:r>
        <w:rPr>
          <w:rStyle w:val="char3"/>
        </w:rPr>
        <w:footnoteReference w:id="86"/>
      </w:r>
      <w:r>
        <w:t>.</w:t>
      </w:r>
    </w:p>
    <w:p>
      <w:r>
        <w:t>A further small cemetery of eight individuals dated between AD 270-770, was uncovered in a third phase of development work comprising Christian burials as all were orientated on an East-West alignment. Not all possible burials were recovered though as only those affected by building footprints were uncovered</w:t>
      </w:r>
      <w:r>
        <w:rPr>
          <w:rStyle w:val="char3"/>
        </w:rPr>
      </w:r>
      <w:r>
        <w:rPr>
          <w:rStyle w:val="char3"/>
        </w:rPr>
        <w:footnoteReference w:id="87"/>
      </w:r>
      <w:r>
        <w:t>.</w:t>
      </w:r>
    </w:p>
    <w:p>
      <w:r>
        <w:t>The area of occupation appears to have been boundaried by an East-West ditch running along the current Back Street</w:t>
      </w:r>
      <w:r>
        <w:rPr>
          <w:rStyle w:val="char3"/>
        </w:rPr>
      </w:r>
      <w:r>
        <w:rPr>
          <w:rStyle w:val="char3"/>
        </w:rPr>
        <w:footnoteReference w:id="88"/>
      </w:r>
      <w:r>
        <w:t>. As archaeological work continued for the proposed building sites evidence for Portesham being the site of a Saxon Minster emerged and Valentin et al propose that Back Street and Front Street are part of ‘an oval enclosure encircling the area of the Church and demesne complex’ which although not exactly rectilinear as most similar enclosures are, does occur in other places in Dorset</w:t>
      </w:r>
      <w:r>
        <w:rPr>
          <w:rStyle w:val="char3"/>
        </w:rPr>
      </w:r>
      <w:r>
        <w:rPr>
          <w:rStyle w:val="char3"/>
        </w:rPr>
        <w:footnoteReference w:id="89"/>
      </w:r>
      <w:r>
        <w:t>. The archaeological team also note the correlation between minsters and Roman sites (either Christian or pagan). They note ’..the graves appear to represent a continuity of Romano-British burial culture’</w:t>
      </w:r>
      <w:r>
        <w:rPr>
          <w:rStyle w:val="char3"/>
        </w:rPr>
      </w:r>
      <w:r>
        <w:rPr>
          <w:rStyle w:val="char3"/>
        </w:rPr>
        <w:footnoteReference w:id="90"/>
      </w:r>
      <w:r>
        <w:t xml:space="preserve">. </w:t>
      </w:r>
    </w:p>
    <w:p>
      <w:pPr>
        <w:pStyle w:val="para8"/>
      </w:pPr>
      <w:r>
        <w:t>Field Work and Discussion</w:t>
      </w:r>
    </w:p>
    <w:p>
      <w:pPr>
        <w:ind w:firstLine="0"/>
      </w:pPr>
      <w:r>
        <w:t>The research survey created records for 52 stones scattered throughout the village. Many others were not included due to lack of access or because they were so densely overgrown to the extent they could only be surmised. Additionally, although stones line the entirety of the west side of the stream as it travels along Front Street, only those accessible from the road side were included in this research survey. It is worth noting that the survey by the Portesham Environmental Studies Project counted 160+ stones lining both sides of Front Street in the 1970’s</w:t>
      </w:r>
      <w:r>
        <w:rPr>
          <w:rStyle w:val="char3"/>
        </w:rPr>
      </w:r>
      <w:r>
        <w:rPr>
          <w:rStyle w:val="char3"/>
        </w:rPr>
        <w:footnoteReference w:id="91"/>
      </w:r>
      <w:r>
        <w:t>.</w:t>
      </w:r>
    </w:p>
    <w:p>
      <w:r>
        <w:t>Interestingly, Peter Knight, Katy Whittaker and the Megalithic Portal site recorded only fraction of the stones identified in this research project. Stones included/not included reveal some interesting anomalies. For example the large dressed stone sitting at the crossroads between Front Street, Portesham Hill and Back Street is not listed in any prior research and neither is the larger stone to be found in the middle of the old school playground (Figure 4: top row left to right). Those listed included the much smaller, possible mark stone at the junction of Front Street and Winters Lane, and the family of stones on the East side of Portesham Hill (Figure 4: bottom row left to right).</w:t>
      </w:r>
    </w:p>
    <w:tbl>
      <w:tblPr>
        <w:tblStyle w:val="TableGrid"/>
        <w:name w:val="Table9"/>
        <w:tabOrder w:val="0"/>
        <w:jc w:val="left"/>
        <w:tblInd w:w="0" w:type="dxa"/>
        <w:tblW w:w="9360" w:type="dxa"/>
        <w:pPr>
          <w:ind w:firstLine="0"/>
          <w:spacing/>
          <w:jc w:val="left"/>
        </w:pPr>
        <w:tblLook w:val="04A0" w:firstRow="1" w:lastRow="0" w:firstColumn="1" w:lastColumn="0" w:noHBand="0" w:noVBand="1"/>
      </w:tblPr>
      <w:tblGrid>
        <w:gridCol w:w="4680"/>
        <w:gridCol w:w="4680"/>
      </w:tblGrid>
      <w:tr>
        <w:trPr>
          <w:tblHeader w:val="0"/>
          <w:cantSplit w:val="0"/>
          <w:trHeight w:val="0" w:hRule="auto"/>
        </w:trPr>
        <w:tc>
          <w:tcPr>
            <w:tcW w:w="4680" w:type="dxa"/>
            <w:vAlign w:val="center"/>
            <w:tmTcPr id="1767365008" protected="0"/>
          </w:tcPr>
          <w:p>
            <w:pPr>
              <w:ind w:firstLine="0"/>
              <w:spacing/>
              <w:jc w:val="center"/>
            </w:pPr>
            <w:r>
              <w:rPr>
                <w:noProof/>
              </w:rPr>
              <w:drawing>
                <wp:inline distT="89535" distB="89535" distL="89535" distR="89535">
                  <wp:extent cx="2438400" cy="1828800"/>
                  <wp:effectExtent l="0" t="0" r="0" b="0"/>
                  <wp:docPr id="7"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11"/>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PAABACwAAAA8AAEAL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AAAAAB6IAAAAAAAADAAAAAAAAAAAAAACcAAAAAQAAAAAAAACcAAAAAA8AAEALAAAAAAAAnAAAAJwAAAAoAAAACAAAAAEAAAABAAAAMAAAABQAAAAAAAAAAAD//wAAAQAAAP//AAABAA=="/>
                              </a:ext>
                            </a:extLst>
                          </pic:cNvPicPr>
                        </pic:nvPicPr>
                        <pic:blipFill>
                          <a:blip r:embed="rId13"/>
                          <a:stretch>
                            <a:fillRect/>
                          </a:stretch>
                        </pic:blipFill>
                        <pic:spPr>
                          <a:xfrm>
                            <a:off x="0" y="0"/>
                            <a:ext cx="2438400" cy="1828800"/>
                          </a:xfrm>
                          <a:prstGeom prst="rect">
                            <a:avLst/>
                          </a:prstGeom>
                          <a:noFill/>
                          <a:ln w="12700">
                            <a:noFill/>
                          </a:ln>
                        </pic:spPr>
                      </pic:pic>
                    </a:graphicData>
                  </a:graphic>
                </wp:inline>
              </w:drawing>
            </w:r>
            <w:r/>
          </w:p>
        </w:tc>
        <w:tc>
          <w:tcPr>
            <w:tcW w:w="4680" w:type="dxa"/>
            <w:vAlign w:val="center"/>
            <w:tmTcPr id="1767365008" protected="0"/>
          </w:tcPr>
          <w:p>
            <w:pPr>
              <w:ind w:firstLine="0"/>
              <w:spacing/>
              <w:jc w:val="center"/>
            </w:pPr>
            <w:r>
              <w:rPr>
                <w:noProof/>
              </w:rPr>
              <w:drawing>
                <wp:inline distT="89535" distB="89535" distL="89535" distR="89535">
                  <wp:extent cx="2446020" cy="1834515"/>
                  <wp:effectExtent l="0" t="0" r="0" b="0"/>
                  <wp:docPr id="8"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13"/>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wPAABJCwAADA8AAEkL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AAAAAB6IAAAAAAAAEAAAAAAAAAAAAAACcAAAAAAAAAAAAAACcAAAADA8AAEkLAAAAAAAAnAAAAJwAAAAoAAAACAAAAAEAAAABAAAAMAAAABQAAAAAAAAAAAD//wAAAQAAAP//AAABAA=="/>
                              </a:ext>
                            </a:extLst>
                          </pic:cNvPicPr>
                        </pic:nvPicPr>
                        <pic:blipFill>
                          <a:blip r:embed="rId14"/>
                          <a:stretch>
                            <a:fillRect/>
                          </a:stretch>
                        </pic:blipFill>
                        <pic:spPr>
                          <a:xfrm>
                            <a:off x="0" y="0"/>
                            <a:ext cx="2446020" cy="1834515"/>
                          </a:xfrm>
                          <a:prstGeom prst="rect">
                            <a:avLst/>
                          </a:prstGeom>
                          <a:noFill/>
                          <a:ln w="12700">
                            <a:noFill/>
                          </a:ln>
                        </pic:spPr>
                      </pic:pic>
                    </a:graphicData>
                  </a:graphic>
                </wp:inline>
              </w:drawing>
            </w:r>
            <w:r/>
          </w:p>
        </w:tc>
      </w:tr>
      <w:tr>
        <w:trPr>
          <w:tblHeader w:val="0"/>
          <w:cantSplit w:val="0"/>
          <w:trHeight w:val="0" w:hRule="auto"/>
        </w:trPr>
        <w:tc>
          <w:tcPr>
            <w:tcW w:w="4680" w:type="dxa"/>
            <w:vAlign w:val="center"/>
            <w:tmTcPr id="1767365008" protected="0"/>
          </w:tcPr>
          <w:p>
            <w:pPr>
              <w:ind w:firstLine="0"/>
              <w:spacing/>
              <w:jc w:val="center"/>
            </w:pPr>
            <w:r>
              <w:rPr>
                <w:noProof/>
              </w:rPr>
              <w:drawing>
                <wp:inline distT="89535" distB="89535" distL="89535" distR="89535">
                  <wp:extent cx="1897380" cy="2922270"/>
                  <wp:effectExtent l="0" t="0" r="0" b="0"/>
                  <wp:docPr id="9"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14"/>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KwLAAD6EQAArAsAAPoR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AAAAAB6IAAAAAAAAFAAAAAAAAAAAAAACcAAAAAAAAAAAAAACcAAAArAsAAPoRAAAAAAAAnAAAAJwAAAAoAAAACAAAAAEAAAABAAAAMAAAABQAAAAAAAAAAAD//wAAAQAAAP//AAABAA=="/>
                              </a:ext>
                            </a:extLst>
                          </pic:cNvPicPr>
                        </pic:nvPicPr>
                        <pic:blipFill>
                          <a:blip r:embed="rId15"/>
                          <a:stretch>
                            <a:fillRect/>
                          </a:stretch>
                        </pic:blipFill>
                        <pic:spPr>
                          <a:xfrm>
                            <a:off x="0" y="0"/>
                            <a:ext cx="1897380" cy="2922270"/>
                          </a:xfrm>
                          <a:prstGeom prst="rect">
                            <a:avLst/>
                          </a:prstGeom>
                          <a:noFill/>
                          <a:ln w="12700">
                            <a:noFill/>
                          </a:ln>
                        </pic:spPr>
                      </pic:pic>
                    </a:graphicData>
                  </a:graphic>
                </wp:inline>
              </w:drawing>
            </w:r>
            <w:r/>
          </w:p>
        </w:tc>
        <w:tc>
          <w:tcPr>
            <w:tcW w:w="4680" w:type="dxa"/>
            <w:vAlign w:val="center"/>
            <w:tmTcPr id="1767365008" protected="0"/>
          </w:tcPr>
          <w:p>
            <w:pPr>
              <w:ind w:firstLine="0"/>
              <w:spacing/>
              <w:jc w:val="center"/>
            </w:pPr>
            <w:r>
              <w:rPr>
                <w:noProof/>
              </w:rPr>
              <w:drawing>
                <wp:inline distT="89535" distB="89535" distL="89535" distR="89535">
                  <wp:extent cx="1851660" cy="2882900"/>
                  <wp:effectExtent l="0" t="0" r="0" b="0"/>
                  <wp:docPr id="10"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12"/>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GQLAAC8EQAAZAsAALwR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AAAAAB6IAAAAAAAAGAAAAAAAAAAAAAACcAAAAAQAAAAAAAACcAAAAZAsAALwRAAAAAAAAnAAAAJwAAAAoAAAACAAAAAEAAAABAAAAMAAAABQAAAAAAAAAAAD//wAAAQAAAP//AAABAA=="/>
                              </a:ext>
                            </a:extLst>
                          </pic:cNvPicPr>
                        </pic:nvPicPr>
                        <pic:blipFill>
                          <a:blip r:embed="rId16"/>
                          <a:stretch>
                            <a:fillRect/>
                          </a:stretch>
                        </pic:blipFill>
                        <pic:spPr>
                          <a:xfrm>
                            <a:off x="0" y="0"/>
                            <a:ext cx="1851660" cy="2882900"/>
                          </a:xfrm>
                          <a:prstGeom prst="rect">
                            <a:avLst/>
                          </a:prstGeom>
                          <a:noFill/>
                          <a:ln w="12700">
                            <a:noFill/>
                          </a:ln>
                        </pic:spPr>
                      </pic:pic>
                    </a:graphicData>
                  </a:graphic>
                </wp:inline>
              </w:drawing>
            </w:r>
            <w:r/>
          </w:p>
        </w:tc>
      </w:tr>
      <w:tr>
        <w:trPr>
          <w:tblHeader w:val="0"/>
          <w:cantSplit w:val="0"/>
          <w:trHeight w:val="0" w:hRule="auto"/>
        </w:trPr>
        <w:tc>
          <w:tcPr>
            <w:tcW w:w="9360" w:type="dxa"/>
            <w:gridSpan w:val="2"/>
            <w:vAlign w:val="center"/>
            <w:tmTcPr id="1767365008" protected="0"/>
          </w:tcPr>
          <w:p>
            <w:pPr>
              <w:ind w:firstLine="0"/>
              <w:spacing/>
              <w:jc w:val="center"/>
            </w:pPr>
            <w:r>
              <w:t>Figure 4: Stones not included (top) / included (bottom) in previous surveys</w:t>
              <w:br w:type="textWrapping"/>
              <w:t>Photographs: authors own taken 8</w:t>
            </w:r>
            <w:r>
              <w:rPr>
                <w:vertAlign w:val="superscript"/>
              </w:rPr>
              <w:t>th</w:t>
            </w:r>
            <w:r>
              <w:t xml:space="preserve"> November 2025.</w:t>
            </w:r>
          </w:p>
        </w:tc>
      </w:tr>
    </w:tbl>
    <w:p>
      <w:r>
        <w:t>Two reasons may account for the discrepancy. Stones may not have been visible as vegetation was cut back in recent years revealing some previously hidden; and perhaps stones were only recorded because they were deemed to have been used by man for some reason. This perspective is given some credence when reviewing an overview Ordnance Survey Map of the stones surveyed for the purposes of this research where Figure 5 appears to show a natural flow of stones, possibly due to solifluction</w:t>
      </w:r>
      <w:r>
        <w:rPr>
          <w:rStyle w:val="char3"/>
        </w:rPr>
      </w:r>
      <w:r>
        <w:rPr>
          <w:rStyle w:val="char3"/>
        </w:rPr>
        <w:footnoteReference w:id="92"/>
      </w:r>
      <w:r>
        <w:t xml:space="preserve">, down the valley of Portesham Hill and Front Street in a north-south trajectory. </w:t>
      </w:r>
    </w:p>
    <w:tbl>
      <w:tblPr>
        <w:tblStyle w:val="TableGrid"/>
        <w:name w:val="Table8"/>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4572000" cy="5897880"/>
                  <wp:effectExtent l="0" t="0" r="0" b="0"/>
                  <wp:docPr id="11"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10"/>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CAAAAB6IAAAAAAAAHAAAAAAAAAAAAAACcAAAAAAAAAAAAAACcAAAAIBwAAEgkAAAAAAAAnAAAAJwAAAAoAAAACAAAAAEAAAABAAAAMAAAABQAAAAAAAAAAAD//wAAAQAAAP//AAABAA=="/>
                              </a:ext>
                            </a:extLst>
                          </pic:cNvPicPr>
                        </pic:nvPicPr>
                        <pic:blipFill>
                          <a:blip r:embed="rId17"/>
                          <a:stretch>
                            <a:fillRect/>
                          </a:stretch>
                        </pic:blipFill>
                        <pic:spPr>
                          <a:xfrm>
                            <a:off x="0" y="0"/>
                            <a:ext cx="4572000" cy="5897880"/>
                          </a:xfrm>
                          <a:prstGeom prst="rect">
                            <a:avLst/>
                          </a:prstGeom>
                          <a:noFill/>
                          <a:ln w="12700">
                            <a:noFill/>
                          </a:ln>
                        </pic:spPr>
                      </pic:pic>
                    </a:graphicData>
                  </a:graphic>
                </wp:inline>
              </w:drawing>
            </w:r>
            <w:r/>
          </w:p>
          <w:p>
            <w:pPr>
              <w:spacing/>
              <w:jc w:val="center"/>
            </w:pPr>
            <w:r>
              <w:t>Figure 5: Portesham Stones and Contour Lines</w:t>
            </w:r>
            <w:r>
              <w:rPr>
                <w:rStyle w:val="char3"/>
              </w:rPr>
            </w:r>
            <w:r>
              <w:rPr>
                <w:rStyle w:val="char3"/>
              </w:rPr>
              <w:footnoteReference w:id="93"/>
            </w:r>
            <w:r/>
          </w:p>
        </w:tc>
      </w:tr>
    </w:tbl>
    <w:p>
      <w:r>
        <w:t xml:space="preserve"> However, when the map is enlarged it is apparent that some intervention has taken place and two areas in particular stand out. The first lies around the village green and the second is the area around St Peter’s Church. The data from both locations suggest a deliberate placement or utilisation of stones to a specific, unknown purpose.</w:t>
      </w:r>
    </w:p>
    <w:p>
      <w:pPr>
        <w:pStyle w:val="para1"/>
      </w:pPr>
      <w:r>
        <w:t>Village Green</w:t>
      </w:r>
    </w:p>
    <w:p>
      <w:pPr>
        <w:ind w:firstLine="0"/>
      </w:pPr>
      <w:r>
        <w:t>Figure 6 shows the stones surveyed at the village green. A circle has been added to the map to enhance the feature of interest.</w:t>
      </w:r>
    </w:p>
    <w:p>
      <w:r>
        <w:t>Stones to the West and South-West appear to follow an elliptical path and dowsing each stone resulted in a positive - negative - positive polarity alignment (green markers indicate positive polarities, red markers indicate negative polarities). Additionally, the village green itself is raised above the surrounding roads and boundaried in the South West by a drainage ditch. There are also two stones located somewhat off-centre of the drawn outline, a further stone on the East side is largely covered by pavement so its extent was not able to be ascertained.</w:t>
      </w:r>
    </w:p>
    <w:p>
      <w:r>
        <w:t>Whilst this arrangement of stones is in itself not necessarily meaningful, the alternating polarities compare to three stone circles within walking distance of Portesham: Kingston Russell, Nine Stones and Hampton Down which also display an alternating polarity when dowsed. Devereux’s observation of the relationship between geologically sensitive areas and earth energies</w:t>
      </w:r>
      <w:r>
        <w:rPr>
          <w:rStyle w:val="char3"/>
        </w:rPr>
      </w:r>
      <w:r>
        <w:rPr>
          <w:rStyle w:val="char3"/>
        </w:rPr>
        <w:footnoteReference w:id="94"/>
      </w:r>
      <w:r>
        <w:t xml:space="preserve"> offers the suggestion that perhaps the stones in the village green were deliberately moved or utilised because they had an inherent energy that could be detected. That some stones appear to be one portion of a circle and the connection to Lammas/Lughnasadh may indicate that this area was used for feasting and ceremony but without further research is unlikely to be proven.</w:t>
      </w:r>
    </w:p>
    <w:tbl>
      <w:tblPr>
        <w:tblStyle w:val="TableGrid"/>
        <w:name w:val="Table15"/>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2545080" cy="2659380"/>
                  <wp:effectExtent l="0" t="0" r="0" b="0"/>
                  <wp:docPr id="12" name="Pictur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22"/>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KgPAABcEAAAqA8AAFwQ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IAAAAB6IAAAAAAAAIAAAAAAAAAAAAAACcAAAAAQAAAAAAAACcAAAAqA8AAFwQAAAAAAAAnAAAAJwAAAAoAAAACAAAAAEAAAABAAAAMAAAABQAAAAAAAAAAAD//wAAAQAAAP//AAABAA=="/>
                              </a:ext>
                            </a:extLst>
                          </pic:cNvPicPr>
                        </pic:nvPicPr>
                        <pic:blipFill>
                          <a:blip r:embed="rId18"/>
                          <a:stretch>
                            <a:fillRect/>
                          </a:stretch>
                        </pic:blipFill>
                        <pic:spPr>
                          <a:xfrm>
                            <a:off x="0" y="0"/>
                            <a:ext cx="2545080" cy="2659380"/>
                          </a:xfrm>
                          <a:prstGeom prst="rect">
                            <a:avLst/>
                          </a:prstGeom>
                          <a:noFill/>
                          <a:ln w="12700">
                            <a:noFill/>
                          </a:ln>
                        </pic:spPr>
                      </pic:pic>
                    </a:graphicData>
                  </a:graphic>
                </wp:inline>
              </w:drawing>
            </w:r>
            <w:r/>
          </w:p>
          <w:p>
            <w:pPr>
              <w:spacing/>
              <w:jc w:val="center"/>
            </w:pPr>
            <w:r>
              <w:t>Figure 6: Vilage Green Area</w:t>
            </w:r>
            <w:r>
              <w:rPr>
                <w:rStyle w:val="char3"/>
              </w:rPr>
            </w:r>
            <w:r>
              <w:rPr>
                <w:rStyle w:val="char3"/>
              </w:rPr>
              <w:footnoteReference w:id="95"/>
            </w:r>
            <w:r/>
          </w:p>
        </w:tc>
      </w:tr>
    </w:tbl>
    <w:p>
      <w:pPr>
        <w:pStyle w:val="para1"/>
      </w:pPr>
      <w:r>
        <w:t>Area south of Portesham Church</w:t>
      </w:r>
    </w:p>
    <w:p>
      <w:pPr>
        <w:ind w:firstLine="0"/>
      </w:pPr>
      <w:r>
        <w:t>Figure 7 shows stones lying to the South of Portesham Church and around the present graveyard. To the East of the church and along the length of Front Street lies a stone wall laid over sarsen stones. This wall contains the stream which runs from the Spring Head at the junction of Front Street, Back Street and Portesham Hill and which flows all the way past the village green and beyond.</w:t>
      </w:r>
    </w:p>
    <w:p>
      <w:r>
        <w:t>On the West side of the Church is a wall also laid over sarsen stones. Between these two walls the church precinct is raised above the adjoining roads. A number of stones form an incoherent curve at the Southern end of the graveyard  and showing the whole site has a north-south orientation running uphill.</w:t>
      </w:r>
    </w:p>
    <w:p>
      <w:r>
        <w:t>Stones on the west side also have a loose alternating polarity alignment which may be deliberate, and most are recumbent which may indicate deliberate toppling in order to form a foundation layer for the wall. A path runs from east-west in front of the Church with two stones of alternating polarities at either gate, and finally a bridge crosses the stream from Front Street into the Church precinct. It is worth noting the two blue markers on the east side of Front Street marking the original site of two stones removed by the present owner of the house which are line with the stones marking the liminal boundary over water to the Church.</w:t>
      </w:r>
    </w:p>
    <w:p>
      <w:r>
        <w:t>Two features stand out in this area. The first is the loose rectangular arrangement of stones around the Church which may suggest a reclaiming of a previously sacred site by the Christian faith, a process termed Christianisation by Devereux</w:t>
      </w:r>
      <w:r>
        <w:rPr>
          <w:rStyle w:val="char3"/>
        </w:rPr>
      </w:r>
      <w:r>
        <w:rPr>
          <w:rStyle w:val="char3"/>
        </w:rPr>
        <w:footnoteReference w:id="96"/>
      </w:r>
      <w:r>
        <w:t>. The second is a possible coffin path leading from beyond the removed stones marked in blue, over the bridge and in front of the church. It then travels on to Church Lane and into Cemetery Road eventually ending up at the newer cemetery. As Devereux has noted, stones marking such ways were common</w:t>
      </w:r>
      <w:r>
        <w:rPr>
          <w:rStyle w:val="char3"/>
        </w:rPr>
      </w:r>
      <w:r>
        <w:rPr>
          <w:rStyle w:val="char3"/>
        </w:rPr>
        <w:footnoteReference w:id="97"/>
      </w:r>
      <w:r>
        <w:t>, and they were not necessarily straight with the use of bends and bridges to prevent spirits from returning to earthly homes</w:t>
      </w:r>
      <w:r>
        <w:rPr>
          <w:rStyle w:val="char3"/>
        </w:rPr>
      </w:r>
      <w:r>
        <w:rPr>
          <w:rStyle w:val="char3"/>
        </w:rPr>
        <w:footnoteReference w:id="98"/>
      </w:r>
      <w:r>
        <w:t>. However, it is worth noting that the bends in the roads beyond the Church are largely due to modern housing which means such a path would have been somewhat straighter than it is currently. The Churchyard contains the original cemetery and burials face east following the Christian tradition.</w:t>
      </w:r>
    </w:p>
    <w:tbl>
      <w:tblPr>
        <w:tblStyle w:val="TableGrid"/>
        <w:name w:val="Table10"/>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3116580" cy="4030980"/>
                  <wp:effectExtent l="0" t="0" r="0" b="0"/>
                  <wp:docPr id="13"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15"/>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CwTAADMGAAALBMAAMwY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OAAAAB6IAAAAAAAAJAAAAAAAAAAAAAACcAAAAAQAAAAAAAACcAAAALBMAAMwYAAAAAAAAnAAAAJwAAAAoAAAACAAAAAEAAAABAAAAMAAAABQAAAAAAAAAAAD//wAAAQAAAP//AAABAA=="/>
                              </a:ext>
                            </a:extLst>
                          </pic:cNvPicPr>
                        </pic:nvPicPr>
                        <pic:blipFill>
                          <a:blip r:embed="rId19"/>
                          <a:stretch>
                            <a:fillRect/>
                          </a:stretch>
                        </pic:blipFill>
                        <pic:spPr>
                          <a:xfrm>
                            <a:off x="0" y="0"/>
                            <a:ext cx="3116580" cy="4030980"/>
                          </a:xfrm>
                          <a:prstGeom prst="rect">
                            <a:avLst/>
                          </a:prstGeom>
                          <a:noFill/>
                          <a:ln w="12700">
                            <a:noFill/>
                          </a:ln>
                        </pic:spPr>
                      </pic:pic>
                    </a:graphicData>
                  </a:graphic>
                </wp:inline>
              </w:drawing>
            </w:r>
            <w:r/>
          </w:p>
          <w:p>
            <w:pPr>
              <w:spacing/>
              <w:jc w:val="center"/>
            </w:pPr>
            <w:r>
              <w:t>Figure 7: Area to the South of Portesham Church</w:t>
            </w:r>
            <w:r>
              <w:rPr>
                <w:rStyle w:val="char3"/>
              </w:rPr>
            </w:r>
            <w:r>
              <w:rPr>
                <w:rStyle w:val="char3"/>
              </w:rPr>
              <w:footnoteReference w:id="99"/>
            </w:r>
            <w:r/>
          </w:p>
        </w:tc>
      </w:tr>
    </w:tbl>
    <w:p>
      <w:pPr>
        <w:pStyle w:val="para1"/>
      </w:pPr>
      <w:r>
        <w:t>Area north of Portesham Church</w:t>
      </w:r>
    </w:p>
    <w:p>
      <w:pPr>
        <w:ind w:firstLine="0"/>
      </w:pPr>
      <w:r>
        <w:t>In contrast to the area below Portesham Church, the area above has few surveyed stones, apart from those obviously lining the stream on Front Street, because most of the area is private. However, it is highlighted by the number of (known) burials marked with a cross on Fig. 8. identified by various archaeological sources. It is important to note that archaeologists excavating the Manor Farm area were confident many more burials took place across all timeframes than were recovered during works prior to house building</w:t>
      </w:r>
      <w:r>
        <w:rPr>
          <w:rStyle w:val="char3"/>
        </w:rPr>
      </w:r>
      <w:r>
        <w:rPr>
          <w:rStyle w:val="char3"/>
        </w:rPr>
        <w:footnoteReference w:id="100"/>
      </w:r>
      <w:r>
        <w:t>.</w:t>
      </w:r>
    </w:p>
    <w:p>
      <w:r>
        <w:t>The burials span several hundred years with the earliest located in the north and most recent to the south. Those in the north are typically laid out in a north-south orientation, those in the south laid out on an east-west orientation providing a distinction between Durotrigian and Romano-Christian sites. Additionally, there is some evidence that a religious/ritual building was incorporated into the northerly grouping, termed a temple by Valentin</w:t>
      </w:r>
      <w:r>
        <w:rPr>
          <w:rStyle w:val="char3"/>
        </w:rPr>
      </w:r>
      <w:r>
        <w:rPr>
          <w:rStyle w:val="char3"/>
        </w:rPr>
        <w:footnoteReference w:id="101"/>
      </w:r>
      <w:r>
        <w:t>.</w:t>
      </w:r>
    </w:p>
    <w:tbl>
      <w:tblPr>
        <w:tblStyle w:val="TableGrid"/>
        <w:name w:val="Table12"/>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4518660" cy="4810125"/>
                  <wp:effectExtent l="0" t="0" r="0" b="0"/>
                  <wp:docPr id="14" name="Pictur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19"/>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MwbAACXHQAAzBsAAJcd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SAAAAB6IAAAAAAAAKAAAAAQAAAAAAAACcAAAAAQAAAAAAAACcAAAAzBsAAJcdAAAAAAAAnAAAAJwAAAAoAAAACAAAAAEAAAABAAAAMAAAABQAAAAAAAAAAAD//wAAAQAAAP//AAABAA=="/>
                              </a:ext>
                            </a:extLst>
                          </pic:cNvPicPr>
                        </pic:nvPicPr>
                        <pic:blipFill>
                          <a:blip r:embed="rId20"/>
                          <a:stretch>
                            <a:fillRect/>
                          </a:stretch>
                        </pic:blipFill>
                        <pic:spPr>
                          <a:xfrm>
                            <a:off x="0" y="0"/>
                            <a:ext cx="4518660" cy="4810125"/>
                          </a:xfrm>
                          <a:prstGeom prst="rect">
                            <a:avLst/>
                          </a:prstGeom>
                          <a:noFill/>
                          <a:ln w="12700">
                            <a:noFill/>
                          </a:ln>
                        </pic:spPr>
                      </pic:pic>
                    </a:graphicData>
                  </a:graphic>
                </wp:inline>
              </w:drawing>
            </w:r>
            <w:r/>
          </w:p>
          <w:p>
            <w:pPr>
              <w:spacing/>
              <w:jc w:val="center"/>
            </w:pPr>
            <w:r>
              <w:t>Figure 8: Map North of St Peter’s Church, Portesham</w:t>
            </w:r>
            <w:r>
              <w:rPr>
                <w:rStyle w:val="char3"/>
              </w:rPr>
            </w:r>
            <w:r>
              <w:rPr>
                <w:rStyle w:val="char3"/>
              </w:rPr>
              <w:footnoteReference w:id="102"/>
            </w:r>
            <w:r/>
          </w:p>
        </w:tc>
      </w:tr>
    </w:tbl>
    <w:p>
      <w:r>
        <w:t>A circular pond feature is incorporated into the area which is also shown on the original tithe map of Portesham. Beyond the excavated area to the north lies the Spring Head source of the stream. Beyond that was a mound of unknown origin</w:t>
      </w:r>
      <w:r>
        <w:rPr>
          <w:rStyle w:val="char3"/>
        </w:rPr>
      </w:r>
      <w:r>
        <w:rPr>
          <w:rStyle w:val="char3"/>
        </w:rPr>
        <w:footnoteReference w:id="103"/>
      </w:r>
      <w:r>
        <w:t>. Three recumbent stones are also found in this northerly area, of which two are dressed, PHFS and MC01. FS05 is not dressed and has been incorporated into a garden wall see Figure 9.</w:t>
      </w:r>
    </w:p>
    <w:tbl>
      <w:tblPr>
        <w:tblStyle w:val="TableGrid"/>
        <w:name w:val="Table11"/>
        <w:tabOrder w:val="0"/>
        <w:jc w:val="left"/>
        <w:tblInd w:w="0" w:type="dxa"/>
        <w:tblW w:w="9360" w:type="dxa"/>
        <w:pPr>
          <w:ind w:firstLine="0"/>
          <w:spacing/>
          <w:jc w:val="left"/>
        </w:pPr>
        <w:tblLook w:val="04A0" w:firstRow="1" w:lastRow="0" w:firstColumn="1" w:lastColumn="0" w:noHBand="0" w:noVBand="1"/>
      </w:tblPr>
      <w:tblGrid>
        <w:gridCol w:w="4680"/>
        <w:gridCol w:w="4680"/>
      </w:tblGrid>
      <w:tr>
        <w:trPr>
          <w:tblHeader w:val="0"/>
          <w:cantSplit w:val="0"/>
          <w:trHeight w:val="0" w:hRule="auto"/>
        </w:trPr>
        <w:tc>
          <w:tcPr>
            <w:tcW w:w="4680" w:type="dxa"/>
            <w:vAlign w:val="center"/>
            <w:tmTcPr id="1767365008" protected="0"/>
          </w:tcPr>
          <w:p>
            <w:pPr>
              <w:ind w:firstLine="0"/>
              <w:spacing/>
              <w:jc w:val="center"/>
            </w:pPr>
            <w:r>
              <w:rPr>
                <w:noProof/>
              </w:rPr>
              <w:drawing>
                <wp:inline distT="89535" distB="89535" distL="89535" distR="89535">
                  <wp:extent cx="2537460" cy="1903095"/>
                  <wp:effectExtent l="0" t="0" r="0" b="0"/>
                  <wp:docPr id="15"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11"/>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JwPAAC1CwAAnA8AALUL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UAAAAB6IAAAAAAAALAAAAAAAAAAAAAACcAAAAAQAAAAAAAACcAAAAnA8AALULAAAAAAAAnAAAAJwAAAAoAAAACAAAAAEAAAABAAAAMAAAABQAAAAAAAAAAAD//wAAAQAAAP//AAABAA=="/>
                              </a:ext>
                            </a:extLst>
                          </pic:cNvPicPr>
                        </pic:nvPicPr>
                        <pic:blipFill>
                          <a:blip r:embed="rId13"/>
                          <a:stretch>
                            <a:fillRect/>
                          </a:stretch>
                        </pic:blipFill>
                        <pic:spPr>
                          <a:xfrm>
                            <a:off x="0" y="0"/>
                            <a:ext cx="2537460" cy="1903095"/>
                          </a:xfrm>
                          <a:prstGeom prst="rect">
                            <a:avLst/>
                          </a:prstGeom>
                          <a:noFill/>
                          <a:ln w="12700">
                            <a:noFill/>
                          </a:ln>
                        </pic:spPr>
                      </pic:pic>
                    </a:graphicData>
                  </a:graphic>
                </wp:inline>
              </w:drawing>
            </w:r>
            <w:r/>
          </w:p>
          <w:p>
            <w:pPr>
              <w:spacing/>
              <w:jc w:val="center"/>
            </w:pPr>
            <w:r>
              <w:t>Figure 9a: PHFS</w:t>
            </w:r>
          </w:p>
          <w:p>
            <w:pPr>
              <w:ind w:firstLine="0"/>
              <w:spacing/>
              <w:jc w:val="center"/>
            </w:pPr>
            <w:r>
              <w:rPr>
                <w:noProof/>
              </w:rPr>
              <w:drawing>
                <wp:inline distT="89535" distB="89535" distL="89535" distR="89535">
                  <wp:extent cx="2286000" cy="1318260"/>
                  <wp:effectExtent l="0" t="0" r="0" b="0"/>
                  <wp:docPr id="16" name="Pictur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18"/>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UAAAAB6IAAAAAAAALAAAAAAAAAAAAAACcAAAAAAAAAAAAAACcAAAAEA4AABwIAAAAAAAAnAAAAJwAAAAoAAAACAAAAAEAAAABAAAAMAAAABQAAAAAAAAAAAD//wAAAQAAAP//AAABAA=="/>
                              </a:ext>
                            </a:extLst>
                          </pic:cNvPicPr>
                        </pic:nvPicPr>
                        <pic:blipFill>
                          <a:blip r:embed="rId21"/>
                          <a:stretch>
                            <a:fillRect/>
                          </a:stretch>
                        </pic:blipFill>
                        <pic:spPr>
                          <a:xfrm>
                            <a:off x="0" y="0"/>
                            <a:ext cx="2286000" cy="1318260"/>
                          </a:xfrm>
                          <a:prstGeom prst="rect">
                            <a:avLst/>
                          </a:prstGeom>
                          <a:noFill/>
                          <a:ln w="12700">
                            <a:noFill/>
                          </a:ln>
                        </pic:spPr>
                      </pic:pic>
                    </a:graphicData>
                  </a:graphic>
                </wp:inline>
              </w:drawing>
            </w:r>
            <w:r/>
          </w:p>
          <w:p>
            <w:pPr>
              <w:spacing/>
              <w:jc w:val="center"/>
            </w:pPr>
            <w:r>
              <w:t>Figure 9c: FS05</w:t>
            </w:r>
          </w:p>
        </w:tc>
        <w:tc>
          <w:tcPr>
            <w:tcW w:w="4680" w:type="dxa"/>
            <w:vAlign w:val="center"/>
            <w:tmTcPr id="1767365008" protected="0"/>
          </w:tcPr>
          <w:p>
            <w:pPr>
              <w:ind w:firstLine="0"/>
              <w:spacing/>
              <w:jc w:val="center"/>
            </w:pPr>
            <w:r>
              <w:rPr>
                <w:noProof/>
              </w:rPr>
              <w:drawing>
                <wp:inline distT="89535" distB="89535" distL="89535" distR="89535">
                  <wp:extent cx="2286000" cy="3710940"/>
                  <wp:effectExtent l="0" t="0" r="0" b="0"/>
                  <wp:docPr id="17"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16"/>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UAAAAB6IAAAAAAAAMAAAAAAAAAAAAAACcAAAAAAAAAAAAAACcAAAAEA4AANQWAAAAAAAAnAAAAJwAAAAoAAAACAAAAAEAAAABAAAAMAAAABQAAAAAAAAAAAD//wAAAQAAAP//AAABAA=="/>
                              </a:ext>
                            </a:extLst>
                          </pic:cNvPicPr>
                        </pic:nvPicPr>
                        <pic:blipFill>
                          <a:blip r:embed="rId22"/>
                          <a:stretch>
                            <a:fillRect/>
                          </a:stretch>
                        </pic:blipFill>
                        <pic:spPr>
                          <a:xfrm>
                            <a:off x="0" y="0"/>
                            <a:ext cx="2286000" cy="3710940"/>
                          </a:xfrm>
                          <a:prstGeom prst="rect">
                            <a:avLst/>
                          </a:prstGeom>
                          <a:noFill/>
                          <a:ln w="12700">
                            <a:noFill/>
                          </a:ln>
                        </pic:spPr>
                      </pic:pic>
                    </a:graphicData>
                  </a:graphic>
                </wp:inline>
              </w:drawing>
            </w:r>
            <w:r/>
          </w:p>
          <w:p>
            <w:pPr>
              <w:spacing/>
              <w:jc w:val="center"/>
            </w:pPr>
            <w:r>
              <w:t>Figure 9b: MC1</w:t>
            </w:r>
          </w:p>
        </w:tc>
      </w:tr>
      <w:tr>
        <w:trPr>
          <w:tblHeader w:val="0"/>
          <w:cantSplit w:val="0"/>
          <w:trHeight w:val="0" w:hRule="auto"/>
        </w:trPr>
        <w:tc>
          <w:tcPr>
            <w:tcW w:w="9360" w:type="dxa"/>
            <w:gridSpan w:val="2"/>
            <w:vAlign w:val="center"/>
            <w:tmTcPr id="1767365008" protected="0"/>
          </w:tcPr>
          <w:p>
            <w:pPr>
              <w:ind w:firstLine="0"/>
              <w:spacing/>
              <w:jc w:val="center"/>
            </w:pPr>
            <w:r>
              <w:t>Fig 9: Portesham Stones, Photographs: authors own taken 8</w:t>
            </w:r>
            <w:r>
              <w:rPr>
                <w:vertAlign w:val="superscript"/>
              </w:rPr>
              <w:t>th</w:t>
            </w:r>
            <w:r>
              <w:t xml:space="preserve"> November 2025</w:t>
            </w:r>
          </w:p>
        </w:tc>
      </w:tr>
    </w:tbl>
    <w:p>
      <w:pPr>
        <w:ind w:firstLine="0"/>
      </w:pPr>
      <w:r>
        <w:t xml:space="preserve">When both maps are viewed as a whole the combination of stones and burials appear to indicate the presence of a larger ritual complex, with the Church now sitting at the centre of a roughly oval enclosure, see Figure 10. </w:t>
      </w:r>
    </w:p>
    <w:p>
      <w:r>
        <w:t>This alignment of stone, archaeological features and church has not previously been noted by other researchers possibly because stones were not identified or were dismissed as natural. Additionally, burials in the church graveyard have not been noted in this survey however, they do surround the church and are all oriented east-west.</w:t>
      </w:r>
    </w:p>
    <w:p>
      <w:r>
        <w:t xml:space="preserve">The yellow lines on the map in Figure 10 show the north-south line running from the mound in the north to the stones below the Church, passing through all burial areas and graveyards; a second line running east-west shows an almost straight line, perhaps a coffin path, to the cemetery lying west. </w:t>
      </w:r>
    </w:p>
    <w:p>
      <w:r>
        <w:t>The whole area ringed in red on the map shows an area of the village dedicated to the burial of the dead for over 4,000 years with all the characteristics of a cursus monument described by Devereux</w:t>
      </w:r>
      <w:r>
        <w:rPr>
          <w:rStyle w:val="char3"/>
        </w:rPr>
      </w:r>
      <w:r>
        <w:rPr>
          <w:rStyle w:val="char3"/>
        </w:rPr>
        <w:footnoteReference w:id="104"/>
      </w:r>
      <w:r>
        <w:t>.</w:t>
      </w:r>
    </w:p>
    <w:tbl>
      <w:tblPr>
        <w:tblStyle w:val="TableGrid"/>
        <w:name w:val="Table13"/>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4572000" cy="5440680"/>
                  <wp:effectExtent l="0" t="0" r="0" b="0"/>
                  <wp:docPr id="18" name="Picture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25"/>
                          <pic:cNvPicPr>
                            <a:picLocks noChangeAspect="1"/>
                            <a:extLst>
                              <a:ext uri="sm">
                                <sm:smNativeData xmlns:sm="sm" val="SMDATA_17_kNlXaRMAAAAlAAAAEQAAAG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AIIAAAAAAAAAAAAAAAAAAAAAAACcAAAAAAAAAAAAAACcAAAAIBwAAHghAAAAAAAAnAAAAJwAAAAoAAAACAAAAAEAAAABAAAAMAAAABQAAAAAAAAAAAD//wAAAQAAAP//AAABAA=="/>
                              </a:ext>
                            </a:extLst>
                          </pic:cNvPicPr>
                        </pic:nvPicPr>
                        <pic:blipFill>
                          <a:blip r:embed="rId23"/>
                          <a:stretch>
                            <a:fillRect/>
                          </a:stretch>
                        </pic:blipFill>
                        <pic:spPr>
                          <a:xfrm>
                            <a:off x="0" y="0"/>
                            <a:ext cx="4572000" cy="5440680"/>
                          </a:xfrm>
                          <a:prstGeom prst="rect">
                            <a:avLst/>
                          </a:prstGeom>
                          <a:noFill/>
                          <a:ln w="12700">
                            <a:noFill/>
                          </a:ln>
                        </pic:spPr>
                      </pic:pic>
                    </a:graphicData>
                  </a:graphic>
                </wp:inline>
              </w:drawing>
            </w:r>
            <w:r/>
          </w:p>
          <w:p>
            <w:pPr>
              <w:spacing/>
              <w:jc w:val="center"/>
            </w:pPr>
            <w:r>
              <w:t>Figure 10: Map of Portesham showing the extent of possible burial use over 4,000 years.</w:t>
            </w:r>
            <w:r>
              <w:rPr>
                <w:rStyle w:val="char3"/>
              </w:rPr>
            </w:r>
            <w:r>
              <w:rPr>
                <w:rStyle w:val="char3"/>
              </w:rPr>
              <w:footnoteReference w:id="105"/>
            </w:r>
            <w:r/>
          </w:p>
        </w:tc>
      </w:tr>
    </w:tbl>
    <w:p>
      <w:pPr>
        <w:pStyle w:val="para8"/>
      </w:pPr>
      <w:r>
        <w:t>Final Thoughts</w:t>
      </w:r>
    </w:p>
    <w:p>
      <w:pPr>
        <w:ind w:firstLine="0"/>
      </w:pPr>
      <w:r>
        <w:t>Many threads connect the stones of Portesham. There is the thread of history and changes in beliefs and practices towards burial. There is the thread that connects the living to the dead by offering places to either worship, revere or acknowledge the dead; and there is the thread of stones, many of which appear to have been utilised to create liminal or pragmatic boundaries relating to death and burial. Both  Church area and village green are connected by the thread of stone and Possum Fez Wik.</w:t>
      </w:r>
    </w:p>
    <w:p>
      <w:r>
        <w:t>The curiosity that researchers list some sarsens and not others offers an insight into how individuals regard specific features and how meaning is created. Traces of life and death exist in cemeteries uncovered after two millennia, old roads and pathways no longer in use, in gates and crossings that are blocked by housing, and in the archaeological record. Tim Ingold’s reminder that the world is ‘never complete but continually under construction, woven from the countless lifelines of its manifold human and non-human constituents’</w:t>
      </w:r>
      <w:r>
        <w:rPr>
          <w:rStyle w:val="char3"/>
        </w:rPr>
      </w:r>
      <w:r>
        <w:rPr>
          <w:rStyle w:val="char3"/>
        </w:rPr>
        <w:footnoteReference w:id="106"/>
      </w:r>
      <w:r>
        <w:t xml:space="preserve"> is made explicit within the village where threads and traces create an enmeshed set of relationships which cannot be fully understood or untangled.</w:t>
      </w:r>
    </w:p>
    <w:p>
      <w:r>
        <w:t>Lane’s observation that scholars tend to prefer a Durkheimian approach to sacred places, rather than accept that the sacred is inherent is apt</w:t>
      </w:r>
      <w:r>
        <w:rPr>
          <w:rStyle w:val="char3"/>
        </w:rPr>
      </w:r>
      <w:r>
        <w:rPr>
          <w:rStyle w:val="char3"/>
        </w:rPr>
        <w:footnoteReference w:id="107"/>
      </w:r>
      <w:r>
        <w:t xml:space="preserve"> and in this regard it is important to remember what Lane also notes, that ‘Sacred places are inevitably </w:t>
      </w:r>
      <w:r>
        <w:rPr>
          <w:i/>
          <w:iCs/>
        </w:rPr>
        <w:t>more</w:t>
      </w:r>
      <w:r>
        <w:t xml:space="preserve"> than any one of their competing claimants might want to make of them.’</w:t>
      </w:r>
      <w:r>
        <w:rPr>
          <w:rStyle w:val="char3"/>
        </w:rPr>
      </w:r>
      <w:r>
        <w:rPr>
          <w:rStyle w:val="char3"/>
        </w:rPr>
        <w:footnoteReference w:id="108"/>
      </w:r>
      <w:r/>
    </w:p>
    <w:p>
      <w:pPr>
        <w:pStyle w:val="para8"/>
      </w:pPr>
      <w:r>
        <w:t>Conclusion</w:t>
      </w:r>
    </w:p>
    <w:p>
      <w:pPr>
        <w:ind w:firstLine="0"/>
      </w:pPr>
      <w:r>
        <w:t>The aim of this research was to determine if sacred space is a human construct or natural phenomenon. As research progressed it became evident that, at least in this particular instance, it is both.</w:t>
      </w:r>
    </w:p>
    <w:p>
      <w:r>
        <w:t>The evidence suggests that a sacred precinct focused on the dead lies in the heart of the village and that, perhaps, there was a stone circle sitting below this area. The question then is, if these were so, which came first: a hierophany based on the energies of naturally occurring stones exhibiting unusual polarities which was then seen as the ‘right’ place to bury the dead; or the deliberate placement of such stones by man to create a liminal boundary between the living and the dead?</w:t>
      </w:r>
    </w:p>
    <w:p>
      <w:r>
        <w:t>As this study is correlational it cannot establish causation as it is not possible to know the purpose to which sarsen stones were put, and it is only in the present that the evidence tends to suggest that some Portesham sarsen stones have had sacredness thrust upon them. As Devereux says ’.. it is always a good idea to look at our world from different angles lest we slip into the dangerous belief that our present worldview is the only true one’</w:t>
      </w:r>
      <w:r>
        <w:rPr>
          <w:rStyle w:val="char3"/>
        </w:rPr>
      </w:r>
      <w:r>
        <w:rPr>
          <w:rStyle w:val="char3"/>
        </w:rPr>
        <w:footnoteReference w:id="109"/>
      </w:r>
      <w:r>
        <w:t>. Therefore, more research is needed to determine if, indeed, there is either a lost stone circle or a cursus monument in the village and, if it were found to be so, this might offer further evidence that the Portesham sarsen stones were indeed an important sacred element.</w:t>
      </w:r>
    </w:p>
    <w:p>
      <w:r/>
    </w:p>
    <w:p>
      <w:pPr>
        <w:pStyle w:val="para8"/>
      </w:pPr>
      <w:r>
        <w:br w:type="page"/>
      </w:r>
      <w:r>
        <w:t>Bibliography</w:t>
      </w:r>
    </w:p>
    <w:p>
      <w:pPr>
        <w:pStyle w:val="para1"/>
      </w:pPr>
      <w:r>
        <w:t>Primary Sources</w:t>
      </w:r>
    </w:p>
    <w:p>
      <w:pPr>
        <w:pStyle w:val="para3"/>
      </w:pPr>
      <w:r>
        <w:rPr>
          <w:i/>
          <w:iCs/>
        </w:rPr>
        <w:t>An Inventory of the Historical Monuments in Dorset, Volume 2, South East</w:t>
      </w:r>
      <w:r>
        <w:t>, (London, 1970). &lt;https://www.british-history.ac.uk/rchme/dorset/vol2&gt;</w:t>
      </w:r>
    </w:p>
    <w:p>
      <w:pPr>
        <w:pStyle w:val="para3"/>
        <w:spacing/>
        <w:jc w:val="left"/>
      </w:pPr>
      <w:r>
        <w:t xml:space="preserve">Dorset Council, </w:t>
      </w:r>
      <w:r>
        <w:rPr>
          <w:i/>
          <w:iCs/>
        </w:rPr>
        <w:t>Historic Environment Record</w:t>
      </w:r>
      <w:r>
        <w:t>. &lt;https://www.dorsetcouncil.gov.uk/libraries-history-culture/local-history-heritage/her/historic-environment-record&gt;</w:t>
      </w:r>
    </w:p>
    <w:p>
      <w:pPr>
        <w:pStyle w:val="para3"/>
      </w:pPr>
      <w:r>
        <w:t xml:space="preserve">Dorset National Landscape, </w:t>
      </w:r>
      <w:r>
        <w:rPr>
          <w:i/>
          <w:iCs/>
        </w:rPr>
        <w:t>Land of Bone &amp; Stone: A Journey through the South Dorset Ridgeway</w:t>
      </w:r>
      <w:r>
        <w:t xml:space="preserve"> (2019). &lt;https://dorset-nl.org.uk/park-event/land-of-bone-stone-a-journey-through-the-south-dorset-ridgeway/&gt;</w:t>
      </w:r>
    </w:p>
    <w:p>
      <w:pPr>
        <w:pStyle w:val="para3"/>
      </w:pPr>
      <w:r>
        <w:t xml:space="preserve">Edina, </w:t>
      </w:r>
      <w:r>
        <w:rPr>
          <w:i/>
          <w:iCs/>
        </w:rPr>
        <w:t>Digimap</w:t>
      </w:r>
      <w:r>
        <w:t xml:space="preserve">. &lt;https://digimap.edina.ac.uk/&gt; </w:t>
      </w:r>
    </w:p>
    <w:p>
      <w:pPr>
        <w:pStyle w:val="para3"/>
        <w:spacing/>
        <w:jc w:val="left"/>
      </w:pPr>
      <w:r>
        <w:t>Heritage Gateway, Dorset HER: Mound Portesham (2024). &lt;https://www.heritagegateway.org.uk/Gateway/Results_Single.aspx?resourceID=1012&amp;uid=MDO25714&gt;</w:t>
      </w:r>
    </w:p>
    <w:p>
      <w:pPr>
        <w:pStyle w:val="para3"/>
        <w:spacing/>
        <w:jc w:val="left"/>
      </w:pPr>
      <w:r>
        <w:t>My GPS Coordinates. &lt;https://play.google.com/store/apps/details?id=com.freemium.android.apps.gps.coordinates&gt;</w:t>
      </w:r>
    </w:p>
    <w:p>
      <w:pPr>
        <w:pStyle w:val="para3"/>
      </w:pPr>
      <w:r>
        <w:t xml:space="preserve">National Library of Scotland, </w:t>
      </w:r>
      <w:r>
        <w:rPr>
          <w:i/>
          <w:iCs/>
        </w:rPr>
        <w:t>Dorset XLVI.SE (6 inch to the mile)</w:t>
      </w:r>
      <w:r>
        <w:t xml:space="preserve"> OS revised: 1901, Geological Survey surveyed: 1890, Published: ca. 1912. &lt;https://maps.nls.uk/view/240435654&gt; </w:t>
      </w:r>
    </w:p>
    <w:p>
      <w:pPr>
        <w:pStyle w:val="para3"/>
        <w:rPr>
          <w:sz w:val="22"/>
          <w:szCs w:val="22"/>
        </w:rPr>
      </w:pPr>
      <w:r>
        <w:rPr>
          <w:sz w:val="22"/>
          <w:szCs w:val="22"/>
        </w:rPr>
        <w:t>Time Team Official, Time Team Special: Rediscovering Ancient Britain | Classic Special (Full Episode) - 2012 Dorset [video]. 2025 &lt;https://www.youtube.com/watch?v=t7oj32zOyrU&gt;</w:t>
      </w:r>
    </w:p>
    <w:p>
      <w:pPr>
        <w:pStyle w:val="para3"/>
        <w:spacing/>
        <w:jc w:val="left"/>
      </w:pPr>
      <w:r>
        <w:t xml:space="preserve">Whitaker, Katy, </w:t>
      </w:r>
      <w:r>
        <w:rPr>
          <w:i/>
          <w:iCs/>
        </w:rPr>
        <w:t>Sarsen Stones in Wessex: Dataset</w:t>
      </w:r>
      <w:r>
        <w:t xml:space="preserve"> (University of Reading, 2020). &lt;DOI:10.17864/1947.249&gt;</w:t>
      </w:r>
    </w:p>
    <w:p>
      <w:pPr>
        <w:pStyle w:val="para1"/>
      </w:pPr>
      <w:r>
        <w:t>Secondary Sources</w:t>
      </w:r>
    </w:p>
    <w:p>
      <w:pPr>
        <w:pStyle w:val="para3"/>
      </w:pPr>
      <w:r>
        <w:t xml:space="preserve">Bell, Judith, Waters, Stephen, </w:t>
      </w:r>
      <w:r>
        <w:rPr>
          <w:i/>
          <w:iCs/>
        </w:rPr>
        <w:t>Doing Your Research Project</w:t>
      </w:r>
      <w:r>
        <w:t>: a guide for first-time researchers, (Maidenhead, Open University Press, 2014).</w:t>
      </w:r>
    </w:p>
    <w:p>
      <w:pPr>
        <w:pStyle w:val="para3"/>
      </w:pPr>
      <w:r>
        <w:t xml:space="preserve">Bender, Barbara, </w:t>
      </w:r>
      <w:r>
        <w:rPr>
          <w:i/>
          <w:iCs/>
        </w:rPr>
        <w:t>Stonehenge: Making Space</w:t>
      </w:r>
      <w:r>
        <w:t xml:space="preserve"> (Oxford, Berg, 1998).</w:t>
      </w:r>
    </w:p>
    <w:p>
      <w:pPr>
        <w:pStyle w:val="para3"/>
      </w:pPr>
      <w:r>
        <w:t xml:space="preserve">Bryman, Alan, </w:t>
      </w:r>
      <w:r>
        <w:rPr>
          <w:i/>
          <w:iCs/>
        </w:rPr>
        <w:t>Quantity and Quality in Social Research</w:t>
      </w:r>
      <w:r>
        <w:t>, (London, Unwin Hyman, 1988).</w:t>
      </w:r>
    </w:p>
    <w:p>
      <w:pPr>
        <w:pStyle w:val="para3"/>
      </w:pPr>
      <w:r>
        <w:t>Burnham, Andy,</w:t>
      </w:r>
      <w:r>
        <w:rPr>
          <w:i/>
          <w:iCs/>
        </w:rPr>
        <w:t xml:space="preserve"> The Megalithic Portal,</w:t>
      </w:r>
      <w:r>
        <w:t xml:space="preserve"> &lt;https://www.megalithic.co.uk/&gt;</w:t>
      </w:r>
    </w:p>
    <w:p>
      <w:pPr>
        <w:pStyle w:val="para3"/>
      </w:pPr>
      <w:r>
        <w:t xml:space="preserve">Day, James M.D, Determining the source of silcrete sarsen stones, </w:t>
      </w:r>
      <w:r>
        <w:rPr>
          <w:i/>
          <w:iCs/>
        </w:rPr>
        <w:t>Journal of Archaeological Science: Reports</w:t>
      </w:r>
      <w:r>
        <w:t>, 28, (2019), 1-14.</w:t>
      </w:r>
    </w:p>
    <w:p>
      <w:pPr>
        <w:pStyle w:val="para3"/>
      </w:pPr>
      <w:r>
        <w:t xml:space="preserve">Devereux, Paul, </w:t>
      </w:r>
      <w:r>
        <w:rPr>
          <w:i/>
          <w:iCs/>
        </w:rPr>
        <w:t>Fairy Paths and Spirit Roads: Exploring Otherworldly Routes in the Old and New Worlds</w:t>
      </w:r>
      <w:r>
        <w:t>, (London, Vega, 2003).</w:t>
      </w:r>
    </w:p>
    <w:p>
      <w:pPr>
        <w:pStyle w:val="para3"/>
      </w:pPr>
      <w:r>
        <w:t xml:space="preserve">Durkheim, Émile, </w:t>
      </w:r>
      <w:r>
        <w:rPr>
          <w:i/>
          <w:iCs/>
        </w:rPr>
        <w:t>The Elementary Forms of the Religious Life</w:t>
      </w:r>
      <w:r>
        <w:t>, trans. By Joseph Ward Swain, 2</w:t>
      </w:r>
      <w:r>
        <w:rPr>
          <w:vertAlign w:val="superscript"/>
        </w:rPr>
        <w:t>nd</w:t>
      </w:r>
      <w:r>
        <w:t xml:space="preserve"> edn. (London, George Allen and Unwin Ltd, 1976).</w:t>
      </w:r>
    </w:p>
    <w:p>
      <w:pPr>
        <w:pStyle w:val="para3"/>
      </w:pPr>
      <w:r>
        <w:t xml:space="preserve">Eliade, Mircea, </w:t>
      </w:r>
      <w:r>
        <w:rPr>
          <w:i/>
          <w:iCs/>
        </w:rPr>
        <w:t>Ordeal by Labyrinth: Conversations with Claude-Henri Rocquet,</w:t>
      </w:r>
      <w:r>
        <w:t xml:space="preserve"> trans. Derek Coltman (London, University of Chicago Press,  1982).</w:t>
      </w:r>
    </w:p>
    <w:p>
      <w:pPr>
        <w:pStyle w:val="para3"/>
      </w:pPr>
      <w:r>
        <w:t>Eliade, Mircea,</w:t>
      </w:r>
      <w:r>
        <w:rPr>
          <w:i/>
          <w:iCs/>
        </w:rPr>
        <w:t xml:space="preserve"> The Sacred and The Profane</w:t>
      </w:r>
      <w:r>
        <w:t>, trans. By Willard R. Trask (New York, Harcourt Inc, 1959).</w:t>
      </w:r>
    </w:p>
    <w:p>
      <w:pPr>
        <w:pStyle w:val="para3"/>
      </w:pPr>
      <w:r>
        <w:t xml:space="preserve">Hadingham, Evan, </w:t>
      </w:r>
      <w:r>
        <w:rPr>
          <w:i/>
          <w:iCs/>
        </w:rPr>
        <w:t>Circles and Standing Stones</w:t>
      </w:r>
      <w:r>
        <w:t xml:space="preserve"> (London, William Heinemann Ltd, 1975).</w:t>
      </w:r>
    </w:p>
    <w:p>
      <w:pPr>
        <w:pStyle w:val="para3"/>
        <w:rPr>
          <w:sz w:val="22"/>
          <w:szCs w:val="22"/>
        </w:rPr>
      </w:pPr>
      <w:r>
        <w:rPr>
          <w:sz w:val="22"/>
          <w:szCs w:val="22"/>
        </w:rPr>
        <w:t>Hennink, Monique, Hutter, Inge and Bailey, Ajay</w:t>
      </w:r>
      <w:r>
        <w:rPr>
          <w:i/>
          <w:iCs/>
          <w:sz w:val="22"/>
          <w:szCs w:val="22"/>
        </w:rPr>
        <w:t>, Qualitative Research Methods</w:t>
      </w:r>
      <w:r>
        <w:rPr>
          <w:sz w:val="22"/>
          <w:szCs w:val="22"/>
        </w:rPr>
        <w:t>, (London: Sage Publications, 2011).</w:t>
      </w:r>
    </w:p>
    <w:p>
      <w:pPr>
        <w:pStyle w:val="para3"/>
      </w:pPr>
      <w:r>
        <w:t xml:space="preserve">Ingold, Tim, </w:t>
      </w:r>
      <w:r>
        <w:rPr>
          <w:i/>
          <w:iCs/>
        </w:rPr>
        <w:t>Being Alive: Essays on Movement, Knowledge and Description</w:t>
      </w:r>
      <w:r>
        <w:t xml:space="preserve"> (Abingdon, Routledge, 2022).</w:t>
      </w:r>
    </w:p>
    <w:p>
      <w:pPr>
        <w:pStyle w:val="para3"/>
      </w:pPr>
      <w:r>
        <w:t xml:space="preserve">Ingold, Tim, </w:t>
      </w:r>
      <w:r>
        <w:rPr>
          <w:i/>
          <w:iCs/>
        </w:rPr>
        <w:t>Lines</w:t>
      </w:r>
      <w:r>
        <w:t xml:space="preserve"> (Oxon, Routledge Classics, 2016).</w:t>
      </w:r>
    </w:p>
    <w:p>
      <w:pPr>
        <w:pStyle w:val="para3"/>
      </w:pPr>
      <w:r>
        <w:t xml:space="preserve">Knight, Peter, </w:t>
      </w:r>
      <w:r>
        <w:rPr>
          <w:i/>
          <w:iCs/>
        </w:rPr>
        <w:t xml:space="preserve">Ancient Stones of Dorset </w:t>
      </w:r>
      <w:r>
        <w:t>(Ferndown, Power Publications, 1996).</w:t>
      </w:r>
    </w:p>
    <w:p>
      <w:pPr>
        <w:pStyle w:val="para3"/>
      </w:pPr>
      <w:r>
        <w:t xml:space="preserve">Lane, Belden C, </w:t>
      </w:r>
      <w:r>
        <w:rPr>
          <w:i/>
          <w:iCs/>
        </w:rPr>
        <w:t>Landscapes of the Sacred: geography and narrative in American Spirituality</w:t>
      </w:r>
      <w:r>
        <w:t xml:space="preserve"> (Baltimore, John Hopkins University Press, 2002).</w:t>
      </w:r>
    </w:p>
    <w:p>
      <w:pPr>
        <w:pStyle w:val="para3"/>
      </w:pPr>
      <w:r>
        <w:t xml:space="preserve">Mohen, Jean-Pierre, </w:t>
      </w:r>
      <w:r>
        <w:rPr>
          <w:i/>
          <w:iCs/>
        </w:rPr>
        <w:t>Standing Stones: Stonehenge, Carnac and The Worlds Megaliths</w:t>
      </w:r>
      <w:r>
        <w:t xml:space="preserve"> (London, Thames and Hudson, 2000).</w:t>
      </w:r>
    </w:p>
    <w:p>
      <w:pPr>
        <w:pStyle w:val="para3"/>
      </w:pPr>
      <w:r>
        <w:t>Parkinson-Hardman, Linda, ‘</w:t>
      </w:r>
      <w:r>
        <w:rPr>
          <w:i/>
          <w:iCs/>
        </w:rPr>
        <w:t>Portesham Burial Complex</w:t>
      </w:r>
      <w:r>
        <w:t>’, JPG map, Scale 1:2500, OS MasterMap, January 2025, Ordnance Survey, using Digimap Ordnance Survey Collection.</w:t>
      </w:r>
    </w:p>
    <w:p>
      <w:pPr>
        <w:pStyle w:val="para3"/>
      </w:pPr>
      <w:r>
        <w:t>Parkinson-Hardman, Linda, ‘</w:t>
      </w:r>
      <w:r>
        <w:rPr>
          <w:i/>
          <w:iCs/>
        </w:rPr>
        <w:t>Portesham North of St Peter’s Church</w:t>
      </w:r>
      <w:r>
        <w:t>’, JPG map, Scale 1:2500, OS MasterMap, January 2025, Ordnance Survey, using Digimap Ordnance Survey Collection.</w:t>
      </w:r>
    </w:p>
    <w:p>
      <w:pPr>
        <w:pStyle w:val="para3"/>
      </w:pPr>
      <w:r>
        <w:t>Parkinson-Hardman, Linda, ‘</w:t>
      </w:r>
      <w:r>
        <w:rPr>
          <w:i/>
          <w:iCs/>
        </w:rPr>
        <w:t>Portesham South of St Peter’s Church</w:t>
      </w:r>
      <w:r>
        <w:t>’, JPG map, Scale 1:2500, OS MasterMap, January 2025, Ordnance Survey, using Digimap Ordnance Survey Collection.</w:t>
      </w:r>
    </w:p>
    <w:p>
      <w:pPr>
        <w:pStyle w:val="para3"/>
      </w:pPr>
      <w:r>
        <w:t>Parkinson-Hardman, Linda, ‘</w:t>
      </w:r>
      <w:r>
        <w:rPr>
          <w:i/>
          <w:iCs/>
        </w:rPr>
        <w:t>Portesham Stone Flow</w:t>
      </w:r>
      <w:r>
        <w:t>’, JPG map, Scale 1:2500, OS MasterMap, January 2025, Ordnance Survey, using Digimap Ordnance Survey Collection.</w:t>
      </w:r>
    </w:p>
    <w:p>
      <w:pPr>
        <w:pStyle w:val="para3"/>
      </w:pPr>
      <w:r>
        <w:t>Parkinson-Hardman, Linda, ‘</w:t>
      </w:r>
      <w:r>
        <w:rPr>
          <w:i/>
          <w:iCs/>
        </w:rPr>
        <w:t>Portesham Village Green</w:t>
      </w:r>
      <w:r>
        <w:t>’, JPG map, Scale 1:2500, OS MasterMap, January 2025, Ordnance Survey, using Digimap Ordnance Survey Collection.</w:t>
      </w:r>
    </w:p>
    <w:p>
      <w:pPr>
        <w:pStyle w:val="para3"/>
      </w:pPr>
      <w:r>
        <w:t xml:space="preserve">Portesham Environmental Studies Pilot Project, </w:t>
      </w:r>
      <w:r>
        <w:rPr>
          <w:i/>
          <w:iCs/>
        </w:rPr>
        <w:t>Rocks and Landscape</w:t>
      </w:r>
      <w:r>
        <w:t>, (unpublished 1974).</w:t>
      </w:r>
    </w:p>
    <w:p>
      <w:pPr>
        <w:pStyle w:val="para3"/>
      </w:pPr>
      <w:r>
        <w:t xml:space="preserve">Portesham Environmental Studies Pilot Programme, </w:t>
      </w:r>
      <w:r>
        <w:rPr>
          <w:i/>
          <w:iCs/>
        </w:rPr>
        <w:t>Stories from Stones</w:t>
      </w:r>
      <w:r>
        <w:t>, (unpublished 1974).</w:t>
      </w:r>
    </w:p>
    <w:p>
      <w:pPr>
        <w:pStyle w:val="para3"/>
      </w:pPr>
      <w:r>
        <w:t xml:space="preserve">Portesham WI, </w:t>
      </w:r>
      <w:r>
        <w:rPr>
          <w:i/>
          <w:iCs/>
        </w:rPr>
        <w:t>Portesham: A Peep into the Past</w:t>
      </w:r>
      <w:r>
        <w:t>, p. 31. (unpublished 1984).</w:t>
      </w:r>
    </w:p>
    <w:p>
      <w:pPr>
        <w:pStyle w:val="para3"/>
      </w:pPr>
      <w:r>
        <w:t xml:space="preserve">Poulsen, Jeaney, </w:t>
      </w:r>
      <w:r>
        <w:rPr>
          <w:i/>
          <w:iCs/>
        </w:rPr>
        <w:t>From Little Acorns: The Story of a Dorset School</w:t>
      </w:r>
      <w:r>
        <w:t>, (Unpublished 1994).</w:t>
      </w:r>
    </w:p>
    <w:p>
      <w:pPr>
        <w:pStyle w:val="para3"/>
        <w:rPr>
          <w:sz w:val="22"/>
          <w:szCs w:val="22"/>
        </w:rPr>
      </w:pPr>
      <w:r>
        <w:rPr>
          <w:sz w:val="22"/>
          <w:szCs w:val="22"/>
        </w:rPr>
        <w:t xml:space="preserve">‘Rare Neolithic axe-sharpening stone discovered in Dorset’, </w:t>
      </w:r>
      <w:r>
        <w:rPr>
          <w:i/>
          <w:iCs/>
          <w:sz w:val="22"/>
          <w:szCs w:val="22"/>
        </w:rPr>
        <w:t>Current Archaeology</w:t>
      </w:r>
      <w:r>
        <w:rPr>
          <w:sz w:val="22"/>
          <w:szCs w:val="22"/>
        </w:rPr>
        <w:t>, 403 (2023) 9.</w:t>
      </w:r>
    </w:p>
    <w:p>
      <w:pPr>
        <w:pStyle w:val="para3"/>
      </w:pPr>
      <w:r>
        <w:t xml:space="preserve">Tashakkori, Abbas , Creswell, J.W, ‘Mixed Methodology Across Disciplines’ </w:t>
      </w:r>
      <w:r>
        <w:rPr>
          <w:i/>
          <w:iCs/>
        </w:rPr>
        <w:t>Journal of mixed methods research</w:t>
      </w:r>
      <w:r>
        <w:t xml:space="preserve"> 2.1, (2008), 3-5.</w:t>
      </w:r>
    </w:p>
    <w:p>
      <w:pPr>
        <w:pStyle w:val="para3"/>
      </w:pPr>
      <w:r>
        <w:t xml:space="preserve">Tilley, Christopher, </w:t>
      </w:r>
      <w:r>
        <w:rPr>
          <w:i/>
          <w:iCs/>
        </w:rPr>
        <w:t>A Phenomenology of Landscape</w:t>
      </w:r>
      <w:r>
        <w:t xml:space="preserve"> (Oxford, Berg Publishers, 1994).</w:t>
      </w:r>
    </w:p>
    <w:p>
      <w:pPr>
        <w:pStyle w:val="para3"/>
      </w:pPr>
      <w:r>
        <w:t xml:space="preserve">Valentin, John, ‘Manor Farm, Portesham, Dorset: Excavations on a Multi-Period Religious and Settlement Site’, </w:t>
      </w:r>
      <w:r>
        <w:rPr>
          <w:i/>
          <w:iCs/>
        </w:rPr>
        <w:t xml:space="preserve">Proceedings of the Dorset Natural History and Archaeological Society, </w:t>
      </w:r>
      <w:r>
        <w:t>125, (2003).</w:t>
      </w:r>
    </w:p>
    <w:p>
      <w:pPr>
        <w:pStyle w:val="para3"/>
      </w:pPr>
      <w:r>
        <w:t xml:space="preserve">Whitaker, Katy, ‘Wessex Saraens Method’, </w:t>
      </w:r>
      <w:r>
        <w:rPr>
          <w:i/>
          <w:iCs/>
        </w:rPr>
        <w:t>Sarsen Stones in Wessex</w:t>
      </w:r>
      <w:r>
        <w:t xml:space="preserve"> (University of Reading, 2020).</w:t>
      </w:r>
    </w:p>
    <w:p>
      <w:pPr>
        <w:pStyle w:val="para8"/>
      </w:pPr>
      <w:r>
        <w:br w:type="page"/>
      </w:r>
      <w:r>
        <w:t>Appendix 1: Stones Project Spreadsheet</w:t>
      </w:r>
    </w:p>
    <w:tbl>
      <w:tblPr>
        <w:tblStyle w:val="TableGrid"/>
        <w:name w:val="Table14"/>
        <w:tabOrder w:val="0"/>
        <w:jc w:val="left"/>
        <w:tblInd w:w="0" w:type="dxa"/>
        <w:tblW w:w="9360" w:type="dxa"/>
        <w:pPr>
          <w:ind w:firstLine="0"/>
          <w:spacing/>
          <w:jc w:val="left"/>
        </w:pPr>
        <w:tblLook w:val="04A0" w:firstRow="1" w:lastRow="0" w:firstColumn="1" w:lastColumn="0" w:noHBand="0" w:noVBand="1"/>
      </w:tblPr>
      <w:tblGrid>
        <w:gridCol w:w="9360"/>
      </w:tblGrid>
      <w:tr>
        <w:trPr>
          <w:tblHeader w:val="0"/>
          <w:cantSplit w:val="0"/>
          <w:trHeight w:val="0" w:hRule="auto"/>
        </w:trPr>
        <w:tc>
          <w:tcPr>
            <w:tcW w:w="9360" w:type="dxa"/>
            <w:vAlign w:val="center"/>
            <w:tmTcPr id="1767365008" protected="0"/>
          </w:tcPr>
          <w:p>
            <w:pPr>
              <w:ind w:firstLine="0"/>
              <w:spacing/>
              <w:jc w:val="center"/>
            </w:pPr>
            <w:r>
              <w:rPr>
                <w:noProof/>
              </w:rPr>
              <w:drawing>
                <wp:inline distT="89535" distB="89535" distL="89535" distR="89535">
                  <wp:extent cx="4792980" cy="7631430"/>
                  <wp:effectExtent l="0" t="0" r="0" b="0"/>
                  <wp:docPr id="19" name="Pictur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21"/>
                          <pic:cNvPicPr>
                            <a:picLocks noChangeAspect="1"/>
                            <a:extLst>
                              <a:ext uri="sm">
                                <sm:smNativeData xmlns:sm="sm" val="SMDATA_17_kNlXaRMAAAAlAAAAEQAAAC0B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HwdAADyLgAAfB0AAPIu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CPAAAAB6IAAAAAAAAOAAAAAQAAAAAAAACcAAAAAQAAAAAAAACcAAAAfB0AAPIuAAAAAAAAnAAAAJwAAAAoAAAACAAAAAEAAAABAAAAMAAAABQAAAAAAAAAAAD//wAAAQAAAP//AAABAA=="/>
                              </a:ext>
                            </a:extLst>
                          </pic:cNvPicPr>
                        </pic:nvPicPr>
                        <pic:blipFill>
                          <a:blip r:embed="rId24"/>
                          <a:stretch>
                            <a:fillRect/>
                          </a:stretch>
                        </pic:blipFill>
                        <pic:spPr>
                          <a:xfrm>
                            <a:off x="0" y="0"/>
                            <a:ext cx="4792980" cy="7631430"/>
                          </a:xfrm>
                          <a:prstGeom prst="rect">
                            <a:avLst/>
                          </a:prstGeom>
                          <a:noFill/>
                          <a:ln w="12700">
                            <a:noFill/>
                          </a:ln>
                        </pic:spPr>
                      </pic:pic>
                    </a:graphicData>
                  </a:graphic>
                </wp:inline>
              </w:drawing>
            </w:r>
            <w:r/>
          </w:p>
        </w:tc>
      </w:tr>
    </w:tbl>
    <w:sectPr>
      <w:footnotePr>
        <w:pos w:val="pageBottom"/>
        <w:numFmt w:val="decimal"/>
        <w:numStart w:val="1"/>
        <w:numRestart w:val="continuous"/>
      </w:footnotePr>
      <w:endnotePr>
        <w:pos w:val="docEnd"/>
        <w:numFmt w:val="lowerRoman"/>
        <w:numStart w:val="1"/>
        <w:numRestart w:val="continuous"/>
      </w:endnotePr>
      <w:headerReference w:type="default" r:id="rId25"/>
      <w:footerReference w:type="default" r:id="rId26"/>
      <w:type w:val="nextPage"/>
      <w:pgSz w:h="16840" w:w="11907"/>
      <w:pgMar w:left="1134" w:top="1134" w:right="1134" w:bottom="1134"/>
      <w:paperSrc w:first="0" w:other="0" a="0" b="0"/>
      <w:pgNumType w:fmt="decimal" w:start="1"/>
      <w:tmGutter w:val="3"/>
      <w:mirrorMargins w:val="0"/>
      <w:tmSection w:h="-2">
        <w:tmHeader w:id="0" w:h="0" edge="720" text="0">
          <w:shd w:val="none"/>
        </w:tmHeader>
        <w:tmFooter w:id="0" w:h="0" edge="720" text="0">
          <w:shd w:val="none"/>
        </w:tmFoot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Tahoma">
    <w:panose1 w:val="020B0604030504040204"/>
    <w:charset w:val="00"/>
    <w:family w:val="swiss"/>
    <w:pitch w:val="default"/>
  </w:font>
  <w:font w:name="Segoe UI">
    <w:panose1 w:val="020B0502040204020203"/>
    <w:charset w:val="00"/>
    <w:family w:val="swiss"/>
    <w:pitch w:val="default"/>
  </w:font>
  <w:font w:name="Georgia">
    <w:panose1 w:val="02040502050405020303"/>
    <w:charset w:val="00"/>
    <w:family w:val="roman"/>
    <w:pitch w:val="default"/>
  </w:font>
  <w:font w:name="Trebuchet MS">
    <w:panose1 w:val="020B0603020202020204"/>
    <w:charset w:val="00"/>
    <w:family w:val="swiss"/>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spacing/>
      <w:jc w:val="center"/>
    </w:pPr>
    <w:r>
      <w:t xml:space="preserve">Page </w:t>
    </w:r>
    <w:r>
      <w:fldChar w:fldCharType="begin"/>
      <w:instrText xml:space="preserve"> PAGE </w:instrText>
      <w:fldChar w:fldCharType="separate"/>
      <w:t>21</w:t>
      <w:fldChar w:fldCharType="end"/>
    </w:r>
    <w:r>
      <w:t xml:space="preserve"> of </w:t>
    </w:r>
    <w:r>
      <w:fldChar w:fldCharType="begin"/>
      <w:instrText xml:space="preserve"> NUMPAGES \* Arabic </w:instrText>
      <w:fldChar w:fldCharType="separate"/>
      <w:t>23</w:t>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3"/>
      </w:pPr>
      <w:r>
        <w:rPr>
          <w:rStyle w:val="char3"/>
        </w:rPr>
      </w:r>
      <w:r>
        <w:rPr>
          <w:rStyle w:val="char3"/>
        </w:rPr>
        <w:footnoteRef/>
      </w:r>
      <w:r>
        <w:t xml:space="preserve"> John Valentin, ‘Manor Farm, Portesham, Dorset: Excavations on a Multi-Period Religious and Settlement Site’, </w:t>
      </w:r>
      <w:r>
        <w:rPr>
          <w:i/>
          <w:iCs/>
        </w:rPr>
        <w:t xml:space="preserve">Proceedings of the Dorset Natural History and Archaeological Society, </w:t>
      </w:r>
      <w:r>
        <w:t>125, (2003), p. 65.</w:t>
      </w:r>
    </w:p>
  </w:footnote>
  <w:footnote w:id="8">
    <w:p>
      <w:pPr>
        <w:pStyle w:val="para3"/>
        <w:spacing/>
        <w:jc w:val="left"/>
        <w:rPr>
          <w:sz w:val="22"/>
          <w:szCs w:val="22"/>
        </w:rPr>
      </w:pPr>
      <w:r>
        <w:rPr>
          <w:rStyle w:val="char3"/>
        </w:rPr>
      </w:r>
      <w:r>
        <w:rPr>
          <w:rStyle w:val="char3"/>
        </w:rPr>
        <w:footnoteRef/>
      </w:r>
      <w:r>
        <w:t xml:space="preserve"> </w:t>
      </w:r>
      <w:r>
        <w:rPr>
          <w:sz w:val="22"/>
          <w:szCs w:val="22"/>
        </w:rPr>
        <w:t xml:space="preserve"> Time Team Official,  </w:t>
      </w:r>
      <w:r>
        <w:rPr>
          <w:i/>
          <w:iCs/>
          <w:sz w:val="22"/>
          <w:szCs w:val="22"/>
        </w:rPr>
        <w:t>Time Team Special: Rediscovering Ancient Britain | Classic Special (Full Episode)</w:t>
      </w:r>
      <w:r>
        <w:rPr>
          <w:sz w:val="22"/>
          <w:szCs w:val="22"/>
        </w:rPr>
        <w:t xml:space="preserve"> - 2012 Dorset [video].  2025 &lt;https://www.youtube.com/watch?v=t7oj32zOyrU</w:t>
      </w:r>
      <w:r>
        <w:rPr>
          <w:sz w:val="22"/>
          <w:szCs w:val="22"/>
        </w:rPr>
        <w:t>&gt; [accessed 8</w:t>
      </w:r>
      <w:r>
        <w:rPr>
          <w:sz w:val="22"/>
          <w:szCs w:val="22"/>
          <w:vertAlign w:val="superscript"/>
        </w:rPr>
        <w:t>th</w:t>
      </w:r>
      <w:r>
        <w:rPr>
          <w:sz w:val="22"/>
          <w:szCs w:val="22"/>
        </w:rPr>
        <w:t xml:space="preserve"> November, 2025]</w:t>
      </w:r>
      <w:r>
        <w:rPr>
          <w:sz w:val="22"/>
          <w:szCs w:val="22"/>
        </w:rPr>
      </w:r>
    </w:p>
  </w:footnote>
  <w:footnote w:id="9">
    <w:p>
      <w:pPr>
        <w:pStyle w:val="para3"/>
      </w:pPr>
      <w:r>
        <w:rPr>
          <w:rStyle w:val="char3"/>
        </w:rPr>
      </w:r>
      <w:r>
        <w:rPr>
          <w:rStyle w:val="char3"/>
        </w:rPr>
        <w:footnoteRef/>
      </w:r>
      <w:r>
        <w:t xml:space="preserve"> Portesham WI, </w:t>
      </w:r>
      <w:r>
        <w:rPr>
          <w:i/>
          <w:iCs/>
        </w:rPr>
        <w:t>Portesham: A Peep into the Past</w:t>
      </w:r>
      <w:r>
        <w:t>, p. 31. (unpublished 1984).</w:t>
      </w:r>
    </w:p>
  </w:footnote>
  <w:footnote w:id="10">
    <w:p>
      <w:pPr>
        <w:pStyle w:val="para3"/>
        <w:rPr>
          <w:sz w:val="22"/>
          <w:szCs w:val="22"/>
        </w:rPr>
      </w:pPr>
      <w:r>
        <w:rPr>
          <w:rStyle w:val="char3"/>
        </w:rPr>
      </w:r>
      <w:r>
        <w:rPr>
          <w:rStyle w:val="char3"/>
        </w:rPr>
        <w:footnoteRef/>
      </w:r>
      <w:r>
        <w:t xml:space="preserve"> </w:t>
      </w:r>
      <w:r>
        <w:rPr>
          <w:sz w:val="22"/>
          <w:szCs w:val="22"/>
        </w:rPr>
        <w:t xml:space="preserve">‘Rare Neolithic axe-sharpening stone discovered in Dorset’, </w:t>
      </w:r>
      <w:r>
        <w:rPr>
          <w:i/>
          <w:iCs/>
          <w:sz w:val="22"/>
          <w:szCs w:val="22"/>
        </w:rPr>
        <w:t>Current Archaeology</w:t>
      </w:r>
      <w:r>
        <w:rPr>
          <w:sz w:val="22"/>
          <w:szCs w:val="22"/>
        </w:rPr>
        <w:t>, 403 (2023) 9</w:t>
      </w:r>
      <w:r>
        <w:rPr>
          <w:sz w:val="22"/>
          <w:szCs w:val="22"/>
        </w:rPr>
        <w:t>.</w:t>
      </w:r>
      <w:r>
        <w:rPr>
          <w:sz w:val="22"/>
          <w:szCs w:val="22"/>
        </w:rPr>
      </w:r>
    </w:p>
  </w:footnote>
  <w:footnote w:id="11">
    <w:p>
      <w:pPr>
        <w:pStyle w:val="para3"/>
      </w:pPr>
      <w:r>
        <w:rPr>
          <w:rStyle w:val="char3"/>
        </w:rPr>
      </w:r>
      <w:r>
        <w:rPr>
          <w:rStyle w:val="char3"/>
        </w:rPr>
        <w:footnoteRef/>
      </w:r>
      <w:r>
        <w:t xml:space="preserve"> </w:t>
      </w:r>
      <w:r>
        <w:rPr>
          <w:i/>
          <w:iCs/>
        </w:rPr>
        <w:t>An Inventory of the Historical Monuments in Dorset, Volume 2, South East</w:t>
      </w:r>
      <w:r>
        <w:t>, (London, 1970),  &lt;https://www.british-history.ac.uk/rchme/dorset/vol2&gt; p. 513. [accessed 5 December 2025].</w:t>
      </w:r>
    </w:p>
  </w:footnote>
  <w:footnote w:id="12">
    <w:p>
      <w:pPr>
        <w:pStyle w:val="para3"/>
      </w:pPr>
      <w:r>
        <w:rPr>
          <w:rStyle w:val="char3"/>
        </w:rPr>
      </w:r>
      <w:r>
        <w:rPr>
          <w:rStyle w:val="char3"/>
        </w:rPr>
        <w:footnoteRef/>
      </w:r>
      <w:r>
        <w:t xml:space="preserve"> </w:t>
      </w:r>
      <w:r>
        <w:rPr>
          <w:i/>
          <w:iCs/>
        </w:rPr>
        <w:t>Historical Monuments in Dorset</w:t>
      </w:r>
      <w:r>
        <w:t xml:space="preserve"> p. 403. </w:t>
      </w:r>
    </w:p>
  </w:footnote>
  <w:footnote w:id="13">
    <w:p>
      <w:pPr>
        <w:pStyle w:val="para3"/>
      </w:pPr>
      <w:r>
        <w:rPr>
          <w:rStyle w:val="char3"/>
        </w:rPr>
      </w:r>
      <w:r>
        <w:rPr>
          <w:rStyle w:val="char3"/>
        </w:rPr>
        <w:footnoteRef/>
      </w:r>
      <w:r>
        <w:t xml:space="preserve"> </w:t>
      </w:r>
      <w:r>
        <w:rPr>
          <w:i/>
          <w:iCs/>
        </w:rPr>
        <w:t>Historical Monuments in Dorset</w:t>
      </w:r>
      <w:r>
        <w:t xml:space="preserve"> p. 449.</w:t>
      </w:r>
    </w:p>
  </w:footnote>
  <w:footnote w:id="14">
    <w:p>
      <w:pPr>
        <w:pStyle w:val="para3"/>
        <w:spacing/>
        <w:jc w:val="left"/>
      </w:pPr>
      <w:r>
        <w:rPr>
          <w:rStyle w:val="char3"/>
        </w:rPr>
      </w:r>
      <w:r>
        <w:rPr>
          <w:rStyle w:val="char3"/>
        </w:rPr>
        <w:footnoteRef/>
      </w:r>
      <w:r>
        <w:t xml:space="preserve"> Heritage Gateway, </w:t>
      </w:r>
      <w:r>
        <w:rPr>
          <w:i/>
          <w:iCs/>
        </w:rPr>
        <w:t>Dorset HER: Mound Portesham (2024)</w:t>
      </w:r>
      <w:r>
        <w:t xml:space="preserve"> &lt;https://www.heritagegateway.org.uk/Gateway/Results_Single.aspx?resourceID=1012&amp;uid=MDO25714&gt; [accessed 1</w:t>
      </w:r>
      <w:r>
        <w:rPr>
          <w:vertAlign w:val="superscript"/>
        </w:rPr>
        <w:t>st</w:t>
      </w:r>
      <w:r>
        <w:t xml:space="preserve"> December 2025].</w:t>
      </w:r>
    </w:p>
  </w:footnote>
  <w:footnote w:id="15">
    <w:p>
      <w:pPr>
        <w:pStyle w:val="para3"/>
      </w:pPr>
      <w:r>
        <w:rPr>
          <w:rStyle w:val="char3"/>
        </w:rPr>
      </w:r>
      <w:r>
        <w:rPr>
          <w:rStyle w:val="char3"/>
        </w:rPr>
        <w:footnoteRef/>
      </w:r>
      <w:r>
        <w:t xml:space="preserve"> National Library of Scotland, </w:t>
      </w:r>
      <w:r>
        <w:rPr>
          <w:i/>
          <w:iCs/>
        </w:rPr>
        <w:t>Dorset XLVI.SE (6 inch to the mile)</w:t>
      </w:r>
      <w:r>
        <w:t xml:space="preserve"> OS revised: 1901, Geological Survey surveyed: 1890, Published: ca. 1912 &lt;https://maps.nls.uk/view/240435654&gt; Accessed: 16</w:t>
      </w:r>
      <w:r>
        <w:rPr>
          <w:vertAlign w:val="superscript"/>
        </w:rPr>
        <w:t>th</w:t>
      </w:r>
      <w:r>
        <w:t xml:space="preserve"> October 2025.</w:t>
      </w:r>
    </w:p>
  </w:footnote>
  <w:footnote w:id="16">
    <w:p>
      <w:pPr>
        <w:pStyle w:val="para3"/>
      </w:pPr>
      <w:r>
        <w:rPr>
          <w:rStyle w:val="char3"/>
        </w:rPr>
      </w:r>
      <w:r>
        <w:rPr>
          <w:rStyle w:val="char3"/>
        </w:rPr>
        <w:footnoteRef/>
      </w:r>
      <w:r>
        <w:t xml:space="preserve"> Valentin, ‘Manor Farm’,  p. 60.</w:t>
      </w:r>
    </w:p>
  </w:footnote>
  <w:footnote w:id="17">
    <w:p>
      <w:pPr>
        <w:pStyle w:val="para3"/>
      </w:pPr>
      <w:r>
        <w:rPr>
          <w:rStyle w:val="char3"/>
        </w:rPr>
      </w:r>
      <w:r>
        <w:rPr>
          <w:rStyle w:val="char3"/>
        </w:rPr>
        <w:footnoteRef/>
      </w:r>
      <w:r>
        <w:t xml:space="preserve"> Valentin, ‘Manor Farm’, p. 23.</w:t>
      </w:r>
    </w:p>
  </w:footnote>
  <w:footnote w:id="18">
    <w:p>
      <w:pPr>
        <w:pStyle w:val="para3"/>
      </w:pPr>
      <w:r>
        <w:rPr>
          <w:rStyle w:val="char3"/>
        </w:rPr>
      </w:r>
      <w:r>
        <w:rPr>
          <w:rStyle w:val="char3"/>
        </w:rPr>
        <w:footnoteRef/>
      </w:r>
      <w:r>
        <w:t xml:space="preserve"> Valentin, ‘Manor Farm’, p. 61.</w:t>
      </w:r>
    </w:p>
  </w:footnote>
  <w:footnote w:id="19">
    <w:p>
      <w:pPr>
        <w:pStyle w:val="para3"/>
      </w:pPr>
      <w:r>
        <w:rPr>
          <w:rStyle w:val="char3"/>
        </w:rPr>
      </w:r>
      <w:r>
        <w:rPr>
          <w:rStyle w:val="char3"/>
        </w:rPr>
        <w:footnoteRef/>
      </w:r>
      <w:r>
        <w:t xml:space="preserve"> Valentin, ‘Manor Farm’, pp. 23-69.</w:t>
      </w:r>
    </w:p>
  </w:footnote>
  <w:footnote w:id="20">
    <w:p>
      <w:pPr>
        <w:pStyle w:val="para3"/>
        <w:spacing/>
        <w:jc w:val="left"/>
        <w:rPr>
          <w:sz w:val="22"/>
          <w:szCs w:val="22"/>
        </w:rPr>
      </w:pPr>
      <w:r>
        <w:rPr>
          <w:rStyle w:val="char3"/>
        </w:rPr>
      </w:r>
      <w:r>
        <w:rPr>
          <w:rStyle w:val="char3"/>
        </w:rPr>
        <w:footnoteRef/>
      </w:r>
      <w:r>
        <w:t xml:space="preserve"> </w:t>
      </w:r>
      <w:r>
        <w:rPr>
          <w:sz w:val="22"/>
          <w:szCs w:val="22"/>
        </w:rPr>
        <w:t xml:space="preserve">Monique Hennink, Inge Hutter and Ajay Bailey, </w:t>
      </w:r>
      <w:r>
        <w:rPr>
          <w:i/>
          <w:iCs/>
          <w:sz w:val="22"/>
          <w:szCs w:val="22"/>
        </w:rPr>
        <w:t>Qualitative Research Methods</w:t>
      </w:r>
      <w:r>
        <w:rPr>
          <w:sz w:val="22"/>
          <w:szCs w:val="22"/>
        </w:rPr>
        <w:t>, (London: Sage Publications, 2011) p. 52</w:t>
      </w:r>
      <w:r>
        <w:rPr>
          <w:sz w:val="22"/>
          <w:szCs w:val="22"/>
        </w:rPr>
      </w:r>
    </w:p>
  </w:footnote>
  <w:footnote w:id="21">
    <w:p>
      <w:pPr>
        <w:pStyle w:val="para3"/>
        <w:spacing/>
        <w:jc w:val="left"/>
      </w:pPr>
      <w:r>
        <w:rPr>
          <w:rStyle w:val="char3"/>
        </w:rPr>
      </w:r>
      <w:r>
        <w:rPr>
          <w:rStyle w:val="char3"/>
        </w:rPr>
        <w:footnoteRef/>
      </w:r>
      <w:r>
        <w:t xml:space="preserve"> </w:t>
      </w:r>
      <w:r>
        <w:rPr>
          <w:i/>
          <w:iCs/>
        </w:rPr>
        <w:t xml:space="preserve">My GPS Coordinates </w:t>
      </w:r>
      <w:r>
        <w:t>&lt;https://play.google.com/store/apps/details?id=com.freemium.android.apps.gps.coordinates&gt; [downloaded 25</w:t>
      </w:r>
      <w:r>
        <w:rPr>
          <w:vertAlign w:val="superscript"/>
        </w:rPr>
        <w:t>th</w:t>
      </w:r>
      <w:r>
        <w:t xml:space="preserve"> October 2025}</w:t>
      </w:r>
    </w:p>
  </w:footnote>
  <w:footnote w:id="22">
    <w:p>
      <w:pPr>
        <w:pStyle w:val="para3"/>
      </w:pPr>
      <w:r>
        <w:rPr>
          <w:rStyle w:val="char3"/>
        </w:rPr>
      </w:r>
      <w:r>
        <w:rPr>
          <w:rStyle w:val="char3"/>
        </w:rPr>
        <w:footnoteRef/>
      </w:r>
      <w:r>
        <w:t xml:space="preserve"> Paul Devereux, </w:t>
      </w:r>
      <w:r>
        <w:rPr>
          <w:i/>
          <w:iCs/>
        </w:rPr>
        <w:t>Secrets of Ancient and Sacred Places</w:t>
      </w:r>
      <w:r>
        <w:t xml:space="preserve"> (London, Brockhampton Press, 1993) p. 33.</w:t>
      </w:r>
    </w:p>
  </w:footnote>
  <w:footnote w:id="23">
    <w:p>
      <w:pPr>
        <w:pStyle w:val="para3"/>
      </w:pPr>
      <w:r>
        <w:rPr>
          <w:rStyle w:val="char3"/>
        </w:rPr>
      </w:r>
      <w:r>
        <w:rPr>
          <w:rStyle w:val="char3"/>
        </w:rPr>
        <w:footnoteRef/>
      </w:r>
      <w:r>
        <w:t xml:space="preserve"> Edina, </w:t>
      </w:r>
      <w:r>
        <w:rPr>
          <w:i/>
          <w:iCs/>
        </w:rPr>
        <w:t>Digimap</w:t>
      </w:r>
      <w:r>
        <w:t>, &lt;https://digimap.edina.ac.uk/&gt;</w:t>
      </w:r>
    </w:p>
  </w:footnote>
  <w:footnote w:id="24">
    <w:p>
      <w:pPr>
        <w:pStyle w:val="para3"/>
        <w:spacing/>
        <w:jc w:val="left"/>
      </w:pPr>
      <w:r>
        <w:rPr>
          <w:rStyle w:val="char3"/>
        </w:rPr>
      </w:r>
      <w:r>
        <w:rPr>
          <w:rStyle w:val="char3"/>
        </w:rPr>
        <w:footnoteRef/>
      </w:r>
      <w:r>
        <w:t xml:space="preserve"> Dorset Council, </w:t>
      </w:r>
      <w:r>
        <w:rPr>
          <w:i/>
          <w:iCs/>
        </w:rPr>
        <w:t>Historic Environment Record</w:t>
      </w:r>
      <w:r>
        <w:t>, &lt;https://www.dorsetcouncil.gov.uk/libraries-history-culture/local-history-heritage/her/historic-environment-record&gt; [accessed 25</w:t>
      </w:r>
      <w:r>
        <w:rPr>
          <w:vertAlign w:val="superscript"/>
        </w:rPr>
        <w:t>th</w:t>
      </w:r>
      <w:r>
        <w:t xml:space="preserve"> October 2025]</w:t>
      </w:r>
    </w:p>
  </w:footnote>
  <w:footnote w:id="25">
    <w:p>
      <w:pPr>
        <w:pStyle w:val="para3"/>
      </w:pPr>
      <w:r>
        <w:rPr>
          <w:rStyle w:val="char3"/>
        </w:rPr>
      </w:r>
      <w:r>
        <w:rPr>
          <w:rStyle w:val="char3"/>
        </w:rPr>
        <w:footnoteRef/>
      </w:r>
      <w:r>
        <w:t xml:space="preserve"> Valentin, ‘Manor Farm’, pp. 23-69.</w:t>
      </w:r>
    </w:p>
  </w:footnote>
  <w:footnote w:id="26">
    <w:p>
      <w:pPr>
        <w:pStyle w:val="para3"/>
      </w:pPr>
      <w:r>
        <w:rPr>
          <w:rStyle w:val="char3"/>
        </w:rPr>
      </w:r>
      <w:r>
        <w:rPr>
          <w:rStyle w:val="char3"/>
        </w:rPr>
        <w:footnoteRef/>
      </w:r>
      <w:r>
        <w:t xml:space="preserve"> Abbas Tashakkori, John W Creswell, ‘Mixed Methodology Across Disciplines’ </w:t>
      </w:r>
      <w:r>
        <w:rPr>
          <w:i/>
          <w:iCs/>
        </w:rPr>
        <w:t>Journal of mixed methods research</w:t>
      </w:r>
      <w:r>
        <w:t xml:space="preserve"> 2.1, (2008), 3-5, (p 4) &lt;DOI 10.1177/1558689807309913&gt;.</w:t>
      </w:r>
    </w:p>
  </w:footnote>
  <w:footnote w:id="27">
    <w:p>
      <w:pPr>
        <w:pStyle w:val="para3"/>
      </w:pPr>
      <w:r>
        <w:rPr>
          <w:rStyle w:val="char3"/>
        </w:rPr>
      </w:r>
      <w:r>
        <w:rPr>
          <w:rStyle w:val="char3"/>
        </w:rPr>
        <w:footnoteRef/>
      </w:r>
      <w:r>
        <w:t xml:space="preserve"> Belden C. Lane, </w:t>
      </w:r>
      <w:r>
        <w:rPr>
          <w:i/>
          <w:iCs/>
        </w:rPr>
        <w:t>Landscapes of the Sacred: geography and narrative in American Spirituality</w:t>
      </w:r>
      <w:r>
        <w:t xml:space="preserve"> (Baltimore, John Hopkins University Press, 2002) p. 15.</w:t>
      </w:r>
    </w:p>
  </w:footnote>
  <w:footnote w:id="28">
    <w:p>
      <w:pPr>
        <w:pStyle w:val="para3"/>
      </w:pPr>
      <w:r>
        <w:rPr>
          <w:rStyle w:val="char3"/>
        </w:rPr>
      </w:r>
      <w:r>
        <w:rPr>
          <w:rStyle w:val="char3"/>
        </w:rPr>
        <w:footnoteRef/>
      </w:r>
      <w:r>
        <w:t xml:space="preserve"> Portesham WI, </w:t>
      </w:r>
      <w:r>
        <w:rPr>
          <w:i/>
          <w:iCs/>
        </w:rPr>
        <w:t>Portesham: A Peep into the Past</w:t>
      </w:r>
      <w:r>
        <w:t xml:space="preserve"> (unpublished 1984).</w:t>
      </w:r>
    </w:p>
  </w:footnote>
  <w:footnote w:id="29">
    <w:p>
      <w:pPr>
        <w:pStyle w:val="para3"/>
      </w:pPr>
      <w:r>
        <w:rPr>
          <w:rStyle w:val="char3"/>
        </w:rPr>
      </w:r>
      <w:r>
        <w:rPr>
          <w:rStyle w:val="char3"/>
        </w:rPr>
        <w:footnoteRef/>
      </w:r>
      <w:r>
        <w:t xml:space="preserve"> Alan Bryman, </w:t>
      </w:r>
      <w:r>
        <w:rPr>
          <w:i/>
          <w:iCs/>
        </w:rPr>
        <w:t>Quantity and Quality in Social Research</w:t>
      </w:r>
      <w:r>
        <w:t>, (London, Unwin Hyman, 1988) p. 18</w:t>
      </w:r>
    </w:p>
  </w:footnote>
  <w:footnote w:id="30">
    <w:p>
      <w:pPr>
        <w:pStyle w:val="para3"/>
      </w:pPr>
      <w:r>
        <w:rPr>
          <w:rStyle w:val="char3"/>
        </w:rPr>
      </w:r>
      <w:r>
        <w:rPr>
          <w:rStyle w:val="char3"/>
        </w:rPr>
        <w:footnoteRef/>
      </w:r>
      <w:r>
        <w:t xml:space="preserve"> Hennink, </w:t>
      </w:r>
      <w:r>
        <w:rPr>
          <w:i/>
          <w:iCs/>
        </w:rPr>
        <w:t>Qualitative Research Methods,</w:t>
      </w:r>
      <w:r>
        <w:t xml:space="preserve"> p. 55.</w:t>
      </w:r>
    </w:p>
  </w:footnote>
  <w:footnote w:id="31">
    <w:p>
      <w:pPr>
        <w:pStyle w:val="para3"/>
      </w:pPr>
      <w:r>
        <w:rPr>
          <w:rStyle w:val="char3"/>
        </w:rPr>
      </w:r>
      <w:r>
        <w:rPr>
          <w:rStyle w:val="char3"/>
        </w:rPr>
        <w:footnoteRef/>
      </w:r>
      <w:r>
        <w:t xml:space="preserve"> Devereux, </w:t>
      </w:r>
      <w:r>
        <w:rPr>
          <w:i/>
          <w:iCs/>
        </w:rPr>
        <w:t>Secrets of Ancient and Sacred Places</w:t>
      </w:r>
      <w:r>
        <w:t>, p. 9.</w:t>
      </w:r>
    </w:p>
  </w:footnote>
  <w:footnote w:id="32">
    <w:p>
      <w:pPr>
        <w:pStyle w:val="para3"/>
      </w:pPr>
      <w:r>
        <w:rPr>
          <w:rStyle w:val="char3"/>
        </w:rPr>
      </w:r>
      <w:r>
        <w:rPr>
          <w:rStyle w:val="char3"/>
        </w:rPr>
        <w:footnoteRef/>
      </w:r>
      <w:r>
        <w:t xml:space="preserve"> Devereux, </w:t>
      </w:r>
      <w:r>
        <w:rPr>
          <w:i/>
          <w:iCs/>
        </w:rPr>
        <w:t>Secrets of Ancient and Sacred Places</w:t>
      </w:r>
      <w:r>
        <w:t>, p. 9.</w:t>
      </w:r>
    </w:p>
  </w:footnote>
  <w:footnote w:id="33">
    <w:p>
      <w:pPr>
        <w:pStyle w:val="para3"/>
      </w:pPr>
      <w:r>
        <w:rPr>
          <w:rStyle w:val="char3"/>
        </w:rPr>
      </w:r>
      <w:r>
        <w:rPr>
          <w:rStyle w:val="char3"/>
        </w:rPr>
        <w:footnoteRef/>
      </w:r>
      <w:r>
        <w:t xml:space="preserve"> Judith Bell, Stephen Waters, </w:t>
      </w:r>
      <w:r>
        <w:rPr>
          <w:i/>
          <w:iCs/>
        </w:rPr>
        <w:t>Doing Your Research Project</w:t>
      </w:r>
      <w:r>
        <w:t>: a guide for first-time researchers, (Maidenhead, Open University Press, 2014) p 51.</w:t>
      </w:r>
    </w:p>
  </w:footnote>
  <w:footnote w:id="34">
    <w:p>
      <w:pPr>
        <w:pStyle w:val="para3"/>
      </w:pPr>
      <w:r>
        <w:rPr>
          <w:rStyle w:val="char3"/>
        </w:rPr>
      </w:r>
      <w:r>
        <w:rPr>
          <w:rStyle w:val="char3"/>
        </w:rPr>
        <w:footnoteRef/>
      </w:r>
      <w:r>
        <w:t xml:space="preserve"> Valentin, ‘Manor Farm’ p. 61.</w:t>
      </w:r>
    </w:p>
  </w:footnote>
  <w:footnote w:id="35">
    <w:p>
      <w:pPr>
        <w:pStyle w:val="para3"/>
      </w:pPr>
      <w:r>
        <w:rPr>
          <w:rStyle w:val="char3"/>
        </w:rPr>
      </w:r>
      <w:r>
        <w:rPr>
          <w:rStyle w:val="char3"/>
        </w:rPr>
        <w:footnoteRef/>
      </w:r>
      <w:r>
        <w:t xml:space="preserve"> Mircea Eliade, </w:t>
      </w:r>
      <w:r>
        <w:rPr>
          <w:i/>
          <w:iCs/>
        </w:rPr>
        <w:t>Ordeal by Labyrinth: Conversations with Claude-Henri Rocquet,</w:t>
      </w:r>
      <w:r>
        <w:t xml:space="preserve"> trans. Derek Coltman (London, University of Chicago Press,  1982) p. 162.</w:t>
      </w:r>
    </w:p>
  </w:footnote>
  <w:footnote w:id="36">
    <w:p>
      <w:pPr>
        <w:pStyle w:val="para3"/>
      </w:pPr>
      <w:r>
        <w:rPr>
          <w:rStyle w:val="char3"/>
        </w:rPr>
      </w:r>
      <w:r>
        <w:rPr>
          <w:rStyle w:val="char3"/>
        </w:rPr>
        <w:footnoteRef/>
      </w:r>
      <w:r>
        <w:t xml:space="preserve"> Émile Durkheim, </w:t>
      </w:r>
      <w:r>
        <w:rPr>
          <w:i/>
          <w:iCs/>
        </w:rPr>
        <w:t>The Elementary Forms of the Religious Life</w:t>
      </w:r>
      <w:r>
        <w:t>, trans. By Joseph Ward Swain, 2</w:t>
      </w:r>
      <w:r>
        <w:rPr>
          <w:vertAlign w:val="superscript"/>
        </w:rPr>
        <w:t>nd</w:t>
      </w:r>
      <w:r>
        <w:t xml:space="preserve"> edn. (London, George Allen and Unwin Ltd, 1976). p. 37.</w:t>
      </w:r>
    </w:p>
  </w:footnote>
  <w:footnote w:id="37">
    <w:p>
      <w:pPr>
        <w:pStyle w:val="para3"/>
      </w:pPr>
      <w:r>
        <w:rPr>
          <w:rStyle w:val="char3"/>
        </w:rPr>
      </w:r>
      <w:r>
        <w:rPr>
          <w:rStyle w:val="char3"/>
        </w:rPr>
        <w:footnoteRef/>
      </w:r>
      <w:r>
        <w:t xml:space="preserve"> Lane, </w:t>
      </w:r>
      <w:r>
        <w:rPr>
          <w:i/>
          <w:iCs/>
        </w:rPr>
        <w:t xml:space="preserve">Landscapes of the Sacred, </w:t>
      </w:r>
      <w:r>
        <w:t>p. 19.</w:t>
      </w:r>
    </w:p>
  </w:footnote>
  <w:footnote w:id="38">
    <w:p>
      <w:pPr>
        <w:pStyle w:val="para3"/>
      </w:pPr>
      <w:r>
        <w:rPr>
          <w:rStyle w:val="char3"/>
        </w:rPr>
      </w:r>
      <w:r>
        <w:rPr>
          <w:rStyle w:val="char3"/>
        </w:rPr>
        <w:footnoteRef/>
      </w:r>
      <w:r>
        <w:t xml:space="preserve"> Dorset National Landscape, </w:t>
      </w:r>
      <w:r>
        <w:rPr>
          <w:i/>
          <w:iCs/>
        </w:rPr>
        <w:t>Land of Bone &amp; Stone: A Journey through the South Dorset Ridgeway</w:t>
      </w:r>
      <w:r>
        <w:t xml:space="preserve"> (2019) &lt;https://dorset-nl.org.uk/park-event/land-of-bone-stone-a-journey-through-the-south-dorset-ridgeway/&gt; [accessed: 19</w:t>
      </w:r>
      <w:r>
        <w:rPr>
          <w:vertAlign w:val="superscript"/>
        </w:rPr>
        <w:t>th</w:t>
      </w:r>
      <w:r>
        <w:t xml:space="preserve"> December 2025].</w:t>
      </w:r>
    </w:p>
  </w:footnote>
  <w:footnote w:id="39">
    <w:p>
      <w:pPr>
        <w:pStyle w:val="para3"/>
      </w:pPr>
      <w:r>
        <w:rPr>
          <w:rStyle w:val="char3"/>
        </w:rPr>
      </w:r>
      <w:r>
        <w:rPr>
          <w:rStyle w:val="char3"/>
        </w:rPr>
        <w:footnoteRef/>
      </w:r>
      <w:r>
        <w:t xml:space="preserve"> Barbara Bender, </w:t>
      </w:r>
      <w:r>
        <w:rPr>
          <w:i/>
          <w:iCs/>
        </w:rPr>
        <w:t>Stonehenge: Making Space</w:t>
      </w:r>
      <w:r>
        <w:t xml:space="preserve"> (Oxford, Berg, 1998) p. 44.</w:t>
      </w:r>
    </w:p>
  </w:footnote>
  <w:footnote w:id="40">
    <w:p>
      <w:pPr>
        <w:pStyle w:val="para3"/>
      </w:pPr>
      <w:r>
        <w:rPr>
          <w:rStyle w:val="char3"/>
        </w:rPr>
      </w:r>
      <w:r>
        <w:rPr>
          <w:rStyle w:val="char3"/>
        </w:rPr>
        <w:footnoteRef/>
      </w:r>
      <w:r>
        <w:t xml:space="preserve"> Devereux, </w:t>
      </w:r>
      <w:r>
        <w:rPr>
          <w:i/>
          <w:iCs/>
        </w:rPr>
        <w:t>Secrets of Ancient and Sacred Places,</w:t>
      </w:r>
      <w:r>
        <w:t xml:space="preserve"> pp 26-27</w:t>
      </w:r>
    </w:p>
  </w:footnote>
  <w:footnote w:id="41">
    <w:p>
      <w:pPr>
        <w:pStyle w:val="para3"/>
      </w:pPr>
      <w:r>
        <w:rPr>
          <w:rStyle w:val="char3"/>
        </w:rPr>
      </w:r>
      <w:r>
        <w:rPr>
          <w:rStyle w:val="char3"/>
        </w:rPr>
        <w:footnoteRef/>
      </w:r>
      <w:r>
        <w:t xml:space="preserve"> Devereux, </w:t>
      </w:r>
      <w:r>
        <w:rPr>
          <w:i/>
          <w:iCs/>
        </w:rPr>
        <w:t>Secrets of Ancient and Sacred Places</w:t>
      </w:r>
      <w:r>
        <w:t>, p. 9.</w:t>
      </w:r>
    </w:p>
  </w:footnote>
  <w:footnote w:id="42">
    <w:p>
      <w:pPr>
        <w:pStyle w:val="para3"/>
      </w:pPr>
      <w:r>
        <w:rPr>
          <w:rStyle w:val="char3"/>
        </w:rPr>
      </w:r>
      <w:r>
        <w:rPr>
          <w:rStyle w:val="char3"/>
        </w:rPr>
        <w:footnoteRef/>
      </w:r>
      <w:r>
        <w:t xml:space="preserve"> Devereux, </w:t>
      </w:r>
      <w:r>
        <w:rPr>
          <w:i/>
          <w:iCs/>
        </w:rPr>
        <w:t>Secrets of Ancient and Sacred Places</w:t>
      </w:r>
      <w:r>
        <w:t>, p. 33.</w:t>
      </w:r>
    </w:p>
  </w:footnote>
  <w:footnote w:id="43">
    <w:p>
      <w:pPr>
        <w:pStyle w:val="para3"/>
      </w:pPr>
      <w:r>
        <w:rPr>
          <w:rStyle w:val="char3"/>
        </w:rPr>
      </w:r>
      <w:r>
        <w:rPr>
          <w:rStyle w:val="char3"/>
        </w:rPr>
        <w:footnoteRef/>
      </w:r>
      <w:r>
        <w:t xml:space="preserve"> Lane, </w:t>
      </w:r>
      <w:r>
        <w:rPr>
          <w:i/>
          <w:iCs/>
        </w:rPr>
        <w:t>Landscapes of the Sacred</w:t>
      </w:r>
      <w:r>
        <w:t>, p. 46.</w:t>
      </w:r>
    </w:p>
  </w:footnote>
  <w:footnote w:id="44">
    <w:p>
      <w:pPr>
        <w:pStyle w:val="para3"/>
      </w:pPr>
      <w:r>
        <w:rPr>
          <w:rStyle w:val="char3"/>
        </w:rPr>
      </w:r>
      <w:r>
        <w:rPr>
          <w:rStyle w:val="char3"/>
        </w:rPr>
        <w:footnoteRef/>
      </w:r>
      <w:r>
        <w:t xml:space="preserve"> Jean-Pierre Mohen, </w:t>
      </w:r>
      <w:r>
        <w:rPr>
          <w:i/>
          <w:iCs/>
        </w:rPr>
        <w:t>Standing Stones: Stonehenge, Carnac and The Worlds Megaliths</w:t>
      </w:r>
      <w:r>
        <w:t xml:space="preserve"> (London, Thames and Hudson, 2000) p. 13.</w:t>
      </w:r>
    </w:p>
  </w:footnote>
  <w:footnote w:id="45">
    <w:p>
      <w:pPr>
        <w:pStyle w:val="para3"/>
      </w:pPr>
      <w:r>
        <w:rPr>
          <w:rStyle w:val="char3"/>
        </w:rPr>
      </w:r>
      <w:r>
        <w:rPr>
          <w:rStyle w:val="char3"/>
        </w:rPr>
        <w:footnoteRef/>
      </w:r>
      <w:r>
        <w:t xml:space="preserve"> Peter Knight, </w:t>
      </w:r>
      <w:r>
        <w:rPr>
          <w:i/>
          <w:iCs/>
        </w:rPr>
        <w:t xml:space="preserve">Ancient Stones of Dorset </w:t>
      </w:r>
      <w:r>
        <w:t>(Ferndown, Power Publications, 1996) p. 9.</w:t>
      </w:r>
    </w:p>
  </w:footnote>
  <w:footnote w:id="46">
    <w:p>
      <w:pPr>
        <w:pStyle w:val="para3"/>
      </w:pPr>
      <w:r>
        <w:rPr>
          <w:rStyle w:val="char3"/>
        </w:rPr>
      </w:r>
      <w:r>
        <w:rPr>
          <w:rStyle w:val="char3"/>
        </w:rPr>
        <w:footnoteRef/>
      </w:r>
      <w:r>
        <w:t xml:space="preserve"> ibid.</w:t>
      </w:r>
    </w:p>
  </w:footnote>
  <w:footnote w:id="47">
    <w:p>
      <w:pPr>
        <w:pStyle w:val="para3"/>
      </w:pPr>
      <w:r>
        <w:rPr>
          <w:rStyle w:val="char3"/>
        </w:rPr>
      </w:r>
      <w:r>
        <w:rPr>
          <w:rStyle w:val="char3"/>
        </w:rPr>
        <w:footnoteRef/>
      </w:r>
      <w:r>
        <w:t xml:space="preserve"> Knight, </w:t>
      </w:r>
      <w:r>
        <w:rPr>
          <w:i/>
          <w:iCs/>
        </w:rPr>
        <w:t>Ancient Stones of Dorset</w:t>
      </w:r>
      <w:r>
        <w:t>, p. 142.</w:t>
      </w:r>
    </w:p>
  </w:footnote>
  <w:footnote w:id="48">
    <w:p>
      <w:pPr>
        <w:pStyle w:val="para3"/>
      </w:pPr>
      <w:r>
        <w:rPr>
          <w:rStyle w:val="char3"/>
        </w:rPr>
      </w:r>
      <w:r>
        <w:rPr>
          <w:rStyle w:val="char3"/>
        </w:rPr>
        <w:footnoteRef/>
      </w:r>
      <w:r>
        <w:t xml:space="preserve"> James M.D. Day, Determining the source of silcrete sarsen stones, </w:t>
      </w:r>
      <w:r>
        <w:rPr>
          <w:i/>
          <w:iCs/>
        </w:rPr>
        <w:t>Journal of Archaeological Science: Reports</w:t>
      </w:r>
      <w:r>
        <w:t>, 28, (2019), 1-14, p. 1. &lt;DOI:10.1016/j.jasrep.2019.102051&gt;.</w:t>
      </w:r>
    </w:p>
  </w:footnote>
  <w:footnote w:id="49">
    <w:p>
      <w:pPr>
        <w:pStyle w:val="para3"/>
      </w:pPr>
      <w:r>
        <w:rPr>
          <w:rStyle w:val="char3"/>
        </w:rPr>
      </w:r>
      <w:r>
        <w:rPr>
          <w:rStyle w:val="char3"/>
        </w:rPr>
        <w:footnoteRef/>
      </w:r>
      <w:r>
        <w:t xml:space="preserve"> Portesham Environmental Studies Pilot Project, </w:t>
      </w:r>
      <w:r>
        <w:rPr>
          <w:i/>
          <w:iCs/>
        </w:rPr>
        <w:t>Rocks and Landscape</w:t>
      </w:r>
      <w:r>
        <w:t>, (unpublished 1974), pp 23-27.</w:t>
      </w:r>
    </w:p>
  </w:footnote>
  <w:footnote w:id="50">
    <w:p>
      <w:pPr>
        <w:pStyle w:val="para3"/>
      </w:pPr>
      <w:r>
        <w:rPr>
          <w:rStyle w:val="char3"/>
        </w:rPr>
      </w:r>
      <w:r>
        <w:rPr>
          <w:rStyle w:val="char3"/>
        </w:rPr>
        <w:footnoteRef/>
      </w:r>
      <w:r>
        <w:t xml:space="preserve"> Paul Devereux, </w:t>
      </w:r>
      <w:r>
        <w:rPr>
          <w:i/>
          <w:iCs/>
        </w:rPr>
        <w:t>Fairy Paths and Spirit Roads: Exploring Otherworldly Routes in the Old and New Worlds</w:t>
      </w:r>
      <w:r>
        <w:t>, (London, Vega, 2003), p. 67.</w:t>
      </w:r>
    </w:p>
  </w:footnote>
  <w:footnote w:id="51">
    <w:p>
      <w:pPr>
        <w:pStyle w:val="para3"/>
      </w:pPr>
      <w:r>
        <w:rPr>
          <w:rStyle w:val="char3"/>
        </w:rPr>
      </w:r>
      <w:r>
        <w:rPr>
          <w:rStyle w:val="char3"/>
        </w:rPr>
        <w:footnoteRef/>
      </w:r>
      <w:r>
        <w:t xml:space="preserve"> Portesham Environmental Studies Pilot Project, </w:t>
      </w:r>
      <w:r>
        <w:rPr>
          <w:i/>
          <w:iCs/>
        </w:rPr>
        <w:t>Stories from Stone</w:t>
      </w:r>
      <w:r>
        <w:t>, (unpublished 1974), p. 45.</w:t>
      </w:r>
    </w:p>
  </w:footnote>
  <w:footnote w:id="52">
    <w:p>
      <w:pPr>
        <w:pStyle w:val="para3"/>
      </w:pPr>
      <w:r>
        <w:rPr>
          <w:rStyle w:val="char3"/>
        </w:rPr>
      </w:r>
      <w:r>
        <w:rPr>
          <w:rStyle w:val="char3"/>
        </w:rPr>
        <w:footnoteRef/>
      </w:r>
      <w:r>
        <w:t xml:space="preserve"> Knight, </w:t>
      </w:r>
      <w:r>
        <w:rPr>
          <w:i/>
          <w:iCs/>
        </w:rPr>
        <w:t>Ancient Stones of Dorset</w:t>
      </w:r>
      <w:r>
        <w:t>, p. 11.</w:t>
      </w:r>
    </w:p>
  </w:footnote>
  <w:footnote w:id="53">
    <w:p>
      <w:pPr>
        <w:pStyle w:val="para3"/>
      </w:pPr>
      <w:r>
        <w:rPr>
          <w:rStyle w:val="char3"/>
        </w:rPr>
      </w:r>
      <w:r>
        <w:rPr>
          <w:rStyle w:val="char3"/>
        </w:rPr>
        <w:footnoteRef/>
      </w:r>
      <w:r>
        <w:t xml:space="preserve"> Knight, </w:t>
      </w:r>
      <w:r>
        <w:rPr>
          <w:i/>
          <w:iCs/>
        </w:rPr>
        <w:t>Ancient Stones of Dorset</w:t>
      </w:r>
      <w:r>
        <w:t>, p. 10.</w:t>
      </w:r>
    </w:p>
  </w:footnote>
  <w:footnote w:id="54">
    <w:p>
      <w:pPr>
        <w:pStyle w:val="para3"/>
      </w:pPr>
      <w:r>
        <w:rPr>
          <w:rStyle w:val="char3"/>
        </w:rPr>
      </w:r>
      <w:r>
        <w:rPr>
          <w:rStyle w:val="char3"/>
        </w:rPr>
        <w:footnoteRef/>
      </w:r>
      <w:r>
        <w:t xml:space="preserve"> Knight, </w:t>
      </w:r>
      <w:r>
        <w:rPr>
          <w:i/>
          <w:iCs/>
        </w:rPr>
        <w:t>Ancient Stones of Dorset</w:t>
      </w:r>
      <w:r>
        <w:t>, p. 38.</w:t>
      </w:r>
    </w:p>
  </w:footnote>
  <w:footnote w:id="55">
    <w:p>
      <w:pPr>
        <w:pStyle w:val="para3"/>
      </w:pPr>
      <w:r>
        <w:rPr>
          <w:rStyle w:val="char3"/>
        </w:rPr>
      </w:r>
      <w:r>
        <w:rPr>
          <w:rStyle w:val="char3"/>
        </w:rPr>
        <w:footnoteRef/>
      </w:r>
      <w:r>
        <w:t xml:space="preserve"> Knight, </w:t>
      </w:r>
      <w:r>
        <w:rPr>
          <w:i/>
          <w:iCs/>
        </w:rPr>
        <w:t>Ancient Stones of Dorset</w:t>
      </w:r>
      <w:r>
        <w:t>, p. 143.</w:t>
      </w:r>
    </w:p>
  </w:footnote>
  <w:footnote w:id="56">
    <w:p>
      <w:pPr>
        <w:pStyle w:val="para3"/>
        <w:spacing/>
        <w:jc w:val="left"/>
      </w:pPr>
      <w:r>
        <w:rPr>
          <w:rStyle w:val="char3"/>
        </w:rPr>
      </w:r>
      <w:r>
        <w:rPr>
          <w:rStyle w:val="char3"/>
        </w:rPr>
        <w:footnoteRef/>
      </w:r>
      <w:r>
        <w:t xml:space="preserve"> Katy Whitaker, </w:t>
      </w:r>
      <w:r>
        <w:rPr>
          <w:i/>
          <w:iCs/>
        </w:rPr>
        <w:t xml:space="preserve">Sarsen Stones in Wessex: Dataset </w:t>
      </w:r>
      <w:r>
        <w:t>(University of Reading, 2020) &lt;DOI:10.17864/1947.249&gt;</w:t>
      </w:r>
    </w:p>
  </w:footnote>
  <w:footnote w:id="57">
    <w:p>
      <w:pPr>
        <w:pStyle w:val="para3"/>
        <w:spacing/>
        <w:jc w:val="left"/>
      </w:pPr>
      <w:r>
        <w:rPr>
          <w:rStyle w:val="char3"/>
        </w:rPr>
      </w:r>
      <w:r>
        <w:rPr>
          <w:rStyle w:val="char3"/>
        </w:rPr>
        <w:footnoteRef/>
      </w:r>
      <w:r>
        <w:t xml:space="preserve"> Katy Whitaker, ‘Wessex Sarsens Method’, </w:t>
      </w:r>
      <w:r>
        <w:rPr>
          <w:i/>
          <w:iCs/>
        </w:rPr>
        <w:t>Sarsen Stones in Wessex</w:t>
      </w:r>
      <w:r>
        <w:t>, (University of Reading, 2020) p. 12. &lt;DOI:10.17864/1947.249&gt;.</w:t>
      </w:r>
    </w:p>
  </w:footnote>
  <w:footnote w:id="58">
    <w:p>
      <w:pPr>
        <w:pStyle w:val="para3"/>
      </w:pPr>
      <w:r>
        <w:rPr>
          <w:rStyle w:val="char3"/>
        </w:rPr>
      </w:r>
      <w:r>
        <w:rPr>
          <w:rStyle w:val="char3"/>
        </w:rPr>
        <w:footnoteRef/>
      </w:r>
      <w:r>
        <w:t xml:space="preserve"> Whitaker, </w:t>
      </w:r>
      <w:r>
        <w:rPr>
          <w:i/>
          <w:iCs/>
        </w:rPr>
        <w:t>Sarsen Stones in Wessex</w:t>
      </w:r>
      <w:r>
        <w:t>. Dataset.</w:t>
      </w:r>
    </w:p>
  </w:footnote>
  <w:footnote w:id="59">
    <w:p>
      <w:pPr>
        <w:pStyle w:val="para3"/>
      </w:pPr>
      <w:r>
        <w:rPr>
          <w:rStyle w:val="char3"/>
        </w:rPr>
      </w:r>
      <w:r>
        <w:rPr>
          <w:rStyle w:val="char3"/>
        </w:rPr>
        <w:footnoteRef/>
      </w:r>
      <w:r>
        <w:t xml:space="preserve"> Whitaker, </w:t>
      </w:r>
      <w:r>
        <w:rPr>
          <w:i/>
          <w:iCs/>
        </w:rPr>
        <w:t>Wessex Sarsens Method</w:t>
      </w:r>
      <w:r>
        <w:t>, p. 40.</w:t>
      </w:r>
    </w:p>
  </w:footnote>
  <w:footnote w:id="60">
    <w:p>
      <w:pPr>
        <w:pStyle w:val="para3"/>
      </w:pPr>
      <w:r>
        <w:rPr>
          <w:rStyle w:val="char3"/>
        </w:rPr>
      </w:r>
      <w:r>
        <w:rPr>
          <w:rStyle w:val="char3"/>
        </w:rPr>
        <w:footnoteRef/>
      </w:r>
      <w:r>
        <w:t xml:space="preserve"> Portesham Environmental Studies Pilot Programme, </w:t>
      </w:r>
      <w:r>
        <w:rPr>
          <w:i/>
          <w:iCs/>
        </w:rPr>
        <w:t>Stories from Stones</w:t>
      </w:r>
      <w:r>
        <w:t>, (unpublished 1974) p. 37.</w:t>
      </w:r>
    </w:p>
  </w:footnote>
  <w:footnote w:id="61">
    <w:p>
      <w:pPr>
        <w:pStyle w:val="para3"/>
      </w:pPr>
      <w:r>
        <w:rPr>
          <w:rStyle w:val="char3"/>
        </w:rPr>
      </w:r>
      <w:r>
        <w:rPr>
          <w:rStyle w:val="char3"/>
        </w:rPr>
        <w:footnoteRef/>
      </w:r>
      <w:r>
        <w:t xml:space="preserve"> Andy Burnham, </w:t>
      </w:r>
      <w:r>
        <w:rPr>
          <w:i/>
          <w:iCs/>
        </w:rPr>
        <w:t>The Megalithic Portal,</w:t>
      </w:r>
      <w:r>
        <w:t xml:space="preserve"> &lt;https://www.megalithic.co.uk/&gt; [accessed: 11</w:t>
      </w:r>
      <w:r>
        <w:rPr>
          <w:vertAlign w:val="superscript"/>
        </w:rPr>
        <w:t>th</w:t>
      </w:r>
      <w:r>
        <w:t xml:space="preserve"> December 2025]</w:t>
      </w:r>
    </w:p>
  </w:footnote>
  <w:footnote w:id="62">
    <w:p>
      <w:pPr>
        <w:pStyle w:val="para3"/>
      </w:pPr>
      <w:r>
        <w:rPr>
          <w:rStyle w:val="char3"/>
        </w:rPr>
      </w:r>
      <w:r>
        <w:rPr>
          <w:rStyle w:val="char3"/>
        </w:rPr>
        <w:footnoteRef/>
      </w:r>
      <w:r>
        <w:t xml:space="preserve"> Knight, </w:t>
      </w:r>
      <w:r>
        <w:rPr>
          <w:i/>
          <w:iCs/>
        </w:rPr>
        <w:t>Ancients Stones of Dorset</w:t>
      </w:r>
      <w:r>
        <w:t>, p. 6.</w:t>
      </w:r>
    </w:p>
  </w:footnote>
  <w:footnote w:id="63">
    <w:p>
      <w:pPr>
        <w:pStyle w:val="para3"/>
      </w:pPr>
      <w:r>
        <w:rPr>
          <w:rStyle w:val="char3"/>
        </w:rPr>
      </w:r>
      <w:r>
        <w:rPr>
          <w:rStyle w:val="char3"/>
        </w:rPr>
        <w:footnoteRef/>
      </w:r>
      <w:r>
        <w:t xml:space="preserve"> Tim Ingold, </w:t>
      </w:r>
      <w:r>
        <w:rPr>
          <w:i/>
          <w:iCs/>
        </w:rPr>
        <w:t>Lines</w:t>
      </w:r>
      <w:r>
        <w:t xml:space="preserve"> (Oxon, Routledge Classics, 2016) p. 3.</w:t>
      </w:r>
    </w:p>
  </w:footnote>
  <w:footnote w:id="64">
    <w:p>
      <w:pPr>
        <w:pStyle w:val="para3"/>
      </w:pPr>
      <w:r>
        <w:rPr>
          <w:rStyle w:val="char3"/>
        </w:rPr>
      </w:r>
      <w:r>
        <w:rPr>
          <w:rStyle w:val="char3"/>
        </w:rPr>
        <w:footnoteRef/>
      </w:r>
      <w:r>
        <w:t xml:space="preserve"> Jeany Poulsen, </w:t>
      </w:r>
      <w:r>
        <w:rPr>
          <w:i/>
          <w:iCs/>
        </w:rPr>
        <w:t>From Little Acorns: The Story of a Dorset School</w:t>
      </w:r>
      <w:r>
        <w:t>, (Unpublished 1994) p. 1.</w:t>
      </w:r>
    </w:p>
  </w:footnote>
  <w:footnote w:id="65">
    <w:p>
      <w:pPr>
        <w:pStyle w:val="para3"/>
      </w:pPr>
      <w:r>
        <w:rPr>
          <w:rStyle w:val="char3"/>
        </w:rPr>
      </w:r>
      <w:r>
        <w:rPr>
          <w:rStyle w:val="char3"/>
        </w:rPr>
        <w:footnoteRef/>
      </w:r>
      <w:r>
        <w:t xml:space="preserve"> Poulsen, </w:t>
      </w:r>
      <w:r>
        <w:rPr>
          <w:i/>
          <w:iCs/>
        </w:rPr>
        <w:t xml:space="preserve">From Little Acorns, </w:t>
      </w:r>
      <w:r>
        <w:t>p. 1.</w:t>
      </w:r>
    </w:p>
  </w:footnote>
  <w:footnote w:id="66">
    <w:p>
      <w:pPr>
        <w:pStyle w:val="para3"/>
      </w:pPr>
      <w:r>
        <w:rPr>
          <w:rStyle w:val="char3"/>
        </w:rPr>
      </w:r>
      <w:r>
        <w:rPr>
          <w:rStyle w:val="char3"/>
        </w:rPr>
        <w:footnoteRef/>
      </w:r>
      <w:r>
        <w:t xml:space="preserve"> Poulsen, </w:t>
      </w:r>
      <w:r>
        <w:rPr>
          <w:i/>
          <w:iCs/>
        </w:rPr>
        <w:t xml:space="preserve">From Little Acorns, </w:t>
      </w:r>
      <w:r>
        <w:t>p. 5.</w:t>
      </w:r>
    </w:p>
  </w:footnote>
  <w:footnote w:id="67">
    <w:p>
      <w:pPr>
        <w:pStyle w:val="para3"/>
      </w:pPr>
      <w:r>
        <w:rPr>
          <w:rStyle w:val="char3"/>
        </w:rPr>
      </w:r>
      <w:r>
        <w:rPr>
          <w:rStyle w:val="char3"/>
        </w:rPr>
        <w:footnoteRef/>
      </w:r>
      <w:r>
        <w:t xml:space="preserve"> Ward Rutherford, </w:t>
      </w:r>
      <w:r>
        <w:rPr>
          <w:i/>
          <w:iCs/>
        </w:rPr>
        <w:t>Celtic Mythology</w:t>
      </w:r>
      <w:r>
        <w:t xml:space="preserve"> (London, Coronet, 2015) p. 118.</w:t>
      </w:r>
    </w:p>
  </w:footnote>
  <w:footnote w:id="68">
    <w:p>
      <w:pPr>
        <w:pStyle w:val="para3"/>
      </w:pPr>
      <w:r>
        <w:rPr>
          <w:rStyle w:val="char3"/>
        </w:rPr>
      </w:r>
      <w:r>
        <w:rPr>
          <w:rStyle w:val="char3"/>
        </w:rPr>
        <w:footnoteRef/>
      </w:r>
      <w:r>
        <w:t xml:space="preserve"> Devereux, </w:t>
      </w:r>
      <w:r>
        <w:rPr>
          <w:i/>
          <w:iCs/>
        </w:rPr>
        <w:t>Fairy Paths and Spirit Roads</w:t>
      </w:r>
      <w:r>
        <w:t>, p. 69</w:t>
      </w:r>
    </w:p>
  </w:footnote>
  <w:footnote w:id="69">
    <w:p>
      <w:pPr>
        <w:pStyle w:val="para3"/>
      </w:pPr>
      <w:r>
        <w:rPr>
          <w:rStyle w:val="char3"/>
        </w:rPr>
      </w:r>
      <w:r>
        <w:rPr>
          <w:rStyle w:val="char3"/>
        </w:rPr>
        <w:footnoteRef/>
      </w:r>
      <w:r>
        <w:t xml:space="preserve"> Mircea Eliade, </w:t>
      </w:r>
      <w:r>
        <w:rPr>
          <w:i/>
          <w:iCs/>
        </w:rPr>
        <w:t>The Sacred and The Profane</w:t>
      </w:r>
      <w:r>
        <w:t>, trans. By Willard R. Trask (New York, Harcourt Inc, 1959). pp. 185-6</w:t>
      </w:r>
    </w:p>
  </w:footnote>
  <w:footnote w:id="70">
    <w:p>
      <w:pPr>
        <w:pStyle w:val="para3"/>
      </w:pPr>
      <w:r>
        <w:rPr>
          <w:rStyle w:val="char3"/>
        </w:rPr>
      </w:r>
      <w:r>
        <w:rPr>
          <w:rStyle w:val="char3"/>
        </w:rPr>
        <w:footnoteRef/>
      </w:r>
      <w:r>
        <w:t xml:space="preserve"> Durkheim, </w:t>
      </w:r>
      <w:r>
        <w:rPr>
          <w:i/>
          <w:iCs/>
        </w:rPr>
        <w:t>Forms</w:t>
      </w:r>
      <w:r>
        <w:t>, p. 262.</w:t>
      </w:r>
    </w:p>
  </w:footnote>
  <w:footnote w:id="71">
    <w:p>
      <w:pPr>
        <w:pStyle w:val="para3"/>
      </w:pPr>
      <w:r>
        <w:rPr>
          <w:rStyle w:val="char3"/>
        </w:rPr>
      </w:r>
      <w:r>
        <w:rPr>
          <w:rStyle w:val="char3"/>
        </w:rPr>
        <w:footnoteRef/>
      </w:r>
      <w:r>
        <w:t xml:space="preserve"> </w:t>
      </w:r>
      <w:r>
        <w:rPr>
          <w:sz w:val="22"/>
          <w:szCs w:val="22"/>
        </w:rPr>
        <w:t xml:space="preserve">Bender, </w:t>
      </w:r>
      <w:r>
        <w:rPr>
          <w:i/>
          <w:iCs/>
        </w:rPr>
        <w:t>Stonehenge</w:t>
      </w:r>
      <w:r>
        <w:t xml:space="preserve"> p. 55</w:t>
      </w:r>
    </w:p>
  </w:footnote>
  <w:footnote w:id="72">
    <w:p>
      <w:pPr>
        <w:pStyle w:val="para3"/>
        <w:rPr>
          <w:sz w:val="22"/>
          <w:szCs w:val="22"/>
        </w:rPr>
      </w:pPr>
      <w:r>
        <w:rPr>
          <w:rStyle w:val="char3"/>
        </w:rPr>
      </w:r>
      <w:r>
        <w:rPr>
          <w:rStyle w:val="char3"/>
        </w:rPr>
        <w:footnoteRef/>
      </w:r>
      <w:r>
        <w:t xml:space="preserve"> </w:t>
      </w:r>
      <w:r>
        <w:rPr>
          <w:sz w:val="22"/>
          <w:szCs w:val="22"/>
        </w:rPr>
        <w:t xml:space="preserve">Bender, </w:t>
      </w:r>
      <w:r>
        <w:rPr>
          <w:i/>
          <w:iCs/>
          <w:sz w:val="22"/>
          <w:szCs w:val="22"/>
        </w:rPr>
        <w:t>Stonehenge,</w:t>
      </w:r>
      <w:r>
        <w:rPr>
          <w:sz w:val="22"/>
          <w:szCs w:val="22"/>
        </w:rPr>
        <w:t xml:space="preserve"> p. 64</w:t>
      </w:r>
      <w:r>
        <w:rPr>
          <w:sz w:val="22"/>
          <w:szCs w:val="22"/>
        </w:rPr>
      </w:r>
    </w:p>
  </w:footnote>
  <w:footnote w:id="73">
    <w:p>
      <w:pPr>
        <w:pStyle w:val="para3"/>
        <w:rPr>
          <w:sz w:val="22"/>
          <w:szCs w:val="22"/>
        </w:rPr>
      </w:pPr>
      <w:r>
        <w:rPr>
          <w:rStyle w:val="char3"/>
        </w:rPr>
      </w:r>
      <w:r>
        <w:rPr>
          <w:rStyle w:val="char3"/>
        </w:rPr>
        <w:footnoteRef/>
      </w:r>
      <w:r>
        <w:t xml:space="preserve"> </w:t>
      </w:r>
      <w:r>
        <w:rPr>
          <w:sz w:val="22"/>
          <w:szCs w:val="22"/>
        </w:rPr>
        <w:t xml:space="preserve">Bender, </w:t>
      </w:r>
      <w:r>
        <w:rPr>
          <w:i/>
          <w:iCs/>
          <w:sz w:val="22"/>
          <w:szCs w:val="22"/>
        </w:rPr>
        <w:t>Stonehenge,</w:t>
      </w:r>
      <w:r>
        <w:rPr>
          <w:sz w:val="22"/>
          <w:szCs w:val="22"/>
        </w:rPr>
        <w:t xml:space="preserve">  p. 56</w:t>
      </w:r>
      <w:r>
        <w:rPr>
          <w:sz w:val="22"/>
          <w:szCs w:val="22"/>
        </w:rPr>
      </w:r>
    </w:p>
  </w:footnote>
  <w:footnote w:id="74">
    <w:p>
      <w:pPr>
        <w:pStyle w:val="para3"/>
      </w:pPr>
      <w:r>
        <w:rPr>
          <w:rStyle w:val="char3"/>
        </w:rPr>
      </w:r>
      <w:r>
        <w:rPr>
          <w:rStyle w:val="char3"/>
        </w:rPr>
        <w:footnoteRef/>
      </w:r>
      <w:r>
        <w:t xml:space="preserve"> Evan Hadingham, </w:t>
      </w:r>
      <w:r>
        <w:rPr>
          <w:i/>
          <w:iCs/>
        </w:rPr>
        <w:t>Circles and Standing Stones</w:t>
      </w:r>
      <w:r>
        <w:t xml:space="preserve"> (London, William Heinemann Ltd, 1975) p. 33.</w:t>
      </w:r>
    </w:p>
  </w:footnote>
  <w:footnote w:id="75">
    <w:p>
      <w:pPr>
        <w:pStyle w:val="para3"/>
      </w:pPr>
      <w:r>
        <w:rPr>
          <w:rStyle w:val="char3"/>
        </w:rPr>
      </w:r>
      <w:r>
        <w:rPr>
          <w:rStyle w:val="char3"/>
        </w:rPr>
        <w:footnoteRef/>
      </w:r>
      <w:r>
        <w:t xml:space="preserve"> Hadingham, </w:t>
      </w:r>
      <w:r>
        <w:rPr>
          <w:i/>
          <w:iCs/>
        </w:rPr>
        <w:t>Circles and Standing Stones</w:t>
      </w:r>
      <w:r>
        <w:t>, p. 34.</w:t>
      </w:r>
    </w:p>
  </w:footnote>
  <w:footnote w:id="76">
    <w:p>
      <w:pPr>
        <w:pStyle w:val="para3"/>
      </w:pPr>
      <w:r>
        <w:rPr>
          <w:rStyle w:val="char3"/>
        </w:rPr>
      </w:r>
      <w:r>
        <w:rPr>
          <w:rStyle w:val="char3"/>
        </w:rPr>
        <w:footnoteRef/>
      </w:r>
      <w:r>
        <w:t xml:space="preserve"> Devereux, </w:t>
      </w:r>
      <w:r>
        <w:rPr>
          <w:i/>
          <w:iCs/>
        </w:rPr>
        <w:t>Fairy Paths ,</w:t>
      </w:r>
      <w:r>
        <w:t xml:space="preserve"> pp. 70-71.</w:t>
      </w:r>
    </w:p>
  </w:footnote>
  <w:footnote w:id="77">
    <w:p>
      <w:pPr>
        <w:pStyle w:val="para3"/>
      </w:pPr>
      <w:r>
        <w:rPr>
          <w:rStyle w:val="char3"/>
        </w:rPr>
      </w:r>
      <w:r>
        <w:rPr>
          <w:rStyle w:val="char3"/>
        </w:rPr>
        <w:footnoteRef/>
      </w:r>
      <w:r>
        <w:t xml:space="preserve"> </w:t>
      </w:r>
      <w:r>
        <w:rPr>
          <w:sz w:val="22"/>
          <w:szCs w:val="22"/>
        </w:rPr>
        <w:t xml:space="preserve">Bender, </w:t>
      </w:r>
      <w:r>
        <w:rPr>
          <w:i/>
          <w:iCs/>
        </w:rPr>
        <w:t>Stonehenge,</w:t>
      </w:r>
      <w:r>
        <w:t xml:space="preserve"> p. 48</w:t>
      </w:r>
    </w:p>
  </w:footnote>
  <w:footnote w:id="78">
    <w:p>
      <w:pPr>
        <w:pStyle w:val="para3"/>
      </w:pPr>
      <w:r>
        <w:rPr>
          <w:rStyle w:val="char3"/>
        </w:rPr>
      </w:r>
      <w:r>
        <w:rPr>
          <w:rStyle w:val="char3"/>
        </w:rPr>
        <w:footnoteRef/>
      </w:r>
      <w:r>
        <w:t xml:space="preserve"> Christopher Tilley, </w:t>
      </w:r>
      <w:r>
        <w:rPr>
          <w:i/>
          <w:iCs/>
        </w:rPr>
        <w:t>A Phenomenology of Landscape</w:t>
      </w:r>
      <w:r>
        <w:t xml:space="preserve"> (Oxford, Berg Publishers, 1994) pp. 170-201.</w:t>
      </w:r>
    </w:p>
  </w:footnote>
  <w:footnote w:id="79">
    <w:p>
      <w:pPr>
        <w:pStyle w:val="para3"/>
      </w:pPr>
      <w:r>
        <w:rPr>
          <w:rStyle w:val="char3"/>
        </w:rPr>
      </w:r>
      <w:r>
        <w:rPr>
          <w:rStyle w:val="char3"/>
        </w:rPr>
        <w:footnoteRef/>
      </w:r>
      <w:r>
        <w:t xml:space="preserve"> Devereux, </w:t>
      </w:r>
      <w:r>
        <w:rPr>
          <w:i/>
          <w:iCs/>
        </w:rPr>
        <w:t>Fairy Paths ,</w:t>
      </w:r>
      <w:r>
        <w:t xml:space="preserve"> p. 72.</w:t>
      </w:r>
    </w:p>
  </w:footnote>
  <w:footnote w:id="80">
    <w:p>
      <w:pPr>
        <w:pStyle w:val="para3"/>
      </w:pPr>
      <w:r>
        <w:rPr>
          <w:rStyle w:val="char3"/>
        </w:rPr>
      </w:r>
      <w:r>
        <w:rPr>
          <w:rStyle w:val="char3"/>
        </w:rPr>
        <w:footnoteRef/>
      </w:r>
      <w:r>
        <w:t xml:space="preserve"> Devereux, </w:t>
      </w:r>
      <w:r>
        <w:rPr>
          <w:i/>
          <w:iCs/>
        </w:rPr>
        <w:t>Fairy Paths,</w:t>
      </w:r>
      <w:r>
        <w:t xml:space="preserve"> p. 25.</w:t>
      </w:r>
    </w:p>
  </w:footnote>
  <w:footnote w:id="81">
    <w:p>
      <w:pPr>
        <w:pStyle w:val="para3"/>
      </w:pPr>
      <w:r>
        <w:rPr>
          <w:rStyle w:val="char3"/>
        </w:rPr>
      </w:r>
      <w:r>
        <w:rPr>
          <w:rStyle w:val="char3"/>
        </w:rPr>
        <w:footnoteRef/>
      </w:r>
      <w:r>
        <w:t xml:space="preserve"> Devereux, </w:t>
      </w:r>
      <w:r>
        <w:rPr>
          <w:i/>
          <w:iCs/>
        </w:rPr>
        <w:t>Fairy Paths,</w:t>
      </w:r>
      <w:r>
        <w:t xml:space="preserve"> p. 26.</w:t>
      </w:r>
    </w:p>
  </w:footnote>
  <w:footnote w:id="82">
    <w:p>
      <w:pPr>
        <w:pStyle w:val="para3"/>
      </w:pPr>
      <w:r>
        <w:rPr>
          <w:rStyle w:val="char3"/>
        </w:rPr>
      </w:r>
      <w:r>
        <w:rPr>
          <w:rStyle w:val="char3"/>
        </w:rPr>
        <w:footnoteRef/>
      </w:r>
      <w:r>
        <w:t xml:space="preserve"> Devereux, </w:t>
      </w:r>
      <w:r>
        <w:rPr>
          <w:i/>
          <w:iCs/>
        </w:rPr>
        <w:t>Fairy Paths,</w:t>
      </w:r>
      <w:r>
        <w:t xml:space="preserve"> p. 27.</w:t>
      </w:r>
    </w:p>
  </w:footnote>
  <w:footnote w:id="83">
    <w:p>
      <w:pPr>
        <w:pStyle w:val="para3"/>
      </w:pPr>
      <w:r>
        <w:rPr>
          <w:rStyle w:val="char3"/>
        </w:rPr>
      </w:r>
      <w:r>
        <w:rPr>
          <w:rStyle w:val="char3"/>
        </w:rPr>
        <w:footnoteRef/>
      </w:r>
      <w:r>
        <w:t xml:space="preserve"> Valentin, ‘Manor Farm’, p. 23.</w:t>
      </w:r>
    </w:p>
  </w:footnote>
  <w:footnote w:id="84">
    <w:p>
      <w:pPr>
        <w:pStyle w:val="para3"/>
      </w:pPr>
      <w:r>
        <w:rPr>
          <w:rStyle w:val="char3"/>
        </w:rPr>
      </w:r>
      <w:r>
        <w:rPr>
          <w:rStyle w:val="char3"/>
        </w:rPr>
        <w:footnoteRef/>
      </w:r>
      <w:r>
        <w:t xml:space="preserve"> Valentin, ‘Manor Farm’, p. 35.</w:t>
      </w:r>
    </w:p>
  </w:footnote>
  <w:footnote w:id="85">
    <w:p>
      <w:pPr>
        <w:pStyle w:val="para3"/>
      </w:pPr>
      <w:r>
        <w:rPr>
          <w:rStyle w:val="char3"/>
        </w:rPr>
      </w:r>
      <w:r>
        <w:rPr>
          <w:rStyle w:val="char3"/>
        </w:rPr>
        <w:footnoteRef/>
      </w:r>
      <w:r>
        <w:t xml:space="preserve"> Valentin, ‘Manor Farm’, pp. 46-51.</w:t>
      </w:r>
    </w:p>
  </w:footnote>
  <w:footnote w:id="86">
    <w:p>
      <w:pPr>
        <w:pStyle w:val="para3"/>
      </w:pPr>
      <w:r>
        <w:rPr>
          <w:rStyle w:val="char3"/>
        </w:rPr>
      </w:r>
      <w:r>
        <w:rPr>
          <w:rStyle w:val="char3"/>
        </w:rPr>
        <w:footnoteRef/>
      </w:r>
      <w:r>
        <w:t xml:space="preserve"> Valentin, ‘Manor Farm’, p. 46.</w:t>
      </w:r>
    </w:p>
  </w:footnote>
  <w:footnote w:id="87">
    <w:p>
      <w:pPr>
        <w:pStyle w:val="para3"/>
      </w:pPr>
      <w:r>
        <w:rPr>
          <w:rStyle w:val="char3"/>
        </w:rPr>
      </w:r>
      <w:r>
        <w:rPr>
          <w:rStyle w:val="char3"/>
        </w:rPr>
        <w:footnoteRef/>
      </w:r>
      <w:r>
        <w:t xml:space="preserve"> Valentin, ‘Manor Farm’, pp. 51-56.</w:t>
      </w:r>
    </w:p>
  </w:footnote>
  <w:footnote w:id="88">
    <w:p>
      <w:pPr>
        <w:pStyle w:val="para3"/>
      </w:pPr>
      <w:r>
        <w:rPr>
          <w:rStyle w:val="char3"/>
        </w:rPr>
      </w:r>
      <w:r>
        <w:rPr>
          <w:rStyle w:val="char3"/>
        </w:rPr>
        <w:footnoteRef/>
      </w:r>
      <w:r>
        <w:t xml:space="preserve"> Valentin, ‘Manor Farm’, p. 57.</w:t>
      </w:r>
    </w:p>
  </w:footnote>
  <w:footnote w:id="89">
    <w:p>
      <w:pPr>
        <w:pStyle w:val="para3"/>
      </w:pPr>
      <w:r>
        <w:rPr>
          <w:rStyle w:val="char3"/>
        </w:rPr>
      </w:r>
      <w:r>
        <w:rPr>
          <w:rStyle w:val="char3"/>
        </w:rPr>
        <w:footnoteRef/>
      </w:r>
      <w:r>
        <w:t xml:space="preserve"> Valentin, ‘Manor Farm’, p. 61.</w:t>
      </w:r>
    </w:p>
  </w:footnote>
  <w:footnote w:id="90">
    <w:p>
      <w:pPr>
        <w:pStyle w:val="para3"/>
      </w:pPr>
      <w:r>
        <w:rPr>
          <w:rStyle w:val="char3"/>
        </w:rPr>
      </w:r>
      <w:r>
        <w:rPr>
          <w:rStyle w:val="char3"/>
        </w:rPr>
        <w:footnoteRef/>
      </w:r>
      <w:r>
        <w:t xml:space="preserve"> Valentin, ‘Manor Farm’, p. 61.</w:t>
      </w:r>
    </w:p>
  </w:footnote>
  <w:footnote w:id="91">
    <w:p>
      <w:pPr>
        <w:pStyle w:val="para3"/>
      </w:pPr>
      <w:r>
        <w:rPr>
          <w:rStyle w:val="char3"/>
        </w:rPr>
      </w:r>
      <w:r>
        <w:rPr>
          <w:rStyle w:val="char3"/>
        </w:rPr>
        <w:footnoteRef/>
      </w:r>
      <w:r>
        <w:t xml:space="preserve"> Portesham Environmental Studies Pilot Programme, </w:t>
      </w:r>
      <w:r>
        <w:rPr>
          <w:i/>
          <w:iCs/>
        </w:rPr>
        <w:t>Stories from Stones</w:t>
      </w:r>
      <w:r>
        <w:t>, p. 37.</w:t>
      </w:r>
    </w:p>
  </w:footnote>
  <w:footnote w:id="92">
    <w:p>
      <w:pPr>
        <w:pStyle w:val="para3"/>
      </w:pPr>
      <w:r>
        <w:rPr>
          <w:rStyle w:val="char3"/>
        </w:rPr>
      </w:r>
      <w:r>
        <w:rPr>
          <w:rStyle w:val="char3"/>
        </w:rPr>
        <w:footnoteRef/>
      </w:r>
      <w:r>
        <w:t xml:space="preserve"> Portesham Environmental Studies Pilot Project, </w:t>
      </w:r>
      <w:r>
        <w:rPr>
          <w:i/>
          <w:iCs/>
        </w:rPr>
        <w:t>Rocks and Landscape</w:t>
      </w:r>
      <w:r>
        <w:t>, (unpublished 1974) pp 23-27.</w:t>
      </w:r>
    </w:p>
  </w:footnote>
  <w:footnote w:id="93">
    <w:p>
      <w:pPr>
        <w:pStyle w:val="para3"/>
      </w:pPr>
      <w:r>
        <w:rPr>
          <w:rStyle w:val="char3"/>
        </w:rPr>
      </w:r>
      <w:r>
        <w:rPr>
          <w:rStyle w:val="char3"/>
        </w:rPr>
        <w:footnoteRef/>
      </w:r>
      <w:r>
        <w:t xml:space="preserve"> Linda Parkinson-Hardman, ‘</w:t>
      </w:r>
      <w:r>
        <w:rPr>
          <w:i/>
          <w:iCs/>
        </w:rPr>
        <w:t>Portesham Stone Flow</w:t>
      </w:r>
      <w:r>
        <w:t>’, JPG map, Scale 1:2500, OS MasterMap, January 2025, Ordnance Survey, using Digimap Ordnance Survey Collection. &lt;https://digimap.edina.ac.uk/&gt; [created 22 December 2025].</w:t>
      </w:r>
    </w:p>
  </w:footnote>
  <w:footnote w:id="94">
    <w:p>
      <w:pPr>
        <w:pStyle w:val="para3"/>
      </w:pPr>
      <w:r>
        <w:rPr>
          <w:rStyle w:val="char3"/>
        </w:rPr>
      </w:r>
      <w:r>
        <w:rPr>
          <w:rStyle w:val="char3"/>
        </w:rPr>
        <w:footnoteRef/>
      </w:r>
      <w:r>
        <w:t xml:space="preserve"> Devereux, </w:t>
      </w:r>
      <w:r>
        <w:rPr>
          <w:i/>
          <w:iCs/>
        </w:rPr>
        <w:t>Secrets of Ancient and Sacred Places</w:t>
      </w:r>
      <w:r>
        <w:t>, pp 26-27</w:t>
      </w:r>
    </w:p>
  </w:footnote>
  <w:footnote w:id="95">
    <w:p>
      <w:pPr>
        <w:pStyle w:val="para3"/>
        <w:rPr>
          <w:b/>
          <w:bCs/>
        </w:rPr>
      </w:pPr>
      <w:r>
        <w:rPr>
          <w:rStyle w:val="char3"/>
        </w:rPr>
      </w:r>
      <w:r>
        <w:rPr>
          <w:rStyle w:val="char3"/>
        </w:rPr>
        <w:footnoteRef/>
      </w:r>
      <w:r>
        <w:t xml:space="preserve"> Linda Parkinson-Hardman, ‘</w:t>
      </w:r>
      <w:r>
        <w:rPr>
          <w:i/>
          <w:iCs/>
        </w:rPr>
        <w:t>Portesham Village Green</w:t>
      </w:r>
      <w:r>
        <w:t>’, JPG map, Scale 1:2500, OS MasterMap, January 2025, Ordnance Survey, using Digimap Ordnance Survey Collection. &lt;https://digimap.edina.ac.uk/&gt; [created 22 December 2025].</w:t>
      </w:r>
      <w:r>
        <w:rPr>
          <w:b/>
          <w:bCs/>
        </w:rPr>
      </w:r>
    </w:p>
  </w:footnote>
  <w:footnote w:id="96">
    <w:p>
      <w:pPr>
        <w:pStyle w:val="para3"/>
      </w:pPr>
      <w:r>
        <w:rPr>
          <w:rStyle w:val="char3"/>
        </w:rPr>
      </w:r>
      <w:r>
        <w:rPr>
          <w:rStyle w:val="char3"/>
        </w:rPr>
        <w:footnoteRef/>
      </w:r>
      <w:r>
        <w:t xml:space="preserve"> Devereux, </w:t>
      </w:r>
      <w:r>
        <w:rPr>
          <w:i/>
          <w:iCs/>
        </w:rPr>
        <w:t>Secrets of Ancient and Sacred Places</w:t>
      </w:r>
      <w:r>
        <w:t>, p. 24.</w:t>
      </w:r>
    </w:p>
  </w:footnote>
  <w:footnote w:id="97">
    <w:p>
      <w:pPr>
        <w:pStyle w:val="para3"/>
      </w:pPr>
      <w:r>
        <w:rPr>
          <w:rStyle w:val="char3"/>
        </w:rPr>
      </w:r>
      <w:r>
        <w:rPr>
          <w:rStyle w:val="char3"/>
        </w:rPr>
        <w:footnoteRef/>
      </w:r>
      <w:r>
        <w:t xml:space="preserve"> Devereux, </w:t>
      </w:r>
      <w:r>
        <w:rPr>
          <w:i/>
          <w:iCs/>
        </w:rPr>
        <w:t xml:space="preserve">Fairy Paths, </w:t>
      </w:r>
      <w:r>
        <w:t>p. 26.</w:t>
      </w:r>
    </w:p>
  </w:footnote>
  <w:footnote w:id="98">
    <w:p>
      <w:pPr>
        <w:pStyle w:val="para3"/>
      </w:pPr>
      <w:r>
        <w:rPr>
          <w:rStyle w:val="char3"/>
        </w:rPr>
      </w:r>
      <w:r>
        <w:rPr>
          <w:rStyle w:val="char3"/>
        </w:rPr>
        <w:footnoteRef/>
      </w:r>
      <w:r>
        <w:t xml:space="preserve"> Devereux, </w:t>
      </w:r>
      <w:r>
        <w:rPr>
          <w:i/>
          <w:iCs/>
        </w:rPr>
        <w:t>Fairy Paths,</w:t>
      </w:r>
      <w:r>
        <w:t xml:space="preserve"> p. 27.</w:t>
      </w:r>
    </w:p>
  </w:footnote>
  <w:footnote w:id="99">
    <w:p>
      <w:pPr>
        <w:pStyle w:val="para3"/>
      </w:pPr>
      <w:r>
        <w:rPr>
          <w:rStyle w:val="char3"/>
        </w:rPr>
      </w:r>
      <w:r>
        <w:rPr>
          <w:rStyle w:val="char3"/>
        </w:rPr>
        <w:footnoteRef/>
      </w:r>
      <w:r>
        <w:t xml:space="preserve"> Linda Parkinson-Hardman, ‘</w:t>
      </w:r>
      <w:r>
        <w:rPr>
          <w:i/>
          <w:iCs/>
        </w:rPr>
        <w:t>Portesham South of St Peter’s Church</w:t>
      </w:r>
      <w:r>
        <w:t>’, JPG map, Scale 1:2500, OS MasterMap, January 2025, Ordnance Survey, using Digimap Ordnance Survey Collection. &lt;https://digimap.edina.ac.uk/&gt; [created 22 December 2025].</w:t>
      </w:r>
    </w:p>
  </w:footnote>
  <w:footnote w:id="100">
    <w:p>
      <w:pPr>
        <w:pStyle w:val="para3"/>
      </w:pPr>
      <w:r>
        <w:rPr>
          <w:rStyle w:val="char3"/>
        </w:rPr>
      </w:r>
      <w:r>
        <w:rPr>
          <w:rStyle w:val="char3"/>
        </w:rPr>
        <w:footnoteRef/>
      </w:r>
      <w:r>
        <w:t xml:space="preserve"> Valentin, ‘Manor Farm’, p. 46.</w:t>
      </w:r>
    </w:p>
  </w:footnote>
  <w:footnote w:id="101">
    <w:p>
      <w:pPr>
        <w:pStyle w:val="para3"/>
      </w:pPr>
      <w:r>
        <w:rPr>
          <w:rStyle w:val="char3"/>
        </w:rPr>
      </w:r>
      <w:r>
        <w:rPr>
          <w:rStyle w:val="char3"/>
        </w:rPr>
        <w:footnoteRef/>
      </w:r>
      <w:r>
        <w:t xml:space="preserve"> Valentin, ‘Manor Farm’</w:t>
      </w:r>
      <w:r>
        <w:rPr>
          <w:i/>
          <w:iCs/>
        </w:rPr>
        <w:t xml:space="preserve">, </w:t>
      </w:r>
      <w:r>
        <w:t>p. 46.</w:t>
      </w:r>
    </w:p>
  </w:footnote>
  <w:footnote w:id="102">
    <w:p>
      <w:pPr>
        <w:pStyle w:val="para3"/>
      </w:pPr>
      <w:r>
        <w:rPr>
          <w:rStyle w:val="char3"/>
        </w:rPr>
      </w:r>
      <w:r>
        <w:rPr>
          <w:rStyle w:val="char3"/>
        </w:rPr>
        <w:footnoteRef/>
      </w:r>
      <w:r>
        <w:t xml:space="preserve"> Linda Parkinson-Hardman, ‘</w:t>
      </w:r>
      <w:r>
        <w:rPr>
          <w:i/>
          <w:iCs/>
        </w:rPr>
        <w:t>Portesham North of St Peter’s Church</w:t>
      </w:r>
      <w:r>
        <w:t>’, JPG map, Scale 1:2500, OS MasterMap, January 2025, Ordnance Survey, using Digimap Ordnance Survey Collection. &lt;https://digimap.edina.ac.uk/&gt; [created 22 December 2025].</w:t>
      </w:r>
    </w:p>
  </w:footnote>
  <w:footnote w:id="103">
    <w:p>
      <w:pPr>
        <w:pStyle w:val="para3"/>
        <w:spacing/>
        <w:jc w:val="left"/>
      </w:pPr>
      <w:r>
        <w:rPr>
          <w:rStyle w:val="char3"/>
        </w:rPr>
      </w:r>
      <w:r>
        <w:rPr>
          <w:rStyle w:val="char3"/>
        </w:rPr>
        <w:footnoteRef/>
      </w:r>
      <w:r>
        <w:t xml:space="preserve"> Heritage Gateway, </w:t>
      </w:r>
      <w:r>
        <w:rPr>
          <w:i/>
          <w:iCs/>
        </w:rPr>
        <w:t xml:space="preserve">Dorset HER: Mound Portesham (2024) </w:t>
      </w:r>
      <w:r>
        <w:t>&lt;https://www.heritagegateway.org.uk/Gateway/Results_Single.aspx?resourceID=1012&amp;uid=MDO25714&gt; [accessed 1</w:t>
      </w:r>
      <w:r>
        <w:rPr>
          <w:vertAlign w:val="superscript"/>
        </w:rPr>
        <w:t>st</w:t>
      </w:r>
      <w:r>
        <w:t xml:space="preserve"> December 2025].</w:t>
      </w:r>
    </w:p>
  </w:footnote>
  <w:footnote w:id="104">
    <w:p>
      <w:pPr>
        <w:pStyle w:val="para3"/>
      </w:pPr>
      <w:r>
        <w:rPr>
          <w:rStyle w:val="char3"/>
        </w:rPr>
      </w:r>
      <w:r>
        <w:rPr>
          <w:rStyle w:val="char3"/>
        </w:rPr>
        <w:footnoteRef/>
      </w:r>
      <w:r>
        <w:t xml:space="preserve"> Devereux, </w:t>
      </w:r>
      <w:r>
        <w:rPr>
          <w:i/>
          <w:iCs/>
        </w:rPr>
        <w:t xml:space="preserve">Fairy Paths, </w:t>
      </w:r>
      <w:r>
        <w:t>pp. 70-71.</w:t>
      </w:r>
    </w:p>
  </w:footnote>
  <w:footnote w:id="105">
    <w:p>
      <w:pPr>
        <w:pStyle w:val="para3"/>
      </w:pPr>
      <w:r>
        <w:rPr>
          <w:rStyle w:val="char3"/>
        </w:rPr>
      </w:r>
      <w:r>
        <w:rPr>
          <w:rStyle w:val="char3"/>
        </w:rPr>
        <w:footnoteRef/>
      </w:r>
      <w:r>
        <w:t xml:space="preserve"> Linda Parkinson-Hardman, ‘</w:t>
      </w:r>
      <w:r>
        <w:rPr>
          <w:i/>
          <w:iCs/>
        </w:rPr>
        <w:t>Portesham Burial Complex</w:t>
      </w:r>
      <w:r>
        <w:t>’, JPG map, Scale 1:2500, OS MasterMap, January 2025, Ordnance Survey, using Digimap Ordnance Survey Collection. &lt;https://digimap.edina.ac.uk/&gt; [created 22 December 2025].</w:t>
      </w:r>
    </w:p>
  </w:footnote>
  <w:footnote w:id="106">
    <w:p>
      <w:pPr>
        <w:pStyle w:val="para3"/>
      </w:pPr>
      <w:r>
        <w:rPr>
          <w:rStyle w:val="char3"/>
        </w:rPr>
      </w:r>
      <w:r>
        <w:rPr>
          <w:rStyle w:val="char3"/>
        </w:rPr>
        <w:footnoteRef/>
      </w:r>
      <w:r>
        <w:t xml:space="preserve"> Tim Ingold, </w:t>
      </w:r>
      <w:r>
        <w:rPr>
          <w:i/>
          <w:iCs/>
        </w:rPr>
        <w:t>Being Alive: Essays on Movement, Knowledge and Description</w:t>
      </w:r>
      <w:r>
        <w:t xml:space="preserve"> (Abingdon, Routledge, 2022) p. 173.</w:t>
      </w:r>
    </w:p>
  </w:footnote>
  <w:footnote w:id="107">
    <w:p>
      <w:pPr>
        <w:pStyle w:val="para3"/>
      </w:pPr>
      <w:r>
        <w:rPr>
          <w:rStyle w:val="char3"/>
        </w:rPr>
      </w:r>
      <w:r>
        <w:rPr>
          <w:rStyle w:val="char3"/>
        </w:rPr>
        <w:footnoteRef/>
      </w:r>
      <w:r>
        <w:t xml:space="preserve"> Lane, </w:t>
      </w:r>
      <w:r>
        <w:rPr>
          <w:i/>
          <w:iCs/>
        </w:rPr>
        <w:t>Landscapes of the Sacred,</w:t>
      </w:r>
      <w:r>
        <w:t xml:space="preserve"> p. 49.</w:t>
      </w:r>
    </w:p>
  </w:footnote>
  <w:footnote w:id="108">
    <w:p>
      <w:pPr>
        <w:pStyle w:val="para3"/>
      </w:pPr>
      <w:r>
        <w:rPr>
          <w:rStyle w:val="char3"/>
        </w:rPr>
      </w:r>
      <w:r>
        <w:rPr>
          <w:rStyle w:val="char3"/>
        </w:rPr>
        <w:footnoteRef/>
      </w:r>
      <w:r>
        <w:t xml:space="preserve"> Lane, </w:t>
      </w:r>
      <w:r>
        <w:rPr>
          <w:i/>
          <w:iCs/>
        </w:rPr>
        <w:t>Landscapes of the Sacred,</w:t>
      </w:r>
      <w:r>
        <w:t xml:space="preserve"> p. 50.</w:t>
      </w:r>
    </w:p>
  </w:footnote>
  <w:footnote w:id="109">
    <w:p>
      <w:pPr>
        <w:pStyle w:val="para3"/>
      </w:pPr>
      <w:r>
        <w:rPr>
          <w:rStyle w:val="char3"/>
        </w:rPr>
      </w:r>
      <w:r>
        <w:rPr>
          <w:rStyle w:val="char3"/>
        </w:rPr>
        <w:footnoteRef/>
      </w:r>
      <w:r>
        <w:t xml:space="preserve"> Devereux, </w:t>
      </w:r>
      <w:r>
        <w:rPr>
          <w:i/>
          <w:iCs/>
        </w:rPr>
        <w:t>Fairy Paths</w:t>
      </w:r>
      <w:r>
        <w:t>, p. 12.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spacing/>
      <w:jc w:val="right"/>
      <w:rPr>
        <w:rFonts w:ascii="Arial" w:hAnsi="Arial" w:eastAsia="SimSun" w:cs="Arial"/>
        <w:i/>
        <w:iCs/>
        <w:color w:val="000000"/>
        <w:lang w:val="en-gb" w:eastAsia="zh-cn"/>
      </w:rPr>
    </w:pPr>
    <w:r>
      <w:rPr>
        <w:i/>
        <w:iCs/>
      </w:rPr>
      <w:t xml:space="preserve">Linda Parkinson-Hardman, </w:t>
    </w:r>
    <w:r>
      <w:rPr>
        <w:i/>
        <w:iCs/>
        <w:color w:val="000000"/>
        <w:lang w:val="en-gb" w:eastAsia="zh-cn"/>
      </w:rPr>
      <w:t>HPCA7014, Essay</w:t>
    </w:r>
    <w:r>
      <w:rPr>
        <w:rFonts w:ascii="Arial" w:hAnsi="Arial" w:eastAsia="SimSun" w:cs="Arial"/>
        <w:i/>
        <w:iCs/>
        <w:color w:val="000000"/>
        <w:lang w:val="en-gb" w:eastAsia="zh-cn"/>
      </w:rPr>
      <w:t xml:space="preserve"> 2</w:t>
    </w:r>
    <w:r>
      <w:rPr>
        <w:rFonts w:ascii="Arial" w:hAnsi="Arial" w:eastAsia="SimSun" w:cs="Arial"/>
        <w:i/>
        <w:iCs/>
        <w:color w:val="000000"/>
        <w:lang w:val="en-gb" w:eastAsia="zh-cn"/>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start w:val="1"/>
      <w:numFmt w:val="decimal"/>
      <w:suff w:val="tab"/>
      <w:lvlText w:val="%1."/>
      <w:lvlJc w:val="left"/>
      <w:pPr>
        <w:ind w:left="0" w:hanging="0"/>
      </w:pPr>
    </w:lvl>
  </w:abstractNum>
  <w:abstractNum w:abstractNumId="2">
    <w:multiLevelType w:val="singleLevel"/>
    <w:name w:val="Bullet 2"/>
    <w:lvl w:ilvl="0">
      <w:numFmt w:val="bullet"/>
      <w:suff w:val="tab"/>
      <w:lvlText w:val=""/>
      <w:lvlJc w:val="left"/>
      <w:pPr>
        <w:ind w:left="0" w:hanging="0"/>
      </w:pPr>
      <w:rPr>
        <w:rFonts w:ascii="Wingdings" w:hAnsi="Wingdings" w:eastAsia="Wingdings" w:cs="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20"/>
  <w:autoHyphenation w:val="0"/>
  <w:doNotShadeFormData w:val="0"/>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3073"/>
    <o:shapelayout v:ext="edit">
      <o:rules v:ext="edit"/>
    </o:shapelayout>
  </w:shapeDefaults>
  <w:tmPrefOne w:val="17"/>
  <w:tmPrefTwo w:val="1"/>
  <w:tmFmtPref w:val="55090283"/>
  <w:tmCommentsPr>
    <w:tmCommentsPlace w:val="0"/>
    <w:tmCommentsWidth w:val="3119"/>
    <w:tmCommentsColor w:val="-1"/>
  </w:tmCommentsPr>
  <w:tmReviewPr>
    <w:tmReviewEnabled w:val="0"/>
    <w:tmReviewShow w:val="1"/>
    <w:tmReviewPrint w:val="0"/>
    <w:tmRevisionNum w:val="26"/>
    <w:tmReviewMarkIns w:val="4"/>
    <w:tmReviewColorIns w:val="-1"/>
    <w:tmReviewMarkDel w:val="7"/>
    <w:tmReviewColorDel w:val="-1"/>
    <w:tmReviewMarkFmt w:val="7"/>
    <w:tmReviewColorFmt w:val="-1"/>
    <w:tmReviewMarkLn w:val="1"/>
    <w:tmReviewColorLn w:val="0"/>
    <w:tmReviewToolTip w:val="1"/>
  </w:tmReviewPr>
  <w:tmLastPos>
    <w:tmLastPosPage w:val="17"/>
    <w:tmLastPosSelect w:val="0"/>
    <w:tmLastPosFrameIdx w:val="135"/>
    <w:tmLastPosCaret>
      <w:tmLastPosPgfIdx w:val="0"/>
      <w:tmLastPosIdx w:val="178"/>
    </w:tmLastPosCaret>
    <w:tmLastPosAnchor>
      <w:tmLastPosPgfIdx w:val="0"/>
      <w:tmLastPosIdx w:val="0"/>
    </w:tmLastPosAnchor>
    <w:tmLastPosTblRect w:left="0" w:top="0" w:right="0" w:bottom="0"/>
  </w:tmLastPos>
  <w:tmAppRevision w:date="1767365008" w:val="1230"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hAnsi="Calibri" w:eastAsia="Calibri" w:cs="Calibri"/>
        <w:sz w:val="22"/>
        <w:szCs w:val="22"/>
        <w:lang w:val="en-us" w:eastAsia="en-us" w:bidi="ar-sa"/>
      </w:rPr>
    </w:rPrDefault>
    <w:pPrDefault>
      <w:pPr>
        <w:ind w:firstLine="283"/>
        <w:spacing w:before="120" w:after="120" w:line="276" w:lineRule="auto"/>
        <w:jc w:val="both"/>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style>
  <w:style w:type="paragraph" w:styleId="para1">
    <w:name w:val="heading 3"/>
    <w:qFormat/>
    <w:basedOn w:val="para0"/>
    <w:pPr>
      <w:ind w:firstLine="0"/>
      <w:spacing w:line="240" w:lineRule="auto"/>
      <w:keepNext/>
      <w:outlineLvl w:val="2"/>
    </w:pPr>
    <w:rPr>
      <w:b/>
      <w:bCs/>
      <w:sz w:val="28"/>
      <w:szCs w:val="28"/>
      <w:lang w:val="en-gb" w:eastAsia="en-gb" w:bidi="en-gb"/>
    </w:rPr>
  </w:style>
  <w:style w:type="paragraph" w:styleId="para2">
    <w:name w:val="Balloon Text"/>
    <w:qFormat/>
    <w:basedOn w:val="para0"/>
    <w:pPr>
      <w:spacing w:after="0" w:line="240" w:lineRule="auto"/>
    </w:pPr>
    <w:rPr>
      <w:rFonts w:ascii="Segoe UI" w:hAnsi="Segoe UI" w:cs="Segoe UI"/>
      <w:sz w:val="18"/>
      <w:szCs w:val="18"/>
    </w:rPr>
  </w:style>
  <w:style w:type="paragraph" w:styleId="para3">
    <w:name w:val="Footnote Text"/>
    <w:qFormat/>
    <w:basedOn w:val="para0"/>
    <w:pPr>
      <w:ind w:firstLine="0"/>
      <w:spacing w:after="0" w:line="240" w:lineRule="auto"/>
    </w:pPr>
    <w:rPr>
      <w:sz w:val="20"/>
      <w:szCs w:val="20"/>
    </w:rPr>
  </w:style>
  <w:style w:type="paragraph" w:styleId="para4">
    <w:name w:val="Normal (Web)"/>
    <w:qFormat/>
    <w:basedOn w:val="para0"/>
    <w:pPr>
      <w:spacing w:before="100" w:after="100" w:beforeAutospacing="1" w:afterAutospacing="1" w:line="240" w:lineRule="auto"/>
    </w:pPr>
    <w:rPr>
      <w:rFonts w:ascii="Georgia" w:hAnsi="Georgia" w:eastAsia="SimSun" w:cs="Times New Roman"/>
      <w:color w:val="000000"/>
      <w:sz w:val="21"/>
      <w:szCs w:val="21"/>
      <w:lang w:val="en-gb" w:eastAsia="zh-cn"/>
    </w:rPr>
  </w:style>
  <w:style w:type="paragraph" w:styleId="para5">
    <w:name w:val="Header"/>
    <w:qFormat/>
    <w:basedOn w:val="para0"/>
    <w:pPr>
      <w:spacing w:after="0" w:line="240" w:lineRule="auto"/>
      <w:tabs defTabSz="720">
        <w:tab w:val="center" w:pos="4680" w:leader="none"/>
        <w:tab w:val="right" w:pos="9360" w:leader="none"/>
      </w:tabs>
    </w:pPr>
  </w:style>
  <w:style w:type="paragraph" w:styleId="para6">
    <w:name w:val="Footer"/>
    <w:qFormat/>
    <w:basedOn w:val="para0"/>
    <w:pPr>
      <w:spacing w:after="0" w:line="240" w:lineRule="auto"/>
      <w:tabs defTabSz="720">
        <w:tab w:val="center" w:pos="4680" w:leader="none"/>
        <w:tab w:val="right" w:pos="9360" w:leader="none"/>
      </w:tabs>
    </w:pPr>
  </w:style>
  <w:style w:type="paragraph" w:styleId="para7">
    <w:name w:val="heading 1"/>
    <w:qFormat/>
    <w:basedOn w:val="para0"/>
    <w:next w:val="para0"/>
    <w:pPr>
      <w:ind w:firstLine="0"/>
      <w:spacing w:before="240" w:after="240" w:line="240" w:lineRule="auto"/>
      <w:jc w:val="center"/>
      <w:keepNext/>
      <w:outlineLvl w:val="0"/>
      <w:keepLines/>
    </w:pPr>
    <w:rPr>
      <w:b/>
      <w:bCs/>
      <w:sz w:val="36"/>
      <w:szCs w:val="36"/>
      <w:lang w:bidi="en-us"/>
    </w:rPr>
    <w:key w:val="1073"/>
  </w:style>
  <w:style w:type="paragraph" w:styleId="para8">
    <w:name w:val="heading 2"/>
    <w:qFormat/>
    <w:basedOn w:val="para7"/>
    <w:next w:val="para0"/>
    <w:pPr>
      <w:spacing w:before="160" w:after="160"/>
      <w:jc w:val="left"/>
      <w:outlineLvl w:val="1"/>
    </w:pPr>
    <w:rPr>
      <w:sz w:val="32"/>
      <w:szCs w:val="32"/>
    </w:rPr>
    <w:key w:val="1074"/>
  </w:style>
  <w:style w:type="paragraph" w:styleId="para9">
    <w:name w:val="Bibliography"/>
    <w:qFormat/>
    <w:basedOn w:val="para0"/>
    <w:next w:val="para0"/>
    <w:pPr>
      <w:ind w:firstLine="0"/>
      <w:spacing w:before="0" w:after="0"/>
    </w:pPr>
  </w:style>
  <w:style w:type="paragraph" w:styleId="para10">
    <w:name w:val="caption"/>
    <w:qFormat/>
    <w:basedOn w:val="para0"/>
    <w:next w:val="para0"/>
    <w:pPr>
      <w:spacing w:line="240" w:lineRule="auto"/>
    </w:pPr>
    <w:rPr>
      <w:b/>
      <w:bCs/>
      <w:sz w:val="20"/>
      <w:szCs w:val="20"/>
    </w:rPr>
  </w:style>
  <w:style w:type="paragraph" w:styleId="para11">
    <w:name w:val="Quote"/>
    <w:qFormat/>
    <w:basedOn w:val="para0"/>
    <w:next w:val="para0"/>
    <w:pPr>
      <w:ind w:left="283" w:right="283" w:firstLine="0"/>
    </w:pPr>
    <w:rPr>
      <w:lang w:bidi="en-us"/>
    </w:rPr>
  </w:style>
  <w:style w:type="character" w:styleId="char0" w:default="1">
    <w:name w:val="Default Paragraph Font"/>
  </w:style>
  <w:style w:type="character" w:styleId="char1" w:customStyle="1">
    <w:name w:val="Balloon Text Char"/>
    <w:basedOn w:val="char0"/>
    <w:rPr>
      <w:rFonts w:ascii="Segoe UI" w:hAnsi="Segoe UI" w:cs="Segoe UI"/>
      <w:sz w:val="18"/>
      <w:szCs w:val="18"/>
    </w:rPr>
  </w:style>
  <w:style w:type="character" w:styleId="char2" w:customStyle="1">
    <w:name w:val="Footnote Text Char"/>
    <w:basedOn w:val="char0"/>
    <w:rPr>
      <w:sz w:val="20"/>
      <w:szCs w:val="20"/>
    </w:rPr>
  </w:style>
  <w:style w:type="character" w:styleId="char3">
    <w:name w:val="Footnote Reference"/>
    <w:basedOn w:val="char0"/>
    <w:rPr>
      <w:vertAlign w:val="superscript"/>
    </w:rPr>
  </w:style>
  <w:style w:type="character" w:styleId="char4">
    <w:name w:val="Hyperlink"/>
    <w:rPr>
      <w:color w:val="0000ff"/>
      <w:u w:color="auto" w:val="single"/>
    </w:rPr>
  </w:style>
  <w:style w:type="character" w:styleId="char5" w:customStyle="1">
    <w:name w:val="Heading 3 Char"/>
    <w:basedOn w:val="char0"/>
    <w:rPr>
      <w:rFonts w:ascii="Tahoma" w:hAnsi="Tahoma" w:eastAsia="Times New Roman" w:cs="Tahoma"/>
      <w:b/>
      <w:bCs/>
      <w:sz w:val="20"/>
      <w:szCs w:val="20"/>
      <w:lang w:val="en-gb" w:eastAsia="zh-cn"/>
    </w:rPr>
  </w:style>
  <w:style w:type="character" w:styleId="char6" w:customStyle="1">
    <w:name w:val="Header Char"/>
    <w:basedOn w:val="char0"/>
  </w:style>
  <w:style w:type="character" w:styleId="char7" w:customStyle="1">
    <w:name w:val="Footer Char"/>
    <w:basedOn w:val="char0"/>
  </w:style>
  <w:style w:type="character" w:styleId="char8" w:customStyle="1">
    <w:name w:val="Unresolved Mention1"/>
    <w:basedOn w:val="char0"/>
    <w:rPr>
      <w:color w:val="605e5c"/>
      <w:shd w:val="clear" w:fill="e1dfdd"/>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Calibri" w:hAnsi="Calibri" w:eastAsia="Calibri" w:cs="Calibri"/>
        <w:sz w:val="22"/>
        <w:szCs w:val="22"/>
        <w:lang w:val="en-us" w:eastAsia="en-us" w:bidi="ar-sa"/>
      </w:rPr>
    </w:rPrDefault>
    <w:pPrDefault>
      <w:pPr>
        <w:ind w:firstLine="283"/>
        <w:spacing w:before="120" w:after="120" w:line="276" w:lineRule="auto"/>
        <w:jc w:val="both"/>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style>
  <w:style w:type="paragraph" w:styleId="para1">
    <w:name w:val="heading 3"/>
    <w:qFormat/>
    <w:basedOn w:val="para0"/>
    <w:pPr>
      <w:ind w:firstLine="0"/>
      <w:spacing w:line="240" w:lineRule="auto"/>
      <w:keepNext/>
      <w:outlineLvl w:val="2"/>
    </w:pPr>
    <w:rPr>
      <w:b/>
      <w:bCs/>
      <w:sz w:val="28"/>
      <w:szCs w:val="28"/>
      <w:lang w:val="en-gb" w:eastAsia="en-gb" w:bidi="en-gb"/>
    </w:rPr>
  </w:style>
  <w:style w:type="paragraph" w:styleId="para2">
    <w:name w:val="Balloon Text"/>
    <w:qFormat/>
    <w:basedOn w:val="para0"/>
    <w:pPr>
      <w:spacing w:after="0" w:line="240" w:lineRule="auto"/>
    </w:pPr>
    <w:rPr>
      <w:rFonts w:ascii="Segoe UI" w:hAnsi="Segoe UI" w:cs="Segoe UI"/>
      <w:sz w:val="18"/>
      <w:szCs w:val="18"/>
    </w:rPr>
  </w:style>
  <w:style w:type="paragraph" w:styleId="para3">
    <w:name w:val="Footnote Text"/>
    <w:qFormat/>
    <w:basedOn w:val="para0"/>
    <w:pPr>
      <w:ind w:firstLine="0"/>
      <w:spacing w:after="0" w:line="240" w:lineRule="auto"/>
    </w:pPr>
    <w:rPr>
      <w:sz w:val="20"/>
      <w:szCs w:val="20"/>
    </w:rPr>
  </w:style>
  <w:style w:type="paragraph" w:styleId="para4">
    <w:name w:val="Normal (Web)"/>
    <w:qFormat/>
    <w:basedOn w:val="para0"/>
    <w:pPr>
      <w:spacing w:before="100" w:after="100" w:beforeAutospacing="1" w:afterAutospacing="1" w:line="240" w:lineRule="auto"/>
    </w:pPr>
    <w:rPr>
      <w:rFonts w:ascii="Georgia" w:hAnsi="Georgia" w:eastAsia="SimSun" w:cs="Times New Roman"/>
      <w:color w:val="000000"/>
      <w:sz w:val="21"/>
      <w:szCs w:val="21"/>
      <w:lang w:val="en-gb" w:eastAsia="zh-cn"/>
    </w:rPr>
  </w:style>
  <w:style w:type="paragraph" w:styleId="para5">
    <w:name w:val="Header"/>
    <w:qFormat/>
    <w:basedOn w:val="para0"/>
    <w:pPr>
      <w:spacing w:after="0" w:line="240" w:lineRule="auto"/>
      <w:tabs defTabSz="720">
        <w:tab w:val="center" w:pos="4680" w:leader="none"/>
        <w:tab w:val="right" w:pos="9360" w:leader="none"/>
      </w:tabs>
    </w:pPr>
  </w:style>
  <w:style w:type="paragraph" w:styleId="para6">
    <w:name w:val="Footer"/>
    <w:qFormat/>
    <w:basedOn w:val="para0"/>
    <w:pPr>
      <w:spacing w:after="0" w:line="240" w:lineRule="auto"/>
      <w:tabs defTabSz="720">
        <w:tab w:val="center" w:pos="4680" w:leader="none"/>
        <w:tab w:val="right" w:pos="9360" w:leader="none"/>
      </w:tabs>
    </w:pPr>
  </w:style>
  <w:style w:type="paragraph" w:styleId="para7">
    <w:name w:val="heading 1"/>
    <w:qFormat/>
    <w:basedOn w:val="para0"/>
    <w:next w:val="para0"/>
    <w:pPr>
      <w:ind w:firstLine="0"/>
      <w:spacing w:before="240" w:after="240" w:line="240" w:lineRule="auto"/>
      <w:jc w:val="center"/>
      <w:keepNext/>
      <w:outlineLvl w:val="0"/>
      <w:keepLines/>
    </w:pPr>
    <w:rPr>
      <w:b/>
      <w:bCs/>
      <w:sz w:val="36"/>
      <w:szCs w:val="36"/>
      <w:lang w:bidi="en-us"/>
    </w:rPr>
    <w:key w:val="1073"/>
  </w:style>
  <w:style w:type="paragraph" w:styleId="para8">
    <w:name w:val="heading 2"/>
    <w:qFormat/>
    <w:basedOn w:val="para7"/>
    <w:next w:val="para0"/>
    <w:pPr>
      <w:spacing w:before="160" w:after="160"/>
      <w:jc w:val="left"/>
      <w:outlineLvl w:val="1"/>
    </w:pPr>
    <w:rPr>
      <w:sz w:val="32"/>
      <w:szCs w:val="32"/>
    </w:rPr>
    <w:key w:val="1074"/>
  </w:style>
  <w:style w:type="paragraph" w:styleId="para9">
    <w:name w:val="Bibliography"/>
    <w:qFormat/>
    <w:basedOn w:val="para0"/>
    <w:next w:val="para0"/>
    <w:pPr>
      <w:ind w:firstLine="0"/>
      <w:spacing w:before="0" w:after="0"/>
    </w:pPr>
  </w:style>
  <w:style w:type="paragraph" w:styleId="para10">
    <w:name w:val="caption"/>
    <w:qFormat/>
    <w:basedOn w:val="para0"/>
    <w:next w:val="para0"/>
    <w:pPr>
      <w:spacing w:line="240" w:lineRule="auto"/>
    </w:pPr>
    <w:rPr>
      <w:b/>
      <w:bCs/>
      <w:sz w:val="20"/>
      <w:szCs w:val="20"/>
    </w:rPr>
  </w:style>
  <w:style w:type="paragraph" w:styleId="para11">
    <w:name w:val="Quote"/>
    <w:qFormat/>
    <w:basedOn w:val="para0"/>
    <w:next w:val="para0"/>
    <w:pPr>
      <w:ind w:left="283" w:right="283" w:firstLine="0"/>
    </w:pPr>
    <w:rPr>
      <w:lang w:bidi="en-us"/>
    </w:rPr>
  </w:style>
  <w:style w:type="character" w:styleId="char0" w:default="1">
    <w:name w:val="Default Paragraph Font"/>
  </w:style>
  <w:style w:type="character" w:styleId="char1" w:customStyle="1">
    <w:name w:val="Balloon Text Char"/>
    <w:basedOn w:val="char0"/>
    <w:rPr>
      <w:rFonts w:ascii="Segoe UI" w:hAnsi="Segoe UI" w:cs="Segoe UI"/>
      <w:sz w:val="18"/>
      <w:szCs w:val="18"/>
    </w:rPr>
  </w:style>
  <w:style w:type="character" w:styleId="char2" w:customStyle="1">
    <w:name w:val="Footnote Text Char"/>
    <w:basedOn w:val="char0"/>
    <w:rPr>
      <w:sz w:val="20"/>
      <w:szCs w:val="20"/>
    </w:rPr>
  </w:style>
  <w:style w:type="character" w:styleId="char3">
    <w:name w:val="Footnote Reference"/>
    <w:basedOn w:val="char0"/>
    <w:rPr>
      <w:vertAlign w:val="superscript"/>
    </w:rPr>
  </w:style>
  <w:style w:type="character" w:styleId="char4">
    <w:name w:val="Hyperlink"/>
    <w:rPr>
      <w:color w:val="0000ff"/>
      <w:u w:color="auto" w:val="single"/>
    </w:rPr>
  </w:style>
  <w:style w:type="character" w:styleId="char5" w:customStyle="1">
    <w:name w:val="Heading 3 Char"/>
    <w:basedOn w:val="char0"/>
    <w:rPr>
      <w:rFonts w:ascii="Tahoma" w:hAnsi="Tahoma" w:eastAsia="Times New Roman" w:cs="Tahoma"/>
      <w:b/>
      <w:bCs/>
      <w:sz w:val="20"/>
      <w:szCs w:val="20"/>
      <w:lang w:val="en-gb" w:eastAsia="zh-cn"/>
    </w:rPr>
  </w:style>
  <w:style w:type="character" w:styleId="char6" w:customStyle="1">
    <w:name w:val="Header Char"/>
    <w:basedOn w:val="char0"/>
  </w:style>
  <w:style w:type="character" w:styleId="char7" w:customStyle="1">
    <w:name w:val="Footer Char"/>
    <w:basedOn w:val="char0"/>
  </w:style>
  <w:style w:type="character" w:styleId="char8" w:customStyle="1">
    <w:name w:val="Unresolved Mention1"/>
    <w:basedOn w:val="char0"/>
    <w:rPr>
      <w:color w:val="605e5c"/>
      <w:shd w:val="clear" w:fill="e1dfdd"/>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png"/><Relationship Id="rId9" Type="http://schemas.openxmlformats.org/officeDocument/2006/relationships/footnotes" Target="footnotes.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header" Target="header1.xml"/><Relationship Id="rId2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Calibri"/>
        <a:cs typeface="Calibri"/>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rev.1230</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Linda</cp:lastModifiedBy>
  <cp:revision>26</cp:revision>
  <cp:lastPrinted>2025-12-30T15:14:19Z</cp:lastPrinted>
  <dcterms:created xsi:type="dcterms:W3CDTF">2025-07-12T17:58:00Z</dcterms:created>
  <dcterms:modified xsi:type="dcterms:W3CDTF">2026-01-02T14:43:28Z</dcterms:modified>
</cp:coreProperties>
</file>