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53A4C" w14:textId="26B7A6EB" w:rsidR="001927FB" w:rsidRDefault="001927FB"/>
    <w:p w14:paraId="51B0A18F" w14:textId="46513FF4" w:rsidR="001927FB" w:rsidRDefault="007C14E3">
      <w:r>
        <w:rPr>
          <w:noProof/>
        </w:rPr>
        <w:drawing>
          <wp:inline distT="0" distB="0" distL="0" distR="0" wp14:anchorId="360F45FD" wp14:editId="45EA9C8C">
            <wp:extent cx="5731510" cy="3187900"/>
            <wp:effectExtent l="0" t="0" r="2540" b="0"/>
            <wp:docPr id="2" name="Picture 1" descr="Wales University Logo University Of Wales Press | U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les University Logo University Of Wales Press | UW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87900"/>
                    </a:xfrm>
                    <a:prstGeom prst="rect">
                      <a:avLst/>
                    </a:prstGeom>
                    <a:noFill/>
                    <a:ln>
                      <a:noFill/>
                    </a:ln>
                  </pic:spPr>
                </pic:pic>
              </a:graphicData>
            </a:graphic>
          </wp:inline>
        </w:drawing>
      </w:r>
    </w:p>
    <w:p w14:paraId="35BD162D" w14:textId="77777777" w:rsidR="001927FB" w:rsidRDefault="001927FB"/>
    <w:p w14:paraId="1D066C10" w14:textId="77777777" w:rsidR="007C14E3" w:rsidRPr="007D6B2B" w:rsidRDefault="007C14E3" w:rsidP="007D6B2B">
      <w:pPr>
        <w:pStyle w:val="NoSpacing"/>
        <w:rPr>
          <w:sz w:val="32"/>
          <w:szCs w:val="32"/>
        </w:rPr>
      </w:pPr>
      <w:r w:rsidRPr="007D6B2B">
        <w:rPr>
          <w:sz w:val="32"/>
          <w:szCs w:val="32"/>
        </w:rPr>
        <w:t xml:space="preserve">Name; mahira bibi </w:t>
      </w:r>
    </w:p>
    <w:p w14:paraId="419E2606" w14:textId="4C6A1723" w:rsidR="007C14E3" w:rsidRPr="007D6B2B" w:rsidRDefault="007C14E3" w:rsidP="007D6B2B">
      <w:pPr>
        <w:pStyle w:val="NoSpacing"/>
        <w:rPr>
          <w:sz w:val="32"/>
          <w:szCs w:val="32"/>
        </w:rPr>
      </w:pPr>
      <w:r w:rsidRPr="007D6B2B">
        <w:rPr>
          <w:sz w:val="32"/>
          <w:szCs w:val="32"/>
        </w:rPr>
        <w:t>Student number; 2425429</w:t>
      </w:r>
    </w:p>
    <w:p w14:paraId="2915A251" w14:textId="76718FB6" w:rsidR="007C14E3" w:rsidRDefault="007D6B2B" w:rsidP="007D6B2B">
      <w:pPr>
        <w:pStyle w:val="NoSpacing"/>
        <w:rPr>
          <w:sz w:val="32"/>
          <w:szCs w:val="32"/>
        </w:rPr>
      </w:pPr>
      <w:r>
        <w:rPr>
          <w:sz w:val="32"/>
          <w:szCs w:val="32"/>
        </w:rPr>
        <w:t>Module code; Lchs4003</w:t>
      </w:r>
    </w:p>
    <w:p w14:paraId="77E3C717" w14:textId="05E3ADB4" w:rsidR="007D6B2B" w:rsidRDefault="007D6B2B" w:rsidP="007D6B2B">
      <w:pPr>
        <w:pStyle w:val="NoSpacing"/>
        <w:rPr>
          <w:sz w:val="32"/>
          <w:szCs w:val="32"/>
        </w:rPr>
      </w:pPr>
      <w:r>
        <w:rPr>
          <w:sz w:val="32"/>
          <w:szCs w:val="32"/>
        </w:rPr>
        <w:t xml:space="preserve">Lecturer; Helen Parsons (Module Lead) </w:t>
      </w:r>
    </w:p>
    <w:p w14:paraId="53923AB8" w14:textId="77777777" w:rsidR="007D6B2B" w:rsidRPr="007D6B2B" w:rsidRDefault="007D6B2B">
      <w:pPr>
        <w:rPr>
          <w:sz w:val="32"/>
          <w:szCs w:val="32"/>
        </w:rPr>
      </w:pPr>
    </w:p>
    <w:p w14:paraId="09321771" w14:textId="77777777" w:rsidR="001927FB" w:rsidRDefault="001927FB"/>
    <w:p w14:paraId="35A7C814" w14:textId="77777777" w:rsidR="001927FB" w:rsidRDefault="001927FB"/>
    <w:p w14:paraId="02D12A73" w14:textId="77777777" w:rsidR="001927FB" w:rsidRDefault="001927FB"/>
    <w:p w14:paraId="5CC3BDC5" w14:textId="77777777" w:rsidR="001927FB" w:rsidRDefault="001927FB"/>
    <w:p w14:paraId="1F02BD49" w14:textId="77777777" w:rsidR="001927FB" w:rsidRDefault="001927FB"/>
    <w:p w14:paraId="57629C08" w14:textId="77777777" w:rsidR="001927FB" w:rsidRDefault="001927FB"/>
    <w:p w14:paraId="534B018F" w14:textId="77777777" w:rsidR="001927FB" w:rsidRDefault="001927FB"/>
    <w:p w14:paraId="10653B18" w14:textId="77777777" w:rsidR="001927FB" w:rsidRDefault="001927FB"/>
    <w:p w14:paraId="7E1E2A24" w14:textId="77777777" w:rsidR="001927FB" w:rsidRDefault="001927FB"/>
    <w:p w14:paraId="4B501418" w14:textId="77777777" w:rsidR="001927FB" w:rsidRDefault="001927FB"/>
    <w:p w14:paraId="376AFB39" w14:textId="77777777" w:rsidR="001927FB" w:rsidRDefault="001927FB"/>
    <w:p w14:paraId="63606445" w14:textId="77777777" w:rsidR="001927FB" w:rsidRPr="00D12F1D" w:rsidRDefault="001927FB" w:rsidP="00D12F1D">
      <w:pPr>
        <w:pStyle w:val="NoSpacing"/>
        <w:rPr>
          <w:sz w:val="22"/>
          <w:szCs w:val="22"/>
        </w:rPr>
      </w:pPr>
    </w:p>
    <w:p w14:paraId="6BDBBD60" w14:textId="77777777" w:rsidR="001927FB" w:rsidRPr="007C14E3" w:rsidRDefault="001927FB" w:rsidP="00B179C0">
      <w:pPr>
        <w:pStyle w:val="NoSpacing"/>
        <w:jc w:val="center"/>
        <w:rPr>
          <w:b/>
          <w:bCs/>
          <w:sz w:val="32"/>
          <w:szCs w:val="32"/>
        </w:rPr>
      </w:pPr>
      <w:r w:rsidRPr="007C14E3">
        <w:rPr>
          <w:b/>
          <w:bCs/>
          <w:sz w:val="32"/>
          <w:szCs w:val="32"/>
        </w:rPr>
        <w:t>PHARMACY SERVICES</w:t>
      </w:r>
    </w:p>
    <w:tbl>
      <w:tblPr>
        <w:tblStyle w:val="TableGrid"/>
        <w:tblpPr w:leftFromText="180" w:rightFromText="180" w:vertAnchor="text" w:horzAnchor="margin" w:tblpXSpec="center" w:tblpY="37"/>
        <w:tblW w:w="10210" w:type="dxa"/>
        <w:tblLook w:val="04A0" w:firstRow="1" w:lastRow="0" w:firstColumn="1" w:lastColumn="0" w:noHBand="0" w:noVBand="1"/>
      </w:tblPr>
      <w:tblGrid>
        <w:gridCol w:w="5180"/>
        <w:gridCol w:w="5030"/>
      </w:tblGrid>
      <w:tr w:rsidR="009872AF" w:rsidRPr="00D12F1D" w14:paraId="1D567BDC" w14:textId="77777777" w:rsidTr="007C14E3">
        <w:trPr>
          <w:trHeight w:val="5377"/>
        </w:trPr>
        <w:tc>
          <w:tcPr>
            <w:tcW w:w="5180" w:type="dxa"/>
          </w:tcPr>
          <w:p w14:paraId="7C48AF37" w14:textId="2C82C92C" w:rsidR="002E0098" w:rsidRPr="00D12F1D" w:rsidRDefault="002E0098" w:rsidP="00D12F1D">
            <w:pPr>
              <w:pStyle w:val="NoSpacing"/>
              <w:rPr>
                <w:rFonts w:ascii="Segoe UI" w:hAnsi="Segoe UI" w:cs="Segoe UI"/>
                <w:color w:val="242424"/>
                <w:sz w:val="22"/>
                <w:szCs w:val="22"/>
              </w:rPr>
            </w:pPr>
            <w:r w:rsidRPr="00D12F1D">
              <w:rPr>
                <w:rFonts w:ascii="Aptos" w:hAnsi="Aptos" w:cs="Segoe UI"/>
                <w:b/>
                <w:bCs/>
                <w:color w:val="000000"/>
                <w:sz w:val="22"/>
                <w:szCs w:val="22"/>
                <w:bdr w:val="none" w:sz="0" w:space="0" w:color="auto" w:frame="1"/>
              </w:rPr>
              <w:t>introduction</w:t>
            </w:r>
            <w:r w:rsidRPr="00D12F1D">
              <w:rPr>
                <w:rFonts w:ascii="Aptos" w:hAnsi="Aptos" w:cs="Segoe UI"/>
                <w:b/>
                <w:bCs/>
                <w:color w:val="000000"/>
                <w:sz w:val="22"/>
                <w:szCs w:val="22"/>
                <w:bdr w:val="none" w:sz="0" w:space="0" w:color="auto" w:frame="1"/>
              </w:rPr>
              <w:t xml:space="preserve"> &amp; Explanation of Pharmacy Services</w:t>
            </w:r>
          </w:p>
          <w:p w14:paraId="0B76CB91" w14:textId="77777777" w:rsidR="002E0098" w:rsidRPr="00D12F1D" w:rsidRDefault="002E0098" w:rsidP="00D12F1D">
            <w:pPr>
              <w:pStyle w:val="NoSpacing"/>
              <w:rPr>
                <w:rFonts w:ascii="Segoe UI" w:hAnsi="Segoe UI" w:cs="Segoe UI"/>
                <w:color w:val="242424"/>
                <w:sz w:val="22"/>
                <w:szCs w:val="22"/>
              </w:rPr>
            </w:pPr>
            <w:r w:rsidRPr="00D12F1D">
              <w:rPr>
                <w:rFonts w:ascii="Aptos" w:hAnsi="Aptos" w:cs="Segoe UI"/>
                <w:color w:val="000000"/>
                <w:sz w:val="22"/>
                <w:szCs w:val="22"/>
                <w:bdr w:val="none" w:sz="0" w:space="0" w:color="auto" w:frame="1"/>
              </w:rPr>
              <w:t>Pharmacy services are an important part of the healthcare system. Pharmacists provide medicines safely and support patients with their healthcare needs. Their role includes supplying prescription medicines, giving advice about safe medicine use, helping with minor illnesses, providing vaccinations, and supporting people with long-term conditions. Pharmacy services help improve patient health by ensuring medicines are used correctly and effectively. Pharmacists work in community pharmacies, hospitals, and other healthcare settings alongside doctors and nurses to provide quality healthcare support.</w:t>
            </w:r>
          </w:p>
          <w:p w14:paraId="7EA07392" w14:textId="77777777" w:rsidR="009872AF" w:rsidRPr="00D12F1D" w:rsidRDefault="009872AF" w:rsidP="00D12F1D">
            <w:pPr>
              <w:pStyle w:val="NoSpacing"/>
              <w:rPr>
                <w:rFonts w:asciiTheme="majorHAnsi" w:eastAsia="Times New Roman" w:hAnsiTheme="majorHAnsi" w:cs="Times New Roman"/>
                <w:kern w:val="0"/>
                <w:sz w:val="22"/>
                <w:szCs w:val="22"/>
                <w:lang w:eastAsia="en-GB"/>
                <w14:ligatures w14:val="none"/>
              </w:rPr>
            </w:pPr>
          </w:p>
          <w:p w14:paraId="6C7E9A4D" w14:textId="77777777" w:rsidR="009872AF" w:rsidRPr="00D12F1D" w:rsidRDefault="009872AF" w:rsidP="00D12F1D">
            <w:pPr>
              <w:pStyle w:val="NoSpacing"/>
              <w:rPr>
                <w:rFonts w:asciiTheme="majorHAnsi" w:hAnsiTheme="majorHAnsi"/>
                <w:b/>
                <w:bCs/>
                <w:sz w:val="22"/>
                <w:szCs w:val="22"/>
              </w:rPr>
            </w:pPr>
          </w:p>
        </w:tc>
        <w:tc>
          <w:tcPr>
            <w:tcW w:w="5030" w:type="dxa"/>
          </w:tcPr>
          <w:p w14:paraId="59EFC960" w14:textId="5E8D2A4C" w:rsidR="009872AF" w:rsidRPr="00D12F1D" w:rsidRDefault="00B179C0" w:rsidP="00D12F1D">
            <w:pPr>
              <w:pStyle w:val="NoSpacing"/>
              <w:rPr>
                <w:rFonts w:asciiTheme="majorHAnsi" w:hAnsiTheme="majorHAnsi"/>
                <w:b/>
                <w:bCs/>
                <w:sz w:val="22"/>
                <w:szCs w:val="22"/>
              </w:rPr>
            </w:pPr>
            <w:r w:rsidRPr="00B179C0">
              <w:rPr>
                <w:rFonts w:asciiTheme="majorHAnsi" w:hAnsiTheme="majorHAnsi"/>
                <w:b/>
                <w:bCs/>
                <w:sz w:val="22"/>
                <w:szCs w:val="22"/>
              </w:rPr>
              <w:t>Brief History of Pharmacy Service</w:t>
            </w:r>
            <w:r>
              <w:rPr>
                <w:rFonts w:asciiTheme="majorHAnsi" w:hAnsiTheme="majorHAnsi"/>
                <w:b/>
                <w:bCs/>
                <w:sz w:val="22"/>
                <w:szCs w:val="22"/>
              </w:rPr>
              <w:t>s.</w:t>
            </w:r>
          </w:p>
          <w:p w14:paraId="126B3DD6" w14:textId="603579B7" w:rsidR="000D5D10" w:rsidRPr="00D12F1D" w:rsidRDefault="00D12F1D" w:rsidP="00D12F1D">
            <w:pPr>
              <w:pStyle w:val="NoSpacing"/>
              <w:rPr>
                <w:rFonts w:ascii="Segoe UI" w:hAnsi="Segoe UI" w:cs="Segoe UI"/>
                <w:color w:val="242424"/>
                <w:sz w:val="22"/>
                <w:szCs w:val="22"/>
              </w:rPr>
            </w:pPr>
            <w:r w:rsidRPr="00D12F1D">
              <w:rPr>
                <w:sz w:val="22"/>
                <w:szCs w:val="22"/>
              </w:rPr>
              <w:t>Th</w:t>
            </w:r>
            <w:r w:rsidR="000D5D10" w:rsidRPr="00D12F1D">
              <w:rPr>
                <w:sz w:val="22"/>
                <w:szCs w:val="22"/>
              </w:rPr>
              <w:t>e history of pharmacy dates back thousands of years. Early civilisations, including Ancient Egypt, China, and Greece, used plants, herbs, and natural substances to create treatments for illnesses. These early practices formed the foundation of modern pharmacy.</w:t>
            </w:r>
          </w:p>
          <w:p w14:paraId="373008E5" w14:textId="77777777" w:rsidR="000D5D10" w:rsidRPr="00D12F1D" w:rsidRDefault="000D5D10" w:rsidP="00D12F1D">
            <w:pPr>
              <w:pStyle w:val="NoSpacing"/>
              <w:rPr>
                <w:sz w:val="22"/>
                <w:szCs w:val="22"/>
              </w:rPr>
            </w:pPr>
            <w:r w:rsidRPr="00D12F1D">
              <w:rPr>
                <w:sz w:val="22"/>
                <w:szCs w:val="22"/>
              </w:rPr>
              <w:t>During the Middle Ages, pharmacy became a recognised profession. People who prepared medicines were known as apothecaries. They created and supplied medicines using their knowledge of different ingredients and their effects.</w:t>
            </w:r>
          </w:p>
          <w:p w14:paraId="5F0D53D8" w14:textId="5BC42674" w:rsidR="009872AF" w:rsidRPr="007C14E3" w:rsidRDefault="000D5D10" w:rsidP="00D12F1D">
            <w:pPr>
              <w:pStyle w:val="NoSpacing"/>
              <w:rPr>
                <w:sz w:val="22"/>
                <w:szCs w:val="22"/>
              </w:rPr>
            </w:pPr>
            <w:r w:rsidRPr="00D12F1D">
              <w:rPr>
                <w:sz w:val="22"/>
                <w:szCs w:val="22"/>
              </w:rPr>
              <w:t>During the 19th and 20th centuries, pharmacy developed rapidly due to scientific discoveries. New medicines were created, and regulations were introduced to improve medicine quality and patient safety. Pharmacists became more professionally trained and became an important part of healthcare teams</w:t>
            </w:r>
          </w:p>
        </w:tc>
      </w:tr>
    </w:tbl>
    <w:p w14:paraId="0036EAAE" w14:textId="5501FFEB" w:rsidR="007C14E3" w:rsidRPr="001927FB" w:rsidRDefault="007C14E3" w:rsidP="001927FB">
      <w:pPr>
        <w:rPr>
          <w:b/>
          <w:bCs/>
        </w:rPr>
      </w:pPr>
      <w:r>
        <w:rPr>
          <w:b/>
          <w:bCs/>
        </w:rPr>
        <w:t xml:space="preserve">    </w:t>
      </w:r>
      <w:r>
        <w:rPr>
          <w:b/>
          <w:bCs/>
          <w:noProof/>
        </w:rPr>
        <w:drawing>
          <wp:inline distT="0" distB="0" distL="0" distR="0" wp14:anchorId="54D04E3F" wp14:editId="6F3C75FB">
            <wp:extent cx="5518678" cy="1156953"/>
            <wp:effectExtent l="0" t="0" r="6350" b="5715"/>
            <wp:docPr id="2034122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57020" cy="1185955"/>
                    </a:xfrm>
                    <a:prstGeom prst="rect">
                      <a:avLst/>
                    </a:prstGeom>
                    <a:noFill/>
                  </pic:spPr>
                </pic:pic>
              </a:graphicData>
            </a:graphic>
          </wp:inline>
        </w:drawing>
      </w:r>
    </w:p>
    <w:tbl>
      <w:tblPr>
        <w:tblStyle w:val="TableGrid"/>
        <w:tblW w:w="10206" w:type="dxa"/>
        <w:tblInd w:w="-572" w:type="dxa"/>
        <w:tblLook w:val="04A0" w:firstRow="1" w:lastRow="0" w:firstColumn="1" w:lastColumn="0" w:noHBand="0" w:noVBand="1"/>
      </w:tblPr>
      <w:tblGrid>
        <w:gridCol w:w="10206"/>
      </w:tblGrid>
      <w:tr w:rsidR="00D12F1D" w:rsidRPr="00D12F1D" w14:paraId="7A36BFFF" w14:textId="77777777" w:rsidTr="007C14E3">
        <w:trPr>
          <w:trHeight w:val="4351"/>
        </w:trPr>
        <w:tc>
          <w:tcPr>
            <w:tcW w:w="10206" w:type="dxa"/>
          </w:tcPr>
          <w:p w14:paraId="43A49538" w14:textId="77777777" w:rsidR="00605C80" w:rsidRPr="00605C80" w:rsidRDefault="00D12F1D" w:rsidP="00605C80">
            <w:pPr>
              <w:pStyle w:val="NoSpacing"/>
              <w:rPr>
                <w:kern w:val="0"/>
                <w:sz w:val="22"/>
                <w:szCs w:val="22"/>
                <w:lang w:eastAsia="en-GB"/>
              </w:rPr>
            </w:pPr>
            <w:r w:rsidRPr="00605C80">
              <w:rPr>
                <w:b/>
                <w:bCs/>
                <w:sz w:val="22"/>
                <w:szCs w:val="22"/>
                <w:lang w:eastAsia="en-GB"/>
              </w:rPr>
              <w:t xml:space="preserve">Current Functioning of Pharmacy </w:t>
            </w:r>
            <w:r w:rsidR="00605C80" w:rsidRPr="00605C80">
              <w:rPr>
                <w:b/>
                <w:bCs/>
                <w:sz w:val="22"/>
                <w:szCs w:val="22"/>
                <w:lang w:eastAsia="en-GB"/>
              </w:rPr>
              <w:t>Services</w:t>
            </w:r>
            <w:r w:rsidR="00605C80" w:rsidRPr="00605C80">
              <w:rPr>
                <w:kern w:val="0"/>
                <w:sz w:val="22"/>
                <w:szCs w:val="22"/>
                <w:lang w:eastAsia="en-GB"/>
              </w:rPr>
              <w:t xml:space="preserve"> Today</w:t>
            </w:r>
            <w:r w:rsidRPr="00605C80">
              <w:rPr>
                <w:kern w:val="0"/>
                <w:sz w:val="22"/>
                <w:szCs w:val="22"/>
                <w:lang w:eastAsia="en-GB"/>
              </w:rPr>
              <w:t>,</w:t>
            </w:r>
          </w:p>
          <w:p w14:paraId="5D07D4B0" w14:textId="2E77C3F0" w:rsidR="00605C80" w:rsidRPr="00605C80" w:rsidRDefault="00D12F1D" w:rsidP="00605C80">
            <w:pPr>
              <w:pStyle w:val="NoSpacing"/>
              <w:rPr>
                <w:kern w:val="0"/>
                <w:sz w:val="22"/>
                <w:szCs w:val="22"/>
                <w:lang w:eastAsia="en-GB"/>
              </w:rPr>
            </w:pPr>
            <w:r w:rsidRPr="00605C80">
              <w:rPr>
                <w:kern w:val="0"/>
                <w:sz w:val="22"/>
                <w:szCs w:val="22"/>
                <w:lang w:eastAsia="en-GB"/>
              </w:rPr>
              <w:t xml:space="preserve"> pharmacy services perform many important functions within healthcare</w:t>
            </w:r>
          </w:p>
          <w:p w14:paraId="4C8C1AB8" w14:textId="66A18212" w:rsidR="00D12F1D" w:rsidRPr="00605C80" w:rsidRDefault="00D12F1D" w:rsidP="00605C80">
            <w:pPr>
              <w:pStyle w:val="NoSpacing"/>
              <w:rPr>
                <w:b/>
                <w:bCs/>
                <w:sz w:val="22"/>
                <w:szCs w:val="22"/>
                <w:lang w:eastAsia="en-GB"/>
              </w:rPr>
            </w:pPr>
            <w:r w:rsidRPr="00605C80">
              <w:rPr>
                <w:kern w:val="0"/>
                <w:sz w:val="22"/>
                <w:szCs w:val="22"/>
                <w:lang w:eastAsia="en-GB"/>
              </w:rPr>
              <w:t>1.</w:t>
            </w:r>
            <w:r w:rsidRPr="00605C80">
              <w:rPr>
                <w:b/>
                <w:bCs/>
                <w:kern w:val="0"/>
                <w:sz w:val="22"/>
                <w:szCs w:val="22"/>
                <w:lang w:eastAsia="en-GB"/>
              </w:rPr>
              <w:t>Dispensing Medicines</w:t>
            </w:r>
          </w:p>
          <w:p w14:paraId="35E9F35D" w14:textId="77777777" w:rsidR="00D12F1D" w:rsidRPr="00605C80" w:rsidRDefault="00D12F1D" w:rsidP="00605C80">
            <w:pPr>
              <w:pStyle w:val="NoSpacing"/>
              <w:rPr>
                <w:kern w:val="0"/>
                <w:sz w:val="22"/>
                <w:szCs w:val="22"/>
                <w:lang w:eastAsia="en-GB"/>
              </w:rPr>
            </w:pPr>
            <w:r w:rsidRPr="00605C80">
              <w:rPr>
                <w:kern w:val="0"/>
                <w:sz w:val="22"/>
                <w:szCs w:val="22"/>
                <w:lang w:eastAsia="en-GB"/>
              </w:rPr>
              <w:t>Pharmacists prepare and provide medicines prescribed by doctors and other healthcare professionals. They ensure medicines are correct, safe, and suitable for each patient.</w:t>
            </w:r>
          </w:p>
          <w:p w14:paraId="6B2A0D8D" w14:textId="77777777" w:rsidR="00D12F1D" w:rsidRPr="00605C80" w:rsidRDefault="00D12F1D" w:rsidP="00605C80">
            <w:pPr>
              <w:pStyle w:val="NoSpacing"/>
              <w:rPr>
                <w:b/>
                <w:bCs/>
                <w:kern w:val="0"/>
                <w:sz w:val="22"/>
                <w:szCs w:val="22"/>
                <w:lang w:eastAsia="en-GB"/>
              </w:rPr>
            </w:pPr>
            <w:r w:rsidRPr="00605C80">
              <w:rPr>
                <w:b/>
                <w:bCs/>
                <w:kern w:val="0"/>
                <w:sz w:val="22"/>
                <w:szCs w:val="22"/>
                <w:lang w:eastAsia="en-GB"/>
              </w:rPr>
              <w:t>2. Patient Advice and Support</w:t>
            </w:r>
          </w:p>
          <w:p w14:paraId="4756C119" w14:textId="77777777" w:rsidR="00D12F1D" w:rsidRPr="00605C80" w:rsidRDefault="00D12F1D" w:rsidP="00605C80">
            <w:pPr>
              <w:pStyle w:val="NoSpacing"/>
              <w:rPr>
                <w:kern w:val="0"/>
                <w:sz w:val="22"/>
                <w:szCs w:val="22"/>
                <w:lang w:eastAsia="en-GB"/>
              </w:rPr>
            </w:pPr>
            <w:r w:rsidRPr="00605C80">
              <w:rPr>
                <w:kern w:val="0"/>
                <w:sz w:val="22"/>
                <w:szCs w:val="22"/>
                <w:lang w:eastAsia="en-GB"/>
              </w:rPr>
              <w:t>Pharmacists provide advice about how to take medicines correctly, possible side effects, and ways to improve health. They help patients make informed decisions about their healthcare.</w:t>
            </w:r>
          </w:p>
          <w:p w14:paraId="663AC50E" w14:textId="77777777" w:rsidR="00D12F1D" w:rsidRDefault="00D12F1D" w:rsidP="00605C80">
            <w:pPr>
              <w:pStyle w:val="NoSpacing"/>
              <w:rPr>
                <w:kern w:val="0"/>
                <w:sz w:val="22"/>
                <w:szCs w:val="22"/>
                <w:lang w:eastAsia="en-GB"/>
              </w:rPr>
            </w:pPr>
            <w:r w:rsidRPr="00605C80">
              <w:rPr>
                <w:kern w:val="0"/>
                <w:sz w:val="22"/>
                <w:szCs w:val="22"/>
                <w:lang w:eastAsia="en-GB"/>
              </w:rPr>
              <w:t xml:space="preserve">3. </w:t>
            </w:r>
            <w:r w:rsidRPr="00605C80">
              <w:rPr>
                <w:b/>
                <w:bCs/>
                <w:kern w:val="0"/>
                <w:sz w:val="22"/>
                <w:szCs w:val="22"/>
                <w:lang w:eastAsia="en-GB"/>
              </w:rPr>
              <w:t>Supporting Long-Term Conditions</w:t>
            </w:r>
          </w:p>
          <w:p w14:paraId="254E19DC" w14:textId="77777777" w:rsidR="00605C80" w:rsidRPr="00605C80" w:rsidRDefault="00605C80" w:rsidP="00605C80">
            <w:pPr>
              <w:pStyle w:val="NoSpacing"/>
              <w:rPr>
                <w:lang w:eastAsia="en-GB"/>
              </w:rPr>
            </w:pPr>
            <w:r w:rsidRPr="00605C80">
              <w:rPr>
                <w:lang w:eastAsia="en-GB"/>
              </w:rPr>
              <w:t>. Vaccinations and Health Checks</w:t>
            </w:r>
          </w:p>
          <w:p w14:paraId="4042D334" w14:textId="77777777" w:rsidR="00605C80" w:rsidRPr="00605C80" w:rsidRDefault="00605C80" w:rsidP="00605C80">
            <w:pPr>
              <w:pStyle w:val="NoSpacing"/>
              <w:rPr>
                <w:lang w:eastAsia="en-GB"/>
              </w:rPr>
            </w:pPr>
            <w:r w:rsidRPr="00605C80">
              <w:rPr>
                <w:lang w:eastAsia="en-GB"/>
              </w:rPr>
              <w:t>Many pharmacies provide vaccination services and health checks. These services help prevent illness and identify health problems early.</w:t>
            </w:r>
          </w:p>
          <w:p w14:paraId="5EAD5A44" w14:textId="77777777" w:rsidR="00605C80" w:rsidRPr="00605C80" w:rsidRDefault="00605C80" w:rsidP="00605C80">
            <w:pPr>
              <w:pStyle w:val="NoSpacing"/>
              <w:rPr>
                <w:b/>
                <w:bCs/>
                <w:lang w:eastAsia="en-GB"/>
              </w:rPr>
            </w:pPr>
            <w:r w:rsidRPr="00605C80">
              <w:rPr>
                <w:b/>
                <w:bCs/>
                <w:lang w:eastAsia="en-GB"/>
              </w:rPr>
              <w:t>5. Public Health Promotion</w:t>
            </w:r>
          </w:p>
          <w:p w14:paraId="3B6CBD84" w14:textId="77777777" w:rsidR="00605C80" w:rsidRPr="00605C80" w:rsidRDefault="00605C80" w:rsidP="00605C80">
            <w:pPr>
              <w:pStyle w:val="NoSpacing"/>
              <w:rPr>
                <w:lang w:eastAsia="en-GB"/>
              </w:rPr>
            </w:pPr>
            <w:r w:rsidRPr="00605C80">
              <w:rPr>
                <w:lang w:eastAsia="en-GB"/>
              </w:rPr>
              <w:t>Pharmacists support public health by providing advice about healthy lifestyles, nutrition, exercise, and stopping harmful habits such as smoking.</w:t>
            </w:r>
          </w:p>
          <w:p w14:paraId="55AF507C" w14:textId="77777777" w:rsidR="00605C80" w:rsidRPr="00605C80" w:rsidRDefault="00605C80" w:rsidP="00605C80">
            <w:pPr>
              <w:pStyle w:val="NoSpacing"/>
              <w:rPr>
                <w:b/>
                <w:bCs/>
                <w:lang w:eastAsia="en-GB"/>
              </w:rPr>
            </w:pPr>
            <w:r w:rsidRPr="00605C80">
              <w:rPr>
                <w:b/>
                <w:bCs/>
                <w:lang w:eastAsia="en-GB"/>
              </w:rPr>
              <w:t>6. Working with Healthcare Professionals</w:t>
            </w:r>
          </w:p>
          <w:p w14:paraId="41AF9597" w14:textId="77777777" w:rsidR="00605C80" w:rsidRPr="00605C80" w:rsidRDefault="00605C80" w:rsidP="00605C80">
            <w:pPr>
              <w:pStyle w:val="NoSpacing"/>
              <w:rPr>
                <w:lang w:eastAsia="en-GB"/>
              </w:rPr>
            </w:pPr>
            <w:r w:rsidRPr="00605C80">
              <w:rPr>
                <w:lang w:eastAsia="en-GB"/>
              </w:rPr>
              <w:t>Pharmacists work with doctors and nurses to improve patient care. They provide expert knowledge about medicines and help healthcare teams choose effective treatments.</w:t>
            </w:r>
          </w:p>
          <w:p w14:paraId="1BAF88F7" w14:textId="77777777" w:rsidR="00605C80" w:rsidRPr="00605C80" w:rsidRDefault="00605C80" w:rsidP="00605C80">
            <w:pPr>
              <w:pStyle w:val="NoSpacing"/>
              <w:rPr>
                <w:kern w:val="0"/>
                <w:sz w:val="22"/>
                <w:szCs w:val="22"/>
                <w:lang w:eastAsia="en-GB"/>
              </w:rPr>
            </w:pPr>
          </w:p>
          <w:p w14:paraId="5F206E5D" w14:textId="77777777" w:rsidR="00D12F1D" w:rsidRPr="00D12F1D" w:rsidRDefault="00D12F1D" w:rsidP="009872AF">
            <w:pPr>
              <w:rPr>
                <w:sz w:val="22"/>
                <w:szCs w:val="22"/>
              </w:rPr>
            </w:pPr>
          </w:p>
        </w:tc>
      </w:tr>
    </w:tbl>
    <w:p w14:paraId="58B9C022" w14:textId="77777777" w:rsidR="001927FB" w:rsidRPr="009872AF" w:rsidRDefault="001927FB">
      <w:pPr>
        <w:rPr>
          <w:sz w:val="22"/>
          <w:szCs w:val="22"/>
        </w:rPr>
      </w:pPr>
    </w:p>
    <w:tbl>
      <w:tblPr>
        <w:tblStyle w:val="TableGrid"/>
        <w:tblW w:w="0" w:type="auto"/>
        <w:tblLook w:val="04A0" w:firstRow="1" w:lastRow="0" w:firstColumn="1" w:lastColumn="0" w:noHBand="0" w:noVBand="1"/>
      </w:tblPr>
      <w:tblGrid>
        <w:gridCol w:w="4508"/>
        <w:gridCol w:w="4508"/>
      </w:tblGrid>
      <w:tr w:rsidR="00605C80" w14:paraId="67937FB8" w14:textId="77777777" w:rsidTr="00605C80">
        <w:trPr>
          <w:trHeight w:val="4952"/>
        </w:trPr>
        <w:tc>
          <w:tcPr>
            <w:tcW w:w="4508" w:type="dxa"/>
          </w:tcPr>
          <w:p w14:paraId="07C787A3" w14:textId="77777777" w:rsidR="00605C80" w:rsidRPr="00605C80" w:rsidRDefault="00605C80" w:rsidP="00605C80">
            <w:pPr>
              <w:rPr>
                <w:b/>
                <w:bCs/>
                <w:sz w:val="22"/>
                <w:szCs w:val="22"/>
              </w:rPr>
            </w:pPr>
            <w:r w:rsidRPr="00605C80">
              <w:rPr>
                <w:b/>
                <w:bCs/>
                <w:sz w:val="22"/>
                <w:szCs w:val="22"/>
              </w:rPr>
              <w:t>Challenges Faced by Pharmacy Services</w:t>
            </w:r>
          </w:p>
          <w:p w14:paraId="0CAB1C09" w14:textId="77777777" w:rsidR="00605C80" w:rsidRPr="00605C80" w:rsidRDefault="00605C80" w:rsidP="00605C80">
            <w:pPr>
              <w:rPr>
                <w:b/>
                <w:bCs/>
                <w:sz w:val="22"/>
                <w:szCs w:val="22"/>
              </w:rPr>
            </w:pPr>
            <w:r w:rsidRPr="00605C80">
              <w:rPr>
                <w:b/>
                <w:bCs/>
                <w:sz w:val="22"/>
                <w:szCs w:val="22"/>
              </w:rPr>
              <w:t>Challenge 1: Medicine Shortages</w:t>
            </w:r>
          </w:p>
          <w:p w14:paraId="1B5F3201" w14:textId="77777777" w:rsidR="00605C80" w:rsidRPr="00605C80" w:rsidRDefault="00605C80" w:rsidP="00605C80">
            <w:pPr>
              <w:rPr>
                <w:sz w:val="22"/>
                <w:szCs w:val="22"/>
              </w:rPr>
            </w:pPr>
            <w:r w:rsidRPr="00605C80">
              <w:rPr>
                <w:sz w:val="22"/>
                <w:szCs w:val="22"/>
              </w:rPr>
              <w:t>Medicine shortages are a significant challenge for pharmacy services. Shortages can happen because of manufacturing problems, supply chain difficulties, increased demand, or transportation issues. When medicines are unavailable, pharmacists may need to find alternative treatments or spend extra time managing the problem. Medicine shortages can affect patients by delaying access to important treatments.</w:t>
            </w:r>
          </w:p>
          <w:p w14:paraId="2E0E14B3" w14:textId="77777777" w:rsidR="00605C80" w:rsidRPr="00605C80" w:rsidRDefault="00605C80" w:rsidP="00605C80">
            <w:pPr>
              <w:rPr>
                <w:b/>
                <w:bCs/>
                <w:sz w:val="22"/>
                <w:szCs w:val="22"/>
              </w:rPr>
            </w:pPr>
            <w:r w:rsidRPr="00605C80">
              <w:rPr>
                <w:b/>
                <w:bCs/>
                <w:sz w:val="22"/>
                <w:szCs w:val="22"/>
              </w:rPr>
              <w:t>Challenge 2: Workforce and Workload Pressures</w:t>
            </w:r>
          </w:p>
          <w:p w14:paraId="3CF25CFB" w14:textId="72093D88" w:rsidR="00605C80" w:rsidRDefault="00605C80">
            <w:pPr>
              <w:rPr>
                <w:sz w:val="22"/>
                <w:szCs w:val="22"/>
              </w:rPr>
            </w:pPr>
            <w:r w:rsidRPr="00605C80">
              <w:rPr>
                <w:sz w:val="22"/>
                <w:szCs w:val="22"/>
              </w:rPr>
              <w:t>Pharmacy services also face pressure due to increasing demand and staff shortages. As more people require healthcare support, pharmacists have larger workloads. They must continue providing safe and high-quality care while managing increased responsibilities.</w:t>
            </w:r>
          </w:p>
        </w:tc>
        <w:tc>
          <w:tcPr>
            <w:tcW w:w="4508" w:type="dxa"/>
          </w:tcPr>
          <w:p w14:paraId="4600731C" w14:textId="77777777" w:rsidR="00B179C0" w:rsidRPr="00B179C0" w:rsidRDefault="00B179C0" w:rsidP="00B179C0">
            <w:pPr>
              <w:rPr>
                <w:b/>
                <w:bCs/>
                <w:sz w:val="22"/>
                <w:szCs w:val="22"/>
              </w:rPr>
            </w:pPr>
            <w:r w:rsidRPr="00B179C0">
              <w:rPr>
                <w:b/>
                <w:bCs/>
                <w:sz w:val="22"/>
                <w:szCs w:val="22"/>
              </w:rPr>
              <w:t>Importance of Pharmacy Services</w:t>
            </w:r>
          </w:p>
          <w:p w14:paraId="1A4CD7CF" w14:textId="77777777" w:rsidR="00B179C0" w:rsidRPr="00B179C0" w:rsidRDefault="00B179C0" w:rsidP="00B179C0">
            <w:pPr>
              <w:rPr>
                <w:sz w:val="22"/>
                <w:szCs w:val="22"/>
              </w:rPr>
            </w:pPr>
            <w:r w:rsidRPr="00B179C0">
              <w:rPr>
                <w:sz w:val="22"/>
                <w:szCs w:val="22"/>
              </w:rPr>
              <w:t>Pharmacy services are essential because they:</w:t>
            </w:r>
          </w:p>
          <w:p w14:paraId="10FFE37D" w14:textId="77777777" w:rsidR="00B179C0" w:rsidRPr="00B179C0" w:rsidRDefault="00B179C0" w:rsidP="00B179C0">
            <w:pPr>
              <w:rPr>
                <w:sz w:val="22"/>
                <w:szCs w:val="22"/>
              </w:rPr>
            </w:pPr>
            <w:r w:rsidRPr="00B179C0">
              <w:rPr>
                <w:sz w:val="22"/>
                <w:szCs w:val="22"/>
              </w:rPr>
              <w:t>• Provide safe access to medicines</w:t>
            </w:r>
            <w:r w:rsidRPr="00B179C0">
              <w:rPr>
                <w:sz w:val="22"/>
                <w:szCs w:val="22"/>
              </w:rPr>
              <w:br/>
              <w:t>• Improve patient understanding of treatments</w:t>
            </w:r>
            <w:r w:rsidRPr="00B179C0">
              <w:rPr>
                <w:sz w:val="22"/>
                <w:szCs w:val="22"/>
              </w:rPr>
              <w:br/>
              <w:t>• Reduce medication errors</w:t>
            </w:r>
            <w:r w:rsidRPr="00B179C0">
              <w:rPr>
                <w:sz w:val="22"/>
                <w:szCs w:val="22"/>
              </w:rPr>
              <w:br/>
              <w:t>• Support prevention of illness</w:t>
            </w:r>
            <w:r w:rsidRPr="00B179C0">
              <w:rPr>
                <w:sz w:val="22"/>
                <w:szCs w:val="22"/>
              </w:rPr>
              <w:br/>
              <w:t>• Provide healthcare advice</w:t>
            </w:r>
            <w:r w:rsidRPr="00B179C0">
              <w:rPr>
                <w:sz w:val="22"/>
                <w:szCs w:val="22"/>
              </w:rPr>
              <w:br/>
              <w:t>• Help manage long-term conditions</w:t>
            </w:r>
            <w:r w:rsidRPr="00B179C0">
              <w:rPr>
                <w:sz w:val="22"/>
                <w:szCs w:val="22"/>
              </w:rPr>
              <w:br/>
              <w:t>• Reduce pressure on doctors and hospitals</w:t>
            </w:r>
          </w:p>
          <w:p w14:paraId="43C6EA3B" w14:textId="77777777" w:rsidR="00B179C0" w:rsidRPr="00B179C0" w:rsidRDefault="00B179C0" w:rsidP="00B179C0">
            <w:pPr>
              <w:rPr>
                <w:sz w:val="22"/>
                <w:szCs w:val="22"/>
              </w:rPr>
            </w:pPr>
            <w:r w:rsidRPr="00B179C0">
              <w:rPr>
                <w:sz w:val="22"/>
                <w:szCs w:val="22"/>
              </w:rPr>
              <w:t>Pharmacists are trusted healthcare professionals who help improve the quality of healthcare available to communities.</w:t>
            </w:r>
          </w:p>
          <w:p w14:paraId="38E5EBCA" w14:textId="5BEFC148" w:rsidR="00605C80" w:rsidRDefault="007C14E3">
            <w:pPr>
              <w:rPr>
                <w:sz w:val="22"/>
                <w:szCs w:val="22"/>
              </w:rPr>
            </w:pPr>
            <w:r>
              <w:rPr>
                <w:sz w:val="22"/>
                <w:szCs w:val="22"/>
              </w:rPr>
              <w:t xml:space="preserve">           </w:t>
            </w:r>
          </w:p>
        </w:tc>
      </w:tr>
    </w:tbl>
    <w:p w14:paraId="2847C606" w14:textId="77777777" w:rsidR="001927FB" w:rsidRDefault="001927FB">
      <w:pPr>
        <w:rPr>
          <w:sz w:val="22"/>
          <w:szCs w:val="22"/>
        </w:rPr>
      </w:pPr>
    </w:p>
    <w:tbl>
      <w:tblPr>
        <w:tblStyle w:val="TableGrid"/>
        <w:tblW w:w="9788" w:type="dxa"/>
        <w:tblLook w:val="04A0" w:firstRow="1" w:lastRow="0" w:firstColumn="1" w:lastColumn="0" w:noHBand="0" w:noVBand="1"/>
      </w:tblPr>
      <w:tblGrid>
        <w:gridCol w:w="9788"/>
      </w:tblGrid>
      <w:tr w:rsidR="00B179C0" w14:paraId="7AD43EB0" w14:textId="77777777" w:rsidTr="00CA5DB5">
        <w:trPr>
          <w:trHeight w:val="3900"/>
        </w:trPr>
        <w:tc>
          <w:tcPr>
            <w:tcW w:w="9788" w:type="dxa"/>
          </w:tcPr>
          <w:p w14:paraId="7B8D5A0F" w14:textId="77777777" w:rsidR="00B179C0" w:rsidRPr="00B179C0" w:rsidRDefault="00B179C0" w:rsidP="00B179C0">
            <w:pPr>
              <w:rPr>
                <w:b/>
                <w:bCs/>
                <w:sz w:val="22"/>
                <w:szCs w:val="22"/>
              </w:rPr>
            </w:pPr>
            <w:r w:rsidRPr="00B179C0">
              <w:rPr>
                <w:b/>
                <w:bCs/>
                <w:sz w:val="22"/>
                <w:szCs w:val="22"/>
              </w:rPr>
              <w:t>Conclusion</w:t>
            </w:r>
          </w:p>
          <w:p w14:paraId="78C4E18A" w14:textId="77777777" w:rsidR="00B179C0" w:rsidRPr="00B179C0" w:rsidRDefault="00B179C0" w:rsidP="00B179C0">
            <w:pPr>
              <w:rPr>
                <w:sz w:val="22"/>
                <w:szCs w:val="22"/>
              </w:rPr>
            </w:pPr>
            <w:r w:rsidRPr="00B179C0">
              <w:rPr>
                <w:sz w:val="22"/>
                <w:szCs w:val="22"/>
              </w:rPr>
              <w:t>Pharmacy services are a vital part of modern healthcare. They have developed from traditional medicine preparation into a professional healthcare service that supports patients in many ways. Pharmacists provide medicines, advice, health checks, and support for managing health conditions. Although challenges such as medicine shortages and workforce pressures exist, pharmacy services continue to play an important role in improving public health and patient wellbeing.</w:t>
            </w:r>
          </w:p>
          <w:p w14:paraId="13BAA839" w14:textId="40F81BA3" w:rsidR="00B179C0" w:rsidRDefault="007C14E3">
            <w:pPr>
              <w:rPr>
                <w:sz w:val="22"/>
                <w:szCs w:val="22"/>
              </w:rPr>
            </w:pPr>
            <w:r>
              <w:rPr>
                <w:noProof/>
                <w:sz w:val="22"/>
                <w:szCs w:val="22"/>
              </w:rPr>
              <w:t xml:space="preserve">                                                   </w:t>
            </w:r>
            <w:r w:rsidR="00B179C0">
              <w:rPr>
                <w:noProof/>
                <w:sz w:val="22"/>
                <w:szCs w:val="22"/>
              </w:rPr>
              <w:drawing>
                <wp:inline distT="0" distB="0" distL="0" distR="0" wp14:anchorId="3A3275CB" wp14:editId="2D0E307E">
                  <wp:extent cx="3604895" cy="1456566"/>
                  <wp:effectExtent l="0" t="0" r="0" b="0"/>
                  <wp:docPr id="376516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83353" cy="1528672"/>
                          </a:xfrm>
                          <a:prstGeom prst="rect">
                            <a:avLst/>
                          </a:prstGeom>
                          <a:noFill/>
                        </pic:spPr>
                      </pic:pic>
                    </a:graphicData>
                  </a:graphic>
                </wp:inline>
              </w:drawing>
            </w:r>
          </w:p>
        </w:tc>
      </w:tr>
    </w:tbl>
    <w:p w14:paraId="706AB0A4" w14:textId="77777777" w:rsidR="00B179C0" w:rsidRPr="009872AF" w:rsidRDefault="00B179C0">
      <w:pPr>
        <w:rPr>
          <w:sz w:val="22"/>
          <w:szCs w:val="22"/>
        </w:rPr>
      </w:pPr>
    </w:p>
    <w:tbl>
      <w:tblPr>
        <w:tblStyle w:val="TableGrid"/>
        <w:tblW w:w="9776" w:type="dxa"/>
        <w:tblLook w:val="04A0" w:firstRow="1" w:lastRow="0" w:firstColumn="1" w:lastColumn="0" w:noHBand="0" w:noVBand="1"/>
      </w:tblPr>
      <w:tblGrid>
        <w:gridCol w:w="9776"/>
      </w:tblGrid>
      <w:tr w:rsidR="00B179C0" w14:paraId="64F095B3" w14:textId="77777777" w:rsidTr="00CA5DB5">
        <w:trPr>
          <w:trHeight w:val="1612"/>
        </w:trPr>
        <w:tc>
          <w:tcPr>
            <w:tcW w:w="9776" w:type="dxa"/>
          </w:tcPr>
          <w:p w14:paraId="2DE52571" w14:textId="77777777" w:rsidR="00B179C0" w:rsidRPr="00B179C0" w:rsidRDefault="00B179C0" w:rsidP="00B179C0">
            <w:pPr>
              <w:rPr>
                <w:b/>
                <w:bCs/>
                <w:sz w:val="22"/>
                <w:szCs w:val="22"/>
              </w:rPr>
            </w:pPr>
            <w:r w:rsidRPr="00B179C0">
              <w:rPr>
                <w:b/>
                <w:bCs/>
                <w:sz w:val="22"/>
                <w:szCs w:val="22"/>
              </w:rPr>
              <w:t>References</w:t>
            </w:r>
          </w:p>
          <w:p w14:paraId="4ADA30E6" w14:textId="77777777" w:rsidR="00B179C0" w:rsidRPr="00B179C0" w:rsidRDefault="00B179C0" w:rsidP="00B179C0">
            <w:pPr>
              <w:numPr>
                <w:ilvl w:val="0"/>
                <w:numId w:val="1"/>
              </w:numPr>
              <w:rPr>
                <w:sz w:val="22"/>
                <w:szCs w:val="22"/>
              </w:rPr>
            </w:pPr>
            <w:r w:rsidRPr="00B179C0">
              <w:rPr>
                <w:sz w:val="22"/>
                <w:szCs w:val="22"/>
              </w:rPr>
              <w:t>World Health Organization (WHO) – Medicines and Health Systems</w:t>
            </w:r>
            <w:r w:rsidRPr="00B179C0">
              <w:rPr>
                <w:sz w:val="22"/>
                <w:szCs w:val="22"/>
              </w:rPr>
              <w:br/>
            </w:r>
            <w:hyperlink r:id="rId13" w:history="1">
              <w:r w:rsidRPr="00B179C0">
                <w:rPr>
                  <w:rStyle w:val="Hyperlink"/>
                  <w:sz w:val="22"/>
                  <w:szCs w:val="22"/>
                </w:rPr>
                <w:t>https://www.who.int</w:t>
              </w:r>
            </w:hyperlink>
          </w:p>
          <w:p w14:paraId="2F92C105" w14:textId="77777777" w:rsidR="00B179C0" w:rsidRPr="00B179C0" w:rsidRDefault="00B179C0" w:rsidP="00B179C0">
            <w:pPr>
              <w:numPr>
                <w:ilvl w:val="0"/>
                <w:numId w:val="1"/>
              </w:numPr>
              <w:rPr>
                <w:sz w:val="22"/>
                <w:szCs w:val="22"/>
              </w:rPr>
            </w:pPr>
            <w:r w:rsidRPr="00B179C0">
              <w:rPr>
                <w:sz w:val="22"/>
                <w:szCs w:val="22"/>
              </w:rPr>
              <w:t>NHS – Pharmacy and Medicines Information</w:t>
            </w:r>
            <w:r w:rsidRPr="00B179C0">
              <w:rPr>
                <w:sz w:val="22"/>
                <w:szCs w:val="22"/>
              </w:rPr>
              <w:br/>
            </w:r>
            <w:hyperlink r:id="rId14" w:history="1">
              <w:r w:rsidRPr="00B179C0">
                <w:rPr>
                  <w:rStyle w:val="Hyperlink"/>
                  <w:sz w:val="22"/>
                  <w:szCs w:val="22"/>
                </w:rPr>
                <w:t>https://www.nhs.uk</w:t>
              </w:r>
            </w:hyperlink>
          </w:p>
          <w:p w14:paraId="2C03B203" w14:textId="77777777" w:rsidR="00B179C0" w:rsidRPr="00B179C0" w:rsidRDefault="00B179C0" w:rsidP="00B179C0">
            <w:pPr>
              <w:numPr>
                <w:ilvl w:val="0"/>
                <w:numId w:val="1"/>
              </w:numPr>
              <w:rPr>
                <w:sz w:val="22"/>
                <w:szCs w:val="22"/>
              </w:rPr>
            </w:pPr>
            <w:r w:rsidRPr="00B179C0">
              <w:rPr>
                <w:sz w:val="22"/>
                <w:szCs w:val="22"/>
              </w:rPr>
              <w:t>Royal Pharmaceutical Society – The Role of Pharmacists</w:t>
            </w:r>
            <w:r w:rsidRPr="00B179C0">
              <w:rPr>
                <w:sz w:val="22"/>
                <w:szCs w:val="22"/>
              </w:rPr>
              <w:br/>
            </w:r>
            <w:hyperlink r:id="rId15" w:history="1">
              <w:r w:rsidRPr="00B179C0">
                <w:rPr>
                  <w:rStyle w:val="Hyperlink"/>
                  <w:sz w:val="22"/>
                  <w:szCs w:val="22"/>
                </w:rPr>
                <w:t>https://www.rpharms.com</w:t>
              </w:r>
            </w:hyperlink>
          </w:p>
          <w:p w14:paraId="04E87581" w14:textId="171AB1C9" w:rsidR="00CA5DB5" w:rsidRPr="00CA5DB5" w:rsidRDefault="00B179C0" w:rsidP="00CA5DB5">
            <w:pPr>
              <w:numPr>
                <w:ilvl w:val="0"/>
                <w:numId w:val="1"/>
              </w:numPr>
              <w:rPr>
                <w:sz w:val="22"/>
                <w:szCs w:val="22"/>
              </w:rPr>
            </w:pPr>
            <w:r w:rsidRPr="00B179C0">
              <w:rPr>
                <w:sz w:val="22"/>
                <w:szCs w:val="22"/>
              </w:rPr>
              <w:t>International Pharmaceutical Federation (FIP) – Pharmacy Practice and Healthcare</w:t>
            </w:r>
            <w:r w:rsidRPr="00B179C0">
              <w:rPr>
                <w:sz w:val="22"/>
                <w:szCs w:val="22"/>
              </w:rPr>
              <w:br/>
            </w:r>
            <w:hyperlink r:id="rId16" w:history="1">
              <w:r w:rsidRPr="00B179C0">
                <w:rPr>
                  <w:rStyle w:val="Hyperlink"/>
                  <w:sz w:val="22"/>
                  <w:szCs w:val="22"/>
                </w:rPr>
                <w:t>https://www.fip.org</w:t>
              </w:r>
            </w:hyperlink>
          </w:p>
        </w:tc>
      </w:tr>
    </w:tbl>
    <w:p w14:paraId="500693A5" w14:textId="77777777" w:rsidR="001927FB" w:rsidRPr="009872AF" w:rsidRDefault="001927FB">
      <w:pPr>
        <w:rPr>
          <w:sz w:val="22"/>
          <w:szCs w:val="22"/>
        </w:rPr>
      </w:pPr>
    </w:p>
    <w:p w14:paraId="68D216A3" w14:textId="5B68E59B" w:rsidR="001927FB" w:rsidRPr="00CA5DB5" w:rsidRDefault="007D6B2B" w:rsidP="00CA5DB5">
      <w:pPr>
        <w:jc w:val="center"/>
        <w:rPr>
          <w:b/>
          <w:bCs/>
          <w:sz w:val="28"/>
          <w:szCs w:val="28"/>
        </w:rPr>
      </w:pPr>
      <w:r w:rsidRPr="00CA5DB5">
        <w:rPr>
          <w:b/>
          <w:bCs/>
          <w:sz w:val="28"/>
          <w:szCs w:val="28"/>
        </w:rPr>
        <w:t>Task 2 Essay</w:t>
      </w:r>
    </w:p>
    <w:p w14:paraId="5837F9BD" w14:textId="13FF403B" w:rsidR="007D6B2B" w:rsidRPr="00CA5DB5" w:rsidRDefault="007D6B2B" w:rsidP="00354FF5">
      <w:pPr>
        <w:jc w:val="center"/>
        <w:rPr>
          <w:b/>
          <w:bCs/>
          <w:sz w:val="28"/>
          <w:szCs w:val="28"/>
        </w:rPr>
      </w:pPr>
      <w:r w:rsidRPr="00CA5DB5">
        <w:rPr>
          <w:b/>
          <w:bCs/>
          <w:sz w:val="28"/>
          <w:szCs w:val="28"/>
        </w:rPr>
        <w:t>Residential Care Homes</w:t>
      </w:r>
    </w:p>
    <w:p w14:paraId="4A8E9CB7" w14:textId="77777777" w:rsidR="00CA5DB5" w:rsidRPr="00CA5DB5" w:rsidRDefault="00CA5DB5" w:rsidP="00CA5DB5">
      <w:pPr>
        <w:rPr>
          <w:sz w:val="22"/>
          <w:szCs w:val="22"/>
        </w:rPr>
      </w:pPr>
      <w:r w:rsidRPr="00CA5DB5">
        <w:rPr>
          <w:sz w:val="22"/>
          <w:szCs w:val="22"/>
        </w:rPr>
        <w:t>The History, Function, and Significance of Residential Care Homes</w:t>
      </w:r>
    </w:p>
    <w:p w14:paraId="5C1F00B4" w14:textId="77777777" w:rsidR="00CA5DB5" w:rsidRPr="00354FF5" w:rsidRDefault="00CA5DB5" w:rsidP="00CA5DB5">
      <w:pPr>
        <w:rPr>
          <w:b/>
          <w:bCs/>
          <w:sz w:val="22"/>
          <w:szCs w:val="22"/>
        </w:rPr>
      </w:pPr>
      <w:r w:rsidRPr="00354FF5">
        <w:rPr>
          <w:b/>
          <w:bCs/>
          <w:sz w:val="22"/>
          <w:szCs w:val="22"/>
        </w:rPr>
        <w:t>Introduction and Historical Context</w:t>
      </w:r>
    </w:p>
    <w:p w14:paraId="2C6AECA2" w14:textId="77777777" w:rsidR="00CA5DB5" w:rsidRPr="00CA5DB5" w:rsidRDefault="00CA5DB5" w:rsidP="00CA5DB5">
      <w:pPr>
        <w:rPr>
          <w:sz w:val="22"/>
          <w:szCs w:val="22"/>
        </w:rPr>
      </w:pPr>
      <w:r w:rsidRPr="00CA5DB5">
        <w:rPr>
          <w:sz w:val="22"/>
          <w:szCs w:val="22"/>
        </w:rPr>
        <w:t>The provision of residential care for vulnerable individuals has undergone a profound transformation over the past two centuries. In the 19th and early 20th centuries, individuals who could not care for themselves due to old age, poverty, or infirmity were often relegated to state-run workhouses or massive, impersonal institutions under the historical Poor Laws. These environments prioritized basic containment over human dignity, offering stark, clinical, and often punitive conditions that isolated individuals entirely from the rest of the community.</w:t>
      </w:r>
    </w:p>
    <w:p w14:paraId="1D04C444" w14:textId="00D16F90" w:rsidR="00CA5DB5" w:rsidRPr="00CA5DB5" w:rsidRDefault="00CA5DB5" w:rsidP="00CA5DB5">
      <w:pPr>
        <w:rPr>
          <w:sz w:val="22"/>
          <w:szCs w:val="22"/>
        </w:rPr>
      </w:pPr>
      <w:r w:rsidRPr="00CA5DB5">
        <w:rPr>
          <w:sz w:val="22"/>
          <w:szCs w:val="22"/>
        </w:rPr>
        <w:t xml:space="preserve">The mid-20th century marked a pivotal turning point with the birth of the modern welfare state and the introduction of the National Assistance Act 1948. This landmark legislation legally abolished the workhouse system and mandated local authorities to provide suitable, localized accommodation for those in need of care. Over the subsequent decades, a massive process of deinstitutionalisation took place. Large-scale asylums and long-stay hospital wards were progressively closed in </w:t>
      </w:r>
      <w:r w:rsidRPr="00CA5DB5">
        <w:rPr>
          <w:sz w:val="22"/>
          <w:szCs w:val="22"/>
        </w:rPr>
        <w:t>Favor</w:t>
      </w:r>
      <w:r w:rsidRPr="00CA5DB5">
        <w:rPr>
          <w:sz w:val="22"/>
          <w:szCs w:val="22"/>
        </w:rPr>
        <w:t xml:space="preserve"> of smaller, community-based residential care homes. This historical shift was driven by a growing societal recognition of human rights, changing social attitudes, and a collective desire to provide a domestic, nurturing environment rather than a cold, institutional one.</w:t>
      </w:r>
    </w:p>
    <w:p w14:paraId="5AEA2E22" w14:textId="77777777" w:rsidR="00CA5DB5" w:rsidRPr="00CA5DB5" w:rsidRDefault="00CA5DB5" w:rsidP="00CA5DB5">
      <w:pPr>
        <w:rPr>
          <w:b/>
          <w:bCs/>
          <w:sz w:val="22"/>
          <w:szCs w:val="22"/>
        </w:rPr>
      </w:pPr>
      <w:r w:rsidRPr="00CA5DB5">
        <w:rPr>
          <w:b/>
          <w:bCs/>
          <w:sz w:val="22"/>
          <w:szCs w:val="22"/>
        </w:rPr>
        <w:t>How the Service Functions Today</w:t>
      </w:r>
    </w:p>
    <w:p w14:paraId="64F8A87D" w14:textId="77777777" w:rsidR="00CA5DB5" w:rsidRPr="00CA5DB5" w:rsidRDefault="00CA5DB5" w:rsidP="00CA5DB5">
      <w:pPr>
        <w:rPr>
          <w:sz w:val="22"/>
          <w:szCs w:val="22"/>
        </w:rPr>
      </w:pPr>
      <w:r w:rsidRPr="00CA5DB5">
        <w:rPr>
          <w:sz w:val="22"/>
          <w:szCs w:val="22"/>
        </w:rPr>
        <w:t>Today, residential care homes operate as highly regulated, professional environments designed to provide 24-hour personal care and accommodation. Unlike nursing homes, which focus heavily on complex clinical and medical interventions, residential care homes primarily assist individuals with activities of daily living (ADLs). These activities include personal hygiene, dressing, mobility assistance, medication management, and nutritional support.</w:t>
      </w:r>
    </w:p>
    <w:p w14:paraId="3264B0F5" w14:textId="40A91D81" w:rsidR="00CA5DB5" w:rsidRPr="00CA5DB5" w:rsidRDefault="00CA5DB5" w:rsidP="00CA5DB5">
      <w:pPr>
        <w:rPr>
          <w:sz w:val="22"/>
          <w:szCs w:val="22"/>
        </w:rPr>
      </w:pPr>
      <w:r w:rsidRPr="00CA5DB5">
        <w:rPr>
          <w:sz w:val="22"/>
          <w:szCs w:val="22"/>
        </w:rPr>
        <w:t>Modern residential homes function through a structured, multi-disciplinary approach. They are staffed by a dedicated team of trained care assistants, support workers, and registered managers who operate under strict legislative frameworks, such as those monitored and inspected by the Care Quality Commission (CQC). A core element of modern practice is the implementation of person-</w:t>
      </w:r>
      <w:r w:rsidRPr="00CA5DB5">
        <w:rPr>
          <w:sz w:val="22"/>
          <w:szCs w:val="22"/>
        </w:rPr>
        <w:t>cantered</w:t>
      </w:r>
      <w:r w:rsidRPr="00CA5DB5">
        <w:rPr>
          <w:sz w:val="22"/>
          <w:szCs w:val="22"/>
        </w:rPr>
        <w:t xml:space="preserve"> care. Upon admission, every resident receives a highly individualized care plan that </w:t>
      </w:r>
      <w:proofErr w:type="gramStart"/>
      <w:r w:rsidRPr="00CA5DB5">
        <w:rPr>
          <w:sz w:val="22"/>
          <w:szCs w:val="22"/>
        </w:rPr>
        <w:t>takes into account</w:t>
      </w:r>
      <w:proofErr w:type="gramEnd"/>
      <w:r w:rsidRPr="00CA5DB5">
        <w:rPr>
          <w:sz w:val="22"/>
          <w:szCs w:val="22"/>
        </w:rPr>
        <w:t xml:space="preserve"> their specific physical needs, dietary requirements, daily routines, and personal preferences. Furthermore, these services operate holistically by organizing daily social schedules, communal dining experiences, and tailored recreational activities, ensuring that the physical, emotional, and social needs of the residents are met simultaneously within a safe environment.</w:t>
      </w:r>
    </w:p>
    <w:p w14:paraId="5BE56FE8" w14:textId="77777777" w:rsidR="00CA5DB5" w:rsidRPr="00CA5DB5" w:rsidRDefault="00CA5DB5" w:rsidP="00CA5DB5">
      <w:pPr>
        <w:rPr>
          <w:b/>
          <w:bCs/>
          <w:sz w:val="22"/>
          <w:szCs w:val="22"/>
        </w:rPr>
      </w:pPr>
      <w:r w:rsidRPr="00CA5DB5">
        <w:rPr>
          <w:b/>
          <w:bCs/>
          <w:sz w:val="22"/>
          <w:szCs w:val="22"/>
        </w:rPr>
        <w:t>Significance in Enhancing Quality of Life</w:t>
      </w:r>
    </w:p>
    <w:p w14:paraId="0C030D5F" w14:textId="77777777" w:rsidR="00CA5DB5" w:rsidRPr="00CA5DB5" w:rsidRDefault="00CA5DB5" w:rsidP="00CA5DB5">
      <w:pPr>
        <w:rPr>
          <w:sz w:val="22"/>
          <w:szCs w:val="22"/>
        </w:rPr>
      </w:pPr>
      <w:r w:rsidRPr="00CA5DB5">
        <w:rPr>
          <w:sz w:val="22"/>
          <w:szCs w:val="22"/>
        </w:rPr>
        <w:lastRenderedPageBreak/>
        <w:t>Residential care homes play a crucial role in significantly enhancing the quality of life for their service users. For many elderly or vulnerable individuals, living independently at home can unfortunately lead to severe social isolation, depression, and malnutrition. By moving into a modern residential setting, individuals gain immediate access to a warm community of peers, which directly combats loneliness and fosters a strong sense of belonging through shared activities, entertainment, and daily social interactions.</w:t>
      </w:r>
    </w:p>
    <w:p w14:paraId="6C24B32D" w14:textId="77777777" w:rsidR="00CA5DB5" w:rsidRPr="00CA5DB5" w:rsidRDefault="00CA5DB5" w:rsidP="00CA5DB5">
      <w:pPr>
        <w:rPr>
          <w:sz w:val="22"/>
          <w:szCs w:val="22"/>
        </w:rPr>
      </w:pPr>
      <w:r w:rsidRPr="00CA5DB5">
        <w:rPr>
          <w:sz w:val="22"/>
          <w:szCs w:val="22"/>
        </w:rPr>
        <w:t>Safety and peace of mind are also paramount to a resident's overall wellbeing. The 24-hour presence of professional staff ensures that common risks, such as accidental falls, confusion, or sudden medical emergencies, are managed immediately, drastically reducing the severe anxiety often felt by vulnerable people living alone. Crucially, modern residential care actively preserves the dignity and autonomy of the individual. Residents are encouraged to make independent choices about their daily lives, decorate their personal spaces with their own belongings, and maintain their independence wherever possible. Finally, this service improves the quality of life for the residents’ families, alleviating the immense physical and emotional strain of informal caregiving and restoring balanced, positive family relationships.</w:t>
      </w:r>
    </w:p>
    <w:p w14:paraId="56FAB1FE" w14:textId="77777777" w:rsidR="00CA5DB5" w:rsidRPr="00CA5DB5" w:rsidRDefault="00CA5DB5" w:rsidP="00CA5DB5">
      <w:pPr>
        <w:rPr>
          <w:b/>
          <w:bCs/>
          <w:sz w:val="22"/>
          <w:szCs w:val="22"/>
        </w:rPr>
      </w:pPr>
      <w:r w:rsidRPr="00CA5DB5">
        <w:rPr>
          <w:b/>
          <w:bCs/>
          <w:sz w:val="22"/>
          <w:szCs w:val="22"/>
        </w:rPr>
        <w:t>Conclusion</w:t>
      </w:r>
    </w:p>
    <w:p w14:paraId="7C018BDB" w14:textId="25BF0ACD" w:rsidR="00CA5DB5" w:rsidRPr="00CA5DB5" w:rsidRDefault="00CA5DB5" w:rsidP="00CA5DB5">
      <w:pPr>
        <w:rPr>
          <w:sz w:val="22"/>
          <w:szCs w:val="22"/>
        </w:rPr>
      </w:pPr>
      <w:r w:rsidRPr="00CA5DB5">
        <w:rPr>
          <w:sz w:val="22"/>
          <w:szCs w:val="22"/>
        </w:rPr>
        <w:t>In conclusion, the evolution of residential care homes highlights a compassionate shift from historical institutionalization to dignified, community-based care. By providing round-the-clock, person-</w:t>
      </w:r>
      <w:r w:rsidRPr="00CA5DB5">
        <w:rPr>
          <w:sz w:val="22"/>
          <w:szCs w:val="22"/>
        </w:rPr>
        <w:t>cantered</w:t>
      </w:r>
      <w:r w:rsidRPr="00CA5DB5">
        <w:rPr>
          <w:sz w:val="22"/>
          <w:szCs w:val="22"/>
        </w:rPr>
        <w:t xml:space="preserve"> support, these services do not merely offer a place to live; they provide a safe, engaging, and highly supportive environment that safeguards vulnerability while actively promoting the dignity, health, and overall wellbeing of their residents.</w:t>
      </w:r>
    </w:p>
    <w:p w14:paraId="6ABD69F9" w14:textId="77777777" w:rsidR="00CA5DB5" w:rsidRPr="00CA5DB5" w:rsidRDefault="00CA5DB5" w:rsidP="00CA5DB5">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CA5DB5">
        <w:rPr>
          <w:rFonts w:ascii="Aptos" w:eastAsia="Times New Roman" w:hAnsi="Aptos" w:cs="Segoe UI"/>
          <w:b/>
          <w:bCs/>
          <w:color w:val="000000"/>
          <w:kern w:val="0"/>
          <w:sz w:val="22"/>
          <w:szCs w:val="22"/>
          <w:bdr w:val="none" w:sz="0" w:space="0" w:color="auto" w:frame="1"/>
          <w:lang w:eastAsia="en-GB"/>
          <w14:ligatures w14:val="none"/>
        </w:rPr>
        <w:t>References</w:t>
      </w:r>
    </w:p>
    <w:p w14:paraId="7F976CAA" w14:textId="77777777" w:rsidR="00CA5DB5" w:rsidRPr="00354FF5" w:rsidRDefault="00CA5DB5" w:rsidP="00CA5DB5">
      <w:pPr>
        <w:shd w:val="clear" w:color="auto" w:fill="FFFFFF"/>
        <w:spacing w:after="0" w:line="240" w:lineRule="auto"/>
        <w:ind w:left="600" w:hanging="600"/>
        <w:rPr>
          <w:rFonts w:ascii="Abadi" w:eastAsia="Times New Roman" w:hAnsi="Abadi" w:cs="Segoe UI"/>
          <w:color w:val="242424"/>
          <w:kern w:val="0"/>
          <w:sz w:val="22"/>
          <w:szCs w:val="22"/>
          <w:lang w:eastAsia="en-GB"/>
          <w14:ligatures w14:val="none"/>
        </w:rPr>
      </w:pPr>
      <w:r w:rsidRPr="00354FF5">
        <w:rPr>
          <w:rFonts w:ascii="Aptos" w:eastAsia="Times New Roman" w:hAnsi="Aptos" w:cs="Segoe UI"/>
          <w:b/>
          <w:bCs/>
          <w:color w:val="000000"/>
          <w:kern w:val="0"/>
          <w:sz w:val="22"/>
          <w:szCs w:val="22"/>
          <w:bdr w:val="none" w:sz="0" w:space="0" w:color="auto" w:frame="1"/>
          <w:lang w:eastAsia="en-GB"/>
          <w14:ligatures w14:val="none"/>
        </w:rPr>
        <w:t> </w:t>
      </w:r>
      <w:r w:rsidRPr="00354FF5">
        <w:rPr>
          <w:rFonts w:ascii="Abadi" w:eastAsia="Times New Roman" w:hAnsi="Abadi" w:cs="Segoe UI"/>
          <w:color w:val="000000"/>
          <w:kern w:val="0"/>
          <w:sz w:val="22"/>
          <w:szCs w:val="22"/>
          <w:bdr w:val="none" w:sz="0" w:space="0" w:color="auto" w:frame="1"/>
          <w:lang w:eastAsia="en-GB"/>
          <w14:ligatures w14:val="none"/>
        </w:rPr>
        <w:t>Care Quality Commission (CQC) (2026) </w:t>
      </w:r>
      <w:r w:rsidRPr="00354FF5">
        <w:rPr>
          <w:rFonts w:ascii="Abadi" w:eastAsia="Times New Roman" w:hAnsi="Abadi" w:cs="Segoe UI"/>
          <w:i/>
          <w:iCs/>
          <w:color w:val="000000"/>
          <w:kern w:val="0"/>
          <w:sz w:val="22"/>
          <w:szCs w:val="22"/>
          <w:bdr w:val="none" w:sz="0" w:space="0" w:color="auto" w:frame="1"/>
          <w:lang w:eastAsia="en-GB"/>
          <w14:ligatures w14:val="none"/>
        </w:rPr>
        <w:t>What we do</w:t>
      </w:r>
      <w:r w:rsidRPr="00354FF5">
        <w:rPr>
          <w:rFonts w:ascii="Abadi" w:eastAsia="Times New Roman" w:hAnsi="Abadi" w:cs="Segoe UI"/>
          <w:color w:val="000000"/>
          <w:kern w:val="0"/>
          <w:sz w:val="22"/>
          <w:szCs w:val="22"/>
          <w:bdr w:val="none" w:sz="0" w:space="0" w:color="auto" w:frame="1"/>
          <w:lang w:eastAsia="en-GB"/>
          <w14:ligatures w14:val="none"/>
        </w:rPr>
        <w:t>. Available at</w:t>
      </w:r>
      <w:r w:rsidRPr="00354FF5">
        <w:rPr>
          <w:rFonts w:ascii="Abadi" w:eastAsia="Times New Roman" w:hAnsi="Abadi" w:cs="Segoe UI"/>
          <w:b/>
          <w:bCs/>
          <w:color w:val="000000"/>
          <w:kern w:val="0"/>
          <w:sz w:val="22"/>
          <w:szCs w:val="22"/>
          <w:bdr w:val="none" w:sz="0" w:space="0" w:color="auto" w:frame="1"/>
          <w:lang w:eastAsia="en-GB"/>
          <w14:ligatures w14:val="none"/>
        </w:rPr>
        <w:t>: </w:t>
      </w:r>
      <w:hyperlink r:id="rId17" w:tooltip="Original URL: https://www.gov.uk/government/organisations/care-quality-commission. Click or tap if you trust this link." w:history="1">
        <w:r w:rsidRPr="00354FF5">
          <w:rPr>
            <w:rFonts w:ascii="Abadi" w:eastAsia="Times New Roman" w:hAnsi="Abadi" w:cs="Segoe UI"/>
            <w:b/>
            <w:bCs/>
            <w:color w:val="0000EE"/>
            <w:kern w:val="0"/>
            <w:sz w:val="22"/>
            <w:szCs w:val="22"/>
            <w:u w:val="single"/>
            <w:bdr w:val="none" w:sz="0" w:space="0" w:color="auto" w:frame="1"/>
            <w:lang w:eastAsia="en-GB"/>
            <w14:ligatures w14:val="none"/>
          </w:rPr>
          <w:t>https://www.gov.uk/government/organisations/care-quality-commission</w:t>
        </w:r>
      </w:hyperlink>
      <w:r w:rsidRPr="00354FF5">
        <w:rPr>
          <w:rFonts w:ascii="Abadi" w:eastAsia="Times New Roman" w:hAnsi="Abadi" w:cs="Segoe UI"/>
          <w:b/>
          <w:bCs/>
          <w:color w:val="000000"/>
          <w:kern w:val="0"/>
          <w:sz w:val="22"/>
          <w:szCs w:val="22"/>
          <w:bdr w:val="none" w:sz="0" w:space="0" w:color="auto" w:frame="1"/>
          <w:lang w:eastAsia="en-GB"/>
          <w14:ligatures w14:val="none"/>
        </w:rPr>
        <w:t> (</w:t>
      </w:r>
      <w:r w:rsidRPr="00354FF5">
        <w:rPr>
          <w:rFonts w:ascii="Abadi" w:eastAsia="Times New Roman" w:hAnsi="Abadi" w:cs="Segoe UI"/>
          <w:color w:val="000000"/>
          <w:kern w:val="0"/>
          <w:sz w:val="22"/>
          <w:szCs w:val="22"/>
          <w:bdr w:val="none" w:sz="0" w:space="0" w:color="auto" w:frame="1"/>
          <w:lang w:eastAsia="en-GB"/>
          <w14:ligatures w14:val="none"/>
        </w:rPr>
        <w:t>Accessed: 19 June 2026).</w:t>
      </w:r>
    </w:p>
    <w:p w14:paraId="6F30B595" w14:textId="77777777" w:rsidR="00CA5DB5" w:rsidRPr="00354FF5" w:rsidRDefault="00CA5DB5" w:rsidP="00CA5DB5">
      <w:pPr>
        <w:shd w:val="clear" w:color="auto" w:fill="FFFFFF"/>
        <w:spacing w:after="0" w:line="240" w:lineRule="auto"/>
        <w:ind w:left="600" w:hanging="600"/>
        <w:rPr>
          <w:rFonts w:ascii="Abadi" w:eastAsia="Times New Roman" w:hAnsi="Abadi" w:cs="Segoe UI"/>
          <w:color w:val="242424"/>
          <w:kern w:val="0"/>
          <w:sz w:val="22"/>
          <w:szCs w:val="22"/>
          <w:lang w:eastAsia="en-GB"/>
          <w14:ligatures w14:val="none"/>
        </w:rPr>
      </w:pPr>
      <w:r w:rsidRPr="00354FF5">
        <w:rPr>
          <w:rFonts w:ascii="Abadi" w:eastAsia="Times New Roman" w:hAnsi="Abadi" w:cs="Segoe UI"/>
          <w:color w:val="000000"/>
          <w:kern w:val="0"/>
          <w:sz w:val="22"/>
          <w:szCs w:val="22"/>
          <w:bdr w:val="none" w:sz="0" w:space="0" w:color="auto" w:frame="1"/>
          <w:lang w:eastAsia="en-GB"/>
          <w14:ligatures w14:val="none"/>
        </w:rPr>
        <w:t> National Assistance Act 1948 (c. 29). London: HMSO. Available at: </w:t>
      </w:r>
      <w:hyperlink r:id="rId18" w:tooltip="Original URL: https://www.legislation.gov.uk/ukpga/Geo6/11-12/29. Click or tap if you trust this link." w:history="1">
        <w:r w:rsidRPr="00354FF5">
          <w:rPr>
            <w:rFonts w:ascii="Abadi" w:eastAsia="Times New Roman" w:hAnsi="Abadi" w:cs="Segoe UI"/>
            <w:color w:val="0000EE"/>
            <w:kern w:val="0"/>
            <w:sz w:val="22"/>
            <w:szCs w:val="22"/>
            <w:u w:val="single"/>
            <w:bdr w:val="none" w:sz="0" w:space="0" w:color="auto" w:frame="1"/>
            <w:lang w:eastAsia="en-GB"/>
            <w14:ligatures w14:val="none"/>
          </w:rPr>
          <w:t>https://www.legislation.gov.uk/ukpga/Geo6/11-12/29</w:t>
        </w:r>
      </w:hyperlink>
      <w:r w:rsidRPr="00354FF5">
        <w:rPr>
          <w:rFonts w:ascii="Abadi" w:eastAsia="Times New Roman" w:hAnsi="Abadi" w:cs="Segoe UI"/>
          <w:color w:val="000000"/>
          <w:kern w:val="0"/>
          <w:sz w:val="22"/>
          <w:szCs w:val="22"/>
          <w:bdr w:val="none" w:sz="0" w:space="0" w:color="auto" w:frame="1"/>
          <w:lang w:eastAsia="en-GB"/>
          <w14:ligatures w14:val="none"/>
        </w:rPr>
        <w:t> (Accessed: 19 June 2026).</w:t>
      </w:r>
    </w:p>
    <w:p w14:paraId="3AB310D6" w14:textId="77777777" w:rsidR="00CA5DB5" w:rsidRPr="00354FF5" w:rsidRDefault="00CA5DB5" w:rsidP="00CA5DB5">
      <w:pPr>
        <w:shd w:val="clear" w:color="auto" w:fill="FFFFFF"/>
        <w:spacing w:after="0" w:line="240" w:lineRule="auto"/>
        <w:ind w:left="600" w:hanging="600"/>
        <w:rPr>
          <w:rFonts w:ascii="Abadi" w:eastAsia="Times New Roman" w:hAnsi="Abadi" w:cs="Segoe UI"/>
          <w:color w:val="242424"/>
          <w:kern w:val="0"/>
          <w:sz w:val="22"/>
          <w:szCs w:val="22"/>
          <w:lang w:eastAsia="en-GB"/>
          <w14:ligatures w14:val="none"/>
        </w:rPr>
      </w:pPr>
      <w:r w:rsidRPr="00354FF5">
        <w:rPr>
          <w:rFonts w:ascii="Abadi" w:eastAsia="Times New Roman" w:hAnsi="Abadi" w:cs="Segoe UI"/>
          <w:color w:val="000000"/>
          <w:kern w:val="0"/>
          <w:sz w:val="22"/>
          <w:szCs w:val="22"/>
          <w:bdr w:val="none" w:sz="0" w:space="0" w:color="auto" w:frame="1"/>
          <w:lang w:eastAsia="en-GB"/>
          <w14:ligatures w14:val="none"/>
        </w:rPr>
        <w:t> The King’s Fund (2023) </w:t>
      </w:r>
      <w:r w:rsidRPr="00354FF5">
        <w:rPr>
          <w:rFonts w:ascii="Abadi" w:eastAsia="Times New Roman" w:hAnsi="Abadi" w:cs="Segoe UI"/>
          <w:i/>
          <w:iCs/>
          <w:color w:val="000000"/>
          <w:kern w:val="0"/>
          <w:sz w:val="22"/>
          <w:szCs w:val="22"/>
          <w:bdr w:val="none" w:sz="0" w:space="0" w:color="auto" w:frame="1"/>
          <w:lang w:eastAsia="en-GB"/>
          <w14:ligatures w14:val="none"/>
        </w:rPr>
        <w:t>A history of social care funding reform in England: 1948 to 2023</w:t>
      </w:r>
      <w:r w:rsidRPr="00354FF5">
        <w:rPr>
          <w:rFonts w:ascii="Abadi" w:eastAsia="Times New Roman" w:hAnsi="Abadi" w:cs="Segoe UI"/>
          <w:color w:val="000000"/>
          <w:kern w:val="0"/>
          <w:sz w:val="22"/>
          <w:szCs w:val="22"/>
          <w:bdr w:val="none" w:sz="0" w:space="0" w:color="auto" w:frame="1"/>
          <w:lang w:eastAsia="en-GB"/>
          <w14:ligatures w14:val="none"/>
        </w:rPr>
        <w:t>. Available at: </w:t>
      </w:r>
      <w:hyperlink r:id="rId19" w:tooltip="Original URL: https://www.kingsfund.org.uk/. Click or tap if you trust this link." w:history="1">
        <w:r w:rsidRPr="00354FF5">
          <w:rPr>
            <w:rFonts w:ascii="Abadi" w:eastAsia="Times New Roman" w:hAnsi="Abadi" w:cs="Segoe UI"/>
            <w:color w:val="0000EE"/>
            <w:kern w:val="0"/>
            <w:sz w:val="22"/>
            <w:szCs w:val="22"/>
            <w:u w:val="single"/>
            <w:bdr w:val="none" w:sz="0" w:space="0" w:color="auto" w:frame="1"/>
            <w:lang w:eastAsia="en-GB"/>
            <w14:ligatures w14:val="none"/>
          </w:rPr>
          <w:t>https://www.kingsfund.org.uk</w:t>
        </w:r>
      </w:hyperlink>
      <w:r w:rsidRPr="00354FF5">
        <w:rPr>
          <w:rFonts w:ascii="Abadi" w:eastAsia="Times New Roman" w:hAnsi="Abadi" w:cs="Segoe UI"/>
          <w:color w:val="000000"/>
          <w:kern w:val="0"/>
          <w:sz w:val="22"/>
          <w:szCs w:val="22"/>
          <w:bdr w:val="none" w:sz="0" w:space="0" w:color="auto" w:frame="1"/>
          <w:lang w:eastAsia="en-GB"/>
          <w14:ligatures w14:val="none"/>
        </w:rPr>
        <w:t> (Accessed: 19 June 2026).</w:t>
      </w:r>
    </w:p>
    <w:p w14:paraId="0299B764" w14:textId="77777777" w:rsidR="00CA5DB5" w:rsidRPr="00354FF5" w:rsidRDefault="00CA5DB5" w:rsidP="00CA5DB5">
      <w:pPr>
        <w:shd w:val="clear" w:color="auto" w:fill="FFFFFF"/>
        <w:spacing w:after="0" w:line="240" w:lineRule="auto"/>
        <w:textAlignment w:val="baseline"/>
        <w:rPr>
          <w:rFonts w:ascii="Abadi" w:eastAsia="Times New Roman" w:hAnsi="Abadi" w:cs="Times New Roman"/>
          <w:color w:val="000000"/>
          <w:kern w:val="0"/>
          <w:sz w:val="22"/>
          <w:szCs w:val="22"/>
          <w:lang w:eastAsia="en-GB"/>
          <w14:ligatures w14:val="none"/>
        </w:rPr>
      </w:pPr>
    </w:p>
    <w:p w14:paraId="625F4E36" w14:textId="77777777" w:rsidR="00CA5DB5" w:rsidRPr="00354FF5" w:rsidRDefault="00CA5DB5" w:rsidP="00CA5DB5">
      <w:pPr>
        <w:rPr>
          <w:rFonts w:ascii="Abadi" w:hAnsi="Abadi"/>
          <w:sz w:val="22"/>
          <w:szCs w:val="22"/>
        </w:rPr>
      </w:pPr>
    </w:p>
    <w:p w14:paraId="7D485EFB" w14:textId="77777777" w:rsidR="00CA5DB5" w:rsidRPr="00CA5DB5" w:rsidRDefault="00CA5DB5" w:rsidP="00CA5DB5">
      <w:pPr>
        <w:rPr>
          <w:sz w:val="22"/>
          <w:szCs w:val="22"/>
        </w:rPr>
      </w:pPr>
    </w:p>
    <w:p w14:paraId="4A44800B" w14:textId="77777777" w:rsidR="001927FB" w:rsidRPr="00CA5DB5" w:rsidRDefault="001927FB">
      <w:pPr>
        <w:rPr>
          <w:sz w:val="22"/>
          <w:szCs w:val="22"/>
        </w:rPr>
      </w:pPr>
    </w:p>
    <w:sectPr w:rsidR="001927FB" w:rsidRPr="00CA5DB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C0521" w14:textId="77777777" w:rsidR="00B71365" w:rsidRDefault="00B71365" w:rsidP="00354FF5">
      <w:pPr>
        <w:spacing w:after="0" w:line="240" w:lineRule="auto"/>
      </w:pPr>
      <w:r>
        <w:separator/>
      </w:r>
    </w:p>
  </w:endnote>
  <w:endnote w:type="continuationSeparator" w:id="0">
    <w:p w14:paraId="60947061" w14:textId="77777777" w:rsidR="00B71365" w:rsidRDefault="00B71365" w:rsidP="00354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572412"/>
      <w:docPartObj>
        <w:docPartGallery w:val="Page Numbers (Bottom of Page)"/>
        <w:docPartUnique/>
      </w:docPartObj>
    </w:sdtPr>
    <w:sdtContent>
      <w:p w14:paraId="7492E8CE" w14:textId="0F8235EF" w:rsidR="00354FF5" w:rsidRDefault="00354FF5">
        <w:pPr>
          <w:pStyle w:val="Footer"/>
          <w:jc w:val="right"/>
        </w:pPr>
        <w:r>
          <w:fldChar w:fldCharType="begin"/>
        </w:r>
        <w:r>
          <w:instrText>PAGE   \* MERGEFORMAT</w:instrText>
        </w:r>
        <w:r>
          <w:fldChar w:fldCharType="separate"/>
        </w:r>
        <w:r>
          <w:t>2</w:t>
        </w:r>
        <w:r>
          <w:fldChar w:fldCharType="end"/>
        </w:r>
      </w:p>
    </w:sdtContent>
  </w:sdt>
  <w:p w14:paraId="6A7FC743" w14:textId="77777777" w:rsidR="00354FF5" w:rsidRDefault="00354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F7114" w14:textId="77777777" w:rsidR="00B71365" w:rsidRDefault="00B71365" w:rsidP="00354FF5">
      <w:pPr>
        <w:spacing w:after="0" w:line="240" w:lineRule="auto"/>
      </w:pPr>
      <w:r>
        <w:separator/>
      </w:r>
    </w:p>
  </w:footnote>
  <w:footnote w:type="continuationSeparator" w:id="0">
    <w:p w14:paraId="3A8A5DFA" w14:textId="77777777" w:rsidR="00B71365" w:rsidRDefault="00B71365" w:rsidP="00354F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CE2C64"/>
    <w:multiLevelType w:val="multilevel"/>
    <w:tmpl w:val="5D666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015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7FB"/>
    <w:rsid w:val="000D5D10"/>
    <w:rsid w:val="001927FB"/>
    <w:rsid w:val="002461C6"/>
    <w:rsid w:val="002E0098"/>
    <w:rsid w:val="00354FF5"/>
    <w:rsid w:val="00605C80"/>
    <w:rsid w:val="007C14E3"/>
    <w:rsid w:val="007D6B2B"/>
    <w:rsid w:val="009872AF"/>
    <w:rsid w:val="00A63808"/>
    <w:rsid w:val="00B179C0"/>
    <w:rsid w:val="00B71365"/>
    <w:rsid w:val="00C30400"/>
    <w:rsid w:val="00CA5DB5"/>
    <w:rsid w:val="00D12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3959A"/>
  <w15:chartTrackingRefBased/>
  <w15:docId w15:val="{26ACF653-1AFA-4AEA-A6B0-63F26E5F6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7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7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7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7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7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7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7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7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7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7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7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7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7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7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7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7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7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7FB"/>
    <w:rPr>
      <w:rFonts w:eastAsiaTheme="majorEastAsia" w:cstheme="majorBidi"/>
      <w:color w:val="272727" w:themeColor="text1" w:themeTint="D8"/>
    </w:rPr>
  </w:style>
  <w:style w:type="paragraph" w:styleId="Title">
    <w:name w:val="Title"/>
    <w:basedOn w:val="Normal"/>
    <w:next w:val="Normal"/>
    <w:link w:val="TitleChar"/>
    <w:uiPriority w:val="10"/>
    <w:qFormat/>
    <w:rsid w:val="001927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7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7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7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7FB"/>
    <w:pPr>
      <w:spacing w:before="160"/>
      <w:jc w:val="center"/>
    </w:pPr>
    <w:rPr>
      <w:i/>
      <w:iCs/>
      <w:color w:val="404040" w:themeColor="text1" w:themeTint="BF"/>
    </w:rPr>
  </w:style>
  <w:style w:type="character" w:customStyle="1" w:styleId="QuoteChar">
    <w:name w:val="Quote Char"/>
    <w:basedOn w:val="DefaultParagraphFont"/>
    <w:link w:val="Quote"/>
    <w:uiPriority w:val="29"/>
    <w:rsid w:val="001927FB"/>
    <w:rPr>
      <w:i/>
      <w:iCs/>
      <w:color w:val="404040" w:themeColor="text1" w:themeTint="BF"/>
    </w:rPr>
  </w:style>
  <w:style w:type="paragraph" w:styleId="ListParagraph">
    <w:name w:val="List Paragraph"/>
    <w:basedOn w:val="Normal"/>
    <w:uiPriority w:val="34"/>
    <w:qFormat/>
    <w:rsid w:val="001927FB"/>
    <w:pPr>
      <w:ind w:left="720"/>
      <w:contextualSpacing/>
    </w:pPr>
  </w:style>
  <w:style w:type="character" w:styleId="IntenseEmphasis">
    <w:name w:val="Intense Emphasis"/>
    <w:basedOn w:val="DefaultParagraphFont"/>
    <w:uiPriority w:val="21"/>
    <w:qFormat/>
    <w:rsid w:val="001927FB"/>
    <w:rPr>
      <w:i/>
      <w:iCs/>
      <w:color w:val="0F4761" w:themeColor="accent1" w:themeShade="BF"/>
    </w:rPr>
  </w:style>
  <w:style w:type="paragraph" w:styleId="IntenseQuote">
    <w:name w:val="Intense Quote"/>
    <w:basedOn w:val="Normal"/>
    <w:next w:val="Normal"/>
    <w:link w:val="IntenseQuoteChar"/>
    <w:uiPriority w:val="30"/>
    <w:qFormat/>
    <w:rsid w:val="001927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7FB"/>
    <w:rPr>
      <w:i/>
      <w:iCs/>
      <w:color w:val="0F4761" w:themeColor="accent1" w:themeShade="BF"/>
    </w:rPr>
  </w:style>
  <w:style w:type="character" w:styleId="IntenseReference">
    <w:name w:val="Intense Reference"/>
    <w:basedOn w:val="DefaultParagraphFont"/>
    <w:uiPriority w:val="32"/>
    <w:qFormat/>
    <w:rsid w:val="001927FB"/>
    <w:rPr>
      <w:b/>
      <w:bCs/>
      <w:smallCaps/>
      <w:color w:val="0F4761" w:themeColor="accent1" w:themeShade="BF"/>
      <w:spacing w:val="5"/>
    </w:rPr>
  </w:style>
  <w:style w:type="table" w:styleId="TableGrid">
    <w:name w:val="Table Grid"/>
    <w:basedOn w:val="TableNormal"/>
    <w:uiPriority w:val="39"/>
    <w:rsid w:val="00192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0400"/>
    <w:pPr>
      <w:spacing w:after="0" w:line="240" w:lineRule="auto"/>
    </w:pPr>
  </w:style>
  <w:style w:type="paragraph" w:styleId="NormalWeb">
    <w:name w:val="Normal (Web)"/>
    <w:basedOn w:val="Normal"/>
    <w:uiPriority w:val="99"/>
    <w:unhideWhenUsed/>
    <w:rsid w:val="002E00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0D5D1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179C0"/>
    <w:rPr>
      <w:color w:val="467886" w:themeColor="hyperlink"/>
      <w:u w:val="single"/>
    </w:rPr>
  </w:style>
  <w:style w:type="character" w:styleId="UnresolvedMention">
    <w:name w:val="Unresolved Mention"/>
    <w:basedOn w:val="DefaultParagraphFont"/>
    <w:uiPriority w:val="99"/>
    <w:semiHidden/>
    <w:unhideWhenUsed/>
    <w:rsid w:val="00B179C0"/>
    <w:rPr>
      <w:color w:val="605E5C"/>
      <w:shd w:val="clear" w:color="auto" w:fill="E1DFDD"/>
    </w:rPr>
  </w:style>
  <w:style w:type="paragraph" w:styleId="Header">
    <w:name w:val="header"/>
    <w:basedOn w:val="Normal"/>
    <w:link w:val="HeaderChar"/>
    <w:uiPriority w:val="99"/>
    <w:unhideWhenUsed/>
    <w:rsid w:val="00354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FF5"/>
  </w:style>
  <w:style w:type="paragraph" w:styleId="Footer">
    <w:name w:val="footer"/>
    <w:basedOn w:val="Normal"/>
    <w:link w:val="FooterChar"/>
    <w:uiPriority w:val="99"/>
    <w:unhideWhenUsed/>
    <w:rsid w:val="00354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ho.int" TargetMode="External"/><Relationship Id="rId18" Type="http://schemas.openxmlformats.org/officeDocument/2006/relationships/hyperlink" Target="https://eur01.safelinks.protection.outlook.com/?url=https%3A%2F%2Fwww.legislation.gov.uk%2Fukpga%2FGeo6%2F11-12%2F29&amp;data=05%7C02%7C2425429%40student.uwtsd.ac.uk%7Cdea64487af354fd8200b08dece186a3b%7C4e0f11f9046e45059cb8db2152311e21%7C0%7C0%7C639174801412919127%7CUnknown%7CTWFpbGZsb3d8eyJFbXB0eU1hcGkiOnRydWUsIlYiOiIwLjAuMDAwMCIsIlAiOiJXaW4zMiIsIkFOIjoiTWFpbCIsIldUIjoyfQ%3D%3D%7C0%7C%7C%7C&amp;sdata=D5OguS3hFUH99hu2BCTiVcplaabR7PkzE1yxovRuDI4%3D&amp;reserved=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eur01.safelinks.protection.outlook.com/?url=https%3A%2F%2Fwww.gov.uk%2Fgovernment%2Forganisations%2Fcare-quality-commission&amp;data=05%7C02%7C2425429%40student.uwtsd.ac.uk%7Cdea64487af354fd8200b08dece186a3b%7C4e0f11f9046e45059cb8db2152311e21%7C0%7C0%7C639174801412885562%7CUnknown%7CTWFpbGZsb3d8eyJFbXB0eU1hcGkiOnRydWUsIlYiOiIwLjAuMDAwMCIsIlAiOiJXaW4zMiIsIkFOIjoiTWFpbCIsIldUIjoyfQ%3D%3D%7C0%7C%7C%7C&amp;sdata=B2hHziZIs2IaIyunsJVbaaey8Jpz7o9zXESgX5P0G1M%3D&amp;reserved=0" TargetMode="External"/><Relationship Id="rId2" Type="http://schemas.openxmlformats.org/officeDocument/2006/relationships/customXml" Target="../customXml/item2.xml"/><Relationship Id="rId16" Type="http://schemas.openxmlformats.org/officeDocument/2006/relationships/hyperlink" Target="https://www.fip.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rpharms.com" TargetMode="External"/><Relationship Id="rId10" Type="http://schemas.openxmlformats.org/officeDocument/2006/relationships/image" Target="media/image1.png"/><Relationship Id="rId19" Type="http://schemas.openxmlformats.org/officeDocument/2006/relationships/hyperlink" Target="https://eur01.safelinks.protection.outlook.com/?url=https%3A%2F%2Fwww.kingsfund.org.uk%2F&amp;data=05%7C02%7C2425429%40student.uwtsd.ac.uk%7Cdea64487af354fd8200b08dece186a3b%7C4e0f11f9046e45059cb8db2152311e21%7C0%7C0%7C639174801412939772%7CUnknown%7CTWFpbGZsb3d8eyJFbXB0eU1hcGkiOnRydWUsIlYiOiIwLjAuMDAwMCIsIlAiOiJXaW4zMiIsIkFOIjoiTWFpbCIsIldUIjoyfQ%3D%3D%7C0%7C%7C%7C&amp;sdata=NO9N5zhvO05St491DHPs8D3ZTSYiDsIDQN7jSpd8%2F7I%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hs.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b57ab84c8522b968b0b7540f018c5598">
  <xsd:schema xmlns:xsd="http://www.w3.org/2001/XMLSchema" xmlns:xs="http://www.w3.org/2001/XMLSchema" xmlns:p="http://schemas.microsoft.com/office/2006/metadata/properties" xmlns:ns3="901b7179-a49d-4669-ab88-101a0e80079b" targetNamespace="http://schemas.microsoft.com/office/2006/metadata/properties" ma:root="true" ma:fieldsID="6503b1071a785dfc1c42c708c0a2b64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8D0E3B6E-8780-4532-BD98-EFF93C233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1C06DE-6CD3-4C43-B7DE-45DF1F5828A4}">
  <ds:schemaRefs>
    <ds:schemaRef ds:uri="http://schemas.microsoft.com/sharepoint/v3/contenttype/forms"/>
  </ds:schemaRefs>
</ds:datastoreItem>
</file>

<file path=customXml/itemProps3.xml><?xml version="1.0" encoding="utf-8"?>
<ds:datastoreItem xmlns:ds="http://schemas.openxmlformats.org/officeDocument/2006/customXml" ds:itemID="{01813671-2BD4-46B1-B437-306E7CC607BD}">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1767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mahira bibi</dc:creator>
  <cp:keywords/>
  <dc:description/>
  <cp:lastModifiedBy>Mahira Bibi (2425429)</cp:lastModifiedBy>
  <cp:revision>1</cp:revision>
  <dcterms:created xsi:type="dcterms:W3CDTF">2026-06-19T13:38:00Z</dcterms:created>
  <dcterms:modified xsi:type="dcterms:W3CDTF">2026-06-19T15:46:00Z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