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E0898" w14:textId="77777777" w:rsidR="00E95B12" w:rsidRPr="00E95B12" w:rsidRDefault="00E95B12" w:rsidP="00E95B12">
      <w:pPr>
        <w:rPr>
          <w:u w:val="single"/>
        </w:rPr>
      </w:pPr>
      <w:r w:rsidRPr="00E95B12">
        <w:rPr>
          <w:u w:val="single"/>
        </w:rPr>
        <w:t>Does the Existence of Evil Provide Compelling Evidence to Support the Claim That God Does Not Exist?</w:t>
      </w:r>
    </w:p>
    <w:p w14:paraId="48149CA5" w14:textId="38CEA2A4" w:rsidR="00E56E7E" w:rsidRDefault="00990F41">
      <w:r w:rsidRPr="00990F41">
        <w:t xml:space="preserve">For millennia, philosophers and theologians have struggled to reconcile the reality of evil, sorrow, and suffering </w:t>
      </w:r>
      <w:r w:rsidR="0014496A">
        <w:t>from</w:t>
      </w:r>
      <w:r w:rsidRPr="00990F41">
        <w:t xml:space="preserve"> a God who is omnibenevolent (all-loving), omnipotent (all-powerful), and omniscient (all-knowing). The puzzle, which </w:t>
      </w:r>
      <w:r w:rsidR="0014496A">
        <w:t>Epicurus first proposed</w:t>
      </w:r>
      <w:r w:rsidRPr="00990F41">
        <w:t xml:space="preserve"> (341-270 BCE) (uncertain, but made famous by David Hume nevertheless</w:t>
      </w:r>
      <w:r w:rsidR="0014496A">
        <w:rPr>
          <w:rStyle w:val="FootnoteReference"/>
        </w:rPr>
        <w:footnoteReference w:id="1"/>
      </w:r>
      <w:r w:rsidRPr="00990F41">
        <w:t>), comes from the presence of evil despite the assertion that there is a God who possesses all three traits (hereafter called '</w:t>
      </w:r>
      <w:r w:rsidR="0014496A">
        <w:t>Omni</w:t>
      </w:r>
      <w:r w:rsidRPr="00990F41">
        <w:t>-God').</w:t>
      </w:r>
      <w:r w:rsidR="00A94A49">
        <w:t xml:space="preserve"> </w:t>
      </w:r>
      <w:r w:rsidR="00E574C9" w:rsidRPr="00E574C9">
        <w:t xml:space="preserve">The logical and evidential problems of evil are the most common formulations. The logical form </w:t>
      </w:r>
      <w:r w:rsidR="00E222E0">
        <w:t>demonstrates</w:t>
      </w:r>
      <w:r w:rsidR="00E574C9" w:rsidRPr="00E574C9">
        <w:t xml:space="preserve"> that God and sin cannot exist side by side</w:t>
      </w:r>
      <w:r w:rsidR="00E574C9">
        <w:t>. In contrast, the</w:t>
      </w:r>
      <w:r w:rsidR="00E574C9" w:rsidRPr="00E574C9">
        <w:t xml:space="preserve"> evidentia</w:t>
      </w:r>
      <w:r w:rsidR="00055F4F">
        <w:t>l</w:t>
      </w:r>
      <w:r w:rsidR="00E574C9" w:rsidRPr="00E574C9">
        <w:t xml:space="preserve"> form </w:t>
      </w:r>
      <w:r w:rsidR="00E574C9">
        <w:t>aims</w:t>
      </w:r>
      <w:r w:rsidR="00E574C9" w:rsidRPr="00E574C9">
        <w:t xml:space="preserve"> to </w:t>
      </w:r>
      <w:r w:rsidR="00E574C9">
        <w:t>show</w:t>
      </w:r>
      <w:r w:rsidR="00E574C9" w:rsidRPr="00E574C9">
        <w:t xml:space="preserve"> that the Omni-God is an improbability </w:t>
      </w:r>
      <w:r w:rsidR="00E574C9" w:rsidRPr="00E574C9">
        <w:t>considering</w:t>
      </w:r>
      <w:r w:rsidR="00E574C9" w:rsidRPr="00E574C9">
        <w:t xml:space="preserve"> the universe's depravity. Defenders and theodicies are techniques devised by those who reject the issue of evil to refute or mitigate the consequences of evil's presence on God. A defence will typically address the </w:t>
      </w:r>
      <w:r w:rsidR="001433FF">
        <w:t>problem</w:t>
      </w:r>
      <w:r w:rsidR="00E574C9" w:rsidRPr="00E574C9">
        <w:t xml:space="preserve"> of evil's judgment that God's existence is impossible.</w:t>
      </w:r>
      <w:r w:rsidR="000166AA">
        <w:rPr>
          <w:rStyle w:val="FootnoteReference"/>
        </w:rPr>
        <w:footnoteReference w:id="2"/>
      </w:r>
      <w:r w:rsidR="007160F0">
        <w:t xml:space="preserve"> </w:t>
      </w:r>
      <w:r w:rsidR="006518DD">
        <w:t xml:space="preserve">On the other hand, a theodicy </w:t>
      </w:r>
      <w:r w:rsidR="00965C7E">
        <w:t>offers</w:t>
      </w:r>
      <w:r w:rsidR="006518DD" w:rsidRPr="006518DD">
        <w:t xml:space="preserve"> a </w:t>
      </w:r>
      <w:r w:rsidR="007115F8">
        <w:t xml:space="preserve">(variably and debatably) </w:t>
      </w:r>
      <w:r w:rsidR="006518DD" w:rsidRPr="006518DD">
        <w:t xml:space="preserve">morally and philosophically adequate explanation for evil's existence. This </w:t>
      </w:r>
      <w:r w:rsidR="006518DD">
        <w:t>eliminates</w:t>
      </w:r>
      <w:r w:rsidR="006518DD" w:rsidRPr="006518DD">
        <w:t xml:space="preserve"> the evidentiary problem of evil, which is based on evil</w:t>
      </w:r>
      <w:r w:rsidR="006518DD">
        <w:t xml:space="preserve"> existing</w:t>
      </w:r>
      <w:r w:rsidR="006518DD" w:rsidRPr="006518DD">
        <w:t xml:space="preserve"> in the </w:t>
      </w:r>
      <w:r w:rsidR="006518DD">
        <w:t>universe</w:t>
      </w:r>
      <w:r w:rsidR="006518DD" w:rsidRPr="006518DD">
        <w:t>.</w:t>
      </w:r>
      <w:r w:rsidR="007C14ED">
        <w:rPr>
          <w:rStyle w:val="FootnoteReference"/>
        </w:rPr>
        <w:footnoteReference w:id="3"/>
      </w:r>
      <w:r w:rsidR="001F0F89">
        <w:t xml:space="preserve"> </w:t>
      </w:r>
      <w:r w:rsidR="009C2DAA" w:rsidRPr="009C2DAA">
        <w:t>I shall discuss how</w:t>
      </w:r>
      <w:r w:rsidR="00E56E7E">
        <w:t xml:space="preserve"> </w:t>
      </w:r>
      <w:r w:rsidR="009C2DAA" w:rsidRPr="009C2DAA">
        <w:t xml:space="preserve">evil does not give persuasive proof that God does not exist. Throughout this work, I will demonstrate my reasoning by first </w:t>
      </w:r>
      <w:r w:rsidR="00E56E7E">
        <w:t>examining</w:t>
      </w:r>
      <w:r w:rsidR="009C2DAA" w:rsidRPr="009C2DAA">
        <w:t xml:space="preserve"> the arguments made by proponents of the problem of evil and then attempting to refute them using the theodicies and defences of the theistic perspective, but also how I believe these have demonstrated that the problem of evil does not provide conclusive proof for God's </w:t>
      </w:r>
      <w:r w:rsidR="00D9286C">
        <w:t>existence being impossible</w:t>
      </w:r>
      <w:r w:rsidR="009C2DAA" w:rsidRPr="009C2DAA">
        <w:t>.</w:t>
      </w:r>
    </w:p>
    <w:p w14:paraId="4EB756A1" w14:textId="4D4064F4" w:rsidR="002F7F54" w:rsidRDefault="004C7B38">
      <w:r w:rsidRPr="004C7B38">
        <w:t xml:space="preserve">The logical problem of evil has one shape that </w:t>
      </w:r>
      <w:r w:rsidR="00FC3DB3">
        <w:t>frequently appears</w:t>
      </w:r>
      <w:r w:rsidRPr="004C7B38">
        <w:t xml:space="preserve"> in philosophical debates: the conflict between conventional theism's assertions and the fact that evil and suffering exist in our world is </w:t>
      </w:r>
      <w:r w:rsidR="00FC3DB3">
        <w:t>rational</w:t>
      </w:r>
      <w:r w:rsidRPr="004C7B38">
        <w:t xml:space="preserve">. David Hume summarises the argument in his </w:t>
      </w:r>
      <w:r w:rsidRPr="004C7B38">
        <w:rPr>
          <w:i/>
          <w:iCs/>
        </w:rPr>
        <w:t>Dialogues Concerning Natural Religion</w:t>
      </w:r>
      <w:r w:rsidRPr="004C7B38">
        <w:t>:</w:t>
      </w:r>
    </w:p>
    <w:p w14:paraId="547511BA" w14:textId="6F4332DF" w:rsidR="004C7B38" w:rsidRDefault="004C7B38" w:rsidP="004C7B38">
      <w:pPr>
        <w:ind w:left="720"/>
      </w:pPr>
      <w:r>
        <w:t>“</w:t>
      </w:r>
      <w:r w:rsidRPr="004C7B38">
        <w:t xml:space="preserve">Epicurus's old questions are yet unanswered. Is he willing to prevent evil but not able? </w:t>
      </w:r>
      <w:r w:rsidR="00FC3DB3">
        <w:t>T</w:t>
      </w:r>
      <w:r w:rsidRPr="004C7B38">
        <w:t>hen is he impotent</w:t>
      </w:r>
      <w:r>
        <w:t>?</w:t>
      </w:r>
      <w:r w:rsidRPr="004C7B38">
        <w:t xml:space="preserve"> Is he able but not willing? </w:t>
      </w:r>
      <w:r w:rsidR="00FC3DB3">
        <w:t>T</w:t>
      </w:r>
      <w:r w:rsidRPr="004C7B38">
        <w:t>hen is he malevolent</w:t>
      </w:r>
      <w:r>
        <w:t>?</w:t>
      </w:r>
      <w:r w:rsidRPr="004C7B38">
        <w:t xml:space="preserve"> Is he both able and willing? </w:t>
      </w:r>
      <w:r>
        <w:t>W</w:t>
      </w:r>
      <w:r w:rsidRPr="004C7B38">
        <w:t>hence then is evil?”</w:t>
      </w:r>
      <w:r>
        <w:rPr>
          <w:rStyle w:val="FootnoteReference"/>
        </w:rPr>
        <w:footnoteReference w:id="4"/>
      </w:r>
    </w:p>
    <w:p w14:paraId="35F817A7" w14:textId="194B5ADB" w:rsidR="00FC3DB3" w:rsidRDefault="002B16DD" w:rsidP="00FC3DB3">
      <w:r>
        <w:t>Alternatively, it can be shown as:</w:t>
      </w:r>
    </w:p>
    <w:p w14:paraId="7AE93BAD" w14:textId="26A436A3" w:rsidR="002B16DD" w:rsidRDefault="002B16DD" w:rsidP="002B16DD">
      <w:pPr>
        <w:ind w:left="720"/>
      </w:pPr>
      <w:r>
        <w:t>P1. God does exist</w:t>
      </w:r>
    </w:p>
    <w:p w14:paraId="04D0D9F8" w14:textId="3EE28C4A" w:rsidR="002B16DD" w:rsidRDefault="002B16DD" w:rsidP="002B16DD">
      <w:pPr>
        <w:ind w:left="720"/>
      </w:pPr>
      <w:r>
        <w:t xml:space="preserve">P2. </w:t>
      </w:r>
      <w:r w:rsidRPr="002B16DD">
        <w:t>God is omnipotent, omniscient, and omnibenevolent</w:t>
      </w:r>
    </w:p>
    <w:p w14:paraId="4D5E4618" w14:textId="619C9EAD" w:rsidR="002B16DD" w:rsidRDefault="002B16DD" w:rsidP="002B16DD">
      <w:pPr>
        <w:ind w:left="720"/>
      </w:pPr>
      <w:r>
        <w:t xml:space="preserve">P3. </w:t>
      </w:r>
      <w:r w:rsidRPr="002B16DD">
        <w:t xml:space="preserve">There is evil in the </w:t>
      </w:r>
      <w:r>
        <w:t>universe</w:t>
      </w:r>
    </w:p>
    <w:p w14:paraId="50803DFF" w14:textId="34A36639" w:rsidR="002B16DD" w:rsidRDefault="002B16DD" w:rsidP="002B16DD">
      <w:pPr>
        <w:ind w:left="720"/>
      </w:pPr>
      <w:r>
        <w:t xml:space="preserve">C1. </w:t>
      </w:r>
      <w:r w:rsidRPr="002B16DD">
        <w:t>As a result, there is no such thing as an omniscient, omnipotent, and omnibenevolent God</w:t>
      </w:r>
    </w:p>
    <w:p w14:paraId="7B9567FA" w14:textId="4FAAB429" w:rsidR="004E19F5" w:rsidRDefault="003743EF" w:rsidP="004E19F5">
      <w:r w:rsidRPr="003743EF">
        <w:t>Epicurus claims that the conclusion follows naturally if the first three premises are accepted</w:t>
      </w:r>
      <w:r w:rsidR="004E19F5" w:rsidRPr="004E19F5">
        <w:t xml:space="preserve">. Supporting the premise while rejecting the conclusion creates a logical contradiction. Statements one and two contradict the conclusion since an omniscient God would be aware of any evil, an </w:t>
      </w:r>
      <w:r w:rsidR="004E19F5" w:rsidRPr="004E19F5">
        <w:lastRenderedPageBreak/>
        <w:t>omnipotent God would be able to prevent it, and a flawless</w:t>
      </w:r>
      <w:r w:rsidR="004E19F5">
        <w:t>ly benevolent</w:t>
      </w:r>
      <w:r w:rsidR="004E19F5" w:rsidRPr="004E19F5">
        <w:t xml:space="preserve"> God would wish to do so.</w:t>
      </w:r>
      <w:r w:rsidR="00EC4D47">
        <w:rPr>
          <w:rStyle w:val="FootnoteReference"/>
        </w:rPr>
        <w:footnoteReference w:id="5"/>
      </w:r>
      <w:r w:rsidR="00EC4D47">
        <w:t xml:space="preserve"> </w:t>
      </w:r>
      <w:r w:rsidR="00EC4D47" w:rsidRPr="00EC4D47">
        <w:t xml:space="preserve">In his </w:t>
      </w:r>
      <w:r w:rsidR="00EC4D47" w:rsidRPr="00EC4D47">
        <w:rPr>
          <w:i/>
          <w:iCs/>
        </w:rPr>
        <w:t xml:space="preserve">When Bad Things Happen to Good </w:t>
      </w:r>
      <w:r w:rsidR="00EC4D47">
        <w:rPr>
          <w:i/>
          <w:iCs/>
        </w:rPr>
        <w:t>People</w:t>
      </w:r>
      <w:r w:rsidR="00EC4D47" w:rsidRPr="00EC4D47">
        <w:t xml:space="preserve">, Rabbi Harold Kushner wrote that rejecting one of the three traits in premise two, namely God's omnipotence, is vital to avoid the </w:t>
      </w:r>
      <w:r w:rsidR="00EC4D47">
        <w:t>argument’s conclusion</w:t>
      </w:r>
      <w:r w:rsidR="00EC4D47" w:rsidRPr="00EC4D47">
        <w:t>.</w:t>
      </w:r>
      <w:r w:rsidR="00EC4D47">
        <w:rPr>
          <w:rStyle w:val="FootnoteReference"/>
        </w:rPr>
        <w:footnoteReference w:id="6"/>
      </w:r>
      <w:r w:rsidR="001F31A1">
        <w:t xml:space="preserve"> </w:t>
      </w:r>
      <w:r w:rsidR="001F31A1" w:rsidRPr="001F31A1">
        <w:t xml:space="preserve">Most theists </w:t>
      </w:r>
      <w:r w:rsidR="001F31A1">
        <w:t>disagree</w:t>
      </w:r>
      <w:r w:rsidR="001F31A1" w:rsidRPr="001F31A1">
        <w:t xml:space="preserve"> with </w:t>
      </w:r>
      <w:r w:rsidR="001F31A1">
        <w:t>dismissing</w:t>
      </w:r>
      <w:r w:rsidR="001F31A1" w:rsidRPr="001F31A1">
        <w:t xml:space="preserve"> any of God's three </w:t>
      </w:r>
      <w:r w:rsidR="001F31A1">
        <w:rPr>
          <w:i/>
          <w:iCs/>
        </w:rPr>
        <w:t>Omnis</w:t>
      </w:r>
      <w:r w:rsidR="001F31A1" w:rsidRPr="001F31A1">
        <w:t xml:space="preserve">, despite </w:t>
      </w:r>
      <w:r w:rsidR="001F31A1">
        <w:t>providing</w:t>
      </w:r>
      <w:r w:rsidR="001F31A1" w:rsidRPr="001F31A1">
        <w:t xml:space="preserve"> a solution to the difficulty they face.</w:t>
      </w:r>
      <w:r w:rsidR="001F31A1">
        <w:t xml:space="preserve"> </w:t>
      </w:r>
      <w:r w:rsidR="001F31A1" w:rsidRPr="001F31A1">
        <w:t xml:space="preserve">I'll address alternatives to abandoning classical theism's essential ideals in </w:t>
      </w:r>
      <w:r w:rsidR="001F31A1">
        <w:t xml:space="preserve">a later section </w:t>
      </w:r>
      <w:r w:rsidR="001F31A1" w:rsidRPr="001F31A1">
        <w:t xml:space="preserve">of this </w:t>
      </w:r>
      <w:r w:rsidR="001F31A1">
        <w:t>essay</w:t>
      </w:r>
      <w:r w:rsidR="001F31A1" w:rsidRPr="001F31A1">
        <w:t>.</w:t>
      </w:r>
    </w:p>
    <w:p w14:paraId="62CE7936" w14:textId="21E41A66" w:rsidR="005517E7" w:rsidRDefault="005517E7" w:rsidP="004E19F5">
      <w:r w:rsidRPr="005517E7">
        <w:t xml:space="preserve">It's worth noting that the logical problem of evil seeks to demonstrate that the existence of God is logically </w:t>
      </w:r>
      <w:r w:rsidRPr="005517E7">
        <w:rPr>
          <w:i/>
          <w:iCs/>
        </w:rPr>
        <w:t>impossible</w:t>
      </w:r>
      <w:r w:rsidRPr="005517E7">
        <w:t xml:space="preserve"> in a world where evil exists. The evidential problem of evil does not attempt to accomplish that lofty goal but rather to demonstrate that, if we disregard any evidence for God's existence, it becomes highly improbable, if not impossible, that the world was created and ruled over by an omniscient, omnipotent, and omnibenevolent deity. The version of the evidentiary issue of evil provided by William Rowe is the most powerful</w:t>
      </w:r>
      <w:r>
        <w:t xml:space="preserve"> and well known. </w:t>
      </w:r>
      <w:r w:rsidRPr="005517E7">
        <w:t xml:space="preserve">According to Rowe, it is </w:t>
      </w:r>
      <w:r>
        <w:t>crucial</w:t>
      </w:r>
      <w:r w:rsidRPr="005517E7">
        <w:t xml:space="preserve"> to concentrate on a </w:t>
      </w:r>
      <w:r>
        <w:t>specific</w:t>
      </w:r>
      <w:r w:rsidRPr="005517E7">
        <w:t xml:space="preserve"> type of </w:t>
      </w:r>
      <w:r>
        <w:t>prevalent evil</w:t>
      </w:r>
      <w:r w:rsidRPr="005517E7">
        <w:t xml:space="preserve">. He chooses acute human and animal suffering because it happens every day, is omnipresent, and is a </w:t>
      </w:r>
      <w:r>
        <w:t>precise</w:t>
      </w:r>
      <w:r w:rsidRPr="005517E7">
        <w:t xml:space="preserve"> instance of inherent evil (evil in and of itself, even if it leads to a good situation). Rowe then goes on to outline his case for God not existing in this manner:</w:t>
      </w:r>
    </w:p>
    <w:p w14:paraId="0B3C2DC6" w14:textId="7EF7EFA8" w:rsidR="005517E7" w:rsidRPr="005517E7" w:rsidRDefault="005517E7" w:rsidP="005517E7">
      <w:pPr>
        <w:ind w:left="720"/>
      </w:pPr>
      <w:r w:rsidRPr="005517E7">
        <w:t xml:space="preserve">P1. There exist instances of intense suffering </w:t>
      </w:r>
      <w:r w:rsidR="008F6A01">
        <w:t>that</w:t>
      </w:r>
      <w:r w:rsidRPr="005517E7">
        <w:t xml:space="preserve"> an omnipotent, omniscient being could have prevented without thereby losing some greater good or permitting some evil equally bad or worse.</w:t>
      </w:r>
    </w:p>
    <w:p w14:paraId="1EB4AFB7" w14:textId="08B20CE6" w:rsidR="005517E7" w:rsidRPr="005517E7" w:rsidRDefault="005517E7" w:rsidP="005517E7">
      <w:pPr>
        <w:ind w:left="720"/>
      </w:pPr>
      <w:r w:rsidRPr="005517E7">
        <w:t>P2. An omniscient, wholly good being would prevent the occurrence of any intense suffering it could unless it could not do so without thereby losing some greater good or permitting some evil equally bad or worse.</w:t>
      </w:r>
    </w:p>
    <w:p w14:paraId="46D577D2" w14:textId="45F8BE34" w:rsidR="005517E7" w:rsidRDefault="005517E7" w:rsidP="005517E7">
      <w:pPr>
        <w:ind w:left="720"/>
      </w:pPr>
      <w:r w:rsidRPr="005517E7">
        <w:t xml:space="preserve">C1. (Therefore) </w:t>
      </w:r>
      <w:bookmarkStart w:id="4" w:name="_Hlk90673123"/>
      <w:r w:rsidRPr="005517E7">
        <w:t xml:space="preserve">There </w:t>
      </w:r>
      <w:r w:rsidR="008F6A01">
        <w:t>is no</w:t>
      </w:r>
      <w:r w:rsidRPr="005517E7">
        <w:t xml:space="preserve"> omnipotent, omniscient, wholly good being</w:t>
      </w:r>
      <w:bookmarkEnd w:id="4"/>
      <w:r>
        <w:t>.</w:t>
      </w:r>
      <w:r w:rsidR="008415EA">
        <w:rPr>
          <w:rStyle w:val="FootnoteReference"/>
        </w:rPr>
        <w:footnoteReference w:id="7"/>
      </w:r>
    </w:p>
    <w:p w14:paraId="72A5A7E1" w14:textId="37E65634" w:rsidR="008F6A01" w:rsidRDefault="00100BDE" w:rsidP="008F6A01">
      <w:r w:rsidRPr="00100BDE">
        <w:t xml:space="preserve">Rowe's argument is sound and persuasive, </w:t>
      </w:r>
      <w:r>
        <w:t>which</w:t>
      </w:r>
      <w:r w:rsidRPr="00100BDE">
        <w:t xml:space="preserve"> has aided atheism much. The second premise, sometimes referred to as the Theological Premise, considers what God might do in certain situations. Because of His omnibenevolent nature, God would prohibit unnecessary evil that serves no higher purpose or enables the spread of further evil and suffering. Most theists think that God's letting suffering for no reason is unreasonable and contrary to His character. This argument seems unavoidable to the theist. It is feasible to argue that not all evil </w:t>
      </w:r>
      <w:r>
        <w:t>results from</w:t>
      </w:r>
      <w:r w:rsidRPr="00100BDE">
        <w:t xml:space="preserve"> God's purpose; moral harm might result from mortals abusing their free will.</w:t>
      </w:r>
      <w:r>
        <w:t xml:space="preserve"> </w:t>
      </w:r>
      <w:r w:rsidR="00512180" w:rsidRPr="00512180">
        <w:t xml:space="preserve">However, this lessens rather than eliminates God's omniscience. It also doesn't explain why there is so much unnecessary natural evil. The Factual Premise is commonly referred to as the first premise since it expresses a truth that can be observed in the real world. There are times when great suffering is unnecessary and unnecessary. According to Rowe, suffering is unnecessary if an omnipotent, omniscient being could have averted it "without sacrificing some higher benefit or allowing some equally dreadful or worse evil." Rowe backs up his first premise with two </w:t>
      </w:r>
      <w:r w:rsidR="00512180">
        <w:t>natural and moral evil examples</w:t>
      </w:r>
      <w:r w:rsidR="00512180" w:rsidRPr="00512180">
        <w:t>.</w:t>
      </w:r>
      <w:r w:rsidR="00512180">
        <w:t xml:space="preserve"> </w:t>
      </w:r>
      <w:r w:rsidR="000A4BEA" w:rsidRPr="000A4BEA">
        <w:t xml:space="preserve">He </w:t>
      </w:r>
      <w:r w:rsidR="000A4BEA">
        <w:t>tells</w:t>
      </w:r>
      <w:r w:rsidR="000A4BEA" w:rsidRPr="000A4BEA">
        <w:t xml:space="preserve"> the story of a </w:t>
      </w:r>
      <w:r w:rsidR="000A4BEA">
        <w:t>baby</w:t>
      </w:r>
      <w:r w:rsidR="000A4BEA" w:rsidRPr="000A4BEA">
        <w:t xml:space="preserve"> deer named "Bambi" trapped in a forest fire sparked by a lightning strike and burned alive for several days before dying to </w:t>
      </w:r>
      <w:r w:rsidR="000A4BEA">
        <w:t>their</w:t>
      </w:r>
      <w:r w:rsidR="000A4BEA" w:rsidRPr="000A4BEA">
        <w:t xml:space="preserve"> wounds. </w:t>
      </w:r>
      <w:r w:rsidR="000A4BEA">
        <w:t>In addition, t</w:t>
      </w:r>
      <w:r w:rsidR="000A4BEA" w:rsidRPr="000A4BEA">
        <w:t xml:space="preserve">he </w:t>
      </w:r>
      <w:r w:rsidR="000A4BEA">
        <w:t>narrative</w:t>
      </w:r>
      <w:r w:rsidR="000A4BEA" w:rsidRPr="000A4BEA">
        <w:t xml:space="preserve"> of Sue, a genuine incident in which a 5-year-old girl </w:t>
      </w:r>
      <w:r w:rsidR="000A4BEA" w:rsidRPr="000A4BEA">
        <w:lastRenderedPageBreak/>
        <w:t xml:space="preserve">was assaulted, </w:t>
      </w:r>
      <w:r w:rsidR="007C34CF" w:rsidRPr="000A4BEA">
        <w:t>strangled to death</w:t>
      </w:r>
      <w:r w:rsidR="007C34CF">
        <w:t>, and raped</w:t>
      </w:r>
      <w:r w:rsidR="000A4BEA" w:rsidRPr="000A4BEA">
        <w:t xml:space="preserve">, serves as an </w:t>
      </w:r>
      <w:r w:rsidR="007C34CF">
        <w:t xml:space="preserve">excellent </w:t>
      </w:r>
      <w:r w:rsidR="000A4BEA" w:rsidRPr="000A4BEA">
        <w:t xml:space="preserve">example of moral </w:t>
      </w:r>
      <w:r w:rsidR="000A4BEA">
        <w:t>evil</w:t>
      </w:r>
      <w:r w:rsidR="000A4BEA" w:rsidRPr="000A4BEA">
        <w:t>.</w:t>
      </w:r>
      <w:r w:rsidR="00690FE9">
        <w:rPr>
          <w:rStyle w:val="FootnoteReference"/>
        </w:rPr>
        <w:footnoteReference w:id="8"/>
      </w:r>
      <w:r w:rsidR="00AA6115">
        <w:t xml:space="preserve"> </w:t>
      </w:r>
      <w:r w:rsidR="00DA6DC6" w:rsidRPr="00DA6DC6">
        <w:t xml:space="preserve">These two examples were purposefully chosen to demonstrate how unnecessary, cruel, and gratuitous </w:t>
      </w:r>
      <w:r w:rsidR="00DA6DC6">
        <w:t>the world can be</w:t>
      </w:r>
      <w:r w:rsidR="00DA6DC6" w:rsidRPr="00DA6DC6">
        <w:t>, leaving the theist with the unenviable duty of justifying their stance as either</w:t>
      </w:r>
      <w:r w:rsidR="00DA6DC6">
        <w:t xml:space="preserve"> God</w:t>
      </w:r>
      <w:r w:rsidR="00DA6DC6" w:rsidRPr="00DA6DC6">
        <w:t xml:space="preserve"> avoiding </w:t>
      </w:r>
      <w:r w:rsidR="00DA6DC6">
        <w:t>more significant</w:t>
      </w:r>
      <w:r w:rsidR="00DA6DC6" w:rsidRPr="00DA6DC6">
        <w:t xml:space="preserve"> </w:t>
      </w:r>
      <w:r w:rsidR="00DA6DC6">
        <w:t>suffering</w:t>
      </w:r>
      <w:r w:rsidR="00DA6DC6" w:rsidRPr="00DA6DC6">
        <w:t xml:space="preserve"> or conceding that God could </w:t>
      </w:r>
      <w:r w:rsidR="00DA6DC6">
        <w:t>not have</w:t>
      </w:r>
      <w:r w:rsidR="00DA6DC6" w:rsidRPr="00DA6DC6">
        <w:t xml:space="preserve"> avoided it.</w:t>
      </w:r>
    </w:p>
    <w:p w14:paraId="1A85CB48" w14:textId="5710CE0F" w:rsidR="006B7117" w:rsidRDefault="001100CC" w:rsidP="008F6A01">
      <w:r w:rsidRPr="001100CC">
        <w:t xml:space="preserve">So long as the premises are accepted, this argument logically leads to Rowe’s conclusion that </w:t>
      </w:r>
      <w:r w:rsidR="006B7117">
        <w:t xml:space="preserve">there is no being that holds all three </w:t>
      </w:r>
      <w:r w:rsidR="006B7117">
        <w:rPr>
          <w:i/>
          <w:iCs/>
        </w:rPr>
        <w:t>Omni</w:t>
      </w:r>
      <w:r w:rsidR="006B7117">
        <w:t xml:space="preserve"> qualities. However, it is possible to turn the argument on its head by having a denial of his conclusion as the first premise</w:t>
      </w:r>
      <w:r w:rsidR="00455845">
        <w:t>. Rowe called it “the theist’s best response”</w:t>
      </w:r>
      <w:r w:rsidR="00455845">
        <w:rPr>
          <w:rStyle w:val="FootnoteReference"/>
        </w:rPr>
        <w:footnoteReference w:id="9"/>
      </w:r>
      <w:r w:rsidR="006B7117">
        <w:t>:</w:t>
      </w:r>
    </w:p>
    <w:p w14:paraId="3586807F" w14:textId="18B64D0F" w:rsidR="006B7117" w:rsidRDefault="006B7117" w:rsidP="006B7117">
      <w:pPr>
        <w:ind w:left="720"/>
      </w:pPr>
      <w:r>
        <w:t>P1. An omnibenevolent, omniscient, and omnipotent God exists.</w:t>
      </w:r>
    </w:p>
    <w:p w14:paraId="24B6F6CB" w14:textId="50F7D421" w:rsidR="006B7117" w:rsidRDefault="006B7117" w:rsidP="006B7117">
      <w:pPr>
        <w:ind w:left="720"/>
      </w:pPr>
      <w:r>
        <w:t xml:space="preserve">P2. A being which </w:t>
      </w:r>
      <w:r w:rsidR="001100CC">
        <w:t>possesses</w:t>
      </w:r>
      <w:r>
        <w:t xml:space="preserve"> all three of these traits would </w:t>
      </w:r>
      <w:r w:rsidR="00FF5B7F">
        <w:t xml:space="preserve">be able to and would want to prevent any intense suffering it could without compromising the greater good or allowing for </w:t>
      </w:r>
      <w:r w:rsidR="001100CC">
        <w:t xml:space="preserve">the </w:t>
      </w:r>
      <w:r w:rsidR="00FF5B7F">
        <w:t>evil that is just as bad or worse.</w:t>
      </w:r>
    </w:p>
    <w:p w14:paraId="35C76E91" w14:textId="00CCA036" w:rsidR="00FF5B7F" w:rsidRDefault="00FF5B7F" w:rsidP="006B7117">
      <w:pPr>
        <w:ind w:left="720"/>
      </w:pPr>
      <w:r>
        <w:t>C1. It is not the case</w:t>
      </w:r>
      <w:r w:rsidR="001100CC">
        <w:t xml:space="preserve"> that</w:t>
      </w:r>
      <w:r>
        <w:t xml:space="preserve"> there are cases of intense suffering that </w:t>
      </w:r>
      <w:r w:rsidR="005B2C7A">
        <w:t xml:space="preserve">an omnibenevolent, omniscient, and omnipotent could have prevented without compromising the greater good or allowing for </w:t>
      </w:r>
      <w:r w:rsidR="001100CC">
        <w:t xml:space="preserve">the </w:t>
      </w:r>
      <w:r w:rsidR="005B2C7A">
        <w:t>evil that is just as bad or worse.</w:t>
      </w:r>
      <w:r w:rsidR="005B2C7A">
        <w:rPr>
          <w:rStyle w:val="FootnoteReference"/>
        </w:rPr>
        <w:footnoteReference w:id="10"/>
      </w:r>
      <w:r w:rsidR="00455845">
        <w:t xml:space="preserve"> </w:t>
      </w:r>
    </w:p>
    <w:p w14:paraId="452AFB21" w14:textId="0E524630" w:rsidR="00341F50" w:rsidRDefault="00341F50" w:rsidP="00341F50">
      <w:r w:rsidRPr="00341F50">
        <w:t>The argument that "God works in mysterious ways" is clichéd. Nonetheless, I believe it represents a legitimate method of addressing the problem of evil. The enormity of the cognitive barrier between God and His creations is emphasised heavily. Saint Paul the Apostle exclaims in the book of Romans:</w:t>
      </w:r>
    </w:p>
    <w:p w14:paraId="055B63A0" w14:textId="193B981F" w:rsidR="00341F50" w:rsidRDefault="00341F50" w:rsidP="00341F50">
      <w:pPr>
        <w:ind w:left="720"/>
      </w:pPr>
      <w:r w:rsidRPr="00341F50">
        <w:t>“Oh, the depth of the riches of the wisdom and knowledge of God! How unsearchable his judgments, and his paths beyond tracing out! Who has known the mind of the Lord?” (Romans 11:33-34)</w:t>
      </w:r>
    </w:p>
    <w:p w14:paraId="1E47929D" w14:textId="73DC8B46" w:rsidR="005B51B2" w:rsidRDefault="00621832" w:rsidP="00341F50">
      <w:r>
        <w:t xml:space="preserve">Despite the strength of the problem of evil presented by Rowe </w:t>
      </w:r>
      <w:r w:rsidR="00B01E28">
        <w:t>et al.</w:t>
      </w:r>
      <w:r>
        <w:t>, it cannot b sufficiently argued that the existence of evil provides compelling evidence to support the claim that God does not exist. At first, the problem of evil may seem convincing</w:t>
      </w:r>
      <w:r w:rsidR="00B01E28">
        <w:t>. Still, the</w:t>
      </w:r>
      <w:r>
        <w:t xml:space="preserve"> defences and theodicies of generations of theist thinkers have developed a way </w:t>
      </w:r>
      <w:r w:rsidR="00B01E28" w:rsidRPr="00B01E28">
        <w:t>to believe God’s omnibenevolence, omniscience, and omnipotence can fit within a world in which evil exists</w:t>
      </w:r>
      <w:r>
        <w:t>.</w:t>
      </w:r>
    </w:p>
    <w:p w14:paraId="6ED7FD3B" w14:textId="77777777" w:rsidR="005B51B2" w:rsidRDefault="005B51B2">
      <w:r>
        <w:br w:type="page"/>
      </w:r>
    </w:p>
    <w:p w14:paraId="7CB5045C" w14:textId="5C8BAD6E" w:rsidR="005B51B2" w:rsidRDefault="005B51B2" w:rsidP="00341F50">
      <w:pPr>
        <w:rPr>
          <w:rFonts w:asciiTheme="majorHAnsi" w:hAnsiTheme="majorHAnsi" w:cstheme="majorHAnsi"/>
          <w:b/>
          <w:bCs/>
          <w:u w:val="single"/>
        </w:rPr>
      </w:pPr>
      <w:r>
        <w:rPr>
          <w:rFonts w:asciiTheme="majorHAnsi" w:hAnsiTheme="majorHAnsi" w:cstheme="majorHAnsi"/>
          <w:b/>
          <w:bCs/>
          <w:u w:val="single"/>
        </w:rPr>
        <w:lastRenderedPageBreak/>
        <w:t>Bibliography</w:t>
      </w:r>
    </w:p>
    <w:p w14:paraId="663BA14A" w14:textId="77777777" w:rsidR="005B51B2" w:rsidRPr="005B51B2" w:rsidRDefault="005B51B2" w:rsidP="005B51B2">
      <w:pPr>
        <w:numPr>
          <w:ilvl w:val="0"/>
          <w:numId w:val="2"/>
        </w:numPr>
        <w:rPr>
          <w:rFonts w:cstheme="minorHAnsi"/>
        </w:rPr>
      </w:pPr>
      <w:r w:rsidRPr="005B51B2">
        <w:rPr>
          <w:rFonts w:cstheme="minorHAnsi"/>
        </w:rPr>
        <w:t>Robert Audi and William J Wainwright, </w:t>
      </w:r>
      <w:r w:rsidRPr="005B51B2">
        <w:rPr>
          <w:rFonts w:cstheme="minorHAnsi"/>
          <w:i/>
          <w:iCs/>
        </w:rPr>
        <w:t>Rationality, Religious Belief, And Moral Commitment</w:t>
      </w:r>
      <w:r w:rsidRPr="005B51B2">
        <w:rPr>
          <w:rFonts w:cstheme="minorHAnsi"/>
        </w:rPr>
        <w:t> (Ithaca: Cornell University Press, 1986).</w:t>
      </w:r>
    </w:p>
    <w:p w14:paraId="7931BB61" w14:textId="2694226D" w:rsidR="005B51B2" w:rsidRDefault="005B51B2" w:rsidP="005B51B2">
      <w:pPr>
        <w:numPr>
          <w:ilvl w:val="0"/>
          <w:numId w:val="2"/>
        </w:numPr>
        <w:rPr>
          <w:rFonts w:cstheme="minorHAnsi"/>
        </w:rPr>
      </w:pPr>
      <w:r w:rsidRPr="005B51B2">
        <w:rPr>
          <w:rFonts w:cstheme="minorHAnsi"/>
        </w:rPr>
        <w:t>Aurelius Augustinus and Henry Chadwick, </w:t>
      </w:r>
      <w:r w:rsidRPr="005B51B2">
        <w:rPr>
          <w:rFonts w:cstheme="minorHAnsi"/>
          <w:i/>
          <w:iCs/>
        </w:rPr>
        <w:t>Confessions</w:t>
      </w:r>
      <w:r w:rsidRPr="005B51B2">
        <w:rPr>
          <w:rFonts w:cstheme="minorHAnsi"/>
        </w:rPr>
        <w:t> (Oxford: Oxford Univ. Press, 1991).</w:t>
      </w:r>
    </w:p>
    <w:p w14:paraId="67A95F6B" w14:textId="7E9BD53A" w:rsidR="005B51B2" w:rsidRDefault="005B51B2" w:rsidP="005B51B2">
      <w:pPr>
        <w:numPr>
          <w:ilvl w:val="0"/>
          <w:numId w:val="2"/>
        </w:numPr>
        <w:rPr>
          <w:rFonts w:cstheme="minorHAnsi"/>
        </w:rPr>
      </w:pPr>
      <w:r w:rsidRPr="005B51B2">
        <w:rPr>
          <w:rFonts w:cstheme="minorHAnsi"/>
        </w:rPr>
        <w:t>James R. Beebe, "Logical Problem of Evil | Internet Encyclopedia of Philosophy", </w:t>
      </w:r>
      <w:r w:rsidRPr="005B51B2">
        <w:rPr>
          <w:rFonts w:cstheme="minorHAnsi"/>
          <w:i/>
          <w:iCs/>
        </w:rPr>
        <w:t>Iep.Utm.Edu</w:t>
      </w:r>
      <w:r w:rsidRPr="005B51B2">
        <w:rPr>
          <w:rFonts w:cstheme="minorHAnsi"/>
        </w:rPr>
        <w:t>, 2021 &lt;https://iep.utm.edu/evil-log/&gt; [Accessed 16 December 2021].</w:t>
      </w:r>
    </w:p>
    <w:p w14:paraId="3B50047D" w14:textId="01A0FAB0" w:rsidR="00C94FDB" w:rsidRDefault="00C94FDB" w:rsidP="00C94FDB">
      <w:pPr>
        <w:numPr>
          <w:ilvl w:val="0"/>
          <w:numId w:val="2"/>
        </w:numPr>
        <w:rPr>
          <w:rFonts w:cstheme="minorHAnsi"/>
        </w:rPr>
      </w:pPr>
      <w:r w:rsidRPr="005B51B2">
        <w:rPr>
          <w:rFonts w:cstheme="minorHAnsi"/>
        </w:rPr>
        <w:t>David Ray Griffin, </w:t>
      </w:r>
      <w:r w:rsidRPr="005B51B2">
        <w:rPr>
          <w:rFonts w:cstheme="minorHAnsi"/>
          <w:i/>
          <w:iCs/>
        </w:rPr>
        <w:t>God, Power, And Evil</w:t>
      </w:r>
      <w:r w:rsidRPr="005B51B2">
        <w:rPr>
          <w:rFonts w:cstheme="minorHAnsi"/>
        </w:rPr>
        <w:t> (Westminster, 2004).</w:t>
      </w:r>
    </w:p>
    <w:p w14:paraId="17BDD455" w14:textId="3EC9C4A7" w:rsidR="00C94FDB" w:rsidRPr="00C94FDB" w:rsidRDefault="00C94FDB" w:rsidP="00C94FDB">
      <w:pPr>
        <w:numPr>
          <w:ilvl w:val="0"/>
          <w:numId w:val="2"/>
        </w:numPr>
        <w:rPr>
          <w:rFonts w:cstheme="minorHAnsi"/>
        </w:rPr>
      </w:pPr>
      <w:r w:rsidRPr="005B51B2">
        <w:rPr>
          <w:rFonts w:cstheme="minorHAnsi"/>
        </w:rPr>
        <w:t xml:space="preserve">John Hick, </w:t>
      </w:r>
      <w:r w:rsidRPr="005B51B2">
        <w:rPr>
          <w:rFonts w:cstheme="minorHAnsi"/>
          <w:i/>
          <w:iCs/>
        </w:rPr>
        <w:t>Evil and the God of Love</w:t>
      </w:r>
      <w:r w:rsidRPr="005B51B2">
        <w:rPr>
          <w:rFonts w:cstheme="minorHAnsi"/>
        </w:rPr>
        <w:t>, second edition (New York: HarperCollins, 1977)</w:t>
      </w:r>
    </w:p>
    <w:p w14:paraId="11EFE7C5" w14:textId="47A9139B" w:rsidR="00C94FDB" w:rsidRDefault="00C94FDB" w:rsidP="00C94FDB">
      <w:pPr>
        <w:numPr>
          <w:ilvl w:val="0"/>
          <w:numId w:val="2"/>
        </w:numPr>
        <w:rPr>
          <w:rFonts w:cstheme="minorHAnsi"/>
        </w:rPr>
      </w:pPr>
      <w:r w:rsidRPr="005B51B2">
        <w:rPr>
          <w:rFonts w:cstheme="minorHAnsi"/>
        </w:rPr>
        <w:t>Joshua Hoffman and Gary Rosenkrantz, "Omnipotence (Stanford Encyclopedia of Philosophy/Spring 2020 Edition)", </w:t>
      </w:r>
      <w:r w:rsidRPr="005B51B2">
        <w:rPr>
          <w:rFonts w:cstheme="minorHAnsi"/>
          <w:i/>
          <w:iCs/>
        </w:rPr>
        <w:t>Plato.Stanford.Edu</w:t>
      </w:r>
      <w:r w:rsidRPr="005B51B2">
        <w:rPr>
          <w:rFonts w:cstheme="minorHAnsi"/>
        </w:rPr>
        <w:t>, 2021 &lt;https://plato.stanford.edu/archives/spr2020/entries/omnipotence/&gt; [Accessed 16 December 2021].</w:t>
      </w:r>
    </w:p>
    <w:p w14:paraId="3C61F6A7" w14:textId="143BFCAC" w:rsidR="00C94FDB" w:rsidRDefault="00C94FDB" w:rsidP="00C94FDB">
      <w:pPr>
        <w:numPr>
          <w:ilvl w:val="0"/>
          <w:numId w:val="2"/>
        </w:numPr>
        <w:rPr>
          <w:rFonts w:cstheme="minorHAnsi"/>
        </w:rPr>
      </w:pPr>
      <w:r w:rsidRPr="005B51B2">
        <w:rPr>
          <w:rFonts w:cstheme="minorHAnsi"/>
        </w:rPr>
        <w:t xml:space="preserve">David Hume, </w:t>
      </w:r>
      <w:r w:rsidRPr="005B51B2">
        <w:rPr>
          <w:rFonts w:cstheme="minorHAnsi"/>
          <w:i/>
          <w:iCs/>
        </w:rPr>
        <w:t>Dialogues Concerning Natural Religion</w:t>
      </w:r>
      <w:r w:rsidRPr="005B51B2">
        <w:rPr>
          <w:rFonts w:cstheme="minorHAnsi"/>
        </w:rPr>
        <w:t xml:space="preserve"> (Project Gutenberg)</w:t>
      </w:r>
    </w:p>
    <w:p w14:paraId="5C58FCE4" w14:textId="7994C694" w:rsidR="00C94FDB" w:rsidRDefault="00D849E3" w:rsidP="00D849E3">
      <w:pPr>
        <w:numPr>
          <w:ilvl w:val="0"/>
          <w:numId w:val="2"/>
        </w:numPr>
        <w:rPr>
          <w:rFonts w:cstheme="minorHAnsi"/>
        </w:rPr>
      </w:pPr>
      <w:r w:rsidRPr="005B51B2">
        <w:rPr>
          <w:rFonts w:cstheme="minorHAnsi"/>
        </w:rPr>
        <w:t>John Kemp, "Pain and Evil", </w:t>
      </w:r>
      <w:r w:rsidRPr="005B51B2">
        <w:rPr>
          <w:rFonts w:cstheme="minorHAnsi"/>
          <w:i/>
          <w:iCs/>
        </w:rPr>
        <w:t>Philosophy</w:t>
      </w:r>
      <w:r w:rsidRPr="005B51B2">
        <w:rPr>
          <w:rFonts w:cstheme="minorHAnsi"/>
        </w:rPr>
        <w:t>, 29.108 (1954), pp.13-26 &lt;https://doi.org/10.1017/s0031819100022105&gt;.</w:t>
      </w:r>
    </w:p>
    <w:p w14:paraId="5B9320FD" w14:textId="05F56C7B" w:rsidR="00D849E3" w:rsidRDefault="00D849E3" w:rsidP="00D849E3">
      <w:pPr>
        <w:numPr>
          <w:ilvl w:val="0"/>
          <w:numId w:val="2"/>
        </w:numPr>
        <w:rPr>
          <w:rFonts w:cstheme="minorHAnsi"/>
        </w:rPr>
      </w:pPr>
      <w:r w:rsidRPr="005B51B2">
        <w:rPr>
          <w:rFonts w:cstheme="minorHAnsi"/>
        </w:rPr>
        <w:t>Harold S. Kushner, </w:t>
      </w:r>
      <w:r w:rsidRPr="005B51B2">
        <w:rPr>
          <w:rFonts w:cstheme="minorHAnsi"/>
          <w:i/>
          <w:iCs/>
        </w:rPr>
        <w:t>When Bad Things Happen to Good People</w:t>
      </w:r>
      <w:r w:rsidRPr="005B51B2">
        <w:rPr>
          <w:rFonts w:cstheme="minorHAnsi"/>
        </w:rPr>
        <w:t>. (New York: Schocken Books, 1981)</w:t>
      </w:r>
    </w:p>
    <w:p w14:paraId="334F6D98" w14:textId="44F11EDE" w:rsidR="00D849E3" w:rsidRPr="005B51B2" w:rsidRDefault="00D849E3" w:rsidP="00D849E3">
      <w:pPr>
        <w:numPr>
          <w:ilvl w:val="0"/>
          <w:numId w:val="2"/>
        </w:numPr>
        <w:rPr>
          <w:rFonts w:cstheme="minorHAnsi"/>
        </w:rPr>
      </w:pPr>
      <w:r w:rsidRPr="005B51B2">
        <w:rPr>
          <w:rFonts w:cstheme="minorHAnsi"/>
        </w:rPr>
        <w:t xml:space="preserve">George I. Mavrodes, </w:t>
      </w:r>
      <w:r w:rsidRPr="005B51B2">
        <w:rPr>
          <w:rFonts w:cstheme="minorHAnsi"/>
          <w:i/>
          <w:iCs/>
        </w:rPr>
        <w:t>Belief in God: A Study in the Epistemology of Religion.</w:t>
      </w:r>
      <w:r w:rsidRPr="005B51B2">
        <w:rPr>
          <w:rFonts w:cstheme="minorHAnsi"/>
        </w:rPr>
        <w:t xml:space="preserve"> (New York: Random House, 1970)</w:t>
      </w:r>
    </w:p>
    <w:p w14:paraId="4CB591EE" w14:textId="1609830E" w:rsidR="00D849E3" w:rsidRPr="00D849E3" w:rsidRDefault="005B51B2" w:rsidP="00D849E3">
      <w:pPr>
        <w:numPr>
          <w:ilvl w:val="0"/>
          <w:numId w:val="2"/>
        </w:numPr>
        <w:rPr>
          <w:rFonts w:cstheme="minorHAnsi"/>
        </w:rPr>
      </w:pPr>
      <w:r w:rsidRPr="005B51B2">
        <w:rPr>
          <w:rFonts w:cstheme="minorHAnsi"/>
        </w:rPr>
        <w:t>Justin P McBrayer and Daniel Howard-Snyder, </w:t>
      </w:r>
      <w:r w:rsidRPr="005B51B2">
        <w:rPr>
          <w:rFonts w:cstheme="minorHAnsi"/>
          <w:i/>
          <w:iCs/>
        </w:rPr>
        <w:t>The Blackwell Companion to The Problem of Evil</w:t>
      </w:r>
      <w:r w:rsidRPr="005B51B2">
        <w:rPr>
          <w:rFonts w:cstheme="minorHAnsi"/>
        </w:rPr>
        <w:t> (Wiley-Blackwell, 2014).</w:t>
      </w:r>
    </w:p>
    <w:p w14:paraId="4374B8BF" w14:textId="77777777" w:rsidR="00D849E3" w:rsidRPr="005B51B2" w:rsidRDefault="00D849E3" w:rsidP="00D849E3">
      <w:pPr>
        <w:numPr>
          <w:ilvl w:val="0"/>
          <w:numId w:val="2"/>
        </w:numPr>
        <w:rPr>
          <w:rFonts w:cstheme="minorHAnsi"/>
        </w:rPr>
      </w:pPr>
      <w:r w:rsidRPr="005B51B2">
        <w:rPr>
          <w:rFonts w:cstheme="minorHAnsi"/>
        </w:rPr>
        <w:t>Alvin Plantinga, </w:t>
      </w:r>
      <w:r w:rsidRPr="005B51B2">
        <w:rPr>
          <w:rFonts w:cstheme="minorHAnsi"/>
          <w:i/>
          <w:iCs/>
        </w:rPr>
        <w:t>The Nature of Necessity</w:t>
      </w:r>
      <w:r w:rsidRPr="005B51B2">
        <w:rPr>
          <w:rFonts w:cstheme="minorHAnsi"/>
        </w:rPr>
        <w:t>. (Oxford: Clarendon Press, 1974).</w:t>
      </w:r>
    </w:p>
    <w:p w14:paraId="002FBACD" w14:textId="47B1C554" w:rsidR="00D849E3" w:rsidRDefault="00D849E3" w:rsidP="00D849E3">
      <w:pPr>
        <w:numPr>
          <w:ilvl w:val="0"/>
          <w:numId w:val="2"/>
        </w:numPr>
        <w:rPr>
          <w:rFonts w:cstheme="minorHAnsi"/>
        </w:rPr>
      </w:pPr>
      <w:r w:rsidRPr="005B51B2">
        <w:rPr>
          <w:rFonts w:cstheme="minorHAnsi"/>
        </w:rPr>
        <w:t>Alvin Plantinga, </w:t>
      </w:r>
      <w:r w:rsidRPr="005B51B2">
        <w:rPr>
          <w:rFonts w:cstheme="minorHAnsi"/>
          <w:i/>
          <w:iCs/>
        </w:rPr>
        <w:t>God, Freedom and Evil</w:t>
      </w:r>
      <w:r w:rsidRPr="005B51B2">
        <w:rPr>
          <w:rFonts w:cstheme="minorHAnsi"/>
        </w:rPr>
        <w:t> (Grand Rapids, Michigan: William B. Eerdmans, 2008)</w:t>
      </w:r>
      <w:r>
        <w:rPr>
          <w:rFonts w:cstheme="minorHAnsi"/>
        </w:rPr>
        <w:t>.</w:t>
      </w:r>
    </w:p>
    <w:p w14:paraId="09EBF67E" w14:textId="3D3F83E2" w:rsidR="00D849E3" w:rsidRDefault="00D849E3" w:rsidP="00D849E3">
      <w:pPr>
        <w:numPr>
          <w:ilvl w:val="0"/>
          <w:numId w:val="2"/>
        </w:numPr>
        <w:rPr>
          <w:rFonts w:cstheme="minorHAnsi"/>
        </w:rPr>
      </w:pPr>
      <w:r w:rsidRPr="005B51B2">
        <w:rPr>
          <w:rFonts w:cstheme="minorHAnsi"/>
        </w:rPr>
        <w:t xml:space="preserve">William L. Rowe, 'The Problem of Evil and Some Varieties of Atheism', </w:t>
      </w:r>
      <w:r w:rsidRPr="005B51B2">
        <w:rPr>
          <w:rFonts w:cstheme="minorHAnsi"/>
          <w:i/>
          <w:iCs/>
        </w:rPr>
        <w:t>American Philosophical Quarterly</w:t>
      </w:r>
      <w:r w:rsidRPr="005B51B2">
        <w:rPr>
          <w:rFonts w:cstheme="minorHAnsi"/>
        </w:rPr>
        <w:t>, 1 October 1979, Vol.16(4), pp.335-341 &lt;https://www-jstor-org.ezproxy.uwtsd.ac.uk/stable/20009775?sid=primo&amp;origin=crossref&gt; [Accessed 16 December 2021].</w:t>
      </w:r>
    </w:p>
    <w:p w14:paraId="48B34E57" w14:textId="029BB6A7" w:rsidR="00D849E3" w:rsidRPr="00D849E3" w:rsidRDefault="00D849E3" w:rsidP="00D849E3">
      <w:pPr>
        <w:numPr>
          <w:ilvl w:val="0"/>
          <w:numId w:val="2"/>
        </w:numPr>
        <w:rPr>
          <w:rFonts w:cstheme="minorHAnsi"/>
        </w:rPr>
      </w:pPr>
      <w:r w:rsidRPr="005B51B2">
        <w:rPr>
          <w:rFonts w:cstheme="minorHAnsi"/>
        </w:rPr>
        <w:t>Michael Tooley, "The Problem of Evil (Stanford Encyclopedia of Philosophy/Fall 2021 Edition)", </w:t>
      </w:r>
      <w:r w:rsidRPr="005B51B2">
        <w:rPr>
          <w:rFonts w:cstheme="minorHAnsi"/>
          <w:i/>
          <w:iCs/>
        </w:rPr>
        <w:t>Plato.Stanford.Edu</w:t>
      </w:r>
      <w:r w:rsidRPr="005B51B2">
        <w:rPr>
          <w:rFonts w:cstheme="minorHAnsi"/>
        </w:rPr>
        <w:t>, 2021 &lt;https://plato.stanford.edu/archives/fall2021/entries/evil/&gt; [Accessed 16 December 2021].</w:t>
      </w:r>
    </w:p>
    <w:p w14:paraId="67BE7DE9" w14:textId="77777777" w:rsidR="005B51B2" w:rsidRPr="005B51B2" w:rsidRDefault="005B51B2" w:rsidP="005B51B2">
      <w:pPr>
        <w:numPr>
          <w:ilvl w:val="0"/>
          <w:numId w:val="2"/>
        </w:numPr>
        <w:rPr>
          <w:rFonts w:cstheme="minorHAnsi"/>
        </w:rPr>
      </w:pPr>
      <w:r w:rsidRPr="005B51B2">
        <w:rPr>
          <w:rFonts w:cstheme="minorHAnsi"/>
        </w:rPr>
        <w:t>Nick Trakakis, "Evidential Problem of Evil, The | Internet Encyclopedia of Philosophy", </w:t>
      </w:r>
      <w:r w:rsidRPr="005B51B2">
        <w:rPr>
          <w:rFonts w:cstheme="minorHAnsi"/>
          <w:i/>
          <w:iCs/>
        </w:rPr>
        <w:t>Iep.Utm.Edu</w:t>
      </w:r>
      <w:r w:rsidRPr="005B51B2">
        <w:rPr>
          <w:rFonts w:cstheme="minorHAnsi"/>
        </w:rPr>
        <w:t>, 2021 &lt;https://iep.utm.edu/evil-evi/&gt; [Accessed 16 December 2021].</w:t>
      </w:r>
    </w:p>
    <w:p w14:paraId="11F13F05" w14:textId="77777777" w:rsidR="005B51B2" w:rsidRPr="005B51B2" w:rsidRDefault="005B51B2" w:rsidP="005B51B2">
      <w:pPr>
        <w:numPr>
          <w:ilvl w:val="0"/>
          <w:numId w:val="2"/>
        </w:numPr>
        <w:rPr>
          <w:rFonts w:cstheme="minorHAnsi"/>
        </w:rPr>
      </w:pPr>
      <w:r w:rsidRPr="005B51B2">
        <w:rPr>
          <w:rFonts w:cstheme="minorHAnsi"/>
        </w:rPr>
        <w:t>Edward Wierenga, "Omniscience (Stanford Encyclopedia of Philosophy/Winter 2020 Edition)", </w:t>
      </w:r>
      <w:r w:rsidRPr="005B51B2">
        <w:rPr>
          <w:rFonts w:cstheme="minorHAnsi"/>
          <w:i/>
          <w:iCs/>
        </w:rPr>
        <w:t>Plato.Stanford.Edu</w:t>
      </w:r>
      <w:r w:rsidRPr="005B51B2">
        <w:rPr>
          <w:rFonts w:cstheme="minorHAnsi"/>
        </w:rPr>
        <w:t>, 2021 &lt;https://plato.stanford.edu/archives/win2020/entries/omniscience/&gt; [Accessed 16 December 2021].</w:t>
      </w:r>
    </w:p>
    <w:sectPr w:rsidR="005B51B2" w:rsidRPr="005B51B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C59A6" w14:textId="77777777" w:rsidR="00DA02D4" w:rsidRDefault="00DA02D4" w:rsidP="00E95B12">
      <w:pPr>
        <w:spacing w:after="0" w:line="240" w:lineRule="auto"/>
      </w:pPr>
      <w:r>
        <w:separator/>
      </w:r>
    </w:p>
  </w:endnote>
  <w:endnote w:type="continuationSeparator" w:id="0">
    <w:p w14:paraId="660D93EF" w14:textId="77777777" w:rsidR="00DA02D4" w:rsidRDefault="00DA02D4" w:rsidP="00E95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F7456" w14:textId="77777777" w:rsidR="00DA02D4" w:rsidRDefault="00DA02D4" w:rsidP="00E95B12">
      <w:pPr>
        <w:spacing w:after="0" w:line="240" w:lineRule="auto"/>
      </w:pPr>
      <w:r>
        <w:separator/>
      </w:r>
    </w:p>
  </w:footnote>
  <w:footnote w:type="continuationSeparator" w:id="0">
    <w:p w14:paraId="6730E73C" w14:textId="77777777" w:rsidR="00DA02D4" w:rsidRDefault="00DA02D4" w:rsidP="00E95B12">
      <w:pPr>
        <w:spacing w:after="0" w:line="240" w:lineRule="auto"/>
      </w:pPr>
      <w:r>
        <w:continuationSeparator/>
      </w:r>
    </w:p>
  </w:footnote>
  <w:footnote w:id="1">
    <w:p w14:paraId="6792D016" w14:textId="45983576" w:rsidR="0014496A" w:rsidRDefault="0014496A">
      <w:pPr>
        <w:pStyle w:val="FootnoteText"/>
      </w:pPr>
      <w:r>
        <w:rPr>
          <w:rStyle w:val="FootnoteReference"/>
        </w:rPr>
        <w:footnoteRef/>
      </w:r>
      <w:r>
        <w:t xml:space="preserve"> </w:t>
      </w:r>
      <w:bookmarkStart w:id="0" w:name="_Hlk90683092"/>
      <w:r w:rsidRPr="00290A8A">
        <w:rPr>
          <w:rFonts w:ascii="Times New Roman" w:hAnsi="Times New Roman" w:cs="Times New Roman"/>
        </w:rPr>
        <w:t>Justin P McBrayer and Daniel Howard-Snyder, </w:t>
      </w:r>
      <w:r w:rsidRPr="00290A8A">
        <w:rPr>
          <w:rFonts w:ascii="Times New Roman" w:hAnsi="Times New Roman" w:cs="Times New Roman"/>
          <w:i/>
          <w:iCs/>
        </w:rPr>
        <w:t>The Blackwell Companion to The Problem of Evil</w:t>
      </w:r>
      <w:r w:rsidRPr="00290A8A">
        <w:rPr>
          <w:rFonts w:ascii="Times New Roman" w:hAnsi="Times New Roman" w:cs="Times New Roman"/>
        </w:rPr>
        <w:t> (Wiley-Blackwell, 2014).</w:t>
      </w:r>
      <w:bookmarkEnd w:id="0"/>
    </w:p>
  </w:footnote>
  <w:footnote w:id="2">
    <w:p w14:paraId="26F8E017" w14:textId="71BB7180" w:rsidR="000166AA" w:rsidRDefault="000166AA">
      <w:pPr>
        <w:pStyle w:val="FootnoteText"/>
      </w:pPr>
      <w:r>
        <w:rPr>
          <w:rStyle w:val="FootnoteReference"/>
        </w:rPr>
        <w:footnoteRef/>
      </w:r>
      <w:r>
        <w:t xml:space="preserve"> </w:t>
      </w:r>
      <w:bookmarkStart w:id="1" w:name="_Hlk90657383"/>
      <w:r w:rsidRPr="00290A8A">
        <w:rPr>
          <w:rFonts w:ascii="Times New Roman" w:hAnsi="Times New Roman" w:cs="Times New Roman"/>
        </w:rPr>
        <w:t>James R. Beebe, "Logical Problem of Evil | Internet Encyclopedia Of Philosophy", </w:t>
      </w:r>
      <w:r w:rsidRPr="00290A8A">
        <w:rPr>
          <w:rFonts w:ascii="Times New Roman" w:hAnsi="Times New Roman" w:cs="Times New Roman"/>
          <w:i/>
          <w:iCs/>
        </w:rPr>
        <w:t>Iep.Utm.Edu</w:t>
      </w:r>
      <w:r w:rsidRPr="00290A8A">
        <w:rPr>
          <w:rFonts w:ascii="Times New Roman" w:hAnsi="Times New Roman" w:cs="Times New Roman"/>
        </w:rPr>
        <w:t xml:space="preserve">, 2021 &lt;https://iep.utm.edu/evil-log/&gt; [Accessed </w:t>
      </w:r>
      <w:r>
        <w:rPr>
          <w:rFonts w:ascii="Times New Roman" w:hAnsi="Times New Roman" w:cs="Times New Roman"/>
        </w:rPr>
        <w:t>11 May 2022</w:t>
      </w:r>
      <w:r w:rsidRPr="00290A8A">
        <w:rPr>
          <w:rFonts w:ascii="Times New Roman" w:hAnsi="Times New Roman" w:cs="Times New Roman"/>
        </w:rPr>
        <w:t>].</w:t>
      </w:r>
      <w:bookmarkEnd w:id="1"/>
    </w:p>
  </w:footnote>
  <w:footnote w:id="3">
    <w:p w14:paraId="05ACBFCF" w14:textId="1989A04F" w:rsidR="007C14ED" w:rsidRDefault="007C14ED">
      <w:pPr>
        <w:pStyle w:val="FootnoteText"/>
      </w:pPr>
      <w:r>
        <w:rPr>
          <w:rStyle w:val="FootnoteReference"/>
        </w:rPr>
        <w:footnoteRef/>
      </w:r>
      <w:r>
        <w:t xml:space="preserve"> </w:t>
      </w:r>
      <w:bookmarkStart w:id="2" w:name="_Hlk90644861"/>
      <w:r w:rsidRPr="00290A8A">
        <w:rPr>
          <w:rFonts w:ascii="Times New Roman" w:hAnsi="Times New Roman" w:cs="Times New Roman"/>
        </w:rPr>
        <w:t>Nick Trakakis, "Evidential Problem Of Evil, The | Internet Encyclopedia Of Philosophy", </w:t>
      </w:r>
      <w:r w:rsidRPr="00290A8A">
        <w:rPr>
          <w:rFonts w:ascii="Times New Roman" w:hAnsi="Times New Roman" w:cs="Times New Roman"/>
          <w:i/>
          <w:iCs/>
        </w:rPr>
        <w:t>Iep.Utm.Edu</w:t>
      </w:r>
      <w:r w:rsidRPr="00290A8A">
        <w:rPr>
          <w:rFonts w:ascii="Times New Roman" w:hAnsi="Times New Roman" w:cs="Times New Roman"/>
        </w:rPr>
        <w:t xml:space="preserve">, 2021 &lt;https://iep.utm.edu/evil-evi/&gt; [Accessed </w:t>
      </w:r>
      <w:r>
        <w:rPr>
          <w:rFonts w:ascii="Times New Roman" w:hAnsi="Times New Roman" w:cs="Times New Roman"/>
        </w:rPr>
        <w:t>11 May 2022</w:t>
      </w:r>
      <w:r w:rsidRPr="00290A8A">
        <w:rPr>
          <w:rFonts w:ascii="Times New Roman" w:hAnsi="Times New Roman" w:cs="Times New Roman"/>
        </w:rPr>
        <w:t>].</w:t>
      </w:r>
      <w:bookmarkEnd w:id="2"/>
    </w:p>
  </w:footnote>
  <w:footnote w:id="4">
    <w:p w14:paraId="03F0F5D8" w14:textId="4AE02357" w:rsidR="004C7B38" w:rsidRDefault="004C7B38">
      <w:pPr>
        <w:pStyle w:val="FootnoteText"/>
      </w:pPr>
      <w:r>
        <w:rPr>
          <w:rStyle w:val="FootnoteReference"/>
        </w:rPr>
        <w:footnoteRef/>
      </w:r>
      <w:r>
        <w:t xml:space="preserve"> </w:t>
      </w:r>
      <w:r w:rsidRPr="004C7B38">
        <w:t xml:space="preserve">David Hume, </w:t>
      </w:r>
      <w:r w:rsidRPr="004C7B38">
        <w:rPr>
          <w:i/>
          <w:iCs/>
        </w:rPr>
        <w:t>Dialogues Concerning Natural Religion</w:t>
      </w:r>
      <w:r w:rsidRPr="004C7B38">
        <w:t xml:space="preserve"> (Project Gutenberg)</w:t>
      </w:r>
    </w:p>
  </w:footnote>
  <w:footnote w:id="5">
    <w:p w14:paraId="3EC9A2A2" w14:textId="6AD25923" w:rsidR="00EC4D47" w:rsidRDefault="00EC4D47">
      <w:pPr>
        <w:pStyle w:val="FootnoteText"/>
      </w:pPr>
      <w:r>
        <w:rPr>
          <w:rStyle w:val="FootnoteReference"/>
        </w:rPr>
        <w:footnoteRef/>
      </w:r>
      <w:r>
        <w:t xml:space="preserve"> </w:t>
      </w:r>
      <w:r w:rsidRPr="00290A8A">
        <w:rPr>
          <w:rFonts w:ascii="Times New Roman" w:hAnsi="Times New Roman" w:cs="Times New Roman"/>
        </w:rPr>
        <w:t>James R. Beebe, "Logical Problem of Evil | Internet Encyclopedia of Philosophy", </w:t>
      </w:r>
      <w:r w:rsidRPr="00290A8A">
        <w:rPr>
          <w:rFonts w:ascii="Times New Roman" w:hAnsi="Times New Roman" w:cs="Times New Roman"/>
          <w:i/>
          <w:iCs/>
        </w:rPr>
        <w:t>Iep.Utm.Edu</w:t>
      </w:r>
      <w:r w:rsidRPr="00290A8A">
        <w:rPr>
          <w:rFonts w:ascii="Times New Roman" w:hAnsi="Times New Roman" w:cs="Times New Roman"/>
        </w:rPr>
        <w:t xml:space="preserve">, 2021 &lt;https://iep.utm.edu/evil-log/&gt; [Accessed </w:t>
      </w:r>
      <w:r>
        <w:rPr>
          <w:rFonts w:ascii="Times New Roman" w:hAnsi="Times New Roman" w:cs="Times New Roman"/>
        </w:rPr>
        <w:t>13 May 2022</w:t>
      </w:r>
      <w:r w:rsidRPr="00290A8A">
        <w:rPr>
          <w:rFonts w:ascii="Times New Roman" w:hAnsi="Times New Roman" w:cs="Times New Roman"/>
        </w:rPr>
        <w:t>].</w:t>
      </w:r>
    </w:p>
  </w:footnote>
  <w:footnote w:id="6">
    <w:p w14:paraId="003F3866" w14:textId="374DAA89" w:rsidR="00EC4D47" w:rsidRPr="00EC4D47" w:rsidRDefault="00EC4D47">
      <w:pPr>
        <w:pStyle w:val="FootnoteText"/>
        <w:rPr>
          <w:rFonts w:ascii="Times New Roman" w:hAnsi="Times New Roman" w:cs="Times New Roman"/>
        </w:rPr>
      </w:pPr>
      <w:r>
        <w:rPr>
          <w:rStyle w:val="FootnoteReference"/>
        </w:rPr>
        <w:footnoteRef/>
      </w:r>
      <w:r>
        <w:t xml:space="preserve"> </w:t>
      </w:r>
      <w:bookmarkStart w:id="3" w:name="_Hlk90683309"/>
      <w:r w:rsidRPr="00290A8A">
        <w:rPr>
          <w:rFonts w:ascii="Times New Roman" w:hAnsi="Times New Roman" w:cs="Times New Roman"/>
        </w:rPr>
        <w:t>Harold S. Kushner, </w:t>
      </w:r>
      <w:r w:rsidRPr="00290A8A">
        <w:rPr>
          <w:rFonts w:ascii="Times New Roman" w:hAnsi="Times New Roman" w:cs="Times New Roman"/>
          <w:i/>
          <w:iCs/>
        </w:rPr>
        <w:t>When Bad Things Happen to Good People</w:t>
      </w:r>
      <w:r w:rsidRPr="00290A8A">
        <w:rPr>
          <w:rFonts w:ascii="Times New Roman" w:hAnsi="Times New Roman" w:cs="Times New Roman"/>
        </w:rPr>
        <w:t>. (New York: Schocken Books, 1981)</w:t>
      </w:r>
      <w:bookmarkEnd w:id="3"/>
    </w:p>
  </w:footnote>
  <w:footnote w:id="7">
    <w:p w14:paraId="497918C0" w14:textId="153F614E" w:rsidR="008415EA" w:rsidRDefault="008415EA">
      <w:pPr>
        <w:pStyle w:val="FootnoteText"/>
      </w:pPr>
      <w:r>
        <w:rPr>
          <w:rStyle w:val="FootnoteReference"/>
        </w:rPr>
        <w:footnoteRef/>
      </w:r>
      <w:r>
        <w:t xml:space="preserve"> </w:t>
      </w:r>
      <w:bookmarkStart w:id="5" w:name="_Hlk90683351"/>
      <w:r w:rsidRPr="00290A8A">
        <w:rPr>
          <w:rFonts w:ascii="Times New Roman" w:hAnsi="Times New Roman" w:cs="Times New Roman"/>
        </w:rPr>
        <w:t>Robert Audi and William J Wainwright, </w:t>
      </w:r>
      <w:r w:rsidRPr="00290A8A">
        <w:rPr>
          <w:rFonts w:ascii="Times New Roman" w:hAnsi="Times New Roman" w:cs="Times New Roman"/>
          <w:i/>
          <w:iCs/>
        </w:rPr>
        <w:t>Rationality, Religious Belief, And Moral Commitment</w:t>
      </w:r>
      <w:r w:rsidRPr="00290A8A">
        <w:rPr>
          <w:rFonts w:ascii="Times New Roman" w:hAnsi="Times New Roman" w:cs="Times New Roman"/>
        </w:rPr>
        <w:t> (Ithaca: Cornell University Press, 1986), pp. 227-47.</w:t>
      </w:r>
      <w:bookmarkEnd w:id="5"/>
    </w:p>
  </w:footnote>
  <w:footnote w:id="8">
    <w:p w14:paraId="5084732E" w14:textId="6FED5A5D" w:rsidR="00690FE9" w:rsidRDefault="00690FE9">
      <w:pPr>
        <w:pStyle w:val="FootnoteText"/>
      </w:pPr>
      <w:r>
        <w:rPr>
          <w:rStyle w:val="FootnoteReference"/>
        </w:rPr>
        <w:footnoteRef/>
      </w:r>
      <w:r>
        <w:t xml:space="preserve"> </w:t>
      </w:r>
      <w:bookmarkStart w:id="6" w:name="_Hlk90683400"/>
      <w:r w:rsidRPr="00290A8A">
        <w:rPr>
          <w:rFonts w:ascii="Times New Roman" w:hAnsi="Times New Roman" w:cs="Times New Roman"/>
        </w:rPr>
        <w:t xml:space="preserve">William L. Rowe, 'The Problem of Evil and Some Varieties of Atheism', </w:t>
      </w:r>
      <w:r w:rsidRPr="00290A8A">
        <w:rPr>
          <w:rFonts w:ascii="Times New Roman" w:hAnsi="Times New Roman" w:cs="Times New Roman"/>
          <w:i/>
          <w:iCs/>
        </w:rPr>
        <w:t>American Philosophical Quarterly</w:t>
      </w:r>
      <w:r w:rsidRPr="00290A8A">
        <w:rPr>
          <w:rFonts w:ascii="Times New Roman" w:hAnsi="Times New Roman" w:cs="Times New Roman"/>
        </w:rPr>
        <w:t xml:space="preserve">, 1 October 1979, Vol.16(4), pp.335-341 &lt;https://www-jstor-org.ezproxy.uwtsd.ac.uk/stable/20009775?sid=primo&amp;origin=crossref&gt; [Accessed </w:t>
      </w:r>
      <w:r>
        <w:rPr>
          <w:rFonts w:ascii="Times New Roman" w:hAnsi="Times New Roman" w:cs="Times New Roman"/>
        </w:rPr>
        <w:t>13 May 2022</w:t>
      </w:r>
      <w:r w:rsidRPr="00290A8A">
        <w:rPr>
          <w:rFonts w:ascii="Times New Roman" w:hAnsi="Times New Roman" w:cs="Times New Roman"/>
        </w:rPr>
        <w:t>].</w:t>
      </w:r>
      <w:bookmarkEnd w:id="6"/>
    </w:p>
  </w:footnote>
  <w:footnote w:id="9">
    <w:p w14:paraId="3ABDF056" w14:textId="7D3228A7" w:rsidR="00455845" w:rsidRDefault="00455845">
      <w:pPr>
        <w:pStyle w:val="FootnoteText"/>
      </w:pPr>
      <w:r>
        <w:rPr>
          <w:rStyle w:val="FootnoteReference"/>
        </w:rPr>
        <w:footnoteRef/>
      </w:r>
      <w:r>
        <w:t xml:space="preserve"> </w:t>
      </w:r>
      <w:r w:rsidRPr="00290A8A">
        <w:rPr>
          <w:rFonts w:ascii="Times New Roman" w:hAnsi="Times New Roman" w:cs="Times New Roman"/>
        </w:rPr>
        <w:t xml:space="preserve">William L. Rowe, 'The Problem of Evil and Some Varieties of Atheism', </w:t>
      </w:r>
      <w:r w:rsidRPr="00290A8A">
        <w:rPr>
          <w:rFonts w:ascii="Times New Roman" w:hAnsi="Times New Roman" w:cs="Times New Roman"/>
          <w:i/>
          <w:iCs/>
        </w:rPr>
        <w:t>American Philosophical Quarterly</w:t>
      </w:r>
      <w:r w:rsidRPr="00290A8A">
        <w:rPr>
          <w:rFonts w:ascii="Times New Roman" w:hAnsi="Times New Roman" w:cs="Times New Roman"/>
        </w:rPr>
        <w:t xml:space="preserve">, 1 October 1979, Vol.16(4), pp.335-341 &lt;https://www-jstor-org.ezproxy.uwtsd.ac.uk/stable/20009775?sid=primo&amp;origin=crossref&gt; [Accessed </w:t>
      </w:r>
      <w:r>
        <w:rPr>
          <w:rFonts w:ascii="Times New Roman" w:hAnsi="Times New Roman" w:cs="Times New Roman"/>
        </w:rPr>
        <w:t>13 May 2022</w:t>
      </w:r>
      <w:r w:rsidRPr="00290A8A">
        <w:rPr>
          <w:rFonts w:ascii="Times New Roman" w:hAnsi="Times New Roman" w:cs="Times New Roman"/>
        </w:rPr>
        <w:t>].</w:t>
      </w:r>
    </w:p>
  </w:footnote>
  <w:footnote w:id="10">
    <w:p w14:paraId="420D50BC" w14:textId="7FC1015B" w:rsidR="005B2C7A" w:rsidRDefault="005B2C7A">
      <w:pPr>
        <w:pStyle w:val="FootnoteText"/>
      </w:pPr>
      <w:r>
        <w:rPr>
          <w:rStyle w:val="FootnoteReference"/>
        </w:rPr>
        <w:footnoteRef/>
      </w:r>
      <w:r>
        <w:t xml:space="preserve"> </w:t>
      </w:r>
      <w:bookmarkStart w:id="7" w:name="_Hlk90683374"/>
      <w:r w:rsidRPr="005B2C7A">
        <w:t xml:space="preserve">George I. Mavrodes, </w:t>
      </w:r>
      <w:r w:rsidRPr="005B2C7A">
        <w:rPr>
          <w:i/>
          <w:iCs/>
        </w:rPr>
        <w:t>Belief in God: A Study in the Epistemology of Religion.</w:t>
      </w:r>
      <w:r w:rsidRPr="005B2C7A">
        <w:t xml:space="preserve"> (New York: Random House, 1970)</w:t>
      </w:r>
      <w:bookmarkEnd w:id="7"/>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CDB31" w14:textId="69CA60D4" w:rsidR="00E95B12" w:rsidRDefault="00E95B12">
    <w:pPr>
      <w:pStyle w:val="Header"/>
    </w:pPr>
    <w:r>
      <w:t>Felix Whiteley-Bristow (1901619)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B60D9"/>
    <w:multiLevelType w:val="hybridMultilevel"/>
    <w:tmpl w:val="80EC4D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04F18"/>
    <w:multiLevelType w:val="hybridMultilevel"/>
    <w:tmpl w:val="3E720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670248">
    <w:abstractNumId w:val="0"/>
  </w:num>
  <w:num w:numId="2" w16cid:durableId="704065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12"/>
    <w:rsid w:val="000166AA"/>
    <w:rsid w:val="0005492C"/>
    <w:rsid w:val="00055F4F"/>
    <w:rsid w:val="000A4BEA"/>
    <w:rsid w:val="00100BDE"/>
    <w:rsid w:val="001100CC"/>
    <w:rsid w:val="001433FF"/>
    <w:rsid w:val="0014496A"/>
    <w:rsid w:val="001F0F89"/>
    <w:rsid w:val="001F31A1"/>
    <w:rsid w:val="00202013"/>
    <w:rsid w:val="002B16DD"/>
    <w:rsid w:val="002F7F54"/>
    <w:rsid w:val="00341F50"/>
    <w:rsid w:val="003743EF"/>
    <w:rsid w:val="003A3578"/>
    <w:rsid w:val="00455845"/>
    <w:rsid w:val="004C7B38"/>
    <w:rsid w:val="004E19F5"/>
    <w:rsid w:val="00512180"/>
    <w:rsid w:val="00524AE9"/>
    <w:rsid w:val="005517E7"/>
    <w:rsid w:val="005B2C7A"/>
    <w:rsid w:val="005B51B2"/>
    <w:rsid w:val="00621832"/>
    <w:rsid w:val="006518DD"/>
    <w:rsid w:val="00690FE9"/>
    <w:rsid w:val="006B7117"/>
    <w:rsid w:val="007115F8"/>
    <w:rsid w:val="007160F0"/>
    <w:rsid w:val="00790629"/>
    <w:rsid w:val="007C14ED"/>
    <w:rsid w:val="007C34CF"/>
    <w:rsid w:val="008415EA"/>
    <w:rsid w:val="008A6B68"/>
    <w:rsid w:val="008F6A01"/>
    <w:rsid w:val="008F6BED"/>
    <w:rsid w:val="00965C7E"/>
    <w:rsid w:val="00990F41"/>
    <w:rsid w:val="009C2DAA"/>
    <w:rsid w:val="00A74B39"/>
    <w:rsid w:val="00A94A49"/>
    <w:rsid w:val="00AA6115"/>
    <w:rsid w:val="00AB4FBD"/>
    <w:rsid w:val="00B01E28"/>
    <w:rsid w:val="00B75EBC"/>
    <w:rsid w:val="00C45F5F"/>
    <w:rsid w:val="00C94FDB"/>
    <w:rsid w:val="00D27E10"/>
    <w:rsid w:val="00D849E3"/>
    <w:rsid w:val="00D9286C"/>
    <w:rsid w:val="00DA02D4"/>
    <w:rsid w:val="00DA6DC6"/>
    <w:rsid w:val="00E222E0"/>
    <w:rsid w:val="00E56E7E"/>
    <w:rsid w:val="00E574C9"/>
    <w:rsid w:val="00E95B12"/>
    <w:rsid w:val="00EC4D47"/>
    <w:rsid w:val="00ED041B"/>
    <w:rsid w:val="00FC3DB3"/>
    <w:rsid w:val="00FF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69FE9"/>
  <w15:chartTrackingRefBased/>
  <w15:docId w15:val="{25C3941D-B225-494F-ABBA-3C1010FD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F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5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B12"/>
  </w:style>
  <w:style w:type="paragraph" w:styleId="Footer">
    <w:name w:val="footer"/>
    <w:basedOn w:val="Normal"/>
    <w:link w:val="FooterChar"/>
    <w:uiPriority w:val="99"/>
    <w:unhideWhenUsed/>
    <w:rsid w:val="00E95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B12"/>
  </w:style>
  <w:style w:type="paragraph" w:styleId="FootnoteText">
    <w:name w:val="footnote text"/>
    <w:basedOn w:val="Normal"/>
    <w:link w:val="FootnoteTextChar"/>
    <w:uiPriority w:val="99"/>
    <w:semiHidden/>
    <w:unhideWhenUsed/>
    <w:rsid w:val="001449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496A"/>
    <w:rPr>
      <w:sz w:val="20"/>
      <w:szCs w:val="20"/>
    </w:rPr>
  </w:style>
  <w:style w:type="character" w:styleId="FootnoteReference">
    <w:name w:val="footnote reference"/>
    <w:basedOn w:val="DefaultParagraphFont"/>
    <w:uiPriority w:val="99"/>
    <w:semiHidden/>
    <w:unhideWhenUsed/>
    <w:rsid w:val="0014496A"/>
    <w:rPr>
      <w:vertAlign w:val="superscript"/>
    </w:rPr>
  </w:style>
  <w:style w:type="character" w:customStyle="1" w:styleId="Heading1Char">
    <w:name w:val="Heading 1 Char"/>
    <w:basedOn w:val="DefaultParagraphFont"/>
    <w:link w:val="Heading1"/>
    <w:uiPriority w:val="9"/>
    <w:rsid w:val="00C94FD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9AF702F-606B-4EE8-ACFB-C41A00B49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2654</TotalTime>
  <Pages>4</Pages>
  <Words>1568</Words>
  <Characters>9083</Characters>
  <Application>Microsoft Office Word</Application>
  <DocSecurity>0</DocSecurity>
  <Lines>131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1221</cp:revision>
  <dcterms:created xsi:type="dcterms:W3CDTF">2022-05-11T19:02:00Z</dcterms:created>
  <dcterms:modified xsi:type="dcterms:W3CDTF">2022-05-13T16:48:00Z</dcterms:modified>
</cp:coreProperties>
</file>