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F7C9E" w:rsidRDefault="00CF7C9E" w:rsidP="00464117">
      <w:pPr>
        <w:pStyle w:val="Heading1"/>
        <w:rPr>
          <w:b/>
          <w:color w:val="auto"/>
          <w:u w:val="single"/>
        </w:rPr>
      </w:pPr>
      <w:r w:rsidRPr="00CF7C9E">
        <w:rPr>
          <w:b/>
          <w:color w:val="auto"/>
          <w:u w:val="single"/>
        </w:rPr>
        <w:t>Outline the critical debate which has surrounded the historicity of Arthur. Do you agree that it is the lack of key biographical details relating to Arthur that has made him so amenable to a wide variety of literary contexts?</w:t>
      </w:r>
    </w:p>
    <w:p w:rsidR="007148FE" w:rsidRDefault="007148FE" w:rsidP="00464117"/>
    <w:p w:rsidR="00B009D4" w:rsidRDefault="00B009D4" w:rsidP="00464117">
      <w:pPr>
        <w:spacing w:line="240" w:lineRule="auto"/>
      </w:pPr>
      <w:r>
        <w:t>Arthur is a character surrounded by historical unknown, as we have very little confirming evidence of his existence but still have many stories and works of literature building upon the story hundreds of years past the post Roman Britain Arthur Historically belonged to.</w:t>
      </w:r>
      <w:r w:rsidR="00AA6719">
        <w:t xml:space="preserve"> Richard Barber states that the only fact we can say for certain about Arthur is that he was a Welsh hero, celebrated in their literature in the </w:t>
      </w:r>
      <w:r w:rsidR="00F93EBC">
        <w:t>eighth</w:t>
      </w:r>
      <w:r w:rsidR="00AA6719">
        <w:t xml:space="preserve"> century, aside from being a warrior we do not know</w:t>
      </w:r>
      <w:r w:rsidR="000F0781">
        <w:t xml:space="preserve"> with any certainty</w:t>
      </w:r>
      <w:r w:rsidR="00AA6719">
        <w:t xml:space="preserve"> who he was, </w:t>
      </w:r>
      <w:r w:rsidR="000F0781">
        <w:t xml:space="preserve">what he did, or </w:t>
      </w:r>
      <w:r w:rsidR="00AA6719">
        <w:t>where he came from</w:t>
      </w:r>
      <w:r w:rsidR="000F0781">
        <w:t xml:space="preserve"> and to assert that we do would be a failure to understand the evidence presented to us.</w:t>
      </w:r>
      <w:r w:rsidR="000F0781">
        <w:rPr>
          <w:rStyle w:val="FootnoteReference"/>
        </w:rPr>
        <w:footnoteReference w:id="1"/>
      </w:r>
      <w:r w:rsidR="000F0781">
        <w:t xml:space="preserve"> </w:t>
      </w:r>
      <w:r w:rsidR="00F93EBC">
        <w:t>This lack of any knowledge of any biographical details is what makes Arthur easy to adapt to any literary context because he is effectively a blank slate on which authors can impose what they want onto the character.</w:t>
      </w:r>
    </w:p>
    <w:p w:rsidR="00223C55" w:rsidRDefault="00465F78" w:rsidP="00464117">
      <w:pPr>
        <w:spacing w:line="240" w:lineRule="auto"/>
      </w:pPr>
      <w:r>
        <w:t xml:space="preserve">One of the more interesting characteristics of the historicity of </w:t>
      </w:r>
      <w:r w:rsidR="007867BD">
        <w:t>Arthur is that his popularity in story telling came about near 700 years after the period he was supposed to have been alive. Therefore, according to Richard Barber, the best we can hope for is an approximation of his life and deeds.</w:t>
      </w:r>
      <w:r w:rsidR="007867BD">
        <w:rPr>
          <w:rStyle w:val="FootnoteReference"/>
        </w:rPr>
        <w:footnoteReference w:id="2"/>
      </w:r>
      <w:r w:rsidR="00540802">
        <w:t xml:space="preserve"> Barber mentions Gildas</w:t>
      </w:r>
      <w:r w:rsidR="00A410A0">
        <w:t>, Welsh monk,</w:t>
      </w:r>
      <w:r w:rsidR="00540802">
        <w:t xml:space="preserve"> in his discussion on the </w:t>
      </w:r>
      <w:r w:rsidR="0021417D">
        <w:t xml:space="preserve">Arthur of history, who is the closest we have to a contemporary to the events as he was writing 50 </w:t>
      </w:r>
      <w:r w:rsidR="00A410A0">
        <w:t xml:space="preserve">years post the Battle of </w:t>
      </w:r>
      <w:proofErr w:type="spellStart"/>
      <w:r w:rsidR="00A410A0">
        <w:t>Badon</w:t>
      </w:r>
      <w:proofErr w:type="spellEnd"/>
      <w:r w:rsidR="00A410A0">
        <w:t>.</w:t>
      </w:r>
      <w:r w:rsidR="00A410A0">
        <w:rPr>
          <w:rStyle w:val="FootnoteReference"/>
        </w:rPr>
        <w:footnoteReference w:id="3"/>
      </w:r>
      <w:r w:rsidR="00A410A0">
        <w:t xml:space="preserve"> One of the issues with this source is that Gildas does not mention Arthur by name, we only have a reference to the Battle of </w:t>
      </w:r>
      <w:proofErr w:type="spellStart"/>
      <w:r w:rsidR="00A410A0">
        <w:t>Badon</w:t>
      </w:r>
      <w:proofErr w:type="spellEnd"/>
      <w:r w:rsidR="00A410A0">
        <w:t xml:space="preserve">, though it isn’t presented clearly. One possible reason for this is that the Church during this period was more concerned with presenting a moralised narrative through its history rather than a factual account of the details, </w:t>
      </w:r>
      <w:r w:rsidR="00C650B3">
        <w:t xml:space="preserve">however </w:t>
      </w:r>
      <w:r w:rsidR="00A410A0">
        <w:t>Barber Puts this</w:t>
      </w:r>
      <w:r w:rsidR="00C650B3">
        <w:t xml:space="preserve"> lack of information </w:t>
      </w:r>
      <w:r w:rsidR="00A410A0">
        <w:t>down to ‘History</w:t>
      </w:r>
      <w:r w:rsidR="00C650B3">
        <w:t xml:space="preserve"> being a subject in its infancy.</w:t>
      </w:r>
      <w:r w:rsidR="00C650B3">
        <w:rPr>
          <w:rStyle w:val="FootnoteReference"/>
        </w:rPr>
        <w:footnoteReference w:id="4"/>
      </w:r>
      <w:r w:rsidR="00C650B3">
        <w:t xml:space="preserve"> This however is an incorrect description of how history was recorded in the ancient world, if we were to take a source like Zosimus who records the collapse of the Roman Empire</w:t>
      </w:r>
      <w:r w:rsidR="00C542E7">
        <w:t>.</w:t>
      </w:r>
      <w:r w:rsidR="009B4E02">
        <w:rPr>
          <w:rStyle w:val="FootnoteReference"/>
        </w:rPr>
        <w:footnoteReference w:id="5"/>
      </w:r>
      <w:r w:rsidR="009B4E02">
        <w:t xml:space="preserve"> Zosimus records several events in detail, though maybe not in the same way as modern histories would be compiled, it is still in a manor well enough for us to piece together the build-up to the fall of Rome.</w:t>
      </w:r>
      <w:r w:rsidR="00BE794F">
        <w:t xml:space="preserve"> A more accurate reasoning for the lack of historical narrative and by extension sources to compare Gildas too would be that because Roman Britain was a frontier settlement the majority of the population </w:t>
      </w:r>
      <w:r w:rsidR="008C7EDA">
        <w:t>would not have had the same ability to pursue literary exploits as someone in Italy, and by the time the Romans abandoned Britain the only people left to write histories was the Church.</w:t>
      </w:r>
      <w:r w:rsidR="008C7EDA">
        <w:rPr>
          <w:rStyle w:val="FootnoteReference"/>
        </w:rPr>
        <w:footnoteReference w:id="6"/>
      </w:r>
      <w:r w:rsidR="00C653F8">
        <w:t xml:space="preserve"> </w:t>
      </w:r>
      <w:r w:rsidR="00BE794F">
        <w:t xml:space="preserve"> </w:t>
      </w:r>
      <w:r w:rsidR="006635A2">
        <w:t xml:space="preserve">This in of itself is only an issue in the recording of historical narrative </w:t>
      </w:r>
      <w:r w:rsidR="008E491E">
        <w:t>because of the church’s tendency adapt the history that they write to suit a moralizing agenda due to the belief that the</w:t>
      </w:r>
      <w:r w:rsidR="00C7682F">
        <w:t xml:space="preserve"> second</w:t>
      </w:r>
      <w:r w:rsidR="008E491E">
        <w:t xml:space="preserve"> coming would be imminent.</w:t>
      </w:r>
      <w:r w:rsidR="00C7682F">
        <w:rPr>
          <w:rStyle w:val="FootnoteReference"/>
        </w:rPr>
        <w:footnoteReference w:id="7"/>
      </w:r>
      <w:r w:rsidR="00F40252">
        <w:t xml:space="preserve"> </w:t>
      </w:r>
    </w:p>
    <w:p w:rsidR="00223C55" w:rsidRDefault="00296481" w:rsidP="00464117">
      <w:pPr>
        <w:spacing w:line="240" w:lineRule="auto"/>
      </w:pPr>
      <w:r>
        <w:t>Another source Barber t</w:t>
      </w:r>
      <w:r w:rsidR="00223C55">
        <w:t>alks about is</w:t>
      </w:r>
      <w:r>
        <w:t xml:space="preserve"> the account written by Nennius, also believed to be a Welsh monk, in 829AD</w:t>
      </w:r>
      <w:r w:rsidR="004A1394">
        <w:t xml:space="preserve"> which is a significant source as it is the first and only mention we have of Arthur’s military career we have in ‘contemporary texts’ mentioning him as being the ‘Dux </w:t>
      </w:r>
      <w:proofErr w:type="spellStart"/>
      <w:r w:rsidR="004A1394">
        <w:t>Bellorum</w:t>
      </w:r>
      <w:proofErr w:type="spellEnd"/>
      <w:r w:rsidR="004A1394">
        <w:t xml:space="preserve">’ or war </w:t>
      </w:r>
      <w:r w:rsidR="004A1394">
        <w:lastRenderedPageBreak/>
        <w:t>leader</w:t>
      </w:r>
      <w:r w:rsidR="0069413A">
        <w:t xml:space="preserve"> and is distinctive to the kings mentioned in the passage.</w:t>
      </w:r>
      <w:r w:rsidR="0069413A">
        <w:rPr>
          <w:rStyle w:val="FootnoteReference"/>
        </w:rPr>
        <w:footnoteReference w:id="8"/>
      </w:r>
      <w:r w:rsidR="0069413A">
        <w:t xml:space="preserve"> This tells us that, at least in this interpretation</w:t>
      </w:r>
      <w:r w:rsidR="00021DFE">
        <w:t xml:space="preserve">, Arthur was an experienced military figure possibly </w:t>
      </w:r>
      <w:r w:rsidR="00981E35">
        <w:t xml:space="preserve">even a mercenary himself. One interesting point is that unlike Bede, Nennius does give the same time reference for the battle of </w:t>
      </w:r>
      <w:proofErr w:type="spellStart"/>
      <w:r w:rsidR="00981E35">
        <w:t>Badon</w:t>
      </w:r>
      <w:proofErr w:type="spellEnd"/>
      <w:r w:rsidR="00981E35">
        <w:t xml:space="preserve"> as Gildas, however this is where the two diverge as Nennius mentions another eleven battles which are not mentioned by previous sources.</w:t>
      </w:r>
      <w:r w:rsidR="00981E35">
        <w:rPr>
          <w:rStyle w:val="FootnoteReference"/>
        </w:rPr>
        <w:footnoteReference w:id="9"/>
      </w:r>
      <w:r w:rsidR="00981E35">
        <w:t xml:space="preserve"> </w:t>
      </w:r>
      <w:r w:rsidR="001721A5">
        <w:t xml:space="preserve">Whilst this is problematic for </w:t>
      </w:r>
      <w:r w:rsidR="003260B8">
        <w:t xml:space="preserve">our </w:t>
      </w:r>
      <w:r w:rsidR="001721A5">
        <w:t xml:space="preserve">understanding of </w:t>
      </w:r>
      <w:r w:rsidR="003260B8">
        <w:t xml:space="preserve">the historicity of Arthur as these battles are hither too unmentioned and that when later sources mention these battles we can only assume that they are referencing Nennius </w:t>
      </w:r>
      <w:r w:rsidR="005B2BE1">
        <w:t xml:space="preserve">rather than some previous source. However Barber does mention that it is possible that these could have been referenced through word of mouth </w:t>
      </w:r>
      <w:r w:rsidR="00C155F5">
        <w:t>which would give some credibility to</w:t>
      </w:r>
      <w:r w:rsidR="00F621F4">
        <w:t xml:space="preserve"> the account given the nature of how history w</w:t>
      </w:r>
      <w:r w:rsidR="00140A00">
        <w:t>as told in Britain at the time</w:t>
      </w:r>
      <w:r w:rsidR="00F621F4">
        <w:t>.</w:t>
      </w:r>
      <w:r w:rsidR="00F621F4">
        <w:rPr>
          <w:rStyle w:val="FootnoteReference"/>
        </w:rPr>
        <w:footnoteReference w:id="10"/>
      </w:r>
      <w:r w:rsidR="00F621F4">
        <w:t xml:space="preserve"> </w:t>
      </w:r>
      <w:r w:rsidR="00140A00">
        <w:t xml:space="preserve">There are texts available to us that reference Arthur or battles, such as the </w:t>
      </w:r>
      <w:proofErr w:type="spellStart"/>
      <w:r w:rsidR="00140A00">
        <w:t>Gododdin</w:t>
      </w:r>
      <w:proofErr w:type="spellEnd"/>
      <w:r w:rsidR="00140A00">
        <w:t xml:space="preserve"> written around 600AD in the north of Britain, which says that a warrior was a strong fighter but ‘he was no Arthur’.</w:t>
      </w:r>
      <w:r w:rsidR="00140A00">
        <w:rPr>
          <w:rStyle w:val="FootnoteReference"/>
        </w:rPr>
        <w:footnoteReference w:id="11"/>
      </w:r>
      <w:r w:rsidR="00140A00">
        <w:t xml:space="preserve"> However these text only show that there was a figure called Arthur at some point who was a strong warrior, this doesn’t tell us as much as Nennius is describing in his text, it is entirely possible that Nennius extrapolated these sources to create his narrative of Arthur as can be seen further by his description of the battle at the City of Legions and </w:t>
      </w:r>
      <w:r w:rsidR="00BA67CC">
        <w:t>the Battle of Chester in 616AD.</w:t>
      </w:r>
      <w:r w:rsidR="00BA67CC">
        <w:rPr>
          <w:rStyle w:val="FootnoteReference"/>
        </w:rPr>
        <w:footnoteReference w:id="12"/>
      </w:r>
    </w:p>
    <w:p w:rsidR="00F40252" w:rsidRDefault="00F621F4" w:rsidP="00464117">
      <w:pPr>
        <w:spacing w:line="240" w:lineRule="auto"/>
      </w:pPr>
      <w:r>
        <w:t xml:space="preserve">Another difference in the account is that Nennius mentions Arthur by name where Gildas does not, which seems odd given that the battle is presented as a major event in Post Roman Britain preceding over 40 years of peace. </w:t>
      </w:r>
      <w:r w:rsidR="00F40252">
        <w:t>Barber believes that Gildas doesn’t mention Arthur because it goes against his narrative of the ‘failed states’ of Post R</w:t>
      </w:r>
      <w:r w:rsidR="00223C55">
        <w:t>oman Britain in contrast to the</w:t>
      </w:r>
      <w:r w:rsidR="00F40252">
        <w:t xml:space="preserve"> ‘golden age’ of peace the Romans brought to Britain</w:t>
      </w:r>
      <w:r>
        <w:t>, mentioning that the Kings were no better than tyrants.</w:t>
      </w:r>
      <w:r>
        <w:rPr>
          <w:rStyle w:val="FootnoteReference"/>
        </w:rPr>
        <w:footnoteReference w:id="13"/>
      </w:r>
      <w:r>
        <w:t xml:space="preserve"> Looking at this we could extrapolate that Gildas could be deliberately not mentioning Arthur by name as his success undermines Gildas’ message about the failed state, and this doctoring of the events would fit in with the methods in which history was recorded by the church in this period.</w:t>
      </w:r>
    </w:p>
    <w:p w:rsidR="000244B5" w:rsidRDefault="003A0628" w:rsidP="00464117">
      <w:pPr>
        <w:spacing w:line="240" w:lineRule="auto"/>
      </w:pPr>
      <w:r>
        <w:t xml:space="preserve">Barber Believes that </w:t>
      </w:r>
      <w:r w:rsidR="00973ADF">
        <w:t xml:space="preserve">Nennius had a good reason for trying to find a heroic figure in early British history as an example of inspiration, as this would have restored hope to a population </w:t>
      </w:r>
      <w:proofErr w:type="spellStart"/>
      <w:r w:rsidR="00973ADF">
        <w:t>who</w:t>
      </w:r>
      <w:r>
        <w:t>s</w:t>
      </w:r>
      <w:proofErr w:type="spellEnd"/>
      <w:r w:rsidR="00973ADF">
        <w:t xml:space="preserve"> </w:t>
      </w:r>
      <w:r>
        <w:t xml:space="preserve">contemporary </w:t>
      </w:r>
      <w:r w:rsidR="00973ADF">
        <w:t>history h</w:t>
      </w:r>
      <w:r>
        <w:t>ad consisted of several defeats. Barber extrapolates that if this is true then t</w:t>
      </w:r>
      <w:r w:rsidR="00173FF6">
        <w:t>hat means Nennius did not create</w:t>
      </w:r>
      <w:r>
        <w:t xml:space="preserve"> Arthur as he had previously sug</w:t>
      </w:r>
      <w:r w:rsidR="00173FF6">
        <w:t xml:space="preserve">gested, rather </w:t>
      </w:r>
      <w:r w:rsidR="009438CF">
        <w:t>he built up a figure that already existed.</w:t>
      </w:r>
      <w:r w:rsidR="009438CF">
        <w:rPr>
          <w:rStyle w:val="FootnoteReference"/>
        </w:rPr>
        <w:footnoteReference w:id="14"/>
      </w:r>
      <w:r w:rsidR="009438CF">
        <w:t xml:space="preserve"> This point of view is also shared by Antonia </w:t>
      </w:r>
      <w:proofErr w:type="spellStart"/>
      <w:r w:rsidR="009438CF">
        <w:t>Grandsen</w:t>
      </w:r>
      <w:proofErr w:type="spellEnd"/>
      <w:r w:rsidR="009438CF">
        <w:t xml:space="preserve"> who states that this bares a similari</w:t>
      </w:r>
      <w:r w:rsidR="008B01E4">
        <w:t>ty to how the R</w:t>
      </w:r>
      <w:r w:rsidR="009438CF">
        <w:t>omans would use</w:t>
      </w:r>
      <w:r w:rsidR="008B01E4">
        <w:t xml:space="preserve"> the story of Romulus and Remus to legitimize their existence as a people.</w:t>
      </w:r>
      <w:r w:rsidR="008B01E4">
        <w:rPr>
          <w:rStyle w:val="FootnoteReference"/>
        </w:rPr>
        <w:footnoteReference w:id="15"/>
      </w:r>
      <w:r w:rsidR="008B01E4">
        <w:t xml:space="preserve"> The need for this in Britain during this period was clear; due to the frequent changes to the ruling elite and territories between the kingdoms that had risen up during the period turmoil when Rome abandoned the province. By creating this history Nennius was attempting to create the image of a strong people fighting off invaders as this resembled the time in which he was writing in the 9</w:t>
      </w:r>
      <w:r w:rsidR="008B01E4" w:rsidRPr="008B01E4">
        <w:rPr>
          <w:vertAlign w:val="superscript"/>
        </w:rPr>
        <w:t>th</w:t>
      </w:r>
      <w:r w:rsidR="008B01E4">
        <w:t xml:space="preserve"> century</w:t>
      </w:r>
      <w:r w:rsidR="000244B5">
        <w:t xml:space="preserve"> with the Viking raiders successfully attacking and raiding Anglo-Saxon settlements and by referencing and embellishing Arthur’s story in this way we can see how Nennius is attempting to reinvigorate a scared people by drawing a comparison to a time when Britain was in similar strife.</w:t>
      </w:r>
      <w:r w:rsidR="000244B5">
        <w:rPr>
          <w:rStyle w:val="FootnoteReference"/>
        </w:rPr>
        <w:footnoteReference w:id="16"/>
      </w:r>
      <w:r w:rsidR="00A267C0" w:rsidRPr="00A267C0">
        <w:t xml:space="preserve"> </w:t>
      </w:r>
      <w:r w:rsidR="00A267C0">
        <w:t xml:space="preserve">This is also reflected at Arthurs final battle at Camlann where Nennius describes that both Arthur and his opponent ‘fell’; the choice of the word is interesting as it does not confirm whether Arthur was killed in the battle, was wounded in battle or died to wounds suffered in battle </w:t>
      </w:r>
      <w:r w:rsidR="00A267C0">
        <w:lastRenderedPageBreak/>
        <w:t>after Camlann.</w:t>
      </w:r>
      <w:r w:rsidR="00AA6719">
        <w:rPr>
          <w:rStyle w:val="FootnoteReference"/>
        </w:rPr>
        <w:footnoteReference w:id="17"/>
      </w:r>
      <w:r w:rsidR="00A267C0">
        <w:t xml:space="preserve"> We are made aware that this is his last</w:t>
      </w:r>
      <w:r w:rsidR="00027D67">
        <w:t xml:space="preserve"> battle and whilst the word ‘fell’ doesn’t imply a happy outcome for him, we are left with an ambiguity surrounding his end. This is no doubt to keep with the message Nennius is trying to convey, as historically the Saxons did settle in Britain despite the battles Arthur won against them, however having your hero just die at the end of the narrative wouldn’t have the desired effect on the audience as much as this ambiguous ending would have done. Whilst this may just be the choice of the translation used by Barber it still is a good example of why Arthur</w:t>
      </w:r>
      <w:r w:rsidR="00AA6719">
        <w:t xml:space="preserve"> would later be transferred to such a wide variety of Literary Contexts.</w:t>
      </w:r>
    </w:p>
    <w:p w:rsidR="000244B5" w:rsidRDefault="000F0781" w:rsidP="00464117">
      <w:pPr>
        <w:spacing w:line="240" w:lineRule="auto"/>
      </w:pPr>
      <w:r>
        <w:t>There is a clear distinction between the Arthur of the twelfth century Romances and the Arthur of the Welsh poets and clergymen. Nennius being the primary source used by writers links Arthur to two locations, the first in Breconshire, depicting a boar hunt later retold in the twelfth century collection of Welsh Romances called Mabinogion.</w:t>
      </w:r>
      <w:r>
        <w:rPr>
          <w:rStyle w:val="FootnoteReference"/>
        </w:rPr>
        <w:footnoteReference w:id="18"/>
      </w:r>
      <w:r w:rsidR="00A905D2">
        <w:t xml:space="preserve"> The second Story however is what interests us here as it talks about the grave of Arthur’s son Amr which Nennius claims is in Herefordshire. The important part here is that Nennius describes that Amr was killed by Arthur, which is a trait we would not normally attribute to Arthur</w:t>
      </w:r>
      <w:r w:rsidR="00D55EF6">
        <w:t>; t</w:t>
      </w:r>
      <w:r w:rsidR="00A905D2">
        <w:t xml:space="preserve">his is because we have been conditioned to the chivalrous character created by the later English and French authors as they shared a different </w:t>
      </w:r>
      <w:r w:rsidR="00D55EF6">
        <w:t>morality to the earlier Welsh writers as we find similar tendencies in the lives of the Welsh Saints written around the twelfth century.</w:t>
      </w:r>
      <w:r w:rsidR="00D55EF6">
        <w:rPr>
          <w:rStyle w:val="FootnoteReference"/>
        </w:rPr>
        <w:footnoteReference w:id="19"/>
      </w:r>
      <w:r w:rsidR="00D55EF6">
        <w:t xml:space="preserve"> The different texts resemble the times in which they were written, with the romances reflecting the more chivalrous stories portraying Arthur as the idealistic knight one would aspire to become and the earlier stories linking Arthur to their contemporaries. However the stories that portray Arthur as less than desirable are also in part of a scheme to contrast him unfavourable with descriptions of saints to make them seem more holy by being better than Arthur, meaning that some of these accounts from biographers may not actually be an accurate account of contemporary opinion.</w:t>
      </w:r>
      <w:r w:rsidR="00D55EF6">
        <w:rPr>
          <w:rStyle w:val="FootnoteReference"/>
        </w:rPr>
        <w:footnoteReference w:id="20"/>
      </w:r>
      <w:r w:rsidR="00D55EF6">
        <w:t xml:space="preserve"> However this does again highlight how easily the narrative can be slotted into different literary contexts because we know so little different writers are able to piece a narrative to suit their needs from what they have available to them.</w:t>
      </w:r>
    </w:p>
    <w:p w:rsidR="00D55EF6" w:rsidRDefault="00365909" w:rsidP="00464117">
      <w:pPr>
        <w:spacing w:line="240" w:lineRule="auto"/>
      </w:pPr>
      <w:r>
        <w:t>In the later Welsh texts the narrative varies in its portrayal of Arthur though it does stick to a favourable legend. In one such tale in the Black Book of Carmarthen, believed to be written in the mid thirteenth century and is the earliest surviving text written solely in welsh.</w:t>
      </w:r>
      <w:r>
        <w:rPr>
          <w:rStyle w:val="FootnoteReference"/>
        </w:rPr>
        <w:footnoteReference w:id="21"/>
      </w:r>
      <w:r>
        <w:t xml:space="preserve"> The story portrays Arthur in the role of the ideal King, a common depiction</w:t>
      </w:r>
      <w:r w:rsidR="00E8266B">
        <w:t xml:space="preserve"> shown in the French Romances, who stayed at home in luxury whilst his knights do the heroic deeds; whilst he is the focus of the story we are quickly told the deeds of his knights as Arthur begins telling a watchman their stories.</w:t>
      </w:r>
      <w:r w:rsidR="00D271CD">
        <w:rPr>
          <w:rStyle w:val="FootnoteReference"/>
        </w:rPr>
        <w:footnoteReference w:id="22"/>
      </w:r>
      <w:r w:rsidR="00E8266B">
        <w:t xml:space="preserve"> There is also a story called the ‘Spoils of </w:t>
      </w:r>
      <w:proofErr w:type="spellStart"/>
      <w:r w:rsidR="00E8266B">
        <w:t>Annwfn</w:t>
      </w:r>
      <w:proofErr w:type="spellEnd"/>
      <w:r w:rsidR="00E8266B">
        <w:t>’ in a collection written around the turn of the twelfth to thirteenth cent</w:t>
      </w:r>
      <w:r w:rsidR="00D271CD">
        <w:t>ury called the Book of Taliesin, though it is believed that the story is carried from earlier history through oral tradition prior to it being presented in this text.</w:t>
      </w:r>
      <w:r w:rsidR="00D271CD">
        <w:rPr>
          <w:rStyle w:val="FootnoteReference"/>
        </w:rPr>
        <w:footnoteReference w:id="23"/>
      </w:r>
      <w:r w:rsidR="00D271CD">
        <w:t xml:space="preserve"> The story </w:t>
      </w:r>
      <w:r w:rsidR="00E8266B">
        <w:t>depicts Arthur as the</w:t>
      </w:r>
      <w:r w:rsidR="00D271CD">
        <w:t xml:space="preserve"> leader of a large</w:t>
      </w:r>
      <w:r w:rsidR="00E8266B">
        <w:t xml:space="preserve"> expedition into a Celtic ‘otherworld’ </w:t>
      </w:r>
      <w:r w:rsidR="00D271CD">
        <w:t>to retrieve a magical cauldron, returning with only seven men. The Story itself is largely open to interpretation as the last two stanzas of the poem are difficult to translate according to Barber and as a result it has been given many different mythological and historical meanings.</w:t>
      </w:r>
      <w:r w:rsidR="00D271CD">
        <w:rPr>
          <w:rStyle w:val="FootnoteReference"/>
        </w:rPr>
        <w:footnoteReference w:id="24"/>
      </w:r>
      <w:r w:rsidR="00D271CD">
        <w:t xml:space="preserve"> However the concept of the magical cauldron in this story does reappear in the Mabinogion in the story of ‘</w:t>
      </w:r>
      <w:proofErr w:type="spellStart"/>
      <w:r w:rsidR="00D271CD">
        <w:t>Cullwch</w:t>
      </w:r>
      <w:proofErr w:type="spellEnd"/>
      <w:r w:rsidR="00D271CD">
        <w:t xml:space="preserve"> and Olwen’ as a part of one of the seemingly impossible tasks Arthur and his knights must complete</w:t>
      </w:r>
      <w:r w:rsidR="00DE3F9C">
        <w:t>.</w:t>
      </w:r>
      <w:r w:rsidR="00DE3F9C">
        <w:rPr>
          <w:rStyle w:val="FootnoteReference"/>
        </w:rPr>
        <w:footnoteReference w:id="25"/>
      </w:r>
      <w:r w:rsidR="00DE3F9C">
        <w:t xml:space="preserve"> Whilst this text is included in the romances it has more of a focus on the heroism of Arthur and his knights than the courtly </w:t>
      </w:r>
      <w:r w:rsidR="00DE3F9C">
        <w:lastRenderedPageBreak/>
        <w:t>intrigue of the French romances as it is uniquely written with little foreign influences despite its later date of completion as all the heroes included in the story can be found in earlier works and it portrays a more mysterious and supernatural element to the narrative than the other Romances.</w:t>
      </w:r>
    </w:p>
    <w:p w:rsidR="00120BEB" w:rsidRDefault="0096366B" w:rsidP="00464117">
      <w:pPr>
        <w:spacing w:line="240" w:lineRule="auto"/>
      </w:pPr>
      <w:r>
        <w:t xml:space="preserve">As previously mentioned, another literary context in which we can find stories about Arthur is in the biographies of the Welsh Saint. However these mentions may have been created to suit the needs of the work at hand, at the very least they show how popular Arthur was as a figure in the Middle Ages. One of the more detailed accounts can be found in the ‘Life of St </w:t>
      </w:r>
      <w:proofErr w:type="spellStart"/>
      <w:r>
        <w:t>Cadoc</w:t>
      </w:r>
      <w:proofErr w:type="spellEnd"/>
      <w:r>
        <w:t>’</w:t>
      </w:r>
      <w:r w:rsidR="00F87890">
        <w:t xml:space="preserve"> written around 1075AD, in this account Arthur is not shown in a favourable light, whilst he is the heroic figure we expect him to be from sources of this period he is shown to be a ‘petty tyrant’.</w:t>
      </w:r>
      <w:r w:rsidR="00F87890">
        <w:rPr>
          <w:rStyle w:val="FootnoteReference"/>
        </w:rPr>
        <w:footnoteReference w:id="26"/>
      </w:r>
      <w:r w:rsidR="00F87890">
        <w:t xml:space="preserve"> In this text he attempts to ‘ravish’ a girl trying to elope with her lover instead of helping them escape their pursuers until his companions convince him otherwise and successfully defend the lovers from their pursuers</w:t>
      </w:r>
      <w:r w:rsidR="00120BEB">
        <w:t xml:space="preserve">, and in another instance in the same text he is shown to be demanding blood money for 3 of his men who had been killed only to become eased by a miracle by St. </w:t>
      </w:r>
      <w:proofErr w:type="spellStart"/>
      <w:r w:rsidR="00120BEB">
        <w:t>Cadoc</w:t>
      </w:r>
      <w:proofErr w:type="spellEnd"/>
      <w:r w:rsidR="00120BEB">
        <w:t>.</w:t>
      </w:r>
      <w:r w:rsidR="00A86477">
        <w:rPr>
          <w:rStyle w:val="FootnoteReference"/>
        </w:rPr>
        <w:footnoteReference w:id="27"/>
      </w:r>
      <w:r w:rsidR="00120BEB">
        <w:t xml:space="preserve"> The reason Arthur is presented to us in this fashion is to enhance the rank of the saint the biography refers to, as the saints would gain more glory through their interaction with sinners of higher social rank. This trope is also shown through the Life of St. Gildas, written around 1130AD, </w:t>
      </w:r>
      <w:r w:rsidR="00A86477">
        <w:t>where Arthur is mentioned to be besieging a town in which the king of this settlement had kidnapped his wife, with conflict only being avoided through Gildas’ wise council. Here it seems that the author of this biography was influenced by Gildas’ own writings due to his portrayal of Arthur, whilst not lumping him within the same group as the tyrant kings Arthur is still a part of the problem Gildas Believed encompassed Britain during the period as shown by the adjective ‘rebellious’ which is used to describe Arthur in the passage.</w:t>
      </w:r>
      <w:r w:rsidR="00A86477">
        <w:rPr>
          <w:rStyle w:val="FootnoteReference"/>
        </w:rPr>
        <w:footnoteReference w:id="28"/>
      </w:r>
      <w:r w:rsidR="0047601E">
        <w:t xml:space="preserve"> However this text is regarded as being widely inaccurate as the mentions of Arthur it contains, such as the one above, have been widely regarded as more of a pseudo-history rather than historical fact since this account would suggest that Gildas would have been a direct contemporary of Arthur rather than a near one as Gildas states in his own text re</w:t>
      </w:r>
      <w:r w:rsidR="00A259E8">
        <w:t xml:space="preserve">cording the history of Britain that he was born just after </w:t>
      </w:r>
      <w:proofErr w:type="spellStart"/>
      <w:r w:rsidR="00A259E8">
        <w:t>Badon</w:t>
      </w:r>
      <w:proofErr w:type="spellEnd"/>
      <w:r w:rsidR="00A259E8">
        <w:t>, this in combination with the fact Gildas never mentions Arthur by name puts this stories accuracy into question.</w:t>
      </w:r>
      <w:r w:rsidR="0047601E">
        <w:t xml:space="preserve"> However it is the earliest surviving material covering the kidnapping of Guinevere, which would later be extrapolated into the addition of the Lancelot romance sub plot.</w:t>
      </w:r>
      <w:r w:rsidR="0047601E">
        <w:rPr>
          <w:rStyle w:val="FootnoteReference"/>
        </w:rPr>
        <w:footnoteReference w:id="29"/>
      </w:r>
      <w:r w:rsidR="0047601E">
        <w:t xml:space="preserve"> </w:t>
      </w:r>
    </w:p>
    <w:p w:rsidR="00721B2C" w:rsidRDefault="009E3844" w:rsidP="00464117">
      <w:pPr>
        <w:spacing w:line="240" w:lineRule="auto"/>
      </w:pPr>
      <w:r>
        <w:t xml:space="preserve">This period of storytelling for Arthur highlights how amenable he is to these literary contexts because we see him change theme several times throughout the texts written in this period. </w:t>
      </w:r>
      <w:r w:rsidR="00CC7B8F">
        <w:t>Similar t</w:t>
      </w:r>
      <w:r>
        <w:t xml:space="preserve">o </w:t>
      </w:r>
      <w:r w:rsidR="00CC7B8F">
        <w:t xml:space="preserve">Nennius, </w:t>
      </w:r>
      <w:r>
        <w:t>the Welsh and Bardic</w:t>
      </w:r>
      <w:r w:rsidRPr="009E3844">
        <w:t xml:space="preserve"> A</w:t>
      </w:r>
      <w:r w:rsidR="00CC7B8F">
        <w:t xml:space="preserve">rthur, </w:t>
      </w:r>
      <w:r>
        <w:t xml:space="preserve">is recorded as a hero </w:t>
      </w:r>
      <w:r w:rsidR="00CC7B8F">
        <w:t>whose</w:t>
      </w:r>
      <w:r>
        <w:t xml:space="preserve"> story was passed along to the Bretons </w:t>
      </w:r>
      <w:r w:rsidR="00215360">
        <w:t>who in turn passed these stories along to the French. It is in these French courts where their bards and poets extrapolated the stories in the beginnings of the legends we know today, carrying them as far as Italy. Arthur in contrast to this early Romans was also placed into the biograph</w:t>
      </w:r>
      <w:r w:rsidR="00CC7B8F">
        <w:t>ies of welsh saints, and due to their nature of glorifying the saints Arthur is portrayed in a less than heroic fashion, and in some cases depicting him as a part of the problems of the time. This is possible because of the lack of biographical evidence we have of Arthur, meaning authors are free to write, within certain limits, what they wish about the character to enhance the stories they wish to tell.</w:t>
      </w:r>
    </w:p>
    <w:p w:rsidR="00CC7B8F" w:rsidRDefault="00825222" w:rsidP="00464117">
      <w:pPr>
        <w:spacing w:line="240" w:lineRule="auto"/>
      </w:pPr>
      <w:r>
        <w:t xml:space="preserve">This leads us on to the next transformation stories about Arthur become in the Middle Ages. this next step is best characterised by the portrayal of Arthur by Geoffrey of Monmouth’s ‘History of the Kings of Britain’ which begins with the first settlement of Britain by Brutus of Troy,  a son of Aeneas, and ends with the death of </w:t>
      </w:r>
      <w:proofErr w:type="spellStart"/>
      <w:r>
        <w:t>Cadwaldr</w:t>
      </w:r>
      <w:proofErr w:type="spellEnd"/>
      <w:r>
        <w:t xml:space="preserve"> in the seventh century AD.</w:t>
      </w:r>
      <w:r>
        <w:rPr>
          <w:rStyle w:val="FootnoteReference"/>
        </w:rPr>
        <w:footnoteReference w:id="30"/>
      </w:r>
      <w:r>
        <w:t xml:space="preserve"> </w:t>
      </w:r>
      <w:r w:rsidR="00BC76E2">
        <w:t xml:space="preserve">Geoffrey claims in his introduction that he was given an ‘ancient book in the language of the British’ by the Archdeacon of Oxford which </w:t>
      </w:r>
      <w:r w:rsidR="00BC76E2">
        <w:lastRenderedPageBreak/>
        <w:t>depicted the events and deeds of the kings of the Ilse, however this claim has been put under scrutiny by modern historians as the History of the Kings of Britain bares much resemblance to works by Nennius, Bede and Gildas as well as events we believe to have been told through oral tradition.</w:t>
      </w:r>
      <w:r w:rsidR="00BC76E2">
        <w:rPr>
          <w:rStyle w:val="FootnoteReference"/>
        </w:rPr>
        <w:footnoteReference w:id="31"/>
      </w:r>
      <w:r w:rsidR="00BC76E2">
        <w:t xml:space="preserve"> Whilst we can argue that Geoffrey of Monmouth did not have an ‘ancient tome’ depicting these events, it is entirely possible that the Archdeacon provided him with access to these other texts and narratives since Geoffrey’s account of Arthur contains a mix of all of these earlier sources narratives and then some he added in himself.</w:t>
      </w:r>
      <w:r w:rsidR="00BC76E2">
        <w:rPr>
          <w:rStyle w:val="FootnoteReference"/>
        </w:rPr>
        <w:footnoteReference w:id="32"/>
      </w:r>
      <w:r w:rsidR="00FC3C84">
        <w:t xml:space="preserve"> </w:t>
      </w:r>
      <w:r w:rsidR="009756A5">
        <w:t>This embellishment is made evident when he talks about events concerning Romans in Britain, when talking about Caesars invasions he states that there were 3 invasions by Julius Caesar which we know to be false, and when he talks about Caractacus Geoffrey does not mention his Boudicea, another important Briton who resisted Roman rule. Though this confusion could have stemmed from Roman Emperors tending to use the name Caesar as a title and thus the history could have been distorted through misunderstanding. The failure to mention Boudicea however is an interesting one</w:t>
      </w:r>
      <w:r w:rsidR="00CD5F7E">
        <w:t xml:space="preserve"> as she was the most successful of the British rebels in the period, and whilst there is some debate on whether or not she was really as important as she was it is generally accepted that she is an important figure in the history of Roman Britain.</w:t>
      </w:r>
      <w:r w:rsidR="00CD5F7E">
        <w:rPr>
          <w:rStyle w:val="FootnoteReference"/>
        </w:rPr>
        <w:footnoteReference w:id="33"/>
      </w:r>
      <w:r w:rsidR="00CD5F7E">
        <w:t xml:space="preserve"> Whilst this may just be an oversight, it is more likely to be due to the context of time in which Geoffrey of Monmouth is writing this text</w:t>
      </w:r>
      <w:r w:rsidR="002826FC">
        <w:t xml:space="preserve">, the History of the Kings of Britain came into circulation soon after the death of Henry I, during the succession crisis between </w:t>
      </w:r>
      <w:r w:rsidR="009D1186">
        <w:t>Stephen and Matilda. With most of his patrons switching sides to support Stephen’s claim, Geoffrey could have omitted Boudicea to remove a strong female leader from the narrative in attempt to support Stephens claim to the Throne.</w:t>
      </w:r>
      <w:r w:rsidR="009D1186">
        <w:rPr>
          <w:rStyle w:val="FootnoteReference"/>
        </w:rPr>
        <w:footnoteReference w:id="34"/>
      </w:r>
    </w:p>
    <w:p w:rsidR="00A93397" w:rsidRDefault="00D177B5" w:rsidP="00464117">
      <w:pPr>
        <w:spacing w:line="240" w:lineRule="auto"/>
      </w:pPr>
      <w:r>
        <w:t>Geoffrey’s</w:t>
      </w:r>
      <w:r w:rsidR="00746E7A">
        <w:t xml:space="preserve"> account of Arthur takes up a whole third of his History of the Kings of Britain, he is given a semi legitimate conception as his father, with the help of Merlin, lays with the wife of his enemy who then promptly dies so Uther can marry the woman he just slept with, creating a miraculous and legitimate conception. Upon his </w:t>
      </w:r>
      <w:r>
        <w:t>father’s</w:t>
      </w:r>
      <w:r w:rsidR="00746E7A">
        <w:t xml:space="preserve"> death Arthur takes the crown and defeats the Saxons, who killed his father with his Breton allies, in a similar fashion described by Nennius</w:t>
      </w:r>
      <w:r>
        <w:t>.</w:t>
      </w:r>
      <w:r>
        <w:rPr>
          <w:rStyle w:val="FootnoteReference"/>
        </w:rPr>
        <w:footnoteReference w:id="35"/>
      </w:r>
      <w:r w:rsidR="004F467F">
        <w:t xml:space="preserve"> From here Geoffrey takes a different turn as he describes Arthur as marrying Guinevere after his victory and setting his ambitions on an ‘imperial’ ideal. Including the conquest of Ireland, Iceland and parts of France including Aquitaine. Geoffrey also states that Arthur declared war on the Roman Empire as Emperor Lucius Hiberius demanded tribute as Britain was once a part of the Empire.</w:t>
      </w:r>
      <w:r w:rsidR="004F467F">
        <w:rPr>
          <w:rStyle w:val="FootnoteReference"/>
        </w:rPr>
        <w:footnoteReference w:id="36"/>
      </w:r>
      <w:r w:rsidR="004F467F">
        <w:t xml:space="preserve"> If we are to take </w:t>
      </w:r>
      <w:r w:rsidR="00897EEF">
        <w:t>the account into context we are looking around a time frame roughly between 490-540AD meaning that there couldn’t have been an Emperor demanding this tribute as the Western Empire had already collapsed due to an Ostrogothic invasion in 476AD and since Arthur’s response is to march on Rome we cannot assume it was referring to the remaining Eastern Empire. This oversite however could possibly be another way of legitimizing the status quo in Western Europe at the time, as the Monarch of England at the time owned more of France than the French king did, through marriages and inheriting land from their Norman ancestors, which was a point of contention between the English and French crown in the period.</w:t>
      </w:r>
      <w:r w:rsidR="00007207">
        <w:rPr>
          <w:rStyle w:val="FootnoteReference"/>
        </w:rPr>
        <w:footnoteReference w:id="37"/>
      </w:r>
      <w:r w:rsidR="00897EEF">
        <w:t xml:space="preserve"> B</w:t>
      </w:r>
      <w:r w:rsidR="00007207">
        <w:t>y writing that Arthur not only c</w:t>
      </w:r>
      <w:r w:rsidR="00897EEF">
        <w:t xml:space="preserve">onquered the territory and </w:t>
      </w:r>
      <w:r w:rsidR="00007207">
        <w:t xml:space="preserve">declared war on the lands supposed owners, according to Geoffrey, due to their infraction against the British gives a long standing legitimacy to English rule over those lands. </w:t>
      </w:r>
    </w:p>
    <w:p w:rsidR="009D1186" w:rsidRDefault="00007207" w:rsidP="00464117">
      <w:pPr>
        <w:spacing w:line="240" w:lineRule="auto"/>
      </w:pPr>
      <w:r>
        <w:t>Further to support this Geoffrey puts Arthur in the same Calibre as Charlemagne and Alexander in the  medieval romances by giving him the aforementioned ‘miraculous birth’, taking the medieval interpretation of Alexander the Greats birth in medieval romance as an</w:t>
      </w:r>
      <w:r w:rsidR="00A93397">
        <w:t xml:space="preserve"> example, it has an Exiled king </w:t>
      </w:r>
      <w:r w:rsidR="00A93397">
        <w:lastRenderedPageBreak/>
        <w:t>of Egypt arrives in Macedon, falls in love with Olympias and gives her a prophecy that the God Ammon would arrive as a dragon, transform into a man and have a child by her who would be Alexander, this itself being based in other texts as Alexander proclaims himself to be the son of Zeus whilst Campaigning in Egypt similar to how Geoffrey mistakes the accounts of Roman invasions of Britain.</w:t>
      </w:r>
      <w:r w:rsidR="00A93397">
        <w:rPr>
          <w:rStyle w:val="FootnoteReference"/>
        </w:rPr>
        <w:footnoteReference w:id="38"/>
      </w:r>
      <w:r w:rsidR="00A93397">
        <w:t xml:space="preserve"> By elevating Arthur to the same Level as Alexander and Charlemagne in this way it further legitimises the claim on the lands held by the English crown </w:t>
      </w:r>
      <w:r w:rsidR="00DE24B3">
        <w:t xml:space="preserve">as they were legitimately conquered by a Christian hero. In addition to this attempt to legitimise English land holdings in Europe, Barber also states that Geoffrey of Monmouth was also trying to create the image of a golden age, through which the British people could look back on with pride in a similar way to how the Greeks had Alexander and the </w:t>
      </w:r>
      <w:r w:rsidR="00B5275C">
        <w:t>French had Charlemagne and models his history of Arthur on the Romance’s about the two of them, whilst incorporating a lot of local materials in the narrative to give it a very British outlook, whilst being more fictional romance than history, in a similar sense to texts like the Aeneid.</w:t>
      </w:r>
      <w:r w:rsidR="00B5275C">
        <w:rPr>
          <w:rStyle w:val="FootnoteReference"/>
        </w:rPr>
        <w:footnoteReference w:id="39"/>
      </w:r>
    </w:p>
    <w:p w:rsidR="00A111A4" w:rsidRDefault="00361EEE" w:rsidP="00464117">
      <w:pPr>
        <w:spacing w:line="240" w:lineRule="auto"/>
      </w:pPr>
      <w:r>
        <w:t xml:space="preserve">The Roman de Brut written by Maistre Wace was soon to follow Geoffrey of Monmouth’s account, being written in 1155 twenty years after </w:t>
      </w:r>
      <w:r w:rsidR="00723B73">
        <w:t>Geoffrey’s own writing</w:t>
      </w:r>
      <w:r w:rsidR="00097096">
        <w:t>.</w:t>
      </w:r>
      <w:r w:rsidR="00723B73">
        <w:rPr>
          <w:rStyle w:val="FootnoteReference"/>
        </w:rPr>
        <w:footnoteReference w:id="40"/>
      </w:r>
      <w:r w:rsidR="00097096">
        <w:t xml:space="preserve"> Wace’s version of the events is different from these translations however as he is the first author to add the French narrative of courtly romance into the narrative which is absent in the British texts prior to this account. Other than This Wace’s Account does not differ </w:t>
      </w:r>
      <w:r w:rsidR="00723B73">
        <w:t xml:space="preserve">significantly </w:t>
      </w:r>
      <w:r w:rsidR="00097096">
        <w:t xml:space="preserve">from Geoffrey of </w:t>
      </w:r>
      <w:r w:rsidR="00723B73">
        <w:t xml:space="preserve">Monmouth’s account apart from two major </w:t>
      </w:r>
      <w:r w:rsidR="00097096">
        <w:t>occasions, the first of which is to reduce the role played by Merlin in the narrative</w:t>
      </w:r>
      <w:r w:rsidR="00723B73">
        <w:t xml:space="preserve"> and more importantly he added the Round Table due to how Arthur and his knights could not determine the precedence in seating, siting that it is something the Bretons used.</w:t>
      </w:r>
      <w:r w:rsidR="00723B73">
        <w:rPr>
          <w:rStyle w:val="FootnoteReference"/>
        </w:rPr>
        <w:footnoteReference w:id="41"/>
      </w:r>
      <w:r w:rsidR="00723B73">
        <w:t xml:space="preserve"> In contrast Layamon’</w:t>
      </w:r>
      <w:r w:rsidR="00495AB4">
        <w:t>s Brut written around 1189 however shows turns the romance back into something similar to the heroic figure of the Welsh tradition, which gives us what is seen to be the definitive ideal of Arthurs character as he is portrayed as a mix between the crude and vigorous leader used by Geoffrey as his basis and the aesthetic and splendorous leader shown by Wace. Furthermore Layamon also gives us a more descriptive account of the construction of the round table, as he tells us that it is due to a quarrel between seven kings sons each of whom had brought seven hundred knights over who had the highest precedent amongst them</w:t>
      </w:r>
      <w:r w:rsidR="00E1658A">
        <w:t>, shortly after Arthur meets with a foreign carpenter who promises to make a table where 1600 men could sit without one being higher than the rest</w:t>
      </w:r>
      <w:r w:rsidR="00495AB4">
        <w:t>.</w:t>
      </w:r>
      <w:r w:rsidR="00495AB4">
        <w:rPr>
          <w:rStyle w:val="FootnoteReference"/>
        </w:rPr>
        <w:footnoteReference w:id="42"/>
      </w:r>
      <w:r w:rsidR="00495AB4">
        <w:t xml:space="preserve"> </w:t>
      </w:r>
    </w:p>
    <w:p w:rsidR="00FA5764" w:rsidRDefault="00A111A4" w:rsidP="00464117">
      <w:pPr>
        <w:spacing w:line="240" w:lineRule="auto"/>
      </w:pPr>
      <w:r>
        <w:t xml:space="preserve">In contrast to Layamon’s more heroic, action oriented Arthur we have Chretien de Troyes, whose Arthurian tale, written around the same </w:t>
      </w:r>
      <w:r w:rsidR="00544EE7">
        <w:t xml:space="preserve">in the twelfth century </w:t>
      </w:r>
      <w:r>
        <w:t>time as Layamon’s account, portrays what we would commonly associate with the Arthur of the modern day.</w:t>
      </w:r>
      <w:r w:rsidR="00A018D1">
        <w:t xml:space="preserve"> It is within these romances that he names Camelot as the focus of Arthur’s court and that we are introduced to Lancelot. In his tale about </w:t>
      </w:r>
      <w:r w:rsidR="00544EE7">
        <w:t>Lancelot</w:t>
      </w:r>
      <w:r w:rsidR="00A018D1">
        <w:t xml:space="preserve"> however Chretien does not keep to the courtly love motif as the most traditional ideal would only have the lovers sharing a chaste kiss rather than the implied adultery Chretien includes.</w:t>
      </w:r>
      <w:r w:rsidR="00A018D1">
        <w:rPr>
          <w:rStyle w:val="FootnoteReference"/>
        </w:rPr>
        <w:footnoteReference w:id="43"/>
      </w:r>
      <w:r w:rsidR="00A018D1">
        <w:t xml:space="preserve"> The tale itself is a retelling of the work we looked at earlier in the life of St. Gildas where Guinevere is captured, however in this telling it is Lancelot sent to rescue her </w:t>
      </w:r>
      <w:r w:rsidR="00544EE7">
        <w:t xml:space="preserve">and performs several difficult tasks in order to do so. To make this supposed adultery more of a pure event between two lovers, we are given several accounts of where Arthur spurns Guinevere Chretien’s narratives </w:t>
      </w:r>
      <w:r w:rsidR="00544EE7">
        <w:lastRenderedPageBreak/>
        <w:t>‘weakening his claim to her loyalty’, one such example being where Arthur commits adultery himself with an enchantress.</w:t>
      </w:r>
      <w:r w:rsidR="00544EE7">
        <w:rPr>
          <w:rStyle w:val="FootnoteReference"/>
        </w:rPr>
        <w:footnoteReference w:id="44"/>
      </w:r>
      <w:r w:rsidR="00FA5764">
        <w:t xml:space="preserve"> </w:t>
      </w:r>
    </w:p>
    <w:p w:rsidR="00647454" w:rsidRDefault="00FA5764" w:rsidP="00464117">
      <w:pPr>
        <w:spacing w:line="240" w:lineRule="auto"/>
      </w:pPr>
      <w:r>
        <w:t>Chretien however dies before he can finish his last piece of work having written several narratives about the Knights of King Arthur, and one of the narrative points he leaves open is that of the Quest of the Grail. Writing in the early thirteenth century Robert de Boron writes what we would now would associate with the Holy Grail because beginning with him we are introduced to a more Christianised version of the narrative</w:t>
      </w:r>
      <w:r w:rsidR="00E02A25">
        <w:t xml:space="preserve"> in the Vulgate Cycle</w:t>
      </w:r>
      <w:r w:rsidR="00B638EB">
        <w:t>.</w:t>
      </w:r>
      <w:r w:rsidR="00B638EB">
        <w:rPr>
          <w:rStyle w:val="FootnoteReference"/>
        </w:rPr>
        <w:footnoteReference w:id="45"/>
      </w:r>
      <w:r w:rsidR="00B638EB">
        <w:t xml:space="preserve"> One of the changes he made was to change the Grail into a Christian symbol adapting the tails of magic cauldrons from the early Welsh narratives into the story of the Grail and he introduced Galahad to the story who is used in the narrative to represent a Lancelot without the adulterous sinning, as Lancelot’s narrative in some of the later stories is a series of events showing how he is unworthy to find the Holy Grail.</w:t>
      </w:r>
      <w:r w:rsidR="00B638EB">
        <w:rPr>
          <w:rStyle w:val="FootnoteReference"/>
        </w:rPr>
        <w:footnoteReference w:id="46"/>
      </w:r>
      <w:r w:rsidR="00E02A25">
        <w:t xml:space="preserve"> This shows once again how the story of Arthur has been shown to adapt to the literary context of the time as with the later medieval audience’s sensibilities changing to become more moral we see characters once added to be paragons of chivalry become unworthy of greatness because of how their deeds no longer reflect what the public want to see in their heroes. Arthur b</w:t>
      </w:r>
      <w:r w:rsidR="00647454">
        <w:t>y contrast in this becomes more of an ideal of leadership and royalty rather than a chivalric hero becoming more of a tragic figure towards the end of his own story.</w:t>
      </w:r>
    </w:p>
    <w:p w:rsidR="006232D5" w:rsidRDefault="00E02A25" w:rsidP="00464117">
      <w:pPr>
        <w:spacing w:line="240" w:lineRule="auto"/>
      </w:pPr>
      <w:r>
        <w:t xml:space="preserve"> </w:t>
      </w:r>
      <w:r w:rsidR="00647454">
        <w:t>Towards the end of the Medieval Age the popularity of the legends of Arthur begins to diminish as large portions of the public and scholars begin to question the validity of the tales in question.</w:t>
      </w:r>
      <w:r w:rsidR="00647454">
        <w:rPr>
          <w:rStyle w:val="FootnoteReference"/>
        </w:rPr>
        <w:footnoteReference w:id="47"/>
      </w:r>
      <w:r w:rsidR="006A0125">
        <w:t xml:space="preserve"> During the nineteenth century however an increase in the public’s interest in medieval romance sparked a resurgence in the Arthurian Narrative; chief amongst these was Alfred Lord Tennyson’s ‘</w:t>
      </w:r>
      <w:proofErr w:type="spellStart"/>
      <w:r w:rsidR="006A0125">
        <w:t>Idyllis</w:t>
      </w:r>
      <w:proofErr w:type="spellEnd"/>
      <w:r w:rsidR="006A0125">
        <w:t xml:space="preserve"> of the King’ which reworked the Arthurian narrative into a Victorian era.</w:t>
      </w:r>
      <w:r w:rsidR="006A0125">
        <w:rPr>
          <w:rStyle w:val="FootnoteReference"/>
        </w:rPr>
        <w:footnoteReference w:id="48"/>
      </w:r>
      <w:r w:rsidR="006A0125">
        <w:t xml:space="preserve"> In this new narrative Arthur is described as the epitome of manhood who, through human weakness, failed to cre</w:t>
      </w:r>
      <w:r w:rsidR="00BC0F39">
        <w:t>ate the ideal kingdom on earth, as Arthur expects too much from his knights and of Camelot itself.</w:t>
      </w:r>
      <w:r w:rsidR="00BC0F39">
        <w:rPr>
          <w:rStyle w:val="FootnoteReference"/>
        </w:rPr>
        <w:footnoteReference w:id="49"/>
      </w:r>
      <w:r w:rsidR="00F60DBB">
        <w:t xml:space="preserve"> This again expresses the ease of which Arthur is interpreted into wider literary contexts because his narrative is so easily able to fit into the narrative required by the Victorian moralities through their renewed interest in the medieval Romances. This theme is also continued into writings of the twentieth century, just as Tennyson had adapted the narrative to suit the requirements of his Victorian </w:t>
      </w:r>
      <w:r w:rsidR="0008319B">
        <w:t>age authors like Marion Zimmer Bradley retell the story within a new context.</w:t>
      </w:r>
      <w:r w:rsidR="0008319B">
        <w:rPr>
          <w:rStyle w:val="FootnoteReference"/>
        </w:rPr>
        <w:footnoteReference w:id="50"/>
      </w:r>
      <w:r w:rsidR="0008319B">
        <w:t xml:space="preserve"> In Zimmer’s case her work ‘The Mists of Avalon’ published in 1982 is a feminist retelling of the events through the perspective of the women in the story, which further highlights how amenable the story of Arthur is to different literary contexts.</w:t>
      </w:r>
    </w:p>
    <w:p w:rsidR="00CC7B8F" w:rsidRDefault="0008319B" w:rsidP="00464117">
      <w:pPr>
        <w:spacing w:line="240" w:lineRule="auto"/>
      </w:pPr>
      <w:r>
        <w:t xml:space="preserve">What we can see throughout our analysis of the historicity of King Arthur is that the key debates about him and his history </w:t>
      </w:r>
      <w:r w:rsidR="00125FEB">
        <w:t xml:space="preserve">surround the earlier texts and sources we have for the period. Due to the fact these sources do not mention him by name at all but reference major events in his life time such as Gildas, or talk about hither too unheard of events such as Nennius without any reference to where they received their information from we are left in an uncertainty as to which events we could consider to be factual and which would be considered greatly embellished. We see a similar problem arise when looking at texts from earlier in the classical world, though in those case the </w:t>
      </w:r>
      <w:r w:rsidR="00125FEB">
        <w:lastRenderedPageBreak/>
        <w:t>situation is not as bad as we may have at least one additional account of the event in question and because we are only left with one contemporary source in Gildas, who spends most of the text criticising the Post Roman Britons,</w:t>
      </w:r>
      <w:r>
        <w:t xml:space="preserve"> </w:t>
      </w:r>
      <w:r w:rsidR="00125FEB">
        <w:t>who doesn’t give any contextual evidence for Arthur himself and we are left to believe that anything later mentioned by Nennius and other writers such as Bede will have come from an oral tradition or smaller works like the lives of saints, though the latter are not reliable.</w:t>
      </w:r>
    </w:p>
    <w:p w:rsidR="00A41C08" w:rsidRDefault="00125FEB" w:rsidP="00866907">
      <w:pPr>
        <w:spacing w:line="240" w:lineRule="auto"/>
      </w:pPr>
      <w:r>
        <w:t>To this point, it is this lack of biographical details that makes the story of Arthur more Amenable to such a wide array of literary contexts, going from Nennius onwards the story of Arthur is a blank canvas on which these authors can portray any theme or narrative they wish, Nennius and Geoffrey of Monmouth for example use Arthur to reflect on a golden age of British history to invoke national pride for differing reasons</w:t>
      </w:r>
      <w:r w:rsidR="00F93EBC">
        <w:t>, Later writers like Wace,</w:t>
      </w:r>
      <w:r>
        <w:t xml:space="preserve"> Chretien </w:t>
      </w:r>
      <w:r w:rsidR="00F93EBC">
        <w:t>and Layamon introduce French romance traditions to the narrative in order to make the story as wide reaching as possible, and it is through these authors interpretations that we get the modern and Victorian literary contexts for Arthur. We see frequently narratives of the legends change, with characters and themes within the stories being added or changed to suit the moralities of the time. This level of flexibility in the narrative structures would not be possible if we had an actual biographical account of who Arthur was, because the narratives about chivalry and courtly love wouldn’t have worked if we had evidence to suggest Arthur was a cutthroat mercenary for example taking power through opportunity. Therefore it is this lack of biographical context surrounding him that makes Arthur so amenable to so many different literary</w:t>
      </w:r>
      <w:r w:rsidR="00866907">
        <w:t xml:space="preserve"> contexts.</w:t>
      </w:r>
    </w:p>
    <w:p w:rsidR="00866907" w:rsidRDefault="00866907" w:rsidP="00866907">
      <w:pPr>
        <w:spacing w:line="240" w:lineRule="auto"/>
      </w:pPr>
    </w:p>
    <w:p w:rsidR="00866907" w:rsidRPr="00866907" w:rsidRDefault="00866907" w:rsidP="00866907">
      <w:pPr>
        <w:spacing w:line="240" w:lineRule="auto"/>
      </w:pPr>
    </w:p>
    <w:p w:rsidR="00A41C08" w:rsidRPr="00A41C08" w:rsidRDefault="00A41C08" w:rsidP="00A41C08">
      <w:pPr>
        <w:pStyle w:val="Heading1"/>
        <w:rPr>
          <w:b/>
          <w:color w:val="auto"/>
          <w:u w:val="single"/>
        </w:rPr>
      </w:pPr>
      <w:r w:rsidRPr="00A41C08">
        <w:rPr>
          <w:b/>
          <w:color w:val="auto"/>
          <w:u w:val="single"/>
        </w:rPr>
        <w:t>Bibliography</w:t>
      </w:r>
    </w:p>
    <w:p w:rsidR="00A41C08" w:rsidRDefault="00A41C08" w:rsidP="00A41C08">
      <w:pPr>
        <w:pStyle w:val="ListParagraph"/>
        <w:numPr>
          <w:ilvl w:val="0"/>
          <w:numId w:val="2"/>
        </w:numPr>
      </w:pPr>
      <w:r w:rsidRPr="00A41C08">
        <w:t xml:space="preserve">G. Ashe, "The Visionary Kingdom", in G. Ashe, </w:t>
      </w:r>
      <w:proofErr w:type="gramStart"/>
      <w:r w:rsidRPr="00257598">
        <w:rPr>
          <w:i/>
        </w:rPr>
        <w:t>The</w:t>
      </w:r>
      <w:proofErr w:type="gramEnd"/>
      <w:r w:rsidRPr="00257598">
        <w:rPr>
          <w:i/>
        </w:rPr>
        <w:t xml:space="preserve"> Quest for Arthur's Britain</w:t>
      </w:r>
      <w:r w:rsidRPr="00A41C08">
        <w:t xml:space="preserve"> (London: Granada, 1968).</w:t>
      </w:r>
    </w:p>
    <w:p w:rsidR="00257598" w:rsidRDefault="00257598" w:rsidP="00257598">
      <w:pPr>
        <w:pStyle w:val="ListParagraph"/>
        <w:numPr>
          <w:ilvl w:val="0"/>
          <w:numId w:val="2"/>
        </w:numPr>
      </w:pPr>
      <w:r w:rsidRPr="00257598">
        <w:t>R. Barber</w:t>
      </w:r>
      <w:r w:rsidRPr="00257598">
        <w:rPr>
          <w:i/>
        </w:rPr>
        <w:t>, King Arthur in legend and in History</w:t>
      </w:r>
      <w:r w:rsidRPr="00257598">
        <w:t xml:space="preserve"> (Ipswich: The </w:t>
      </w:r>
      <w:proofErr w:type="spellStart"/>
      <w:r w:rsidRPr="00257598">
        <w:t>Boydell</w:t>
      </w:r>
      <w:proofErr w:type="spellEnd"/>
      <w:r w:rsidRPr="00257598">
        <w:t xml:space="preserve"> Press, 1973). </w:t>
      </w:r>
    </w:p>
    <w:p w:rsidR="00257598" w:rsidRDefault="00257598" w:rsidP="00257598">
      <w:pPr>
        <w:pStyle w:val="ListParagraph"/>
        <w:numPr>
          <w:ilvl w:val="0"/>
          <w:numId w:val="2"/>
        </w:numPr>
      </w:pPr>
      <w:r w:rsidRPr="00257598">
        <w:t xml:space="preserve">J. Boyle, </w:t>
      </w:r>
      <w:proofErr w:type="gramStart"/>
      <w:r w:rsidRPr="00257598">
        <w:t>The</w:t>
      </w:r>
      <w:proofErr w:type="gramEnd"/>
      <w:r w:rsidRPr="00257598">
        <w:t xml:space="preserve"> Alexander Romance in the East and West, </w:t>
      </w:r>
      <w:r w:rsidRPr="00257598">
        <w:rPr>
          <w:i/>
        </w:rPr>
        <w:t xml:space="preserve">Bulletin Of The John </w:t>
      </w:r>
      <w:proofErr w:type="spellStart"/>
      <w:r w:rsidRPr="00257598">
        <w:rPr>
          <w:i/>
        </w:rPr>
        <w:t>Rylands</w:t>
      </w:r>
      <w:proofErr w:type="spellEnd"/>
      <w:r w:rsidRPr="00257598">
        <w:rPr>
          <w:i/>
        </w:rPr>
        <w:t xml:space="preserve"> University Library Of Manchester</w:t>
      </w:r>
      <w:r w:rsidRPr="00257598">
        <w:t>, 60 (1977) p.13-27.</w:t>
      </w:r>
    </w:p>
    <w:p w:rsidR="00257598" w:rsidRDefault="00257598" w:rsidP="00257598">
      <w:pPr>
        <w:pStyle w:val="ListParagraph"/>
        <w:numPr>
          <w:ilvl w:val="0"/>
          <w:numId w:val="2"/>
        </w:numPr>
      </w:pPr>
      <w:r>
        <w:t xml:space="preserve">J. Burns, </w:t>
      </w:r>
      <w:r w:rsidRPr="00D44FD9">
        <w:rPr>
          <w:i/>
        </w:rPr>
        <w:t xml:space="preserve">Vulgate Cycle, Medieval France: An </w:t>
      </w:r>
      <w:proofErr w:type="spellStart"/>
      <w:r w:rsidRPr="00D44FD9">
        <w:rPr>
          <w:i/>
        </w:rPr>
        <w:t>Encyclopedia</w:t>
      </w:r>
      <w:proofErr w:type="spellEnd"/>
      <w:r>
        <w:t xml:space="preserve"> (Oxford: Garland, 1995).</w:t>
      </w:r>
    </w:p>
    <w:p w:rsidR="00257598" w:rsidRDefault="00257598" w:rsidP="00257598">
      <w:pPr>
        <w:pStyle w:val="ListParagraph"/>
        <w:numPr>
          <w:ilvl w:val="0"/>
          <w:numId w:val="2"/>
        </w:numPr>
      </w:pPr>
      <w:r>
        <w:t xml:space="preserve">H. </w:t>
      </w:r>
      <w:r w:rsidRPr="009B4E02">
        <w:t>Chisholm</w:t>
      </w:r>
      <w:r>
        <w:t xml:space="preserve">, </w:t>
      </w:r>
      <w:r w:rsidRPr="009B4E02">
        <w:t xml:space="preserve">"Zosimus (historian)". </w:t>
      </w:r>
      <w:proofErr w:type="spellStart"/>
      <w:r w:rsidRPr="00C542E7">
        <w:rPr>
          <w:i/>
        </w:rPr>
        <w:t>Encyclopædia</w:t>
      </w:r>
      <w:proofErr w:type="spellEnd"/>
      <w:r w:rsidRPr="00C542E7">
        <w:rPr>
          <w:i/>
        </w:rPr>
        <w:t xml:space="preserve"> Britannica.</w:t>
      </w:r>
      <w:r>
        <w:t xml:space="preserve"> 28 (11th </w:t>
      </w:r>
      <w:proofErr w:type="gramStart"/>
      <w:r>
        <w:t>ed</w:t>
      </w:r>
      <w:proofErr w:type="gramEnd"/>
      <w:r>
        <w:t>.) (Cambridge: Cambridge University Press, 1911).</w:t>
      </w:r>
    </w:p>
    <w:p w:rsidR="00257598" w:rsidRDefault="00257598" w:rsidP="00257598">
      <w:pPr>
        <w:pStyle w:val="ListParagraph"/>
        <w:numPr>
          <w:ilvl w:val="0"/>
          <w:numId w:val="2"/>
        </w:numPr>
      </w:pPr>
      <w:r w:rsidRPr="00257598">
        <w:t xml:space="preserve">M. Curley, </w:t>
      </w:r>
      <w:r w:rsidRPr="00257598">
        <w:rPr>
          <w:i/>
        </w:rPr>
        <w:t>Geoffrey of Monmouth</w:t>
      </w:r>
      <w:r w:rsidRPr="00257598">
        <w:t xml:space="preserve"> (Michigan: </w:t>
      </w:r>
      <w:proofErr w:type="spellStart"/>
      <w:r w:rsidRPr="00257598">
        <w:t>Cenagage</w:t>
      </w:r>
      <w:proofErr w:type="spellEnd"/>
      <w:r w:rsidRPr="00257598">
        <w:t xml:space="preserve"> Gale, 1994).</w:t>
      </w:r>
    </w:p>
    <w:p w:rsidR="00257598" w:rsidRDefault="00257598" w:rsidP="00257598">
      <w:pPr>
        <w:pStyle w:val="ListParagraph"/>
        <w:numPr>
          <w:ilvl w:val="0"/>
          <w:numId w:val="2"/>
        </w:numPr>
      </w:pPr>
      <w:r w:rsidRPr="00257598">
        <w:t xml:space="preserve">A. Fraser, </w:t>
      </w:r>
      <w:r w:rsidRPr="00257598">
        <w:rPr>
          <w:i/>
        </w:rPr>
        <w:t>The Warrior Queens</w:t>
      </w:r>
      <w:r w:rsidRPr="00257598">
        <w:t xml:space="preserve"> (London: Penguin books, 1990).</w:t>
      </w:r>
    </w:p>
    <w:p w:rsidR="00257598" w:rsidRDefault="00257598" w:rsidP="00257598">
      <w:pPr>
        <w:pStyle w:val="ListParagraph"/>
        <w:numPr>
          <w:ilvl w:val="0"/>
          <w:numId w:val="2"/>
        </w:numPr>
      </w:pPr>
      <w:r w:rsidRPr="00257598">
        <w:t xml:space="preserve">J. Gillingham, </w:t>
      </w:r>
      <w:proofErr w:type="gramStart"/>
      <w:r w:rsidRPr="00257598">
        <w:rPr>
          <w:i/>
        </w:rPr>
        <w:t>The</w:t>
      </w:r>
      <w:proofErr w:type="gramEnd"/>
      <w:r w:rsidRPr="00257598">
        <w:rPr>
          <w:i/>
        </w:rPr>
        <w:t xml:space="preserve"> </w:t>
      </w:r>
      <w:proofErr w:type="spellStart"/>
      <w:r w:rsidRPr="00257598">
        <w:rPr>
          <w:i/>
        </w:rPr>
        <w:t>Angevin</w:t>
      </w:r>
      <w:proofErr w:type="spellEnd"/>
      <w:r w:rsidRPr="00257598">
        <w:rPr>
          <w:i/>
        </w:rPr>
        <w:t xml:space="preserve"> Empire</w:t>
      </w:r>
      <w:r w:rsidRPr="00257598">
        <w:t xml:space="preserve"> (New Jersey: Holms and Meier, 1984).</w:t>
      </w:r>
    </w:p>
    <w:p w:rsidR="00866907" w:rsidRDefault="00866907" w:rsidP="00257598">
      <w:pPr>
        <w:pStyle w:val="ListParagraph"/>
        <w:numPr>
          <w:ilvl w:val="0"/>
          <w:numId w:val="2"/>
        </w:numPr>
      </w:pPr>
      <w:r w:rsidRPr="00866907">
        <w:t xml:space="preserve">P. Goodrich and N. Lacy, </w:t>
      </w:r>
      <w:r w:rsidRPr="00866907">
        <w:rPr>
          <w:i/>
        </w:rPr>
        <w:t>Merlin: A Casebook</w:t>
      </w:r>
      <w:r w:rsidRPr="00866907">
        <w:t xml:space="preserve"> (Oxfordshire: Taylor &amp; Francis2003).</w:t>
      </w:r>
    </w:p>
    <w:p w:rsidR="006D3992" w:rsidRDefault="00257598" w:rsidP="006D3992">
      <w:pPr>
        <w:pStyle w:val="ListParagraph"/>
        <w:numPr>
          <w:ilvl w:val="0"/>
          <w:numId w:val="2"/>
        </w:numPr>
      </w:pPr>
      <w:r w:rsidRPr="00257598">
        <w:t xml:space="preserve">A. </w:t>
      </w:r>
      <w:proofErr w:type="spellStart"/>
      <w:r w:rsidRPr="00257598">
        <w:t>Gransden</w:t>
      </w:r>
      <w:proofErr w:type="spellEnd"/>
      <w:r w:rsidRPr="00257598">
        <w:t xml:space="preserve">, </w:t>
      </w:r>
      <w:r w:rsidRPr="00257598">
        <w:rPr>
          <w:i/>
        </w:rPr>
        <w:t>Historical Writing in England</w:t>
      </w:r>
      <w:r w:rsidRPr="00257598">
        <w:t xml:space="preserve"> (New York: Cornell University Press, 1974).</w:t>
      </w:r>
      <w:bookmarkStart w:id="0" w:name="_GoBack"/>
      <w:bookmarkEnd w:id="0"/>
    </w:p>
    <w:p w:rsidR="00257598" w:rsidRDefault="00257598" w:rsidP="00257598">
      <w:pPr>
        <w:pStyle w:val="ListParagraph"/>
        <w:numPr>
          <w:ilvl w:val="0"/>
          <w:numId w:val="2"/>
        </w:numPr>
      </w:pPr>
      <w:r w:rsidRPr="00257598">
        <w:t xml:space="preserve">G. </w:t>
      </w:r>
      <w:proofErr w:type="spellStart"/>
      <w:r w:rsidRPr="00257598">
        <w:t>Halsall</w:t>
      </w:r>
      <w:proofErr w:type="spellEnd"/>
      <w:r w:rsidRPr="00257598">
        <w:t xml:space="preserve">, </w:t>
      </w:r>
      <w:r w:rsidRPr="00257598">
        <w:rPr>
          <w:i/>
        </w:rPr>
        <w:t>Worlds of Arthur: Facts &amp; Fictions of the Dark Ages</w:t>
      </w:r>
      <w:r w:rsidRPr="00257598">
        <w:t xml:space="preserve"> (Oxford: Oxford University Press, 2013).</w:t>
      </w:r>
    </w:p>
    <w:p w:rsidR="00257598" w:rsidRDefault="00257598" w:rsidP="00257598">
      <w:pPr>
        <w:pStyle w:val="ListParagraph"/>
        <w:numPr>
          <w:ilvl w:val="0"/>
          <w:numId w:val="2"/>
        </w:numPr>
      </w:pPr>
      <w:r>
        <w:t>M.</w:t>
      </w:r>
      <w:r w:rsidRPr="008C7EDA">
        <w:t xml:space="preserve"> Jones</w:t>
      </w:r>
      <w:r>
        <w:t>,</w:t>
      </w:r>
      <w:r w:rsidRPr="008C7EDA">
        <w:t xml:space="preserve"> </w:t>
      </w:r>
      <w:proofErr w:type="gramStart"/>
      <w:r w:rsidRPr="00C542E7">
        <w:rPr>
          <w:i/>
        </w:rPr>
        <w:t>The</w:t>
      </w:r>
      <w:proofErr w:type="gramEnd"/>
      <w:r w:rsidRPr="00C542E7">
        <w:rPr>
          <w:i/>
        </w:rPr>
        <w:t xml:space="preserve"> End of Roman Britain</w:t>
      </w:r>
      <w:r w:rsidRPr="008C7EDA">
        <w:t xml:space="preserve"> </w:t>
      </w:r>
      <w:r>
        <w:t>(</w:t>
      </w:r>
      <w:proofErr w:type="spellStart"/>
      <w:r>
        <w:t>NewYork</w:t>
      </w:r>
      <w:proofErr w:type="spellEnd"/>
      <w:r>
        <w:t xml:space="preserve">: </w:t>
      </w:r>
      <w:r w:rsidRPr="008C7EDA">
        <w:t>Cornell University Press</w:t>
      </w:r>
      <w:r>
        <w:t>, 1998).</w:t>
      </w:r>
    </w:p>
    <w:p w:rsidR="00257598" w:rsidRDefault="00257598" w:rsidP="00257598">
      <w:pPr>
        <w:pStyle w:val="ListParagraph"/>
        <w:numPr>
          <w:ilvl w:val="0"/>
          <w:numId w:val="2"/>
        </w:numPr>
      </w:pPr>
      <w:r w:rsidRPr="00257598">
        <w:t xml:space="preserve">R. Loomis, </w:t>
      </w:r>
      <w:proofErr w:type="gramStart"/>
      <w:r w:rsidRPr="00257598">
        <w:rPr>
          <w:i/>
        </w:rPr>
        <w:t>The</w:t>
      </w:r>
      <w:proofErr w:type="gramEnd"/>
      <w:r w:rsidRPr="00257598">
        <w:rPr>
          <w:i/>
        </w:rPr>
        <w:t xml:space="preserve"> Romance of Arthur</w:t>
      </w:r>
      <w:r w:rsidRPr="00257598">
        <w:t xml:space="preserve"> (London: Garland Publishing, 1994)</w:t>
      </w:r>
      <w:r>
        <w:t>.</w:t>
      </w:r>
    </w:p>
    <w:p w:rsidR="00866907" w:rsidRDefault="00866907" w:rsidP="00866907">
      <w:pPr>
        <w:pStyle w:val="ListParagraph"/>
        <w:numPr>
          <w:ilvl w:val="0"/>
          <w:numId w:val="2"/>
        </w:numPr>
      </w:pPr>
      <w:r w:rsidRPr="00866907">
        <w:t xml:space="preserve">D. Staines, "Tennyson, Alfred Lord", in Lacy, Norris J., </w:t>
      </w:r>
      <w:proofErr w:type="gramStart"/>
      <w:r w:rsidRPr="00866907">
        <w:rPr>
          <w:i/>
        </w:rPr>
        <w:t>The</w:t>
      </w:r>
      <w:proofErr w:type="gramEnd"/>
      <w:r w:rsidRPr="00866907">
        <w:rPr>
          <w:i/>
        </w:rPr>
        <w:t xml:space="preserve"> New Arthurian </w:t>
      </w:r>
      <w:proofErr w:type="spellStart"/>
      <w:r w:rsidRPr="00866907">
        <w:rPr>
          <w:i/>
        </w:rPr>
        <w:t>Encyclopedia</w:t>
      </w:r>
      <w:proofErr w:type="spellEnd"/>
      <w:r w:rsidRPr="00866907">
        <w:t>, (New York: Garland 1996).</w:t>
      </w:r>
    </w:p>
    <w:p w:rsidR="00257598" w:rsidRDefault="00257598" w:rsidP="00257598">
      <w:pPr>
        <w:pStyle w:val="ListParagraph"/>
        <w:numPr>
          <w:ilvl w:val="0"/>
          <w:numId w:val="2"/>
        </w:numPr>
      </w:pPr>
      <w:r>
        <w:t xml:space="preserve">F. </w:t>
      </w:r>
      <w:proofErr w:type="spellStart"/>
      <w:r w:rsidRPr="000244B5">
        <w:t>Stenton</w:t>
      </w:r>
      <w:proofErr w:type="spellEnd"/>
      <w:r w:rsidRPr="00C542E7">
        <w:rPr>
          <w:i/>
        </w:rPr>
        <w:t>, Anglo Saxon England</w:t>
      </w:r>
      <w:r w:rsidRPr="000244B5">
        <w:t xml:space="preserve">. </w:t>
      </w:r>
      <w:r>
        <w:t>(Oxford</w:t>
      </w:r>
      <w:r w:rsidRPr="000244B5">
        <w:t>: Oxford U</w:t>
      </w:r>
      <w:r>
        <w:t xml:space="preserve">niversity </w:t>
      </w:r>
      <w:r w:rsidRPr="000244B5">
        <w:t>P</w:t>
      </w:r>
      <w:r>
        <w:t>ress</w:t>
      </w:r>
      <w:r w:rsidRPr="000244B5">
        <w:t>, 1971</w:t>
      </w:r>
      <w:r>
        <w:t>).</w:t>
      </w:r>
    </w:p>
    <w:p w:rsidR="00257598" w:rsidRDefault="00257598" w:rsidP="00257598">
      <w:pPr>
        <w:pStyle w:val="ListParagraph"/>
        <w:numPr>
          <w:ilvl w:val="0"/>
          <w:numId w:val="2"/>
        </w:numPr>
      </w:pPr>
      <w:r>
        <w:t xml:space="preserve">J. </w:t>
      </w:r>
      <w:proofErr w:type="spellStart"/>
      <w:r>
        <w:t>Strayner</w:t>
      </w:r>
      <w:proofErr w:type="spellEnd"/>
      <w:r>
        <w:t>,</w:t>
      </w:r>
      <w:r w:rsidRPr="00A86477">
        <w:t xml:space="preserve"> </w:t>
      </w:r>
      <w:r w:rsidRPr="00C5491F">
        <w:rPr>
          <w:i/>
        </w:rPr>
        <w:t xml:space="preserve">Dictionary of the </w:t>
      </w:r>
      <w:proofErr w:type="gramStart"/>
      <w:r w:rsidRPr="00C5491F">
        <w:rPr>
          <w:i/>
        </w:rPr>
        <w:t>Middle</w:t>
      </w:r>
      <w:proofErr w:type="gramEnd"/>
      <w:r w:rsidRPr="00C5491F">
        <w:rPr>
          <w:i/>
        </w:rPr>
        <w:t xml:space="preserve"> Ages</w:t>
      </w:r>
      <w:r w:rsidRPr="00A86477">
        <w:t xml:space="preserve"> (New York: Charles Scribner's Sons, 1983)</w:t>
      </w:r>
      <w:r>
        <w:t>.</w:t>
      </w:r>
    </w:p>
    <w:p w:rsidR="00257598" w:rsidRPr="00A41C08" w:rsidRDefault="00866907" w:rsidP="00866907">
      <w:pPr>
        <w:pStyle w:val="ListParagraph"/>
        <w:numPr>
          <w:ilvl w:val="0"/>
          <w:numId w:val="2"/>
        </w:numPr>
      </w:pPr>
      <w:r w:rsidRPr="00866907">
        <w:lastRenderedPageBreak/>
        <w:t xml:space="preserve">B. Taylor, and E. Brewer, </w:t>
      </w:r>
      <w:proofErr w:type="gramStart"/>
      <w:r w:rsidRPr="00866907">
        <w:t>The</w:t>
      </w:r>
      <w:proofErr w:type="gramEnd"/>
      <w:r w:rsidRPr="00866907">
        <w:t xml:space="preserve"> Return of King Arthur: British and American Arthurian Literature Since 1800 (Cambridge: Brewer, 1983).</w:t>
      </w:r>
    </w:p>
    <w:sectPr w:rsidR="00257598" w:rsidRPr="00A41C0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6597F" w:rsidRDefault="0066597F" w:rsidP="00B546C0">
      <w:pPr>
        <w:spacing w:after="0" w:line="240" w:lineRule="auto"/>
      </w:pPr>
      <w:r>
        <w:separator/>
      </w:r>
    </w:p>
  </w:endnote>
  <w:endnote w:type="continuationSeparator" w:id="0">
    <w:p w:rsidR="0066597F" w:rsidRDefault="0066597F" w:rsidP="00B54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6597F" w:rsidRDefault="0066597F" w:rsidP="00B546C0">
      <w:pPr>
        <w:spacing w:after="0" w:line="240" w:lineRule="auto"/>
      </w:pPr>
      <w:r>
        <w:separator/>
      </w:r>
    </w:p>
  </w:footnote>
  <w:footnote w:type="continuationSeparator" w:id="0">
    <w:p w:rsidR="0066597F" w:rsidRDefault="0066597F" w:rsidP="00B546C0">
      <w:pPr>
        <w:spacing w:after="0" w:line="240" w:lineRule="auto"/>
      </w:pPr>
      <w:r>
        <w:continuationSeparator/>
      </w:r>
    </w:p>
  </w:footnote>
  <w:footnote w:id="1">
    <w:p w:rsidR="00257598" w:rsidRDefault="00257598">
      <w:pPr>
        <w:pStyle w:val="FootnoteText"/>
      </w:pPr>
      <w:r>
        <w:rPr>
          <w:rStyle w:val="FootnoteReference"/>
        </w:rPr>
        <w:footnoteRef/>
      </w:r>
      <w:r>
        <w:t xml:space="preserve"> R. Barber, </w:t>
      </w:r>
      <w:r w:rsidRPr="00C542E7">
        <w:rPr>
          <w:i/>
        </w:rPr>
        <w:t>King Arthur in legend and in History</w:t>
      </w:r>
      <w:r>
        <w:t xml:space="preserve"> (Ipswich: The </w:t>
      </w:r>
      <w:proofErr w:type="spellStart"/>
      <w:r>
        <w:t>Boydell</w:t>
      </w:r>
      <w:proofErr w:type="spellEnd"/>
      <w:r>
        <w:t xml:space="preserve"> Press, 1973). p.24</w:t>
      </w:r>
    </w:p>
  </w:footnote>
  <w:footnote w:id="2">
    <w:p w:rsidR="00257598" w:rsidRDefault="00257598">
      <w:pPr>
        <w:pStyle w:val="FootnoteText"/>
      </w:pPr>
      <w:r>
        <w:rPr>
          <w:rStyle w:val="FootnoteReference"/>
        </w:rPr>
        <w:footnoteRef/>
      </w:r>
      <w:r>
        <w:t xml:space="preserve"> Barber, </w:t>
      </w:r>
      <w:r w:rsidRPr="00C542E7">
        <w:rPr>
          <w:i/>
        </w:rPr>
        <w:t>King Arthur in legend and in History</w:t>
      </w:r>
      <w:r>
        <w:t>, p.11</w:t>
      </w:r>
    </w:p>
  </w:footnote>
  <w:footnote w:id="3">
    <w:p w:rsidR="00257598" w:rsidRDefault="00257598">
      <w:pPr>
        <w:pStyle w:val="FootnoteText"/>
      </w:pPr>
      <w:r>
        <w:rPr>
          <w:rStyle w:val="FootnoteReference"/>
        </w:rPr>
        <w:footnoteRef/>
      </w:r>
      <w:r>
        <w:t xml:space="preserve"> </w:t>
      </w:r>
      <w:r w:rsidRPr="00C542E7">
        <w:t>Barber,</w:t>
      </w:r>
      <w:r w:rsidRPr="00C542E7">
        <w:rPr>
          <w:i/>
        </w:rPr>
        <w:t xml:space="preserve"> King Arthur in Legend and in History</w:t>
      </w:r>
      <w:r>
        <w:t>, p.13</w:t>
      </w:r>
    </w:p>
  </w:footnote>
  <w:footnote w:id="4">
    <w:p w:rsidR="00257598" w:rsidRDefault="00257598">
      <w:pPr>
        <w:pStyle w:val="FootnoteText"/>
      </w:pPr>
      <w:r>
        <w:rPr>
          <w:rStyle w:val="FootnoteReference"/>
        </w:rPr>
        <w:footnoteRef/>
      </w:r>
      <w:r>
        <w:t xml:space="preserve"> </w:t>
      </w:r>
      <w:r w:rsidRPr="00C542E7">
        <w:t xml:space="preserve">Barber, </w:t>
      </w:r>
      <w:r w:rsidRPr="00C542E7">
        <w:rPr>
          <w:i/>
        </w:rPr>
        <w:t>King Arthur in legend and in History</w:t>
      </w:r>
      <w:r>
        <w:t>, p.13</w:t>
      </w:r>
    </w:p>
  </w:footnote>
  <w:footnote w:id="5">
    <w:p w:rsidR="00257598" w:rsidRDefault="00257598">
      <w:pPr>
        <w:pStyle w:val="FootnoteText"/>
      </w:pPr>
      <w:r>
        <w:rPr>
          <w:rStyle w:val="FootnoteReference"/>
        </w:rPr>
        <w:footnoteRef/>
      </w:r>
      <w:r>
        <w:t xml:space="preserve"> H. </w:t>
      </w:r>
      <w:r w:rsidRPr="009B4E02">
        <w:t>Chisholm</w:t>
      </w:r>
      <w:r>
        <w:t xml:space="preserve">, </w:t>
      </w:r>
      <w:r w:rsidRPr="009B4E02">
        <w:t xml:space="preserve">"Zosimus (historian)". </w:t>
      </w:r>
      <w:proofErr w:type="spellStart"/>
      <w:r w:rsidRPr="00C542E7">
        <w:rPr>
          <w:i/>
        </w:rPr>
        <w:t>Encyclopædia</w:t>
      </w:r>
      <w:proofErr w:type="spellEnd"/>
      <w:r w:rsidRPr="00C542E7">
        <w:rPr>
          <w:i/>
        </w:rPr>
        <w:t xml:space="preserve"> Britannica.</w:t>
      </w:r>
      <w:r>
        <w:t xml:space="preserve"> 28 (11th </w:t>
      </w:r>
      <w:proofErr w:type="gramStart"/>
      <w:r>
        <w:t>ed</w:t>
      </w:r>
      <w:proofErr w:type="gramEnd"/>
      <w:r>
        <w:t>.) (Cambridge: Cambridge University Press, 1911). p.</w:t>
      </w:r>
      <w:r w:rsidRPr="009B4E02">
        <w:t>1044.</w:t>
      </w:r>
    </w:p>
  </w:footnote>
  <w:footnote w:id="6">
    <w:p w:rsidR="00257598" w:rsidRDefault="00257598">
      <w:pPr>
        <w:pStyle w:val="FootnoteText"/>
      </w:pPr>
      <w:r>
        <w:rPr>
          <w:rStyle w:val="FootnoteReference"/>
        </w:rPr>
        <w:footnoteRef/>
      </w:r>
      <w:r>
        <w:t xml:space="preserve"> M.</w:t>
      </w:r>
      <w:r w:rsidRPr="008C7EDA">
        <w:t xml:space="preserve"> Jones</w:t>
      </w:r>
      <w:r>
        <w:t>,</w:t>
      </w:r>
      <w:r w:rsidRPr="008C7EDA">
        <w:t xml:space="preserve"> </w:t>
      </w:r>
      <w:proofErr w:type="gramStart"/>
      <w:r w:rsidRPr="00C542E7">
        <w:rPr>
          <w:i/>
        </w:rPr>
        <w:t>The</w:t>
      </w:r>
      <w:proofErr w:type="gramEnd"/>
      <w:r w:rsidRPr="00C542E7">
        <w:rPr>
          <w:i/>
        </w:rPr>
        <w:t xml:space="preserve"> End of Roman Britain</w:t>
      </w:r>
      <w:r w:rsidRPr="008C7EDA">
        <w:t xml:space="preserve"> </w:t>
      </w:r>
      <w:r>
        <w:t>(</w:t>
      </w:r>
      <w:proofErr w:type="spellStart"/>
      <w:r>
        <w:t>NewYork</w:t>
      </w:r>
      <w:proofErr w:type="spellEnd"/>
      <w:r>
        <w:t xml:space="preserve">: </w:t>
      </w:r>
      <w:r w:rsidRPr="008C7EDA">
        <w:t>Cornell University Press</w:t>
      </w:r>
      <w:r>
        <w:t>, 1998).</w:t>
      </w:r>
      <w:r w:rsidRPr="008C7EDA">
        <w:t xml:space="preserve"> p. 147.</w:t>
      </w:r>
    </w:p>
  </w:footnote>
  <w:footnote w:id="7">
    <w:p w:rsidR="00257598" w:rsidRDefault="00257598">
      <w:pPr>
        <w:pStyle w:val="FootnoteText"/>
      </w:pPr>
      <w:r>
        <w:rPr>
          <w:rStyle w:val="FootnoteReference"/>
        </w:rPr>
        <w:footnoteRef/>
      </w:r>
      <w:r>
        <w:t xml:space="preserve"> </w:t>
      </w:r>
      <w:r w:rsidRPr="00C542E7">
        <w:t xml:space="preserve">Barber, </w:t>
      </w:r>
      <w:r w:rsidRPr="00C542E7">
        <w:rPr>
          <w:i/>
        </w:rPr>
        <w:t>King Arthur in legend and in History</w:t>
      </w:r>
      <w:r>
        <w:t>, p.13</w:t>
      </w:r>
    </w:p>
  </w:footnote>
  <w:footnote w:id="8">
    <w:p w:rsidR="00257598" w:rsidRDefault="00257598">
      <w:pPr>
        <w:pStyle w:val="FootnoteText"/>
      </w:pPr>
      <w:r>
        <w:rPr>
          <w:rStyle w:val="FootnoteReference"/>
        </w:rPr>
        <w:footnoteRef/>
      </w:r>
      <w:r>
        <w:t xml:space="preserve"> </w:t>
      </w:r>
      <w:r w:rsidRPr="0069413A">
        <w:t xml:space="preserve">Barber, </w:t>
      </w:r>
      <w:r w:rsidRPr="00C542E7">
        <w:rPr>
          <w:i/>
        </w:rPr>
        <w:t>King Arthur in Legend and in History</w:t>
      </w:r>
      <w:r w:rsidRPr="0069413A">
        <w:t>, p</w:t>
      </w:r>
      <w:r>
        <w:t>.16</w:t>
      </w:r>
    </w:p>
  </w:footnote>
  <w:footnote w:id="9">
    <w:p w:rsidR="00257598" w:rsidRDefault="00257598">
      <w:pPr>
        <w:pStyle w:val="FootnoteText"/>
      </w:pPr>
      <w:r>
        <w:rPr>
          <w:rStyle w:val="FootnoteReference"/>
        </w:rPr>
        <w:footnoteRef/>
      </w:r>
      <w:r>
        <w:t xml:space="preserve"> Barber, </w:t>
      </w:r>
      <w:r w:rsidRPr="00C542E7">
        <w:rPr>
          <w:i/>
        </w:rPr>
        <w:t>King Arthur in Legend and in History,</w:t>
      </w:r>
      <w:r>
        <w:t xml:space="preserve"> p.16</w:t>
      </w:r>
    </w:p>
  </w:footnote>
  <w:footnote w:id="10">
    <w:p w:rsidR="00257598" w:rsidRDefault="00257598">
      <w:pPr>
        <w:pStyle w:val="FootnoteText"/>
      </w:pPr>
      <w:r>
        <w:rPr>
          <w:rStyle w:val="FootnoteReference"/>
        </w:rPr>
        <w:footnoteRef/>
      </w:r>
      <w:r>
        <w:t xml:space="preserve"> Barber</w:t>
      </w:r>
      <w:r w:rsidRPr="00C542E7">
        <w:rPr>
          <w:i/>
        </w:rPr>
        <w:t>, King Arthur in Legend and in History,</w:t>
      </w:r>
      <w:r>
        <w:t xml:space="preserve"> p.15</w:t>
      </w:r>
    </w:p>
  </w:footnote>
  <w:footnote w:id="11">
    <w:p w:rsidR="00257598" w:rsidRDefault="00257598">
      <w:pPr>
        <w:pStyle w:val="FootnoteText"/>
      </w:pPr>
      <w:r>
        <w:rPr>
          <w:rStyle w:val="FootnoteReference"/>
        </w:rPr>
        <w:footnoteRef/>
      </w:r>
      <w:r>
        <w:t xml:space="preserve"> Barber, </w:t>
      </w:r>
      <w:r w:rsidRPr="00C542E7">
        <w:rPr>
          <w:i/>
        </w:rPr>
        <w:t>King Arthur in Legend and in History</w:t>
      </w:r>
      <w:r>
        <w:t>, p.20</w:t>
      </w:r>
    </w:p>
  </w:footnote>
  <w:footnote w:id="12">
    <w:p w:rsidR="00257598" w:rsidRDefault="00257598">
      <w:pPr>
        <w:pStyle w:val="FootnoteText"/>
      </w:pPr>
      <w:r>
        <w:rPr>
          <w:rStyle w:val="FootnoteReference"/>
        </w:rPr>
        <w:footnoteRef/>
      </w:r>
      <w:r>
        <w:t xml:space="preserve"> Barber, </w:t>
      </w:r>
      <w:r w:rsidRPr="00C542E7">
        <w:rPr>
          <w:i/>
        </w:rPr>
        <w:t>King Arthur in Legend and in History</w:t>
      </w:r>
      <w:r>
        <w:t>, p.20</w:t>
      </w:r>
    </w:p>
  </w:footnote>
  <w:footnote w:id="13">
    <w:p w:rsidR="00257598" w:rsidRDefault="00257598">
      <w:pPr>
        <w:pStyle w:val="FootnoteText"/>
      </w:pPr>
      <w:r>
        <w:rPr>
          <w:rStyle w:val="FootnoteReference"/>
        </w:rPr>
        <w:footnoteRef/>
      </w:r>
      <w:r>
        <w:t xml:space="preserve"> Barber</w:t>
      </w:r>
      <w:r w:rsidRPr="00C542E7">
        <w:rPr>
          <w:i/>
        </w:rPr>
        <w:t>, King Arthur in Legend and in History</w:t>
      </w:r>
      <w:r>
        <w:t>, p.18</w:t>
      </w:r>
    </w:p>
  </w:footnote>
  <w:footnote w:id="14">
    <w:p w:rsidR="00257598" w:rsidRDefault="00257598">
      <w:pPr>
        <w:pStyle w:val="FootnoteText"/>
      </w:pPr>
      <w:r>
        <w:rPr>
          <w:rStyle w:val="FootnoteReference"/>
        </w:rPr>
        <w:footnoteRef/>
      </w:r>
      <w:r>
        <w:t xml:space="preserve"> Barber, </w:t>
      </w:r>
      <w:r w:rsidRPr="00C542E7">
        <w:rPr>
          <w:i/>
        </w:rPr>
        <w:t>King Arthur in Legend and in History</w:t>
      </w:r>
      <w:r>
        <w:t>, p.20</w:t>
      </w:r>
    </w:p>
  </w:footnote>
  <w:footnote w:id="15">
    <w:p w:rsidR="00257598" w:rsidRDefault="00257598">
      <w:pPr>
        <w:pStyle w:val="FootnoteText"/>
      </w:pPr>
      <w:r>
        <w:rPr>
          <w:rStyle w:val="FootnoteReference"/>
        </w:rPr>
        <w:footnoteRef/>
      </w:r>
      <w:r>
        <w:t xml:space="preserve"> A. </w:t>
      </w:r>
      <w:proofErr w:type="spellStart"/>
      <w:r w:rsidRPr="008B01E4">
        <w:t>Gransden</w:t>
      </w:r>
      <w:proofErr w:type="spellEnd"/>
      <w:r w:rsidRPr="00C542E7">
        <w:rPr>
          <w:i/>
        </w:rPr>
        <w:t>, Historical Writing in England</w:t>
      </w:r>
      <w:r>
        <w:t xml:space="preserve"> (</w:t>
      </w:r>
      <w:r w:rsidRPr="008B01E4">
        <w:t>New York: Cornell U</w:t>
      </w:r>
      <w:r>
        <w:t xml:space="preserve">niversity </w:t>
      </w:r>
      <w:r w:rsidRPr="008B01E4">
        <w:t>P</w:t>
      </w:r>
      <w:r>
        <w:t>ress</w:t>
      </w:r>
      <w:r w:rsidRPr="008B01E4">
        <w:t>, 1974</w:t>
      </w:r>
      <w:r>
        <w:t>). p.</w:t>
      </w:r>
      <w:r w:rsidRPr="008B01E4">
        <w:t>8</w:t>
      </w:r>
    </w:p>
  </w:footnote>
  <w:footnote w:id="16">
    <w:p w:rsidR="00257598" w:rsidRDefault="00257598">
      <w:pPr>
        <w:pStyle w:val="FootnoteText"/>
      </w:pPr>
      <w:r>
        <w:rPr>
          <w:rStyle w:val="FootnoteReference"/>
        </w:rPr>
        <w:footnoteRef/>
      </w:r>
      <w:r>
        <w:t xml:space="preserve"> F. </w:t>
      </w:r>
      <w:proofErr w:type="spellStart"/>
      <w:r w:rsidRPr="000244B5">
        <w:t>Stenton</w:t>
      </w:r>
      <w:proofErr w:type="spellEnd"/>
      <w:r w:rsidRPr="00C542E7">
        <w:rPr>
          <w:i/>
        </w:rPr>
        <w:t>, Anglo Saxon England</w:t>
      </w:r>
      <w:r w:rsidRPr="000244B5">
        <w:t xml:space="preserve">. </w:t>
      </w:r>
      <w:r>
        <w:t>(Oxford</w:t>
      </w:r>
      <w:r w:rsidRPr="000244B5">
        <w:t>: Oxford U</w:t>
      </w:r>
      <w:r>
        <w:t xml:space="preserve">niversity </w:t>
      </w:r>
      <w:r w:rsidRPr="000244B5">
        <w:t>P</w:t>
      </w:r>
      <w:r>
        <w:t>ress</w:t>
      </w:r>
      <w:r w:rsidRPr="000244B5">
        <w:t>, 1971</w:t>
      </w:r>
      <w:r>
        <w:t>)</w:t>
      </w:r>
      <w:r w:rsidRPr="000244B5">
        <w:t xml:space="preserve">. </w:t>
      </w:r>
      <w:r>
        <w:t>P.</w:t>
      </w:r>
      <w:r w:rsidRPr="000244B5">
        <w:t>75</w:t>
      </w:r>
    </w:p>
  </w:footnote>
  <w:footnote w:id="17">
    <w:p w:rsidR="00257598" w:rsidRDefault="00257598">
      <w:pPr>
        <w:pStyle w:val="FootnoteText"/>
      </w:pPr>
      <w:r>
        <w:rPr>
          <w:rStyle w:val="FootnoteReference"/>
        </w:rPr>
        <w:footnoteRef/>
      </w:r>
      <w:r>
        <w:t xml:space="preserve"> Barber, </w:t>
      </w:r>
      <w:r w:rsidRPr="00C542E7">
        <w:rPr>
          <w:i/>
        </w:rPr>
        <w:t>King Arthur in Legend and in History</w:t>
      </w:r>
      <w:r>
        <w:t>, P.21</w:t>
      </w:r>
    </w:p>
  </w:footnote>
  <w:footnote w:id="18">
    <w:p w:rsidR="00257598" w:rsidRDefault="00257598">
      <w:pPr>
        <w:pStyle w:val="FootnoteText"/>
      </w:pPr>
      <w:r>
        <w:rPr>
          <w:rStyle w:val="FootnoteReference"/>
        </w:rPr>
        <w:footnoteRef/>
      </w:r>
      <w:r>
        <w:t xml:space="preserve"> Barber, </w:t>
      </w:r>
      <w:r w:rsidRPr="00C542E7">
        <w:rPr>
          <w:i/>
        </w:rPr>
        <w:t>King Arthur in Legend and in History</w:t>
      </w:r>
      <w:r>
        <w:t>, p.24</w:t>
      </w:r>
    </w:p>
  </w:footnote>
  <w:footnote w:id="19">
    <w:p w:rsidR="00257598" w:rsidRDefault="00257598">
      <w:pPr>
        <w:pStyle w:val="FootnoteText"/>
      </w:pPr>
      <w:r>
        <w:rPr>
          <w:rStyle w:val="FootnoteReference"/>
        </w:rPr>
        <w:footnoteRef/>
      </w:r>
      <w:r>
        <w:t xml:space="preserve"> Barber, </w:t>
      </w:r>
      <w:r w:rsidRPr="00C542E7">
        <w:rPr>
          <w:i/>
        </w:rPr>
        <w:t>King Arthur in Legend and in History</w:t>
      </w:r>
      <w:r>
        <w:t>, p.25</w:t>
      </w:r>
    </w:p>
  </w:footnote>
  <w:footnote w:id="20">
    <w:p w:rsidR="00257598" w:rsidRDefault="00257598">
      <w:pPr>
        <w:pStyle w:val="FootnoteText"/>
      </w:pPr>
      <w:r>
        <w:rPr>
          <w:rStyle w:val="FootnoteReference"/>
        </w:rPr>
        <w:footnoteRef/>
      </w:r>
      <w:r>
        <w:t xml:space="preserve"> Barber</w:t>
      </w:r>
      <w:r w:rsidRPr="00C542E7">
        <w:rPr>
          <w:i/>
        </w:rPr>
        <w:t>, King Arthur in Legend and in History</w:t>
      </w:r>
      <w:r>
        <w:t>, p.26</w:t>
      </w:r>
    </w:p>
  </w:footnote>
  <w:footnote w:id="21">
    <w:p w:rsidR="00257598" w:rsidRDefault="00257598">
      <w:pPr>
        <w:pStyle w:val="FootnoteText"/>
      </w:pPr>
      <w:r>
        <w:rPr>
          <w:rStyle w:val="FootnoteReference"/>
        </w:rPr>
        <w:footnoteRef/>
      </w:r>
      <w:r>
        <w:t xml:space="preserve"> Barber</w:t>
      </w:r>
      <w:r w:rsidRPr="00C542E7">
        <w:rPr>
          <w:i/>
        </w:rPr>
        <w:t>, King Arthur in Legend and in History</w:t>
      </w:r>
      <w:r>
        <w:t>, p.27</w:t>
      </w:r>
    </w:p>
  </w:footnote>
  <w:footnote w:id="22">
    <w:p w:rsidR="00257598" w:rsidRDefault="00257598">
      <w:pPr>
        <w:pStyle w:val="FootnoteText"/>
      </w:pPr>
      <w:r>
        <w:rPr>
          <w:rStyle w:val="FootnoteReference"/>
        </w:rPr>
        <w:footnoteRef/>
      </w:r>
      <w:r>
        <w:t xml:space="preserve"> Barber, </w:t>
      </w:r>
      <w:r w:rsidRPr="00C542E7">
        <w:rPr>
          <w:i/>
        </w:rPr>
        <w:t>King Arthur in Legend and in History</w:t>
      </w:r>
      <w:r>
        <w:t>, p.27</w:t>
      </w:r>
    </w:p>
  </w:footnote>
  <w:footnote w:id="23">
    <w:p w:rsidR="00257598" w:rsidRDefault="00257598">
      <w:pPr>
        <w:pStyle w:val="FootnoteText"/>
      </w:pPr>
      <w:r>
        <w:rPr>
          <w:rStyle w:val="FootnoteReference"/>
        </w:rPr>
        <w:footnoteRef/>
      </w:r>
      <w:r>
        <w:t xml:space="preserve"> Barber</w:t>
      </w:r>
      <w:r w:rsidRPr="00C542E7">
        <w:rPr>
          <w:i/>
        </w:rPr>
        <w:t>, King Arthur in Legend and in History</w:t>
      </w:r>
      <w:r>
        <w:t>, p.28</w:t>
      </w:r>
    </w:p>
  </w:footnote>
  <w:footnote w:id="24">
    <w:p w:rsidR="00257598" w:rsidRDefault="00257598">
      <w:pPr>
        <w:pStyle w:val="FootnoteText"/>
      </w:pPr>
      <w:r>
        <w:rPr>
          <w:rStyle w:val="FootnoteReference"/>
        </w:rPr>
        <w:footnoteRef/>
      </w:r>
      <w:r>
        <w:t xml:space="preserve"> Barber, </w:t>
      </w:r>
      <w:r w:rsidRPr="00C5491F">
        <w:rPr>
          <w:i/>
        </w:rPr>
        <w:t>King Arthur in Legend and in History</w:t>
      </w:r>
      <w:r>
        <w:t>, p.26</w:t>
      </w:r>
    </w:p>
  </w:footnote>
  <w:footnote w:id="25">
    <w:p w:rsidR="00257598" w:rsidRDefault="00257598">
      <w:pPr>
        <w:pStyle w:val="FootnoteText"/>
      </w:pPr>
      <w:r>
        <w:rPr>
          <w:rStyle w:val="FootnoteReference"/>
        </w:rPr>
        <w:footnoteRef/>
      </w:r>
      <w:r>
        <w:t xml:space="preserve"> Barber, </w:t>
      </w:r>
      <w:r w:rsidRPr="00C5491F">
        <w:rPr>
          <w:i/>
        </w:rPr>
        <w:t>King Arthur in Legend and in History</w:t>
      </w:r>
      <w:r>
        <w:t>, p.27</w:t>
      </w:r>
    </w:p>
  </w:footnote>
  <w:footnote w:id="26">
    <w:p w:rsidR="00257598" w:rsidRDefault="00257598">
      <w:pPr>
        <w:pStyle w:val="FootnoteText"/>
      </w:pPr>
      <w:r>
        <w:rPr>
          <w:rStyle w:val="FootnoteReference"/>
        </w:rPr>
        <w:footnoteRef/>
      </w:r>
      <w:r>
        <w:t xml:space="preserve"> Barber, </w:t>
      </w:r>
      <w:r w:rsidRPr="00C5491F">
        <w:rPr>
          <w:i/>
        </w:rPr>
        <w:t>King Arthur in Legend and in History</w:t>
      </w:r>
      <w:r>
        <w:t>, p.29</w:t>
      </w:r>
    </w:p>
  </w:footnote>
  <w:footnote w:id="27">
    <w:p w:rsidR="00257598" w:rsidRDefault="00257598">
      <w:pPr>
        <w:pStyle w:val="FootnoteText"/>
      </w:pPr>
      <w:r>
        <w:rPr>
          <w:rStyle w:val="FootnoteReference"/>
        </w:rPr>
        <w:footnoteRef/>
      </w:r>
      <w:r>
        <w:t xml:space="preserve"> J. </w:t>
      </w:r>
      <w:proofErr w:type="spellStart"/>
      <w:r>
        <w:t>Strayner</w:t>
      </w:r>
      <w:proofErr w:type="spellEnd"/>
      <w:r>
        <w:t>,</w:t>
      </w:r>
      <w:r w:rsidRPr="00A86477">
        <w:t xml:space="preserve"> </w:t>
      </w:r>
      <w:r w:rsidRPr="00C5491F">
        <w:rPr>
          <w:i/>
        </w:rPr>
        <w:t xml:space="preserve">Dictionary of the </w:t>
      </w:r>
      <w:proofErr w:type="gramStart"/>
      <w:r w:rsidRPr="00C5491F">
        <w:rPr>
          <w:i/>
        </w:rPr>
        <w:t>Middle</w:t>
      </w:r>
      <w:proofErr w:type="gramEnd"/>
      <w:r w:rsidRPr="00C5491F">
        <w:rPr>
          <w:i/>
        </w:rPr>
        <w:t xml:space="preserve"> Ages</w:t>
      </w:r>
      <w:r w:rsidRPr="00A86477">
        <w:t xml:space="preserve"> (New York: Charles Scribner's Sons, 1983)</w:t>
      </w:r>
      <w:r>
        <w:t>.</w:t>
      </w:r>
      <w:r w:rsidRPr="00A86477">
        <w:t xml:space="preserve"> p. 6</w:t>
      </w:r>
    </w:p>
  </w:footnote>
  <w:footnote w:id="28">
    <w:p w:rsidR="00257598" w:rsidRDefault="00257598">
      <w:pPr>
        <w:pStyle w:val="FootnoteText"/>
      </w:pPr>
      <w:r>
        <w:rPr>
          <w:rStyle w:val="FootnoteReference"/>
        </w:rPr>
        <w:footnoteRef/>
      </w:r>
      <w:r>
        <w:t xml:space="preserve"> G. </w:t>
      </w:r>
      <w:proofErr w:type="spellStart"/>
      <w:r w:rsidRPr="00A86477">
        <w:t>Halsall</w:t>
      </w:r>
      <w:proofErr w:type="spellEnd"/>
      <w:r w:rsidRPr="00A86477">
        <w:t>,</w:t>
      </w:r>
      <w:r>
        <w:t xml:space="preserve"> </w:t>
      </w:r>
      <w:r w:rsidRPr="00C5491F">
        <w:rPr>
          <w:i/>
        </w:rPr>
        <w:t>Worlds of Arthur: Facts &amp; Fictions of the Dark Ages</w:t>
      </w:r>
      <w:r>
        <w:t>. (Oxford: Oxford University Press, 2013).</w:t>
      </w:r>
      <w:r w:rsidRPr="00A86477">
        <w:t xml:space="preserve"> p. 54</w:t>
      </w:r>
    </w:p>
  </w:footnote>
  <w:footnote w:id="29">
    <w:p w:rsidR="00257598" w:rsidRDefault="00257598">
      <w:pPr>
        <w:pStyle w:val="FootnoteText"/>
      </w:pPr>
      <w:r>
        <w:rPr>
          <w:rStyle w:val="FootnoteReference"/>
        </w:rPr>
        <w:footnoteRef/>
      </w:r>
      <w:r>
        <w:t xml:space="preserve"> Barber, </w:t>
      </w:r>
      <w:r w:rsidRPr="00C5491F">
        <w:rPr>
          <w:i/>
        </w:rPr>
        <w:t>King Arthur in Legend and in History</w:t>
      </w:r>
      <w:r>
        <w:t>, p.31</w:t>
      </w:r>
    </w:p>
  </w:footnote>
  <w:footnote w:id="30">
    <w:p w:rsidR="00257598" w:rsidRDefault="00257598">
      <w:pPr>
        <w:pStyle w:val="FootnoteText"/>
      </w:pPr>
      <w:r>
        <w:rPr>
          <w:rStyle w:val="FootnoteReference"/>
        </w:rPr>
        <w:footnoteRef/>
      </w:r>
      <w:r>
        <w:t xml:space="preserve"> R.</w:t>
      </w:r>
      <w:r w:rsidRPr="00825222">
        <w:t xml:space="preserve"> Loomis, </w:t>
      </w:r>
      <w:proofErr w:type="gramStart"/>
      <w:r w:rsidRPr="00C5491F">
        <w:rPr>
          <w:i/>
        </w:rPr>
        <w:t>The</w:t>
      </w:r>
      <w:proofErr w:type="gramEnd"/>
      <w:r w:rsidRPr="00C5491F">
        <w:rPr>
          <w:i/>
        </w:rPr>
        <w:t xml:space="preserve"> Romance of Arthur</w:t>
      </w:r>
      <w:r w:rsidRPr="00825222">
        <w:t xml:space="preserve"> </w:t>
      </w:r>
      <w:r>
        <w:t>(London:</w:t>
      </w:r>
      <w:r w:rsidRPr="00825222">
        <w:t xml:space="preserve"> Garland Publishing, </w:t>
      </w:r>
      <w:r>
        <w:t>1994).</w:t>
      </w:r>
      <w:r w:rsidRPr="00825222">
        <w:t xml:space="preserve"> p</w:t>
      </w:r>
      <w:r>
        <w:t>.</w:t>
      </w:r>
      <w:r w:rsidRPr="00825222">
        <w:t>59</w:t>
      </w:r>
    </w:p>
  </w:footnote>
  <w:footnote w:id="31">
    <w:p w:rsidR="00257598" w:rsidRDefault="00257598">
      <w:pPr>
        <w:pStyle w:val="FootnoteText"/>
      </w:pPr>
      <w:r>
        <w:rPr>
          <w:rStyle w:val="FootnoteReference"/>
        </w:rPr>
        <w:footnoteRef/>
      </w:r>
      <w:r>
        <w:t xml:space="preserve"> R.</w:t>
      </w:r>
      <w:r w:rsidRPr="00C5491F">
        <w:t xml:space="preserve"> Loomis, </w:t>
      </w:r>
      <w:r w:rsidRPr="00C5491F">
        <w:rPr>
          <w:i/>
        </w:rPr>
        <w:t>The Romance of Arthur</w:t>
      </w:r>
      <w:r>
        <w:t xml:space="preserve">, </w:t>
      </w:r>
      <w:r w:rsidRPr="00C5491F">
        <w:t>p</w:t>
      </w:r>
      <w:r>
        <w:t>.</w:t>
      </w:r>
      <w:r w:rsidRPr="00C5491F">
        <w:t>65</w:t>
      </w:r>
    </w:p>
  </w:footnote>
  <w:footnote w:id="32">
    <w:p w:rsidR="00257598" w:rsidRDefault="00257598">
      <w:pPr>
        <w:pStyle w:val="FootnoteText"/>
      </w:pPr>
      <w:r>
        <w:rPr>
          <w:rStyle w:val="FootnoteReference"/>
        </w:rPr>
        <w:footnoteRef/>
      </w:r>
      <w:r>
        <w:t xml:space="preserve"> M. Curley, </w:t>
      </w:r>
      <w:r w:rsidRPr="00D44FD9">
        <w:rPr>
          <w:i/>
        </w:rPr>
        <w:t>Geoffrey of Monmouth</w:t>
      </w:r>
      <w:r>
        <w:t xml:space="preserve"> (Michigan:</w:t>
      </w:r>
      <w:r w:rsidRPr="00BC76E2">
        <w:t xml:space="preserve"> </w:t>
      </w:r>
      <w:proofErr w:type="spellStart"/>
      <w:r>
        <w:t>Cenagage</w:t>
      </w:r>
      <w:proofErr w:type="spellEnd"/>
      <w:r>
        <w:t xml:space="preserve"> Gale, 1994). p.</w:t>
      </w:r>
      <w:r w:rsidRPr="00BC76E2">
        <w:t>12</w:t>
      </w:r>
    </w:p>
  </w:footnote>
  <w:footnote w:id="33">
    <w:p w:rsidR="00257598" w:rsidRDefault="00257598">
      <w:pPr>
        <w:pStyle w:val="FootnoteText"/>
      </w:pPr>
      <w:r>
        <w:rPr>
          <w:rStyle w:val="FootnoteReference"/>
        </w:rPr>
        <w:footnoteRef/>
      </w:r>
      <w:r>
        <w:t xml:space="preserve"> A. </w:t>
      </w:r>
      <w:r w:rsidRPr="00CD5F7E">
        <w:t xml:space="preserve">Fraser, </w:t>
      </w:r>
      <w:r w:rsidRPr="00D44FD9">
        <w:rPr>
          <w:i/>
        </w:rPr>
        <w:t>The Warrior Queens</w:t>
      </w:r>
      <w:r>
        <w:t xml:space="preserve"> (London: Penguin books, 1990). p.34</w:t>
      </w:r>
    </w:p>
  </w:footnote>
  <w:footnote w:id="34">
    <w:p w:rsidR="00257598" w:rsidRDefault="00257598">
      <w:pPr>
        <w:pStyle w:val="FootnoteText"/>
      </w:pPr>
      <w:r>
        <w:rPr>
          <w:rStyle w:val="FootnoteReference"/>
        </w:rPr>
        <w:footnoteRef/>
      </w:r>
      <w:r>
        <w:t xml:space="preserve"> Barber, </w:t>
      </w:r>
      <w:r w:rsidRPr="00D44FD9">
        <w:rPr>
          <w:i/>
        </w:rPr>
        <w:t>King Arthur in Legend and in History</w:t>
      </w:r>
      <w:r>
        <w:t>, p.40</w:t>
      </w:r>
    </w:p>
  </w:footnote>
  <w:footnote w:id="35">
    <w:p w:rsidR="00257598" w:rsidRDefault="00257598">
      <w:pPr>
        <w:pStyle w:val="FootnoteText"/>
      </w:pPr>
      <w:r>
        <w:rPr>
          <w:rStyle w:val="FootnoteReference"/>
        </w:rPr>
        <w:footnoteRef/>
      </w:r>
      <w:r>
        <w:t xml:space="preserve"> Barber, </w:t>
      </w:r>
      <w:r w:rsidRPr="00D44FD9">
        <w:rPr>
          <w:i/>
        </w:rPr>
        <w:t>King Arthur in Legend and in History</w:t>
      </w:r>
      <w:r>
        <w:t>, p.41</w:t>
      </w:r>
    </w:p>
  </w:footnote>
  <w:footnote w:id="36">
    <w:p w:rsidR="00257598" w:rsidRDefault="00257598">
      <w:pPr>
        <w:pStyle w:val="FootnoteText"/>
      </w:pPr>
      <w:r>
        <w:rPr>
          <w:rStyle w:val="FootnoteReference"/>
        </w:rPr>
        <w:footnoteRef/>
      </w:r>
      <w:r>
        <w:t xml:space="preserve"> Barber, </w:t>
      </w:r>
      <w:r w:rsidRPr="00D44FD9">
        <w:rPr>
          <w:i/>
        </w:rPr>
        <w:t>King Arthur in Legend and in History</w:t>
      </w:r>
      <w:r>
        <w:t>, p.41</w:t>
      </w:r>
    </w:p>
  </w:footnote>
  <w:footnote w:id="37">
    <w:p w:rsidR="00257598" w:rsidRDefault="00257598">
      <w:pPr>
        <w:pStyle w:val="FootnoteText"/>
      </w:pPr>
      <w:r>
        <w:rPr>
          <w:rStyle w:val="FootnoteReference"/>
        </w:rPr>
        <w:footnoteRef/>
      </w:r>
      <w:r>
        <w:t xml:space="preserve"> J. </w:t>
      </w:r>
      <w:r w:rsidRPr="00007207">
        <w:t xml:space="preserve">Gillingham, </w:t>
      </w:r>
      <w:proofErr w:type="gramStart"/>
      <w:r w:rsidRPr="00D44FD9">
        <w:rPr>
          <w:i/>
        </w:rPr>
        <w:t>The</w:t>
      </w:r>
      <w:proofErr w:type="gramEnd"/>
      <w:r w:rsidRPr="00D44FD9">
        <w:rPr>
          <w:i/>
        </w:rPr>
        <w:t xml:space="preserve"> </w:t>
      </w:r>
      <w:proofErr w:type="spellStart"/>
      <w:r w:rsidRPr="00D44FD9">
        <w:rPr>
          <w:i/>
        </w:rPr>
        <w:t>Angevin</w:t>
      </w:r>
      <w:proofErr w:type="spellEnd"/>
      <w:r w:rsidRPr="00D44FD9">
        <w:rPr>
          <w:i/>
        </w:rPr>
        <w:t xml:space="preserve"> Empire</w:t>
      </w:r>
      <w:r w:rsidRPr="00007207">
        <w:t xml:space="preserve"> </w:t>
      </w:r>
      <w:r>
        <w:t>(New Jersey: Holms and Meier, 1984)</w:t>
      </w:r>
      <w:r w:rsidRPr="00007207">
        <w:t>. p.2.</w:t>
      </w:r>
    </w:p>
  </w:footnote>
  <w:footnote w:id="38">
    <w:p w:rsidR="00257598" w:rsidRDefault="00257598">
      <w:pPr>
        <w:pStyle w:val="FootnoteText"/>
      </w:pPr>
      <w:r>
        <w:rPr>
          <w:rStyle w:val="FootnoteReference"/>
        </w:rPr>
        <w:footnoteRef/>
      </w:r>
      <w:r>
        <w:t xml:space="preserve"> J. </w:t>
      </w:r>
      <w:r w:rsidRPr="00A93397">
        <w:t>Boyle, The Alexand</w:t>
      </w:r>
      <w:r>
        <w:t>er Romance in the East and West</w:t>
      </w:r>
      <w:r w:rsidRPr="00A93397">
        <w:t xml:space="preserve">, </w:t>
      </w:r>
      <w:r w:rsidRPr="00D44FD9">
        <w:rPr>
          <w:i/>
        </w:rPr>
        <w:t xml:space="preserve">Bulletin Of The John </w:t>
      </w:r>
      <w:proofErr w:type="spellStart"/>
      <w:r w:rsidRPr="00D44FD9">
        <w:rPr>
          <w:i/>
        </w:rPr>
        <w:t>Rylands</w:t>
      </w:r>
      <w:proofErr w:type="spellEnd"/>
      <w:r w:rsidRPr="00D44FD9">
        <w:rPr>
          <w:i/>
        </w:rPr>
        <w:t xml:space="preserve"> University Library Of Manchester</w:t>
      </w:r>
      <w:r>
        <w:rPr>
          <w:i/>
        </w:rPr>
        <w:t>,</w:t>
      </w:r>
      <w:r>
        <w:t xml:space="preserve"> 60 (1977) p.13-27.</w:t>
      </w:r>
    </w:p>
  </w:footnote>
  <w:footnote w:id="39">
    <w:p w:rsidR="00257598" w:rsidRDefault="00257598">
      <w:pPr>
        <w:pStyle w:val="FootnoteText"/>
      </w:pPr>
      <w:r>
        <w:rPr>
          <w:rStyle w:val="FootnoteReference"/>
        </w:rPr>
        <w:footnoteRef/>
      </w:r>
      <w:r>
        <w:t xml:space="preserve"> </w:t>
      </w:r>
      <w:r w:rsidRPr="00B5275C">
        <w:t xml:space="preserve">Barber, </w:t>
      </w:r>
      <w:r w:rsidRPr="00D44FD9">
        <w:rPr>
          <w:i/>
        </w:rPr>
        <w:t>King Arthur in Legend and in History</w:t>
      </w:r>
      <w:r>
        <w:t>, p.44</w:t>
      </w:r>
    </w:p>
  </w:footnote>
  <w:footnote w:id="40">
    <w:p w:rsidR="00257598" w:rsidRDefault="00257598">
      <w:pPr>
        <w:pStyle w:val="FootnoteText"/>
      </w:pPr>
      <w:r>
        <w:rPr>
          <w:rStyle w:val="FootnoteReference"/>
        </w:rPr>
        <w:footnoteRef/>
      </w:r>
      <w:r>
        <w:t xml:space="preserve"> </w:t>
      </w:r>
      <w:r w:rsidRPr="00A41C08">
        <w:t xml:space="preserve">Barber, </w:t>
      </w:r>
      <w:r w:rsidRPr="00A41C08">
        <w:rPr>
          <w:i/>
        </w:rPr>
        <w:t>King Arthur in Legend and in History</w:t>
      </w:r>
      <w:r w:rsidRPr="00A41C08">
        <w:t xml:space="preserve">, </w:t>
      </w:r>
      <w:r>
        <w:t>p.48</w:t>
      </w:r>
    </w:p>
  </w:footnote>
  <w:footnote w:id="41">
    <w:p w:rsidR="00257598" w:rsidRDefault="00257598">
      <w:pPr>
        <w:pStyle w:val="FootnoteText"/>
      </w:pPr>
      <w:r>
        <w:rPr>
          <w:rStyle w:val="FootnoteReference"/>
        </w:rPr>
        <w:footnoteRef/>
      </w:r>
      <w:r>
        <w:t xml:space="preserve"> </w:t>
      </w:r>
      <w:r w:rsidRPr="00A41C08">
        <w:t xml:space="preserve">Barber, </w:t>
      </w:r>
      <w:r w:rsidRPr="00A41C08">
        <w:rPr>
          <w:i/>
        </w:rPr>
        <w:t>King Arthur in Legend and in History</w:t>
      </w:r>
      <w:r w:rsidRPr="00A41C08">
        <w:t xml:space="preserve">, </w:t>
      </w:r>
      <w:r>
        <w:t xml:space="preserve"> p.49</w:t>
      </w:r>
    </w:p>
  </w:footnote>
  <w:footnote w:id="42">
    <w:p w:rsidR="00257598" w:rsidRDefault="00257598">
      <w:pPr>
        <w:pStyle w:val="FootnoteText"/>
      </w:pPr>
      <w:r>
        <w:rPr>
          <w:rStyle w:val="FootnoteReference"/>
        </w:rPr>
        <w:footnoteRef/>
      </w:r>
      <w:r>
        <w:t xml:space="preserve"> </w:t>
      </w:r>
      <w:r w:rsidRPr="00A41C08">
        <w:t xml:space="preserve">Barber, </w:t>
      </w:r>
      <w:r w:rsidRPr="00A41C08">
        <w:rPr>
          <w:i/>
        </w:rPr>
        <w:t>King Arthur in Legend and in History</w:t>
      </w:r>
      <w:r w:rsidRPr="00A41C08">
        <w:t xml:space="preserve">, </w:t>
      </w:r>
      <w:r>
        <w:t>p.51</w:t>
      </w:r>
    </w:p>
  </w:footnote>
  <w:footnote w:id="43">
    <w:p w:rsidR="00257598" w:rsidRDefault="00257598">
      <w:pPr>
        <w:pStyle w:val="FootnoteText"/>
      </w:pPr>
      <w:r>
        <w:rPr>
          <w:rStyle w:val="FootnoteReference"/>
        </w:rPr>
        <w:footnoteRef/>
      </w:r>
      <w:r>
        <w:t xml:space="preserve"> Barber, </w:t>
      </w:r>
      <w:r w:rsidRPr="00D44FD9">
        <w:rPr>
          <w:i/>
        </w:rPr>
        <w:t>King Arthur in Legend and in History</w:t>
      </w:r>
      <w:r>
        <w:t>, p.71</w:t>
      </w:r>
    </w:p>
  </w:footnote>
  <w:footnote w:id="44">
    <w:p w:rsidR="00257598" w:rsidRDefault="00257598">
      <w:pPr>
        <w:pStyle w:val="FootnoteText"/>
      </w:pPr>
      <w:r>
        <w:rPr>
          <w:rStyle w:val="FootnoteReference"/>
        </w:rPr>
        <w:footnoteRef/>
      </w:r>
      <w:r>
        <w:t xml:space="preserve"> Barber, </w:t>
      </w:r>
      <w:r w:rsidRPr="00D44FD9">
        <w:rPr>
          <w:i/>
        </w:rPr>
        <w:t>King Arthur in Legend and in History</w:t>
      </w:r>
      <w:r>
        <w:t>, p.81</w:t>
      </w:r>
    </w:p>
  </w:footnote>
  <w:footnote w:id="45">
    <w:p w:rsidR="00257598" w:rsidRDefault="00257598">
      <w:pPr>
        <w:pStyle w:val="FootnoteText"/>
      </w:pPr>
      <w:r>
        <w:rPr>
          <w:rStyle w:val="FootnoteReference"/>
        </w:rPr>
        <w:footnoteRef/>
      </w:r>
      <w:r>
        <w:t xml:space="preserve"> J. Burns, </w:t>
      </w:r>
      <w:r w:rsidRPr="00D44FD9">
        <w:rPr>
          <w:i/>
        </w:rPr>
        <w:t xml:space="preserve">Vulgate Cycle, Medieval France: An </w:t>
      </w:r>
      <w:proofErr w:type="spellStart"/>
      <w:r w:rsidRPr="00D44FD9">
        <w:rPr>
          <w:i/>
        </w:rPr>
        <w:t>Encyclopedia</w:t>
      </w:r>
      <w:proofErr w:type="spellEnd"/>
      <w:r>
        <w:t xml:space="preserve"> (Oxford: Garland, 1995). p.1829</w:t>
      </w:r>
    </w:p>
  </w:footnote>
  <w:footnote w:id="46">
    <w:p w:rsidR="00257598" w:rsidRDefault="00257598">
      <w:pPr>
        <w:pStyle w:val="FootnoteText"/>
      </w:pPr>
      <w:r>
        <w:rPr>
          <w:rStyle w:val="FootnoteReference"/>
        </w:rPr>
        <w:footnoteRef/>
      </w:r>
      <w:r>
        <w:t xml:space="preserve"> P. Goodrich and </w:t>
      </w:r>
      <w:r w:rsidRPr="00B638EB">
        <w:t>N</w:t>
      </w:r>
      <w:r>
        <w:t xml:space="preserve">. Lacy, </w:t>
      </w:r>
      <w:r w:rsidRPr="00257598">
        <w:rPr>
          <w:i/>
        </w:rPr>
        <w:t>Merlin: A Casebook</w:t>
      </w:r>
      <w:r w:rsidRPr="00B638EB">
        <w:t xml:space="preserve"> </w:t>
      </w:r>
      <w:r>
        <w:t xml:space="preserve">(Oxfordshire: </w:t>
      </w:r>
      <w:r w:rsidRPr="00B638EB">
        <w:t>Taylor &amp; Francis</w:t>
      </w:r>
      <w:r>
        <w:t xml:space="preserve">2003). </w:t>
      </w:r>
      <w:r w:rsidRPr="00B638EB">
        <w:t>p. 11</w:t>
      </w:r>
    </w:p>
  </w:footnote>
  <w:footnote w:id="47">
    <w:p w:rsidR="00257598" w:rsidRDefault="00257598">
      <w:pPr>
        <w:pStyle w:val="FootnoteText"/>
      </w:pPr>
      <w:r>
        <w:rPr>
          <w:rStyle w:val="FootnoteReference"/>
        </w:rPr>
        <w:footnoteRef/>
      </w:r>
      <w:r>
        <w:t xml:space="preserve"> G. Ashe,</w:t>
      </w:r>
      <w:r w:rsidRPr="00647454">
        <w:t xml:space="preserve"> "The Visionary Kingdom", in </w:t>
      </w:r>
      <w:r>
        <w:t>G. Ashe</w:t>
      </w:r>
      <w:r w:rsidRPr="00647454">
        <w:t xml:space="preserve">, </w:t>
      </w:r>
      <w:proofErr w:type="gramStart"/>
      <w:r w:rsidRPr="00A41C08">
        <w:rPr>
          <w:i/>
        </w:rPr>
        <w:t>The</w:t>
      </w:r>
      <w:proofErr w:type="gramEnd"/>
      <w:r w:rsidRPr="00A41C08">
        <w:rPr>
          <w:i/>
        </w:rPr>
        <w:t xml:space="preserve"> Quest for Arthur's Britain</w:t>
      </w:r>
      <w:r>
        <w:t xml:space="preserve"> (</w:t>
      </w:r>
      <w:r w:rsidRPr="00647454">
        <w:t>London: Granada</w:t>
      </w:r>
      <w:r>
        <w:t>, 1968). p.21</w:t>
      </w:r>
    </w:p>
  </w:footnote>
  <w:footnote w:id="48">
    <w:p w:rsidR="00257598" w:rsidRDefault="00257598">
      <w:pPr>
        <w:pStyle w:val="FootnoteText"/>
      </w:pPr>
      <w:r>
        <w:rPr>
          <w:rStyle w:val="FootnoteReference"/>
        </w:rPr>
        <w:footnoteRef/>
      </w:r>
      <w:r>
        <w:t xml:space="preserve"> B. </w:t>
      </w:r>
      <w:r w:rsidRPr="006A0125">
        <w:t xml:space="preserve">Taylor, </w:t>
      </w:r>
      <w:r>
        <w:t>and</w:t>
      </w:r>
      <w:r w:rsidRPr="006A0125">
        <w:t xml:space="preserve"> </w:t>
      </w:r>
      <w:r>
        <w:t>E. Brewer,</w:t>
      </w:r>
      <w:r w:rsidRPr="006A0125">
        <w:t xml:space="preserve"> </w:t>
      </w:r>
      <w:proofErr w:type="gramStart"/>
      <w:r w:rsidRPr="00A41C08">
        <w:rPr>
          <w:i/>
        </w:rPr>
        <w:t>The</w:t>
      </w:r>
      <w:proofErr w:type="gramEnd"/>
      <w:r w:rsidRPr="00A41C08">
        <w:rPr>
          <w:i/>
        </w:rPr>
        <w:t xml:space="preserve"> Return of King Arthur: British and American Arthurian Literature Since 1800</w:t>
      </w:r>
      <w:r>
        <w:t xml:space="preserve"> (</w:t>
      </w:r>
      <w:r w:rsidRPr="006A0125">
        <w:t>Cambridge: Brewer,</w:t>
      </w:r>
      <w:r>
        <w:t xml:space="preserve"> 1983). p. 127</w:t>
      </w:r>
    </w:p>
  </w:footnote>
  <w:footnote w:id="49">
    <w:p w:rsidR="00257598" w:rsidRDefault="00257598">
      <w:pPr>
        <w:pStyle w:val="FootnoteText"/>
      </w:pPr>
      <w:r>
        <w:rPr>
          <w:rStyle w:val="FootnoteReference"/>
        </w:rPr>
        <w:footnoteRef/>
      </w:r>
      <w:r>
        <w:t xml:space="preserve"> D. </w:t>
      </w:r>
      <w:r w:rsidRPr="00F60DBB">
        <w:t>Staines,</w:t>
      </w:r>
      <w:r>
        <w:t xml:space="preserve"> </w:t>
      </w:r>
      <w:r w:rsidRPr="00F60DBB">
        <w:t xml:space="preserve">"Tennyson, Alfred Lord", in Lacy, Norris J., </w:t>
      </w:r>
      <w:proofErr w:type="gramStart"/>
      <w:r w:rsidRPr="00A41C08">
        <w:rPr>
          <w:i/>
        </w:rPr>
        <w:t>The</w:t>
      </w:r>
      <w:proofErr w:type="gramEnd"/>
      <w:r w:rsidRPr="00A41C08">
        <w:rPr>
          <w:i/>
        </w:rPr>
        <w:t xml:space="preserve"> New Arthurian </w:t>
      </w:r>
      <w:proofErr w:type="spellStart"/>
      <w:r w:rsidRPr="00A41C08">
        <w:rPr>
          <w:i/>
        </w:rPr>
        <w:t>Encyclopedia</w:t>
      </w:r>
      <w:proofErr w:type="spellEnd"/>
      <w:r w:rsidRPr="00F60DBB">
        <w:t xml:space="preserve">, </w:t>
      </w:r>
      <w:r>
        <w:t>(</w:t>
      </w:r>
      <w:r w:rsidRPr="00F60DBB">
        <w:t>New York: Garland</w:t>
      </w:r>
      <w:r>
        <w:t xml:space="preserve"> 1996). p.</w:t>
      </w:r>
      <w:r w:rsidRPr="00F60DBB">
        <w:t>446–449</w:t>
      </w:r>
    </w:p>
  </w:footnote>
  <w:footnote w:id="50">
    <w:p w:rsidR="00257598" w:rsidRDefault="00257598">
      <w:pPr>
        <w:pStyle w:val="FootnoteText"/>
      </w:pPr>
      <w:r>
        <w:rPr>
          <w:rStyle w:val="FootnoteReference"/>
        </w:rPr>
        <w:footnoteRef/>
      </w:r>
      <w:r w:rsidRPr="00A41C08">
        <w:t xml:space="preserve">B. Taylor, and E. Brewer, </w:t>
      </w:r>
      <w:r w:rsidRPr="00866907">
        <w:rPr>
          <w:i/>
        </w:rPr>
        <w:t>The Return of King Arthur: British and American Arthurian Literature Since 1800</w:t>
      </w:r>
      <w:r>
        <w:t>, p. 138</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57598" w:rsidRDefault="00257598">
    <w:pPr>
      <w:pStyle w:val="Header"/>
    </w:pPr>
    <w:r>
      <w:t>CYCS7021</w:t>
    </w:r>
  </w:p>
  <w:p w:rsidR="00257598" w:rsidRDefault="00257598">
    <w:pPr>
      <w:pStyle w:val="Header"/>
    </w:pPr>
    <w:r>
      <w:t>1500087</w:t>
    </w:r>
  </w:p>
  <w:p w:rsidR="00257598" w:rsidRDefault="00257598">
    <w:pPr>
      <w:pStyle w:val="Header"/>
    </w:pPr>
    <w:r>
      <w:t>Alexander Elliott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FD7E67"/>
    <w:multiLevelType w:val="hybridMultilevel"/>
    <w:tmpl w:val="F7260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844474"/>
    <w:multiLevelType w:val="hybridMultilevel"/>
    <w:tmpl w:val="B8C03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7C9E"/>
    <w:rsid w:val="00007207"/>
    <w:rsid w:val="00014904"/>
    <w:rsid w:val="00021DFE"/>
    <w:rsid w:val="000244B5"/>
    <w:rsid w:val="00027D67"/>
    <w:rsid w:val="0008319B"/>
    <w:rsid w:val="00097096"/>
    <w:rsid w:val="000F0781"/>
    <w:rsid w:val="00117E29"/>
    <w:rsid w:val="00120BEB"/>
    <w:rsid w:val="00125FEB"/>
    <w:rsid w:val="00140A00"/>
    <w:rsid w:val="001456BD"/>
    <w:rsid w:val="001721A5"/>
    <w:rsid w:val="00173FF6"/>
    <w:rsid w:val="00213EA1"/>
    <w:rsid w:val="0021417D"/>
    <w:rsid w:val="00215360"/>
    <w:rsid w:val="00223C55"/>
    <w:rsid w:val="00224959"/>
    <w:rsid w:val="00257598"/>
    <w:rsid w:val="002725AE"/>
    <w:rsid w:val="002826FC"/>
    <w:rsid w:val="00296481"/>
    <w:rsid w:val="003260B8"/>
    <w:rsid w:val="00361EEE"/>
    <w:rsid w:val="00365909"/>
    <w:rsid w:val="003A0628"/>
    <w:rsid w:val="00464117"/>
    <w:rsid w:val="00465F78"/>
    <w:rsid w:val="0047601E"/>
    <w:rsid w:val="00495AB4"/>
    <w:rsid w:val="004A1394"/>
    <w:rsid w:val="004F467F"/>
    <w:rsid w:val="00540802"/>
    <w:rsid w:val="00544EE7"/>
    <w:rsid w:val="00577449"/>
    <w:rsid w:val="005B2BE1"/>
    <w:rsid w:val="006232D5"/>
    <w:rsid w:val="00647454"/>
    <w:rsid w:val="006635A2"/>
    <w:rsid w:val="0066597F"/>
    <w:rsid w:val="0069413A"/>
    <w:rsid w:val="006A0125"/>
    <w:rsid w:val="006D3992"/>
    <w:rsid w:val="007148FE"/>
    <w:rsid w:val="00721B2C"/>
    <w:rsid w:val="00723B73"/>
    <w:rsid w:val="00746E7A"/>
    <w:rsid w:val="007867BD"/>
    <w:rsid w:val="00816CA1"/>
    <w:rsid w:val="00825222"/>
    <w:rsid w:val="00861469"/>
    <w:rsid w:val="00866907"/>
    <w:rsid w:val="00897EEF"/>
    <w:rsid w:val="008B01E4"/>
    <w:rsid w:val="008C7EDA"/>
    <w:rsid w:val="008E491E"/>
    <w:rsid w:val="009438CF"/>
    <w:rsid w:val="0096366B"/>
    <w:rsid w:val="00973ADF"/>
    <w:rsid w:val="009756A5"/>
    <w:rsid w:val="00981E35"/>
    <w:rsid w:val="009B4E02"/>
    <w:rsid w:val="009D1186"/>
    <w:rsid w:val="009E3844"/>
    <w:rsid w:val="00A018D1"/>
    <w:rsid w:val="00A111A4"/>
    <w:rsid w:val="00A259E8"/>
    <w:rsid w:val="00A267C0"/>
    <w:rsid w:val="00A410A0"/>
    <w:rsid w:val="00A41C08"/>
    <w:rsid w:val="00A86477"/>
    <w:rsid w:val="00A905D2"/>
    <w:rsid w:val="00A93397"/>
    <w:rsid w:val="00AA6719"/>
    <w:rsid w:val="00B009D4"/>
    <w:rsid w:val="00B5275C"/>
    <w:rsid w:val="00B546C0"/>
    <w:rsid w:val="00B638EB"/>
    <w:rsid w:val="00BA67CC"/>
    <w:rsid w:val="00BC0F39"/>
    <w:rsid w:val="00BC76E2"/>
    <w:rsid w:val="00BE794F"/>
    <w:rsid w:val="00C012D7"/>
    <w:rsid w:val="00C02214"/>
    <w:rsid w:val="00C155F5"/>
    <w:rsid w:val="00C542E7"/>
    <w:rsid w:val="00C5491F"/>
    <w:rsid w:val="00C650B3"/>
    <w:rsid w:val="00C653F8"/>
    <w:rsid w:val="00C7682F"/>
    <w:rsid w:val="00CC7B8F"/>
    <w:rsid w:val="00CD5F7E"/>
    <w:rsid w:val="00CF7C9E"/>
    <w:rsid w:val="00D177B5"/>
    <w:rsid w:val="00D271CD"/>
    <w:rsid w:val="00D44C61"/>
    <w:rsid w:val="00D44FD9"/>
    <w:rsid w:val="00D55EF6"/>
    <w:rsid w:val="00DE24B3"/>
    <w:rsid w:val="00DE3F9C"/>
    <w:rsid w:val="00E02A25"/>
    <w:rsid w:val="00E1658A"/>
    <w:rsid w:val="00E406F6"/>
    <w:rsid w:val="00E8266B"/>
    <w:rsid w:val="00F40252"/>
    <w:rsid w:val="00F5354E"/>
    <w:rsid w:val="00F60DBB"/>
    <w:rsid w:val="00F621F4"/>
    <w:rsid w:val="00F87890"/>
    <w:rsid w:val="00F93EBC"/>
    <w:rsid w:val="00FA5764"/>
    <w:rsid w:val="00FC3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DD33D9-0A5B-4F81-B4C8-8502C39F4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7C9E"/>
  </w:style>
  <w:style w:type="paragraph" w:styleId="Heading1">
    <w:name w:val="heading 1"/>
    <w:basedOn w:val="Normal"/>
    <w:next w:val="Normal"/>
    <w:link w:val="Heading1Char"/>
    <w:uiPriority w:val="9"/>
    <w:qFormat/>
    <w:rsid w:val="00CF7C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F7C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C9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F7C9E"/>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224959"/>
    <w:pPr>
      <w:ind w:left="720"/>
      <w:contextualSpacing/>
    </w:pPr>
  </w:style>
  <w:style w:type="paragraph" w:styleId="FootnoteText">
    <w:name w:val="footnote text"/>
    <w:basedOn w:val="Normal"/>
    <w:link w:val="FootnoteTextChar"/>
    <w:uiPriority w:val="99"/>
    <w:semiHidden/>
    <w:unhideWhenUsed/>
    <w:rsid w:val="00B546C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46C0"/>
    <w:rPr>
      <w:sz w:val="20"/>
      <w:szCs w:val="20"/>
    </w:rPr>
  </w:style>
  <w:style w:type="character" w:styleId="FootnoteReference">
    <w:name w:val="footnote reference"/>
    <w:basedOn w:val="DefaultParagraphFont"/>
    <w:uiPriority w:val="99"/>
    <w:semiHidden/>
    <w:unhideWhenUsed/>
    <w:rsid w:val="00B546C0"/>
    <w:rPr>
      <w:vertAlign w:val="superscript"/>
    </w:rPr>
  </w:style>
  <w:style w:type="paragraph" w:styleId="Header">
    <w:name w:val="header"/>
    <w:basedOn w:val="Normal"/>
    <w:link w:val="HeaderChar"/>
    <w:uiPriority w:val="99"/>
    <w:unhideWhenUsed/>
    <w:rsid w:val="00272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5AE"/>
  </w:style>
  <w:style w:type="paragraph" w:styleId="Footer">
    <w:name w:val="footer"/>
    <w:basedOn w:val="Normal"/>
    <w:link w:val="FooterChar"/>
    <w:uiPriority w:val="99"/>
    <w:unhideWhenUsed/>
    <w:rsid w:val="00272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5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BDF167-DA2D-4B03-B6AB-1C880E8D9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4529</Words>
  <Characters>25818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Elliott</dc:creator>
  <cp:keywords/>
  <dc:description/>
  <cp:lastModifiedBy>Simon Elliott</cp:lastModifiedBy>
  <cp:revision>3</cp:revision>
  <dcterms:created xsi:type="dcterms:W3CDTF">2019-01-14T22:41:00Z</dcterms:created>
  <dcterms:modified xsi:type="dcterms:W3CDTF">2019-01-14T22:44:00Z</dcterms:modified>
</cp:coreProperties>
</file>