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85CA6" w:rsidRDefault="00085CA6">
      <w:pPr>
        <w:spacing w:line="480" w:lineRule="auto"/>
        <w:jc w:val="both"/>
        <w:rPr>
          <w:rFonts w:ascii="Times New Roman" w:eastAsia="Times New Roman" w:hAnsi="Times New Roman" w:cs="Times New Roman"/>
          <w:sz w:val="24"/>
          <w:szCs w:val="24"/>
        </w:rPr>
      </w:pPr>
    </w:p>
    <w:p w14:paraId="00000002" w14:textId="095D36E7" w:rsidR="00085CA6" w:rsidRDefault="00FE4DE4">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INTERNAT</w:t>
      </w:r>
      <w:r w:rsidR="0025780E">
        <w:rPr>
          <w:rFonts w:ascii="Times New Roman" w:eastAsia="Times New Roman" w:hAnsi="Times New Roman" w:cs="Times New Roman"/>
          <w:b/>
          <w:sz w:val="24"/>
          <w:szCs w:val="24"/>
        </w:rPr>
        <w:t>IONAL FINANCIAL MANAGEMENT</w:t>
      </w:r>
    </w:p>
    <w:p w14:paraId="580FE367" w14:textId="3617161D" w:rsidR="0025780E" w:rsidRDefault="0025780E" w:rsidP="0025780E">
      <w:pPr>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Assessment 1</w:t>
      </w:r>
    </w:p>
    <w:p w14:paraId="2EB83339" w14:textId="20C968AE" w:rsidR="0025780E" w:rsidRDefault="0025780E" w:rsidP="0025780E">
      <w:pPr>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Denis Nedzhmiev</w:t>
      </w:r>
    </w:p>
    <w:p w14:paraId="69C19C2C" w14:textId="6CC5C01D" w:rsidR="0025780E" w:rsidRDefault="0025780E" w:rsidP="0025780E">
      <w:pPr>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Lecturer: </w:t>
      </w:r>
      <w:r w:rsidR="00A64C84">
        <w:rPr>
          <w:rFonts w:ascii="Times New Roman" w:eastAsia="Times New Roman" w:hAnsi="Times New Roman" w:cs="Times New Roman"/>
          <w:sz w:val="24"/>
          <w:szCs w:val="24"/>
          <w:lang w:val="en-US"/>
        </w:rPr>
        <w:t>Dr Thomas Ade</w:t>
      </w:r>
      <w:bookmarkStart w:id="0" w:name="_GoBack"/>
      <w:bookmarkEnd w:id="0"/>
      <w:r w:rsidR="00A64C84">
        <w:rPr>
          <w:rFonts w:ascii="Times New Roman" w:eastAsia="Times New Roman" w:hAnsi="Times New Roman" w:cs="Times New Roman"/>
          <w:sz w:val="24"/>
          <w:szCs w:val="24"/>
          <w:lang w:val="en-US"/>
        </w:rPr>
        <w:t>yemi</w:t>
      </w:r>
    </w:p>
    <w:p w14:paraId="3095A3E7" w14:textId="1F4588DD" w:rsidR="0025780E" w:rsidRDefault="0025780E" w:rsidP="0025780E">
      <w:pPr>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ID: 2029363</w:t>
      </w:r>
    </w:p>
    <w:p w14:paraId="49A0563C" w14:textId="77777777" w:rsidR="0025780E" w:rsidRPr="0025780E" w:rsidRDefault="0025780E" w:rsidP="0025780E">
      <w:pPr>
        <w:jc w:val="center"/>
        <w:rPr>
          <w:rFonts w:ascii="Times New Roman" w:eastAsia="Times New Roman" w:hAnsi="Times New Roman" w:cs="Times New Roman"/>
          <w:sz w:val="24"/>
          <w:szCs w:val="24"/>
          <w:lang w:val="en-US"/>
        </w:rPr>
      </w:pPr>
    </w:p>
    <w:p w14:paraId="00000003" w14:textId="77777777" w:rsidR="00085CA6" w:rsidRDefault="00FE4DE4">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DIAGEO PLC</w:t>
      </w:r>
    </w:p>
    <w:p w14:paraId="00000004" w14:textId="77777777" w:rsidR="00085CA6" w:rsidRDefault="00085CA6">
      <w:pPr>
        <w:spacing w:line="480" w:lineRule="auto"/>
        <w:jc w:val="both"/>
        <w:rPr>
          <w:rFonts w:ascii="Times New Roman" w:eastAsia="Times New Roman" w:hAnsi="Times New Roman" w:cs="Times New Roman"/>
          <w:b/>
          <w:sz w:val="24"/>
          <w:szCs w:val="24"/>
        </w:rPr>
      </w:pPr>
    </w:p>
    <w:p w14:paraId="00000005" w14:textId="77777777" w:rsidR="00085CA6" w:rsidRDefault="00085CA6">
      <w:pPr>
        <w:spacing w:line="480" w:lineRule="auto"/>
        <w:jc w:val="both"/>
        <w:rPr>
          <w:rFonts w:ascii="Times New Roman" w:eastAsia="Times New Roman" w:hAnsi="Times New Roman" w:cs="Times New Roman"/>
          <w:b/>
          <w:sz w:val="24"/>
          <w:szCs w:val="24"/>
        </w:rPr>
      </w:pPr>
    </w:p>
    <w:p w14:paraId="00000006" w14:textId="77777777" w:rsidR="00085CA6" w:rsidRDefault="00085CA6">
      <w:pPr>
        <w:spacing w:line="480" w:lineRule="auto"/>
        <w:jc w:val="both"/>
        <w:rPr>
          <w:rFonts w:ascii="Times New Roman" w:eastAsia="Times New Roman" w:hAnsi="Times New Roman" w:cs="Times New Roman"/>
          <w:b/>
          <w:sz w:val="24"/>
          <w:szCs w:val="24"/>
        </w:rPr>
      </w:pPr>
    </w:p>
    <w:p w14:paraId="00000007" w14:textId="77777777" w:rsidR="00085CA6" w:rsidRDefault="00085CA6">
      <w:pPr>
        <w:spacing w:line="480" w:lineRule="auto"/>
        <w:jc w:val="both"/>
        <w:rPr>
          <w:rFonts w:ascii="Times New Roman" w:eastAsia="Times New Roman" w:hAnsi="Times New Roman" w:cs="Times New Roman"/>
          <w:b/>
          <w:sz w:val="24"/>
          <w:szCs w:val="24"/>
        </w:rPr>
      </w:pPr>
    </w:p>
    <w:p w14:paraId="00000008" w14:textId="77777777" w:rsidR="00085CA6" w:rsidRDefault="00085CA6">
      <w:pPr>
        <w:spacing w:line="480" w:lineRule="auto"/>
        <w:jc w:val="both"/>
        <w:rPr>
          <w:rFonts w:ascii="Times New Roman" w:eastAsia="Times New Roman" w:hAnsi="Times New Roman" w:cs="Times New Roman"/>
          <w:b/>
          <w:sz w:val="24"/>
          <w:szCs w:val="24"/>
        </w:rPr>
      </w:pPr>
    </w:p>
    <w:p w14:paraId="00000009" w14:textId="77777777" w:rsidR="00085CA6" w:rsidRDefault="00085CA6">
      <w:pPr>
        <w:spacing w:line="480" w:lineRule="auto"/>
        <w:jc w:val="both"/>
        <w:rPr>
          <w:rFonts w:ascii="Times New Roman" w:eastAsia="Times New Roman" w:hAnsi="Times New Roman" w:cs="Times New Roman"/>
          <w:b/>
          <w:sz w:val="24"/>
          <w:szCs w:val="24"/>
        </w:rPr>
      </w:pPr>
    </w:p>
    <w:p w14:paraId="0000000A" w14:textId="77777777" w:rsidR="00085CA6" w:rsidRDefault="00085CA6">
      <w:pPr>
        <w:spacing w:line="480" w:lineRule="auto"/>
        <w:jc w:val="both"/>
        <w:rPr>
          <w:rFonts w:ascii="Times New Roman" w:eastAsia="Times New Roman" w:hAnsi="Times New Roman" w:cs="Times New Roman"/>
          <w:b/>
          <w:sz w:val="24"/>
          <w:szCs w:val="24"/>
        </w:rPr>
      </w:pPr>
    </w:p>
    <w:p w14:paraId="0000000B" w14:textId="77777777" w:rsidR="00085CA6" w:rsidRDefault="00085CA6">
      <w:pPr>
        <w:spacing w:line="480" w:lineRule="auto"/>
        <w:jc w:val="both"/>
        <w:rPr>
          <w:rFonts w:ascii="Times New Roman" w:eastAsia="Times New Roman" w:hAnsi="Times New Roman" w:cs="Times New Roman"/>
          <w:b/>
          <w:sz w:val="24"/>
          <w:szCs w:val="24"/>
        </w:rPr>
      </w:pPr>
    </w:p>
    <w:p w14:paraId="0000000C" w14:textId="77777777" w:rsidR="00085CA6" w:rsidRDefault="00085CA6">
      <w:pPr>
        <w:spacing w:line="480" w:lineRule="auto"/>
        <w:jc w:val="both"/>
        <w:rPr>
          <w:rFonts w:ascii="Times New Roman" w:eastAsia="Times New Roman" w:hAnsi="Times New Roman" w:cs="Times New Roman"/>
          <w:b/>
          <w:sz w:val="24"/>
          <w:szCs w:val="24"/>
        </w:rPr>
      </w:pPr>
    </w:p>
    <w:p w14:paraId="0000000D" w14:textId="77777777" w:rsidR="00085CA6" w:rsidRDefault="00085CA6">
      <w:pPr>
        <w:spacing w:line="480" w:lineRule="auto"/>
        <w:jc w:val="both"/>
        <w:rPr>
          <w:rFonts w:ascii="Times New Roman" w:eastAsia="Times New Roman" w:hAnsi="Times New Roman" w:cs="Times New Roman"/>
          <w:b/>
          <w:sz w:val="24"/>
          <w:szCs w:val="24"/>
        </w:rPr>
      </w:pPr>
    </w:p>
    <w:p w14:paraId="0000000E" w14:textId="77777777" w:rsidR="00085CA6" w:rsidRDefault="00085CA6">
      <w:pPr>
        <w:spacing w:line="480" w:lineRule="auto"/>
        <w:jc w:val="both"/>
        <w:rPr>
          <w:rFonts w:ascii="Times New Roman" w:eastAsia="Times New Roman" w:hAnsi="Times New Roman" w:cs="Times New Roman"/>
          <w:b/>
          <w:sz w:val="24"/>
          <w:szCs w:val="24"/>
        </w:rPr>
      </w:pPr>
    </w:p>
    <w:p w14:paraId="0000000F" w14:textId="77777777" w:rsidR="00085CA6" w:rsidRDefault="00085CA6">
      <w:pPr>
        <w:spacing w:line="480" w:lineRule="auto"/>
        <w:jc w:val="both"/>
        <w:rPr>
          <w:rFonts w:ascii="Times New Roman" w:eastAsia="Times New Roman" w:hAnsi="Times New Roman" w:cs="Times New Roman"/>
          <w:b/>
          <w:sz w:val="24"/>
          <w:szCs w:val="24"/>
        </w:rPr>
      </w:pPr>
    </w:p>
    <w:p w14:paraId="00000010" w14:textId="77777777" w:rsidR="00085CA6" w:rsidRDefault="00085CA6">
      <w:pPr>
        <w:spacing w:line="480" w:lineRule="auto"/>
        <w:jc w:val="both"/>
        <w:rPr>
          <w:rFonts w:ascii="Times New Roman" w:eastAsia="Times New Roman" w:hAnsi="Times New Roman" w:cs="Times New Roman"/>
          <w:b/>
          <w:sz w:val="24"/>
          <w:szCs w:val="24"/>
        </w:rPr>
      </w:pPr>
    </w:p>
    <w:p w14:paraId="00000011" w14:textId="77777777" w:rsidR="00085CA6" w:rsidRDefault="00085CA6">
      <w:pPr>
        <w:spacing w:line="480" w:lineRule="auto"/>
        <w:jc w:val="both"/>
        <w:rPr>
          <w:rFonts w:ascii="Times New Roman" w:eastAsia="Times New Roman" w:hAnsi="Times New Roman" w:cs="Times New Roman"/>
          <w:b/>
          <w:sz w:val="24"/>
          <w:szCs w:val="24"/>
        </w:rPr>
      </w:pPr>
    </w:p>
    <w:p w14:paraId="00000012" w14:textId="77777777" w:rsidR="00085CA6" w:rsidRDefault="00FE4DE4">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Table Of Contents</w:t>
      </w:r>
    </w:p>
    <w:sdt>
      <w:sdtPr>
        <w:id w:val="-447537159"/>
        <w:docPartObj>
          <w:docPartGallery w:val="Table of Contents"/>
          <w:docPartUnique/>
        </w:docPartObj>
      </w:sdtPr>
      <w:sdtEndPr/>
      <w:sdtContent>
        <w:p w14:paraId="00000013" w14:textId="77777777" w:rsidR="00085CA6" w:rsidRDefault="00FE4DE4">
          <w:pPr>
            <w:widowControl w:val="0"/>
            <w:tabs>
              <w:tab w:val="right" w:leader="dot" w:pos="12000"/>
            </w:tabs>
            <w:spacing w:before="60" w:after="0" w:line="24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shqnwnakl25q">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4" w14:textId="77777777" w:rsidR="00085CA6" w:rsidRDefault="00FE4DE4">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y2raos5qjru5">
            <w:r>
              <w:rPr>
                <w:rFonts w:ascii="Times New Roman" w:eastAsia="Times New Roman" w:hAnsi="Times New Roman" w:cs="Times New Roman"/>
                <w:color w:val="000000"/>
                <w:sz w:val="24"/>
                <w:szCs w:val="24"/>
              </w:rPr>
              <w:t>Diageo's Dividend Distribution Policy</w:t>
            </w:r>
            <w:r>
              <w:rPr>
                <w:rFonts w:ascii="Times New Roman" w:eastAsia="Times New Roman" w:hAnsi="Times New Roman" w:cs="Times New Roman"/>
                <w:color w:val="000000"/>
                <w:sz w:val="24"/>
                <w:szCs w:val="24"/>
              </w:rPr>
              <w:tab/>
              <w:t>4</w:t>
            </w:r>
          </w:hyperlink>
        </w:p>
        <w:p w14:paraId="00000015" w14:textId="77777777" w:rsidR="00085CA6" w:rsidRDefault="00FE4DE4">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ief1zhvaacy5">
            <w:r>
              <w:rPr>
                <w:rFonts w:ascii="Times New Roman" w:eastAsia="Times New Roman" w:hAnsi="Times New Roman" w:cs="Times New Roman"/>
                <w:color w:val="000000"/>
                <w:sz w:val="24"/>
                <w:szCs w:val="24"/>
              </w:rPr>
              <w:t>Efficient Market Hypothesis Theory</w:t>
            </w:r>
            <w:r>
              <w:rPr>
                <w:rFonts w:ascii="Times New Roman" w:eastAsia="Times New Roman" w:hAnsi="Times New Roman" w:cs="Times New Roman"/>
                <w:color w:val="000000"/>
                <w:sz w:val="24"/>
                <w:szCs w:val="24"/>
              </w:rPr>
              <w:tab/>
              <w:t>5</w:t>
            </w:r>
          </w:hyperlink>
        </w:p>
        <w:p w14:paraId="00000016" w14:textId="77777777" w:rsidR="00085CA6" w:rsidRDefault="00FE4DE4">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ollxabv7wwdd">
            <w:r>
              <w:rPr>
                <w:rFonts w:ascii="Times New Roman" w:eastAsia="Times New Roman" w:hAnsi="Times New Roman" w:cs="Times New Roman"/>
                <w:color w:val="000000"/>
                <w:sz w:val="24"/>
                <w:szCs w:val="24"/>
              </w:rPr>
              <w:t>Diageo's Methods of Appraising Projects</w:t>
            </w:r>
            <w:r>
              <w:rPr>
                <w:rFonts w:ascii="Times New Roman" w:eastAsia="Times New Roman" w:hAnsi="Times New Roman" w:cs="Times New Roman"/>
                <w:color w:val="000000"/>
                <w:sz w:val="24"/>
                <w:szCs w:val="24"/>
              </w:rPr>
              <w:tab/>
              <w:t>6</w:t>
            </w:r>
          </w:hyperlink>
        </w:p>
        <w:p w14:paraId="00000017" w14:textId="77777777" w:rsidR="00085CA6" w:rsidRDefault="00FE4DE4">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mbi72nj3pupc">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8</w:t>
            </w:r>
          </w:hyperlink>
        </w:p>
        <w:p w14:paraId="00000018" w14:textId="77777777" w:rsidR="00085CA6" w:rsidRDefault="00FE4DE4">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9bsv1rqy6gv7">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9</w:t>
            </w:r>
          </w:hyperlink>
          <w:r>
            <w:fldChar w:fldCharType="end"/>
          </w:r>
        </w:p>
      </w:sdtContent>
    </w:sdt>
    <w:p w14:paraId="00000019" w14:textId="77777777" w:rsidR="00085CA6" w:rsidRDefault="00085CA6">
      <w:pPr>
        <w:spacing w:line="480" w:lineRule="auto"/>
        <w:rPr>
          <w:rFonts w:ascii="Times New Roman" w:eastAsia="Times New Roman" w:hAnsi="Times New Roman" w:cs="Times New Roman"/>
          <w:b/>
          <w:sz w:val="24"/>
          <w:szCs w:val="24"/>
        </w:rPr>
      </w:pPr>
    </w:p>
    <w:p w14:paraId="0000001A" w14:textId="77777777" w:rsidR="00085CA6" w:rsidRDefault="00085CA6">
      <w:pPr>
        <w:spacing w:line="480" w:lineRule="auto"/>
        <w:rPr>
          <w:rFonts w:ascii="Times New Roman" w:eastAsia="Times New Roman" w:hAnsi="Times New Roman" w:cs="Times New Roman"/>
          <w:b/>
          <w:sz w:val="24"/>
          <w:szCs w:val="24"/>
        </w:rPr>
      </w:pPr>
    </w:p>
    <w:p w14:paraId="0000001B" w14:textId="77777777" w:rsidR="00085CA6" w:rsidRDefault="00085CA6">
      <w:pPr>
        <w:spacing w:line="480" w:lineRule="auto"/>
        <w:rPr>
          <w:rFonts w:ascii="Times New Roman" w:eastAsia="Times New Roman" w:hAnsi="Times New Roman" w:cs="Times New Roman"/>
          <w:b/>
          <w:sz w:val="24"/>
          <w:szCs w:val="24"/>
        </w:rPr>
      </w:pPr>
    </w:p>
    <w:p w14:paraId="0000001C" w14:textId="77777777" w:rsidR="00085CA6" w:rsidRDefault="00085CA6">
      <w:pPr>
        <w:spacing w:line="480" w:lineRule="auto"/>
        <w:rPr>
          <w:rFonts w:ascii="Times New Roman" w:eastAsia="Times New Roman" w:hAnsi="Times New Roman" w:cs="Times New Roman"/>
          <w:b/>
          <w:sz w:val="24"/>
          <w:szCs w:val="24"/>
        </w:rPr>
      </w:pPr>
    </w:p>
    <w:p w14:paraId="0000001D" w14:textId="77777777" w:rsidR="00085CA6" w:rsidRDefault="00085CA6">
      <w:pPr>
        <w:spacing w:line="480" w:lineRule="auto"/>
        <w:rPr>
          <w:rFonts w:ascii="Times New Roman" w:eastAsia="Times New Roman" w:hAnsi="Times New Roman" w:cs="Times New Roman"/>
          <w:b/>
          <w:sz w:val="24"/>
          <w:szCs w:val="24"/>
        </w:rPr>
      </w:pPr>
    </w:p>
    <w:p w14:paraId="0000001E" w14:textId="77777777" w:rsidR="00085CA6" w:rsidRDefault="00085CA6">
      <w:pPr>
        <w:spacing w:line="480" w:lineRule="auto"/>
        <w:rPr>
          <w:rFonts w:ascii="Times New Roman" w:eastAsia="Times New Roman" w:hAnsi="Times New Roman" w:cs="Times New Roman"/>
          <w:b/>
          <w:sz w:val="24"/>
          <w:szCs w:val="24"/>
        </w:rPr>
      </w:pPr>
    </w:p>
    <w:p w14:paraId="0000001F" w14:textId="77777777" w:rsidR="00085CA6" w:rsidRDefault="00085CA6">
      <w:pPr>
        <w:spacing w:line="480" w:lineRule="auto"/>
        <w:rPr>
          <w:rFonts w:ascii="Times New Roman" w:eastAsia="Times New Roman" w:hAnsi="Times New Roman" w:cs="Times New Roman"/>
          <w:b/>
          <w:sz w:val="24"/>
          <w:szCs w:val="24"/>
        </w:rPr>
      </w:pPr>
    </w:p>
    <w:p w14:paraId="00000020" w14:textId="77777777" w:rsidR="00085CA6" w:rsidRDefault="00085CA6">
      <w:pPr>
        <w:spacing w:line="480" w:lineRule="auto"/>
        <w:rPr>
          <w:rFonts w:ascii="Times New Roman" w:eastAsia="Times New Roman" w:hAnsi="Times New Roman" w:cs="Times New Roman"/>
          <w:b/>
          <w:sz w:val="24"/>
          <w:szCs w:val="24"/>
        </w:rPr>
      </w:pPr>
    </w:p>
    <w:p w14:paraId="00000021" w14:textId="77777777" w:rsidR="00085CA6" w:rsidRDefault="00085CA6">
      <w:pPr>
        <w:spacing w:line="480" w:lineRule="auto"/>
        <w:rPr>
          <w:rFonts w:ascii="Times New Roman" w:eastAsia="Times New Roman" w:hAnsi="Times New Roman" w:cs="Times New Roman"/>
          <w:b/>
          <w:sz w:val="24"/>
          <w:szCs w:val="24"/>
        </w:rPr>
      </w:pPr>
    </w:p>
    <w:p w14:paraId="00000022" w14:textId="77777777" w:rsidR="00085CA6" w:rsidRDefault="00085CA6">
      <w:pPr>
        <w:spacing w:line="480" w:lineRule="auto"/>
        <w:rPr>
          <w:rFonts w:ascii="Times New Roman" w:eastAsia="Times New Roman" w:hAnsi="Times New Roman" w:cs="Times New Roman"/>
          <w:b/>
          <w:sz w:val="24"/>
          <w:szCs w:val="24"/>
        </w:rPr>
      </w:pPr>
    </w:p>
    <w:p w14:paraId="00000023" w14:textId="77777777" w:rsidR="00085CA6" w:rsidRDefault="00085CA6">
      <w:pPr>
        <w:spacing w:line="480" w:lineRule="auto"/>
        <w:rPr>
          <w:rFonts w:ascii="Times New Roman" w:eastAsia="Times New Roman" w:hAnsi="Times New Roman" w:cs="Times New Roman"/>
          <w:b/>
          <w:sz w:val="24"/>
          <w:szCs w:val="24"/>
        </w:rPr>
      </w:pPr>
    </w:p>
    <w:p w14:paraId="00000024" w14:textId="77777777" w:rsidR="00085CA6" w:rsidRDefault="00085CA6">
      <w:pPr>
        <w:spacing w:line="480" w:lineRule="auto"/>
        <w:rPr>
          <w:rFonts w:ascii="Times New Roman" w:eastAsia="Times New Roman" w:hAnsi="Times New Roman" w:cs="Times New Roman"/>
          <w:b/>
          <w:sz w:val="24"/>
          <w:szCs w:val="24"/>
        </w:rPr>
      </w:pPr>
    </w:p>
    <w:p w14:paraId="00000025" w14:textId="77777777" w:rsidR="00085CA6" w:rsidRDefault="00085CA6">
      <w:pPr>
        <w:spacing w:line="480" w:lineRule="auto"/>
        <w:rPr>
          <w:rFonts w:ascii="Times New Roman" w:eastAsia="Times New Roman" w:hAnsi="Times New Roman" w:cs="Times New Roman"/>
          <w:b/>
          <w:sz w:val="24"/>
          <w:szCs w:val="24"/>
        </w:rPr>
      </w:pPr>
    </w:p>
    <w:p w14:paraId="00000026" w14:textId="77777777" w:rsidR="00085CA6" w:rsidRDefault="00085CA6">
      <w:pPr>
        <w:spacing w:line="480" w:lineRule="auto"/>
        <w:rPr>
          <w:rFonts w:ascii="Times New Roman" w:eastAsia="Times New Roman" w:hAnsi="Times New Roman" w:cs="Times New Roman"/>
          <w:b/>
          <w:sz w:val="24"/>
          <w:szCs w:val="24"/>
        </w:rPr>
      </w:pPr>
    </w:p>
    <w:p w14:paraId="00000027" w14:textId="77777777" w:rsidR="00085CA6" w:rsidRDefault="00FE4DE4">
      <w:pPr>
        <w:pStyle w:val="1"/>
        <w:spacing w:after="0" w:line="480" w:lineRule="auto"/>
        <w:jc w:val="center"/>
        <w:rPr>
          <w:rFonts w:ascii="Times New Roman" w:eastAsia="Times New Roman" w:hAnsi="Times New Roman" w:cs="Times New Roman"/>
          <w:sz w:val="32"/>
          <w:szCs w:val="32"/>
        </w:rPr>
      </w:pPr>
      <w:bookmarkStart w:id="1" w:name="_shqnwnakl25q" w:colFirst="0" w:colLast="0"/>
      <w:bookmarkEnd w:id="1"/>
      <w:r>
        <w:rPr>
          <w:rFonts w:ascii="Times New Roman" w:eastAsia="Times New Roman" w:hAnsi="Times New Roman" w:cs="Times New Roman"/>
          <w:sz w:val="32"/>
          <w:szCs w:val="32"/>
        </w:rPr>
        <w:t>Introduction</w:t>
      </w:r>
    </w:p>
    <w:p w14:paraId="00000028"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Companies with operations in multiple countries are subject to international and local financial regulations and climate. Therefore, financial managers in those countries must be well-versed in international financial management. This includes the ability </w:t>
      </w:r>
      <w:r>
        <w:rPr>
          <w:rFonts w:ascii="Times New Roman" w:eastAsia="Times New Roman" w:hAnsi="Times New Roman" w:cs="Times New Roman"/>
          <w:color w:val="0E101A"/>
          <w:sz w:val="24"/>
          <w:szCs w:val="24"/>
        </w:rPr>
        <w:t>of analysing risks in different markets and how the organisation maintains its financial stability and keeps its shareholders satisfied.  </w:t>
      </w:r>
    </w:p>
    <w:p w14:paraId="00000029"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bookmarkStart w:id="2" w:name="_gjdgxs" w:colFirst="0" w:colLast="0"/>
      <w:bookmarkEnd w:id="2"/>
      <w:r>
        <w:rPr>
          <w:rFonts w:ascii="Times New Roman" w:eastAsia="Times New Roman" w:hAnsi="Times New Roman" w:cs="Times New Roman"/>
          <w:color w:val="0E101A"/>
          <w:sz w:val="24"/>
          <w:szCs w:val="24"/>
        </w:rPr>
        <w:t xml:space="preserve">In this report, the focus is on Diageo, </w:t>
      </w:r>
      <w:r>
        <w:rPr>
          <w:rFonts w:ascii="Times New Roman" w:eastAsia="Times New Roman" w:hAnsi="Times New Roman" w:cs="Times New Roman"/>
          <w:color w:val="0E101A"/>
          <w:sz w:val="24"/>
          <w:szCs w:val="24"/>
        </w:rPr>
        <w:t>a British</w:t>
      </w:r>
      <w:r>
        <w:rPr>
          <w:rFonts w:ascii="Times New Roman" w:eastAsia="Times New Roman" w:hAnsi="Times New Roman" w:cs="Times New Roman"/>
          <w:color w:val="0E101A"/>
          <w:sz w:val="24"/>
          <w:szCs w:val="24"/>
        </w:rPr>
        <w:t xml:space="preserve"> alcoholic beverages multinational. The company is headquartered in </w:t>
      </w:r>
      <w:r>
        <w:rPr>
          <w:rFonts w:ascii="Times New Roman" w:eastAsia="Times New Roman" w:hAnsi="Times New Roman" w:cs="Times New Roman"/>
          <w:color w:val="0E101A"/>
          <w:sz w:val="24"/>
          <w:szCs w:val="24"/>
        </w:rPr>
        <w:t>London, England, and has operations in 132 locations worldwide, and its products are present in over 180 countries</w:t>
      </w:r>
      <w:r>
        <w:rPr>
          <w:rFonts w:ascii="Times New Roman" w:eastAsia="Times New Roman" w:hAnsi="Times New Roman" w:cs="Times New Roman"/>
          <w:color w:val="000000"/>
          <w:sz w:val="24"/>
          <w:szCs w:val="24"/>
        </w:rPr>
        <w:t xml:space="preserve"> (Diageo, 2022)</w:t>
      </w:r>
      <w:r>
        <w:rPr>
          <w:rFonts w:ascii="Times New Roman" w:eastAsia="Times New Roman" w:hAnsi="Times New Roman" w:cs="Times New Roman"/>
          <w:color w:val="0E101A"/>
          <w:sz w:val="24"/>
          <w:szCs w:val="24"/>
        </w:rPr>
        <w:t>. The company is listed on the London Stock Exchange and New York Stock Exchange. To sustain its significant market share, Diag</w:t>
      </w:r>
      <w:r>
        <w:rPr>
          <w:rFonts w:ascii="Times New Roman" w:eastAsia="Times New Roman" w:hAnsi="Times New Roman" w:cs="Times New Roman"/>
          <w:color w:val="0E101A"/>
          <w:sz w:val="24"/>
          <w:szCs w:val="24"/>
        </w:rPr>
        <w:t xml:space="preserve">eo’s operation strategy includes investing in a wide brand portfolio, maximising on mature and emerging markets, and international expansion through acquisitions and strategic partnerships. The company is the leading in the alcoholic beverages industry in </w:t>
      </w:r>
      <w:r>
        <w:rPr>
          <w:rFonts w:ascii="Times New Roman" w:eastAsia="Times New Roman" w:hAnsi="Times New Roman" w:cs="Times New Roman"/>
          <w:color w:val="0E101A"/>
          <w:sz w:val="24"/>
          <w:szCs w:val="24"/>
        </w:rPr>
        <w:t>several countries. </w:t>
      </w:r>
    </w:p>
    <w:p w14:paraId="0000002A"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Nevertheless, due to its multinational nature, the company is likely to face various challenges in its different financial markets. The challenges are related to currency fluctuations, financing issues, competition, economic and politic</w:t>
      </w:r>
      <w:r>
        <w:rPr>
          <w:rFonts w:ascii="Times New Roman" w:eastAsia="Times New Roman" w:hAnsi="Times New Roman" w:cs="Times New Roman"/>
          <w:color w:val="0E101A"/>
          <w:sz w:val="24"/>
          <w:szCs w:val="24"/>
        </w:rPr>
        <w:t xml:space="preserve">al instability, financial market volatility, and regulation differences. This also includes different tax laws and policies in different jurisdictions. These challenges and what the company </w:t>
      </w:r>
      <w:r>
        <w:rPr>
          <w:rFonts w:ascii="Times New Roman" w:eastAsia="Times New Roman" w:hAnsi="Times New Roman" w:cs="Times New Roman"/>
          <w:color w:val="0E101A"/>
          <w:sz w:val="24"/>
          <w:szCs w:val="24"/>
        </w:rPr>
        <w:t>is doing</w:t>
      </w:r>
      <w:r>
        <w:rPr>
          <w:rFonts w:ascii="Times New Roman" w:eastAsia="Times New Roman" w:hAnsi="Times New Roman" w:cs="Times New Roman"/>
          <w:color w:val="0E101A"/>
          <w:sz w:val="24"/>
          <w:szCs w:val="24"/>
        </w:rPr>
        <w:t xml:space="preserve"> or can do about them are discussed by crucially </w:t>
      </w:r>
      <w:r>
        <w:rPr>
          <w:rFonts w:ascii="Times New Roman" w:eastAsia="Times New Roman" w:hAnsi="Times New Roman" w:cs="Times New Roman"/>
          <w:color w:val="0E101A"/>
          <w:sz w:val="24"/>
          <w:szCs w:val="24"/>
        </w:rPr>
        <w:lastRenderedPageBreak/>
        <w:t>analysing</w:t>
      </w:r>
      <w:r>
        <w:rPr>
          <w:rFonts w:ascii="Times New Roman" w:eastAsia="Times New Roman" w:hAnsi="Times New Roman" w:cs="Times New Roman"/>
          <w:color w:val="0E101A"/>
          <w:sz w:val="24"/>
          <w:szCs w:val="24"/>
        </w:rPr>
        <w:t xml:space="preserve"> the company’s dividend distribution policy, efficient market theory, and projects’ appraisal methods. </w:t>
      </w:r>
    </w:p>
    <w:p w14:paraId="0000002B" w14:textId="77777777" w:rsidR="00085CA6" w:rsidRDefault="00085CA6">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p>
    <w:p w14:paraId="0000002C" w14:textId="77777777" w:rsidR="00085CA6" w:rsidRDefault="00FE4DE4">
      <w:pPr>
        <w:pStyle w:val="1"/>
        <w:spacing w:after="0" w:line="480" w:lineRule="auto"/>
        <w:jc w:val="center"/>
        <w:rPr>
          <w:rFonts w:ascii="Times New Roman" w:eastAsia="Times New Roman" w:hAnsi="Times New Roman" w:cs="Times New Roman"/>
          <w:sz w:val="32"/>
          <w:szCs w:val="32"/>
        </w:rPr>
      </w:pPr>
      <w:bookmarkStart w:id="3" w:name="_y2raos5qjru5" w:colFirst="0" w:colLast="0"/>
      <w:bookmarkEnd w:id="3"/>
      <w:r>
        <w:rPr>
          <w:rFonts w:ascii="Times New Roman" w:eastAsia="Times New Roman" w:hAnsi="Times New Roman" w:cs="Times New Roman"/>
          <w:sz w:val="32"/>
          <w:szCs w:val="32"/>
        </w:rPr>
        <w:t>Diageo's Dividend Distribution Policy</w:t>
      </w:r>
    </w:p>
    <w:p w14:paraId="0000002D"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company needs constant funds to sustain its financial stability and market growth and at the same time it nee</w:t>
      </w:r>
      <w:r>
        <w:rPr>
          <w:rFonts w:ascii="Times New Roman" w:eastAsia="Times New Roman" w:hAnsi="Times New Roman" w:cs="Times New Roman"/>
          <w:color w:val="0E101A"/>
          <w:sz w:val="24"/>
          <w:szCs w:val="24"/>
        </w:rPr>
        <w:t>ds to retain its investors. Therefore, though not mandatory, most international companies have a dividend policy that guides how and what proportion of profits are to be paid out to the shareholders as dividends. Factors that influence Diageo’s dividend po</w:t>
      </w:r>
      <w:r>
        <w:rPr>
          <w:rFonts w:ascii="Times New Roman" w:eastAsia="Times New Roman" w:hAnsi="Times New Roman" w:cs="Times New Roman"/>
          <w:color w:val="0E101A"/>
          <w:sz w:val="24"/>
          <w:szCs w:val="24"/>
        </w:rPr>
        <w:t>licy include cash flow, capital requirements, growth opportunities, and financial performance.  </w:t>
      </w:r>
    </w:p>
    <w:p w14:paraId="0000002E"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Diageo’s has constantly paid dividends for the last 20 years. The dividend yield has remained within 2.00% and 2.40% since 2018 (Hargreaves Lansdow, 2023). How</w:t>
      </w:r>
      <w:r>
        <w:rPr>
          <w:rFonts w:ascii="Times New Roman" w:eastAsia="Times New Roman" w:hAnsi="Times New Roman" w:cs="Times New Roman"/>
          <w:color w:val="0E101A"/>
          <w:sz w:val="24"/>
          <w:szCs w:val="24"/>
        </w:rPr>
        <w:t>ever, despite a mean dividend growth rate of 4.14% in the last five years, there was a slump in 2020 when the growth was 1.91% (Hargreaves Lansdow, 2023). This may be attributed to Covid-19 and the related regulations in 2020. </w:t>
      </w:r>
    </w:p>
    <w:p w14:paraId="0000002F"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Shareholders can get their dividends in cash or reinvest them in the company. The company has a Dividend Reinvestment Plan (DRIP), allowing shareholders to reinvest their dividends as ordinary shares (Diageo, 2023). Shareholders get their cash dividends tw</w:t>
      </w:r>
      <w:r>
        <w:rPr>
          <w:rFonts w:ascii="Times New Roman" w:eastAsia="Times New Roman" w:hAnsi="Times New Roman" w:cs="Times New Roman"/>
          <w:color w:val="0E101A"/>
          <w:sz w:val="24"/>
          <w:szCs w:val="24"/>
        </w:rPr>
        <w:t>ice a year on a 40/60 formula; 40% interim payment in April and the final 60% in October (Diageo, 2023). Although the company has consistently paid out dividends, it reinvests a proportion of its profits for its growth and competitive objectives. </w:t>
      </w:r>
    </w:p>
    <w:p w14:paraId="00000030"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summa</w:t>
      </w:r>
      <w:r>
        <w:rPr>
          <w:rFonts w:ascii="Times New Roman" w:eastAsia="Times New Roman" w:hAnsi="Times New Roman" w:cs="Times New Roman"/>
          <w:color w:val="0E101A"/>
          <w:sz w:val="24"/>
          <w:szCs w:val="24"/>
        </w:rPr>
        <w:t xml:space="preserve">ry, Diageo has a strong dividend policy, and for the last 20 years, the shareholders have received their dividends with the option of cash or reinvesting. The policy has cemented the </w:t>
      </w:r>
      <w:r>
        <w:rPr>
          <w:rFonts w:ascii="Times New Roman" w:eastAsia="Times New Roman" w:hAnsi="Times New Roman" w:cs="Times New Roman"/>
          <w:color w:val="0E101A"/>
          <w:sz w:val="24"/>
          <w:szCs w:val="24"/>
        </w:rPr>
        <w:lastRenderedPageBreak/>
        <w:t>shareholder's confidence, and more investors want to be associated with t</w:t>
      </w:r>
      <w:r>
        <w:rPr>
          <w:rFonts w:ascii="Times New Roman" w:eastAsia="Times New Roman" w:hAnsi="Times New Roman" w:cs="Times New Roman"/>
          <w:color w:val="0E101A"/>
          <w:sz w:val="24"/>
          <w:szCs w:val="24"/>
        </w:rPr>
        <w:t>he company. The company’s projection is positive, and thus, it is able to sustain its financial growth by attracting more investors and strategic partners. </w:t>
      </w:r>
    </w:p>
    <w:p w14:paraId="00000031" w14:textId="77777777" w:rsidR="00085CA6" w:rsidRDefault="00085CA6">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p>
    <w:p w14:paraId="00000032" w14:textId="77777777" w:rsidR="00085CA6" w:rsidRDefault="00FE4DE4">
      <w:pPr>
        <w:pStyle w:val="1"/>
        <w:spacing w:after="0" w:line="480" w:lineRule="auto"/>
        <w:jc w:val="center"/>
        <w:rPr>
          <w:rFonts w:ascii="Times New Roman" w:eastAsia="Times New Roman" w:hAnsi="Times New Roman" w:cs="Times New Roman"/>
          <w:sz w:val="32"/>
          <w:szCs w:val="32"/>
        </w:rPr>
      </w:pPr>
      <w:bookmarkStart w:id="4" w:name="_ief1zhvaacy5" w:colFirst="0" w:colLast="0"/>
      <w:bookmarkEnd w:id="4"/>
      <w:r>
        <w:rPr>
          <w:rFonts w:ascii="Times New Roman" w:eastAsia="Times New Roman" w:hAnsi="Times New Roman" w:cs="Times New Roman"/>
          <w:sz w:val="32"/>
          <w:szCs w:val="32"/>
        </w:rPr>
        <w:t>Efficient Market Hypothesis Theory</w:t>
      </w:r>
    </w:p>
    <w:p w14:paraId="00000033"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the efficient market hypothesis theory (EMH), the </w:t>
      </w:r>
      <w:r>
        <w:rPr>
          <w:rFonts w:ascii="Times New Roman" w:eastAsia="Times New Roman" w:hAnsi="Times New Roman" w:cs="Times New Roman"/>
          <w:color w:val="0E101A"/>
          <w:sz w:val="24"/>
          <w:szCs w:val="24"/>
        </w:rPr>
        <w:t>stock price reflects all information an investor needs. In other words, the financial markets are efficient, and there is no way the investors can understand the market or earn above-average returns apart from following the stock price. In the case of Diag</w:t>
      </w:r>
      <w:r>
        <w:rPr>
          <w:rFonts w:ascii="Times New Roman" w:eastAsia="Times New Roman" w:hAnsi="Times New Roman" w:cs="Times New Roman"/>
          <w:color w:val="0E101A"/>
          <w:sz w:val="24"/>
          <w:szCs w:val="24"/>
        </w:rPr>
        <w:t>eo, it means that the company’s stock prices are a reflection of all the information available that is needed to make an investment decision. </w:t>
      </w:r>
    </w:p>
    <w:p w14:paraId="00000034"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To understand if the company’s stock prices reflect all available information, it is vital to look at the consist</w:t>
      </w:r>
      <w:r>
        <w:rPr>
          <w:rFonts w:ascii="Times New Roman" w:eastAsia="Times New Roman" w:hAnsi="Times New Roman" w:cs="Times New Roman"/>
          <w:color w:val="0E101A"/>
          <w:sz w:val="24"/>
          <w:szCs w:val="24"/>
        </w:rPr>
        <w:t>ency of its trading volumes, liquidity, and the speed of incorporating the recent information. Trading volumes indicate investor confidence as more investors buy and sell the company’s stocks. From the historical information, it can be seen that Diageo’s t</w:t>
      </w:r>
      <w:r>
        <w:rPr>
          <w:rFonts w:ascii="Times New Roman" w:eastAsia="Times New Roman" w:hAnsi="Times New Roman" w:cs="Times New Roman"/>
          <w:color w:val="0E101A"/>
          <w:sz w:val="24"/>
          <w:szCs w:val="24"/>
        </w:rPr>
        <w:t>rading volumes are usually significantly high and consistent. For example, the company’s trading volumes have averaged 8 to 10 million monthly for the last five years (Yahoo Finance, 2023). The company’s stock has had an active market, reflected by its rel</w:t>
      </w:r>
      <w:r>
        <w:rPr>
          <w:rFonts w:ascii="Times New Roman" w:eastAsia="Times New Roman" w:hAnsi="Times New Roman" w:cs="Times New Roman"/>
          <w:color w:val="0E101A"/>
          <w:sz w:val="24"/>
          <w:szCs w:val="24"/>
        </w:rPr>
        <w:t>atively high historical stock prices and trading volumes. All this indicates that the company promptly incorporates all relevant new information into the stock price, thus the persistent investor confidence. </w:t>
      </w:r>
    </w:p>
    <w:p w14:paraId="00000035"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Moreover, Diageo’s large market capitalization,</w:t>
      </w:r>
      <w:r>
        <w:rPr>
          <w:rFonts w:ascii="Times New Roman" w:eastAsia="Times New Roman" w:hAnsi="Times New Roman" w:cs="Times New Roman"/>
          <w:color w:val="0E101A"/>
          <w:sz w:val="24"/>
          <w:szCs w:val="24"/>
        </w:rPr>
        <w:t xml:space="preserve"> coupled with consistently huge trade volumes, contributes to the relatively high liquidity of its stock. The </w:t>
      </w:r>
      <w:r>
        <w:rPr>
          <w:rFonts w:ascii="Times New Roman" w:eastAsia="Times New Roman" w:hAnsi="Times New Roman" w:cs="Times New Roman"/>
          <w:color w:val="0E101A"/>
          <w:sz w:val="24"/>
          <w:szCs w:val="24"/>
        </w:rPr>
        <w:t>company has</w:t>
      </w:r>
      <w:r>
        <w:rPr>
          <w:rFonts w:ascii="Times New Roman" w:eastAsia="Times New Roman" w:hAnsi="Times New Roman" w:cs="Times New Roman"/>
          <w:color w:val="0E101A"/>
          <w:sz w:val="24"/>
          <w:szCs w:val="24"/>
        </w:rPr>
        <w:t xml:space="preserve"> a market capitalization of US$101.917bn compared to that of its close competitor Ricard Parcard with a </w:t>
      </w:r>
      <w:r>
        <w:rPr>
          <w:rFonts w:ascii="Times New Roman" w:eastAsia="Times New Roman" w:hAnsi="Times New Roman" w:cs="Times New Roman"/>
          <w:color w:val="0E101A"/>
          <w:sz w:val="24"/>
          <w:szCs w:val="24"/>
        </w:rPr>
        <w:lastRenderedPageBreak/>
        <w:t>market cap of 50.59bn EUR and H</w:t>
      </w:r>
      <w:r>
        <w:rPr>
          <w:rFonts w:ascii="Times New Roman" w:eastAsia="Times New Roman" w:hAnsi="Times New Roman" w:cs="Times New Roman"/>
          <w:color w:val="0E101A"/>
          <w:sz w:val="24"/>
          <w:szCs w:val="24"/>
        </w:rPr>
        <w:t>eineken at 56.39 bn EUR (Yahoo Finance, 2023). Moreover, the company is an industry leader with a strong market presence. This has made its stock attractive and with high liquidity value. To maintain its market standing, the stock price reflects the fundam</w:t>
      </w:r>
      <w:r>
        <w:rPr>
          <w:rFonts w:ascii="Times New Roman" w:eastAsia="Times New Roman" w:hAnsi="Times New Roman" w:cs="Times New Roman"/>
          <w:color w:val="0E101A"/>
          <w:sz w:val="24"/>
          <w:szCs w:val="24"/>
        </w:rPr>
        <w:t>ental data on the firm’s product line, balance sheet composition, quality of management, accounting practices, and earnings forecast. For example, Diageo has always publicly shared its information about changes, new products, markets, management, and accou</w:t>
      </w:r>
      <w:r>
        <w:rPr>
          <w:rFonts w:ascii="Times New Roman" w:eastAsia="Times New Roman" w:hAnsi="Times New Roman" w:cs="Times New Roman"/>
          <w:color w:val="0E101A"/>
          <w:sz w:val="24"/>
          <w:szCs w:val="24"/>
        </w:rPr>
        <w:t>nting. </w:t>
      </w:r>
    </w:p>
    <w:p w14:paraId="00000036"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However, although the market appears to be efficient concerning Diageo’s stock price, some factors can make the market inefficient. Insider information may be unavailable, with </w:t>
      </w:r>
      <w:r>
        <w:rPr>
          <w:rFonts w:ascii="Times New Roman" w:eastAsia="Times New Roman" w:hAnsi="Times New Roman" w:cs="Times New Roman"/>
          <w:color w:val="0E101A"/>
          <w:sz w:val="24"/>
          <w:szCs w:val="24"/>
        </w:rPr>
        <w:t>behavioural</w:t>
      </w:r>
      <w:r>
        <w:rPr>
          <w:rFonts w:ascii="Times New Roman" w:eastAsia="Times New Roman" w:hAnsi="Times New Roman" w:cs="Times New Roman"/>
          <w:color w:val="0E101A"/>
          <w:sz w:val="24"/>
          <w:szCs w:val="24"/>
        </w:rPr>
        <w:t xml:space="preserve"> biases and anomalies in the market (Downey, 2023). The stro</w:t>
      </w:r>
      <w:r>
        <w:rPr>
          <w:rFonts w:ascii="Times New Roman" w:eastAsia="Times New Roman" w:hAnsi="Times New Roman" w:cs="Times New Roman"/>
          <w:color w:val="0E101A"/>
          <w:sz w:val="24"/>
          <w:szCs w:val="24"/>
        </w:rPr>
        <w:t xml:space="preserve">ng form of EMH theory states that the stock prices reflect all the information, including insider information. However, this may not be the case as some investors may have access to insider information leading to an inefficient market. Moreover, there are </w:t>
      </w:r>
      <w:r>
        <w:rPr>
          <w:rFonts w:ascii="Times New Roman" w:eastAsia="Times New Roman" w:hAnsi="Times New Roman" w:cs="Times New Roman"/>
          <w:color w:val="0E101A"/>
          <w:sz w:val="24"/>
          <w:szCs w:val="24"/>
        </w:rPr>
        <w:t>situations where there is herd behaviour among investors or overreacting to news related to the company, market, or industries. This leads to deviations in the stock prices, which may not be a true reflection of all available information. In addition, valu</w:t>
      </w:r>
      <w:r>
        <w:rPr>
          <w:rFonts w:ascii="Times New Roman" w:eastAsia="Times New Roman" w:hAnsi="Times New Roman" w:cs="Times New Roman"/>
          <w:color w:val="0E101A"/>
          <w:sz w:val="24"/>
          <w:szCs w:val="24"/>
        </w:rPr>
        <w:t>e and momentum effects can cause market anomalies, thus contravening an efficient market notion. </w:t>
      </w:r>
    </w:p>
    <w:p w14:paraId="00000037"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other words, Diageo is one of the companies that fit in the efficient market since its stock has been traded actively and at good rates, the trading volume</w:t>
      </w:r>
      <w:r>
        <w:rPr>
          <w:rFonts w:ascii="Times New Roman" w:eastAsia="Times New Roman" w:hAnsi="Times New Roman" w:cs="Times New Roman"/>
          <w:color w:val="0E101A"/>
          <w:sz w:val="24"/>
          <w:szCs w:val="24"/>
        </w:rPr>
        <w:t xml:space="preserve"> has been consistent, and it has strong liquidity. However, investors need to understand that there can be market anomalies, </w:t>
      </w:r>
      <w:r>
        <w:rPr>
          <w:rFonts w:ascii="Times New Roman" w:eastAsia="Times New Roman" w:hAnsi="Times New Roman" w:cs="Times New Roman"/>
          <w:color w:val="0E101A"/>
          <w:sz w:val="24"/>
          <w:szCs w:val="24"/>
        </w:rPr>
        <w:t>behavioural</w:t>
      </w:r>
      <w:r>
        <w:rPr>
          <w:rFonts w:ascii="Times New Roman" w:eastAsia="Times New Roman" w:hAnsi="Times New Roman" w:cs="Times New Roman"/>
          <w:color w:val="0E101A"/>
          <w:sz w:val="24"/>
          <w:szCs w:val="24"/>
        </w:rPr>
        <w:t xml:space="preserve"> biases, and information unevenness that can make the market inefficient. </w:t>
      </w:r>
    </w:p>
    <w:p w14:paraId="00000038" w14:textId="77777777" w:rsidR="00085CA6" w:rsidRDefault="00085CA6">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p>
    <w:p w14:paraId="00000039" w14:textId="77777777" w:rsidR="00085CA6" w:rsidRDefault="00FE4DE4">
      <w:pPr>
        <w:pStyle w:val="1"/>
        <w:spacing w:after="0" w:line="480" w:lineRule="auto"/>
        <w:jc w:val="center"/>
        <w:rPr>
          <w:rFonts w:ascii="Times New Roman" w:eastAsia="Times New Roman" w:hAnsi="Times New Roman" w:cs="Times New Roman"/>
          <w:sz w:val="32"/>
          <w:szCs w:val="32"/>
        </w:rPr>
      </w:pPr>
      <w:bookmarkStart w:id="5" w:name="_ollxabv7wwdd" w:colFirst="0" w:colLast="0"/>
      <w:bookmarkEnd w:id="5"/>
      <w:r>
        <w:rPr>
          <w:rFonts w:ascii="Times New Roman" w:eastAsia="Times New Roman" w:hAnsi="Times New Roman" w:cs="Times New Roman"/>
          <w:sz w:val="32"/>
          <w:szCs w:val="32"/>
        </w:rPr>
        <w:lastRenderedPageBreak/>
        <w:t>Diageo's Methods of Appraising Projects</w:t>
      </w:r>
    </w:p>
    <w:p w14:paraId="0000003A"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As a multinational company, Diageo is constantly involved in new projects in different markets. However, the projects must be diligently appraised to make profitable investment decisions. The methods that Diageo </w:t>
      </w:r>
      <w:r>
        <w:rPr>
          <w:rFonts w:ascii="Times New Roman" w:eastAsia="Times New Roman" w:hAnsi="Times New Roman" w:cs="Times New Roman"/>
          <w:color w:val="0E101A"/>
          <w:sz w:val="24"/>
          <w:szCs w:val="24"/>
        </w:rPr>
        <w:t>utilises</w:t>
      </w:r>
      <w:r>
        <w:rPr>
          <w:rFonts w:ascii="Times New Roman" w:eastAsia="Times New Roman" w:hAnsi="Times New Roman" w:cs="Times New Roman"/>
          <w:color w:val="0E101A"/>
          <w:sz w:val="24"/>
          <w:szCs w:val="24"/>
        </w:rPr>
        <w:t xml:space="preserve"> include risk assessment and capital</w:t>
      </w:r>
      <w:r>
        <w:rPr>
          <w:rFonts w:ascii="Times New Roman" w:eastAsia="Times New Roman" w:hAnsi="Times New Roman" w:cs="Times New Roman"/>
          <w:color w:val="0E101A"/>
          <w:sz w:val="24"/>
          <w:szCs w:val="24"/>
        </w:rPr>
        <w:t xml:space="preserve"> budgeting. Particularly for international projects, the company conducts country risk analysis. This includes political stability, corruption index, economic stability, host government attitude, and the attitude of the consumers in the host country. For e</w:t>
      </w:r>
      <w:r>
        <w:rPr>
          <w:rFonts w:ascii="Times New Roman" w:eastAsia="Times New Roman" w:hAnsi="Times New Roman" w:cs="Times New Roman"/>
          <w:color w:val="0E101A"/>
          <w:sz w:val="24"/>
          <w:szCs w:val="24"/>
        </w:rPr>
        <w:t xml:space="preserve">xample, Diageo has identified that a </w:t>
      </w:r>
      <w:r>
        <w:rPr>
          <w:rFonts w:ascii="Times New Roman" w:eastAsia="Times New Roman" w:hAnsi="Times New Roman" w:cs="Times New Roman"/>
          <w:color w:val="0E101A"/>
          <w:sz w:val="24"/>
          <w:szCs w:val="24"/>
        </w:rPr>
        <w:t>sizable</w:t>
      </w:r>
      <w:r>
        <w:rPr>
          <w:rFonts w:ascii="Times New Roman" w:eastAsia="Times New Roman" w:hAnsi="Times New Roman" w:cs="Times New Roman"/>
          <w:color w:val="0E101A"/>
          <w:sz w:val="24"/>
          <w:szCs w:val="24"/>
        </w:rPr>
        <w:t xml:space="preserve"> proportion of consumers prefer alcoholic beverages that have their national identity. That is why in China, the company invested in Chinese beverage alcohol by partnering with a local distiller, Yanghe (Diageo, </w:t>
      </w:r>
      <w:r>
        <w:rPr>
          <w:rFonts w:ascii="Times New Roman" w:eastAsia="Times New Roman" w:hAnsi="Times New Roman" w:cs="Times New Roman"/>
          <w:color w:val="0E101A"/>
          <w:sz w:val="24"/>
          <w:szCs w:val="24"/>
        </w:rPr>
        <w:t>2019).</w:t>
      </w:r>
    </w:p>
    <w:p w14:paraId="0000003B"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Moreover, the alcoholic beverages industry is competitive and dynamic. Therefore, Diageo constantly assesses competitor actions, demand fluctuations, and changes in consumer preferences. The company, through market analysis, noted that consumers in </w:t>
      </w:r>
      <w:r>
        <w:rPr>
          <w:rFonts w:ascii="Times New Roman" w:eastAsia="Times New Roman" w:hAnsi="Times New Roman" w:cs="Times New Roman"/>
          <w:color w:val="0E101A"/>
          <w:sz w:val="24"/>
          <w:szCs w:val="24"/>
        </w:rPr>
        <w:t>the Kenyan market wanted a cheaper but quality beer; thus, the company introduced Senator keg, which is doing well in that market (Pilling, 2019). At the same time, the company has noted the rising demand for premium drinks, and thus, it is focusing on pre</w:t>
      </w:r>
      <w:r>
        <w:rPr>
          <w:rFonts w:ascii="Times New Roman" w:eastAsia="Times New Roman" w:hAnsi="Times New Roman" w:cs="Times New Roman"/>
          <w:color w:val="0E101A"/>
          <w:sz w:val="24"/>
          <w:szCs w:val="24"/>
        </w:rPr>
        <w:t>miumization projects (</w:t>
      </w:r>
      <w:r>
        <w:rPr>
          <w:rFonts w:ascii="Times New Roman" w:eastAsia="Times New Roman" w:hAnsi="Times New Roman" w:cs="Times New Roman"/>
          <w:color w:val="0E101A"/>
          <w:sz w:val="24"/>
          <w:szCs w:val="24"/>
        </w:rPr>
        <w:t>J</w:t>
      </w:r>
      <w:r>
        <w:rPr>
          <w:rFonts w:ascii="Times New Roman" w:eastAsia="Times New Roman" w:hAnsi="Times New Roman" w:cs="Times New Roman"/>
          <w:color w:val="0E101A"/>
          <w:sz w:val="24"/>
          <w:szCs w:val="24"/>
        </w:rPr>
        <w:t>enseninvestment, 2023). At the same time, the company looks not only at international competitors but domestic ones in different countries. Domestic companies are increasing in many countries and are likely to enjoy subsidies and tax</w:t>
      </w:r>
      <w:r>
        <w:rPr>
          <w:rFonts w:ascii="Times New Roman" w:eastAsia="Times New Roman" w:hAnsi="Times New Roman" w:cs="Times New Roman"/>
          <w:color w:val="0E101A"/>
          <w:sz w:val="24"/>
          <w:szCs w:val="24"/>
        </w:rPr>
        <w:t xml:space="preserve"> breaks. </w:t>
      </w:r>
    </w:p>
    <w:p w14:paraId="0000003C"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As mentioned earlier, the company faces different regulations in different countries. Therefore, it conducts regulatory risk in different markets for its investment projects. The regulations that affect Diageo include alcohol regulations, taxatio</w:t>
      </w:r>
      <w:r>
        <w:rPr>
          <w:rFonts w:ascii="Times New Roman" w:eastAsia="Times New Roman" w:hAnsi="Times New Roman" w:cs="Times New Roman"/>
          <w:color w:val="0E101A"/>
          <w:sz w:val="24"/>
          <w:szCs w:val="24"/>
        </w:rPr>
        <w:t xml:space="preserve">n, and advertising. For example, the company has minimal projects in the Middle East because of the strict alcohol regulations. In </w:t>
      </w:r>
      <w:r>
        <w:rPr>
          <w:rFonts w:ascii="Times New Roman" w:eastAsia="Times New Roman" w:hAnsi="Times New Roman" w:cs="Times New Roman"/>
          <w:color w:val="0E101A"/>
          <w:sz w:val="24"/>
          <w:szCs w:val="24"/>
        </w:rPr>
        <w:lastRenderedPageBreak/>
        <w:t xml:space="preserve">addition, in some countries, alcohol faces extremely </w:t>
      </w:r>
      <w:r>
        <w:rPr>
          <w:rFonts w:ascii="Times New Roman" w:eastAsia="Times New Roman" w:hAnsi="Times New Roman" w:cs="Times New Roman"/>
          <w:color w:val="0E101A"/>
          <w:sz w:val="24"/>
          <w:szCs w:val="24"/>
        </w:rPr>
        <w:t>higher</w:t>
      </w:r>
      <w:r>
        <w:rPr>
          <w:rFonts w:ascii="Times New Roman" w:eastAsia="Times New Roman" w:hAnsi="Times New Roman" w:cs="Times New Roman"/>
          <w:color w:val="0E101A"/>
          <w:sz w:val="24"/>
          <w:szCs w:val="24"/>
        </w:rPr>
        <w:t xml:space="preserve"> taxation than other commodities, and advertising is highly restri</w:t>
      </w:r>
      <w:r>
        <w:rPr>
          <w:rFonts w:ascii="Times New Roman" w:eastAsia="Times New Roman" w:hAnsi="Times New Roman" w:cs="Times New Roman"/>
          <w:color w:val="0E101A"/>
          <w:sz w:val="24"/>
          <w:szCs w:val="24"/>
        </w:rPr>
        <w:t>cted. </w:t>
      </w:r>
    </w:p>
    <w:p w14:paraId="0000003D" w14:textId="77777777" w:rsidR="00085CA6" w:rsidRDefault="00085CA6">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p>
    <w:p w14:paraId="0000003E" w14:textId="77777777" w:rsidR="00085CA6" w:rsidRDefault="00FE4DE4">
      <w:pPr>
        <w:pStyle w:val="1"/>
        <w:spacing w:after="0" w:line="480" w:lineRule="auto"/>
        <w:jc w:val="center"/>
        <w:rPr>
          <w:rFonts w:ascii="Times New Roman" w:eastAsia="Times New Roman" w:hAnsi="Times New Roman" w:cs="Times New Roman"/>
          <w:sz w:val="32"/>
          <w:szCs w:val="32"/>
        </w:rPr>
      </w:pPr>
      <w:bookmarkStart w:id="6" w:name="_mbi72nj3pupc" w:colFirst="0" w:colLast="0"/>
      <w:bookmarkEnd w:id="6"/>
      <w:r>
        <w:rPr>
          <w:rFonts w:ascii="Times New Roman" w:eastAsia="Times New Roman" w:hAnsi="Times New Roman" w:cs="Times New Roman"/>
          <w:sz w:val="32"/>
          <w:szCs w:val="32"/>
        </w:rPr>
        <w:t>Conclusion</w:t>
      </w:r>
    </w:p>
    <w:p w14:paraId="0000003F" w14:textId="77777777" w:rsidR="00085CA6" w:rsidRDefault="00FE4DE4">
      <w:pPr>
        <w:pBdr>
          <w:top w:val="nil"/>
          <w:left w:val="nil"/>
          <w:bottom w:val="nil"/>
          <w:right w:val="nil"/>
          <w:between w:val="nil"/>
        </w:pBdr>
        <w:spacing w:after="0" w:line="480" w:lineRule="auto"/>
        <w:ind w:firstLine="72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Multinational companies like Diageo face multiple challenges due to their presence in many jurisdictions. However, by satisfying their shareholder’s objectives, promptly sharing relevant information, and prudently analysing investment pr</w:t>
      </w:r>
      <w:r>
        <w:rPr>
          <w:rFonts w:ascii="Times New Roman" w:eastAsia="Times New Roman" w:hAnsi="Times New Roman" w:cs="Times New Roman"/>
          <w:color w:val="0E101A"/>
          <w:sz w:val="24"/>
          <w:szCs w:val="24"/>
        </w:rPr>
        <w:t>ojects in various markets, the company can overcome the challenges amid stiff competition and unpredictable regulations. Moreover, Diageo has a strong dividend policy, fits within the efficient market hypothesis, and its projects are appropriately analysed</w:t>
      </w:r>
      <w:r>
        <w:rPr>
          <w:rFonts w:ascii="Times New Roman" w:eastAsia="Times New Roman" w:hAnsi="Times New Roman" w:cs="Times New Roman"/>
          <w:color w:val="0E101A"/>
          <w:sz w:val="24"/>
          <w:szCs w:val="24"/>
        </w:rPr>
        <w:t>. Nevertheless, as the company deals with different market regulations, investors must be cautious of market anomalies, behavioural biases, and probable insider information before making investment decisions. </w:t>
      </w:r>
    </w:p>
    <w:p w14:paraId="00000040" w14:textId="77777777" w:rsidR="00085CA6" w:rsidRDefault="00085CA6">
      <w:pPr>
        <w:spacing w:line="480" w:lineRule="auto"/>
        <w:jc w:val="both"/>
        <w:rPr>
          <w:rFonts w:ascii="Times New Roman" w:eastAsia="Times New Roman" w:hAnsi="Times New Roman" w:cs="Times New Roman"/>
          <w:sz w:val="24"/>
          <w:szCs w:val="24"/>
        </w:rPr>
      </w:pPr>
    </w:p>
    <w:p w14:paraId="00000041" w14:textId="77777777" w:rsidR="00085CA6" w:rsidRDefault="00085CA6">
      <w:pPr>
        <w:spacing w:line="480" w:lineRule="auto"/>
        <w:jc w:val="both"/>
        <w:rPr>
          <w:rFonts w:ascii="Times New Roman" w:eastAsia="Times New Roman" w:hAnsi="Times New Roman" w:cs="Times New Roman"/>
          <w:sz w:val="24"/>
          <w:szCs w:val="24"/>
        </w:rPr>
      </w:pPr>
    </w:p>
    <w:p w14:paraId="00000042" w14:textId="77777777" w:rsidR="00085CA6" w:rsidRDefault="00085CA6">
      <w:pPr>
        <w:spacing w:line="480" w:lineRule="auto"/>
        <w:jc w:val="both"/>
        <w:rPr>
          <w:rFonts w:ascii="Times New Roman" w:eastAsia="Times New Roman" w:hAnsi="Times New Roman" w:cs="Times New Roman"/>
          <w:sz w:val="24"/>
          <w:szCs w:val="24"/>
        </w:rPr>
      </w:pPr>
    </w:p>
    <w:p w14:paraId="00000043" w14:textId="77777777" w:rsidR="00085CA6" w:rsidRDefault="00085CA6">
      <w:pPr>
        <w:spacing w:line="480" w:lineRule="auto"/>
        <w:jc w:val="both"/>
        <w:rPr>
          <w:rFonts w:ascii="Times New Roman" w:eastAsia="Times New Roman" w:hAnsi="Times New Roman" w:cs="Times New Roman"/>
          <w:sz w:val="24"/>
          <w:szCs w:val="24"/>
        </w:rPr>
      </w:pPr>
    </w:p>
    <w:p w14:paraId="00000044" w14:textId="77777777" w:rsidR="00085CA6" w:rsidRDefault="00085CA6">
      <w:pPr>
        <w:spacing w:line="480" w:lineRule="auto"/>
        <w:jc w:val="both"/>
        <w:rPr>
          <w:rFonts w:ascii="Times New Roman" w:eastAsia="Times New Roman" w:hAnsi="Times New Roman" w:cs="Times New Roman"/>
          <w:sz w:val="24"/>
          <w:szCs w:val="24"/>
        </w:rPr>
      </w:pPr>
    </w:p>
    <w:p w14:paraId="00000045" w14:textId="77777777" w:rsidR="00085CA6" w:rsidRDefault="00085CA6">
      <w:pPr>
        <w:spacing w:line="480" w:lineRule="auto"/>
        <w:jc w:val="both"/>
        <w:rPr>
          <w:rFonts w:ascii="Times New Roman" w:eastAsia="Times New Roman" w:hAnsi="Times New Roman" w:cs="Times New Roman"/>
          <w:sz w:val="24"/>
          <w:szCs w:val="24"/>
        </w:rPr>
      </w:pPr>
    </w:p>
    <w:p w14:paraId="00000046" w14:textId="77777777" w:rsidR="00085CA6" w:rsidRDefault="00085CA6">
      <w:pPr>
        <w:spacing w:line="480" w:lineRule="auto"/>
        <w:jc w:val="both"/>
        <w:rPr>
          <w:rFonts w:ascii="Times New Roman" w:eastAsia="Times New Roman" w:hAnsi="Times New Roman" w:cs="Times New Roman"/>
          <w:sz w:val="24"/>
          <w:szCs w:val="24"/>
        </w:rPr>
      </w:pPr>
    </w:p>
    <w:p w14:paraId="00000047" w14:textId="77777777" w:rsidR="00085CA6" w:rsidRDefault="00085CA6">
      <w:pPr>
        <w:spacing w:line="480" w:lineRule="auto"/>
        <w:jc w:val="both"/>
        <w:rPr>
          <w:rFonts w:ascii="Times New Roman" w:eastAsia="Times New Roman" w:hAnsi="Times New Roman" w:cs="Times New Roman"/>
          <w:sz w:val="24"/>
          <w:szCs w:val="24"/>
        </w:rPr>
      </w:pPr>
    </w:p>
    <w:p w14:paraId="00000048" w14:textId="77777777" w:rsidR="00085CA6" w:rsidRDefault="00085CA6">
      <w:pPr>
        <w:spacing w:line="480" w:lineRule="auto"/>
        <w:jc w:val="both"/>
        <w:rPr>
          <w:rFonts w:ascii="Times New Roman" w:eastAsia="Times New Roman" w:hAnsi="Times New Roman" w:cs="Times New Roman"/>
          <w:sz w:val="24"/>
          <w:szCs w:val="24"/>
        </w:rPr>
      </w:pPr>
    </w:p>
    <w:p w14:paraId="00000049" w14:textId="77777777" w:rsidR="00085CA6" w:rsidRDefault="00085CA6">
      <w:pPr>
        <w:spacing w:line="480" w:lineRule="auto"/>
        <w:jc w:val="both"/>
        <w:rPr>
          <w:rFonts w:ascii="Times New Roman" w:eastAsia="Times New Roman" w:hAnsi="Times New Roman" w:cs="Times New Roman"/>
          <w:sz w:val="24"/>
          <w:szCs w:val="24"/>
        </w:rPr>
      </w:pPr>
    </w:p>
    <w:p w14:paraId="0000004A" w14:textId="77777777" w:rsidR="00085CA6" w:rsidRDefault="00FE4DE4">
      <w:pPr>
        <w:pStyle w:val="1"/>
        <w:spacing w:line="480" w:lineRule="auto"/>
        <w:jc w:val="center"/>
        <w:rPr>
          <w:rFonts w:ascii="Times New Roman" w:eastAsia="Times New Roman" w:hAnsi="Times New Roman" w:cs="Times New Roman"/>
          <w:sz w:val="32"/>
          <w:szCs w:val="32"/>
        </w:rPr>
      </w:pPr>
      <w:bookmarkStart w:id="7" w:name="_9bsv1rqy6gv7" w:colFirst="0" w:colLast="0"/>
      <w:bookmarkEnd w:id="7"/>
      <w:r>
        <w:rPr>
          <w:rFonts w:ascii="Times New Roman" w:eastAsia="Times New Roman" w:hAnsi="Times New Roman" w:cs="Times New Roman"/>
          <w:sz w:val="32"/>
          <w:szCs w:val="32"/>
        </w:rPr>
        <w:t>References</w:t>
      </w:r>
    </w:p>
    <w:p w14:paraId="0000004B" w14:textId="77777777" w:rsidR="00085CA6" w:rsidRDefault="00FE4DE4">
      <w:pPr>
        <w:pBdr>
          <w:top w:val="nil"/>
          <w:left w:val="nil"/>
          <w:bottom w:val="nil"/>
          <w:right w:val="nil"/>
          <w:between w:val="nil"/>
        </w:pBdr>
        <w:spacing w:before="280" w:after="280" w:line="48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Diageo. (2019). </w:t>
      </w:r>
      <w:r>
        <w:rPr>
          <w:rFonts w:ascii="Times New Roman" w:eastAsia="Times New Roman" w:hAnsi="Times New Roman" w:cs="Times New Roman"/>
          <w:i/>
          <w:color w:val="000000"/>
          <w:sz w:val="24"/>
          <w:szCs w:val="24"/>
        </w:rPr>
        <w:t>Diageo and Jiangsu Yanghe distillery form joint venture; Launch New-to-world whisky in Chinab</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(Online) </w:t>
      </w:r>
      <w:r>
        <w:rPr>
          <w:rFonts w:ascii="Times New Roman" w:eastAsia="Times New Roman" w:hAnsi="Times New Roman" w:cs="Times New Roman"/>
          <w:color w:val="000000"/>
          <w:sz w:val="24"/>
          <w:szCs w:val="24"/>
        </w:rPr>
        <w:t xml:space="preserve">www.diageo.com. </w:t>
      </w:r>
      <w:hyperlink r:id="rId6">
        <w:r>
          <w:rPr>
            <w:rFonts w:ascii="Times New Roman" w:eastAsia="Times New Roman" w:hAnsi="Times New Roman" w:cs="Times New Roman"/>
            <w:color w:val="0000FF"/>
            <w:sz w:val="24"/>
            <w:szCs w:val="24"/>
            <w:u w:val="single"/>
          </w:rPr>
          <w:t>https://www.diageo.com/en/news-and-media/press-releases/2019/diageo-and-jiangsu-yanghe</w:t>
        </w:r>
        <w:r>
          <w:rPr>
            <w:rFonts w:ascii="Times New Roman" w:eastAsia="Times New Roman" w:hAnsi="Times New Roman" w:cs="Times New Roman"/>
            <w:color w:val="0000FF"/>
            <w:sz w:val="24"/>
            <w:szCs w:val="24"/>
            <w:u w:val="single"/>
          </w:rPr>
          <w:t>-distillery-form-joint-venture-launch-new-to-world-whisky-in-china</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(Accessed: 23 July 2023)</w:t>
      </w:r>
    </w:p>
    <w:p w14:paraId="0000004C" w14:textId="77777777" w:rsidR="00085CA6" w:rsidRDefault="00FE4DE4">
      <w:pPr>
        <w:pBdr>
          <w:top w:val="nil"/>
          <w:left w:val="nil"/>
          <w:bottom w:val="nil"/>
          <w:right w:val="nil"/>
          <w:between w:val="nil"/>
        </w:pBdr>
        <w:spacing w:before="280" w:after="280" w:line="48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Diageo (2022)</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Diageo Annual Report 2022 </w:t>
      </w:r>
      <w:r>
        <w:rPr>
          <w:rFonts w:ascii="Times New Roman" w:eastAsia="Times New Roman" w:hAnsi="Times New Roman" w:cs="Times New Roman"/>
          <w:sz w:val="24"/>
          <w:szCs w:val="24"/>
        </w:rPr>
        <w:t xml:space="preserve">(Online) </w:t>
      </w:r>
      <w:r>
        <w:rPr>
          <w:rFonts w:ascii="Times New Roman" w:eastAsia="Times New Roman" w:hAnsi="Times New Roman" w:cs="Times New Roman"/>
          <w:color w:val="000000"/>
          <w:sz w:val="24"/>
          <w:szCs w:val="24"/>
        </w:rPr>
        <w:t xml:space="preserve">Available at: </w:t>
      </w:r>
      <w:hyperlink r:id="rId7">
        <w:r>
          <w:rPr>
            <w:rFonts w:ascii="Times New Roman" w:eastAsia="Times New Roman" w:hAnsi="Times New Roman" w:cs="Times New Roman"/>
            <w:color w:val="0000FF"/>
            <w:sz w:val="24"/>
            <w:szCs w:val="24"/>
            <w:u w:val="single"/>
          </w:rPr>
          <w:t>https://www.diageo.com/en/inves</w:t>
        </w:r>
        <w:r>
          <w:rPr>
            <w:rFonts w:ascii="Times New Roman" w:eastAsia="Times New Roman" w:hAnsi="Times New Roman" w:cs="Times New Roman"/>
            <w:color w:val="0000FF"/>
            <w:sz w:val="24"/>
            <w:szCs w:val="24"/>
            <w:u w:val="single"/>
          </w:rPr>
          <w:t>tors/annual-report</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(Accessed: 22 July 2023)</w:t>
      </w:r>
    </w:p>
    <w:p w14:paraId="0000004D" w14:textId="77777777" w:rsidR="00085CA6" w:rsidRDefault="00FE4DE4">
      <w:pPr>
        <w:pBdr>
          <w:top w:val="nil"/>
          <w:left w:val="nil"/>
          <w:bottom w:val="nil"/>
          <w:right w:val="nil"/>
          <w:between w:val="nil"/>
        </w:pBdr>
        <w:spacing w:before="280" w:after="280" w:line="48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Diageo. (2023) Ordinary dividends </w:t>
      </w:r>
      <w:r>
        <w:rPr>
          <w:rFonts w:ascii="Times New Roman" w:eastAsia="Times New Roman" w:hAnsi="Times New Roman" w:cs="Times New Roman"/>
          <w:sz w:val="24"/>
          <w:szCs w:val="24"/>
        </w:rPr>
        <w:t xml:space="preserve">(Online) </w:t>
      </w:r>
      <w:r>
        <w:rPr>
          <w:rFonts w:ascii="Times New Roman" w:eastAsia="Times New Roman" w:hAnsi="Times New Roman" w:cs="Times New Roman"/>
          <w:color w:val="000000"/>
          <w:sz w:val="24"/>
          <w:szCs w:val="24"/>
        </w:rPr>
        <w:t xml:space="preserve">Available at: </w:t>
      </w:r>
      <w:hyperlink r:id="rId8">
        <w:r>
          <w:rPr>
            <w:rFonts w:ascii="Times New Roman" w:eastAsia="Times New Roman" w:hAnsi="Times New Roman" w:cs="Times New Roman"/>
            <w:color w:val="0000FF"/>
            <w:sz w:val="24"/>
            <w:szCs w:val="24"/>
            <w:u w:val="single"/>
          </w:rPr>
          <w:t>https://www.diageo.com/en/investors/shareholde</w:t>
        </w:r>
        <w:r>
          <w:rPr>
            <w:rFonts w:ascii="Times New Roman" w:eastAsia="Times New Roman" w:hAnsi="Times New Roman" w:cs="Times New Roman"/>
            <w:color w:val="0000FF"/>
            <w:sz w:val="24"/>
            <w:szCs w:val="24"/>
            <w:u w:val="single"/>
          </w:rPr>
          <w:t>r-centre/ordinary-shares/ordinary-dividends</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(Accessed: 23 July 2023)</w:t>
      </w:r>
    </w:p>
    <w:p w14:paraId="0000004E" w14:textId="77777777" w:rsidR="00085CA6" w:rsidRDefault="00FE4DE4">
      <w:pPr>
        <w:spacing w:before="280" w:after="280" w:line="48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Downey, L. (2023) </w:t>
      </w:r>
      <w:r>
        <w:rPr>
          <w:rFonts w:ascii="Times New Roman" w:eastAsia="Times New Roman" w:hAnsi="Times New Roman" w:cs="Times New Roman"/>
          <w:i/>
          <w:sz w:val="24"/>
          <w:szCs w:val="24"/>
        </w:rPr>
        <w:t>Efficient market hypothesis (EMH): Definition and critique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Investopedia</w:t>
      </w:r>
      <w:r>
        <w:rPr>
          <w:rFonts w:ascii="Times New Roman" w:eastAsia="Times New Roman" w:hAnsi="Times New Roman" w:cs="Times New Roman"/>
          <w:sz w:val="24"/>
          <w:szCs w:val="24"/>
        </w:rPr>
        <w:t xml:space="preserve">. (Online) Available at: https://www.investopedia.com/terms/e/efficientmarkethypothesis.asp (Accessed: 24 July 2023). </w:t>
      </w:r>
    </w:p>
    <w:p w14:paraId="0000004F" w14:textId="77777777" w:rsidR="00085CA6" w:rsidRDefault="00FE4DE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Hargreaves Lansdow. (2023)</w:t>
      </w:r>
      <w:r>
        <w:rPr>
          <w:rFonts w:ascii="Times New Roman" w:eastAsia="Times New Roman" w:hAnsi="Times New Roman" w:cs="Times New Roman"/>
        </w:rPr>
        <w:t xml:space="preserve"> </w:t>
      </w:r>
      <w:r>
        <w:rPr>
          <w:rFonts w:ascii="Times New Roman" w:eastAsia="Times New Roman" w:hAnsi="Times New Roman" w:cs="Times New Roman"/>
          <w:sz w:val="24"/>
          <w:szCs w:val="24"/>
        </w:rPr>
        <w:t>DIAGEO PLC (DGE) (Online) Available at:</w:t>
      </w:r>
    </w:p>
    <w:p w14:paraId="00000050" w14:textId="77777777" w:rsidR="00085CA6" w:rsidRDefault="00FE4DE4">
      <w:pPr>
        <w:spacing w:line="480" w:lineRule="auto"/>
        <w:rPr>
          <w:rFonts w:ascii="Times New Roman" w:eastAsia="Times New Roman" w:hAnsi="Times New Roman" w:cs="Times New Roman"/>
          <w:sz w:val="24"/>
          <w:szCs w:val="24"/>
        </w:rPr>
      </w:pPr>
      <w:hyperlink r:id="rId9">
        <w:r>
          <w:rPr>
            <w:rFonts w:ascii="Times New Roman" w:eastAsia="Times New Roman" w:hAnsi="Times New Roman" w:cs="Times New Roman"/>
            <w:color w:val="0000FF"/>
            <w:sz w:val="24"/>
            <w:szCs w:val="24"/>
            <w:u w:val="single"/>
          </w:rPr>
          <w:t>https://www.hl.co.uk/shares/shares-search-results/d/diageo-plc-ordinary-28-101108p/dividends</w:t>
        </w:r>
      </w:hyperlink>
      <w:r>
        <w:rPr>
          <w:rFonts w:ascii="Times New Roman" w:eastAsia="Times New Roman" w:hAnsi="Times New Roman" w:cs="Times New Roman"/>
          <w:sz w:val="24"/>
          <w:szCs w:val="24"/>
        </w:rPr>
        <w:t xml:space="preserve"> (Accessed: 23 July 2023)</w:t>
      </w:r>
    </w:p>
    <w:p w14:paraId="00000051" w14:textId="77777777" w:rsidR="00085CA6" w:rsidRDefault="00FE4DE4">
      <w:pPr>
        <w:spacing w:before="280" w:after="280" w:line="48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Jenseninvestment (2023) </w:t>
      </w:r>
      <w:r>
        <w:rPr>
          <w:rFonts w:ascii="Times New Roman" w:eastAsia="Times New Roman" w:hAnsi="Times New Roman" w:cs="Times New Roman"/>
          <w:i/>
          <w:sz w:val="24"/>
          <w:szCs w:val="24"/>
        </w:rPr>
        <w:t>How Diageo is serving up higher profits with a focus on Premium Spirits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Global</w:t>
      </w:r>
      <w:r>
        <w:rPr>
          <w:rFonts w:ascii="Times New Roman" w:eastAsia="Times New Roman" w:hAnsi="Times New Roman" w:cs="Times New Roman"/>
          <w:sz w:val="24"/>
          <w:szCs w:val="24"/>
        </w:rPr>
        <w:t xml:space="preserve">. (Online) Available at: </w:t>
      </w:r>
      <w:hyperlink r:id="rId10">
        <w:r>
          <w:rPr>
            <w:rFonts w:ascii="Times New Roman" w:eastAsia="Times New Roman" w:hAnsi="Times New Roman" w:cs="Times New Roman"/>
            <w:color w:val="0000FF"/>
            <w:sz w:val="24"/>
            <w:szCs w:val="24"/>
            <w:u w:val="single"/>
          </w:rPr>
          <w:t>https://www.jenseninvestment.com/insights/diageo-deo/</w:t>
        </w:r>
      </w:hyperlink>
      <w:r>
        <w:rPr>
          <w:rFonts w:ascii="Times New Roman" w:eastAsia="Times New Roman" w:hAnsi="Times New Roman" w:cs="Times New Roman"/>
          <w:sz w:val="24"/>
          <w:szCs w:val="24"/>
        </w:rPr>
        <w:t xml:space="preserve"> (Accessed: 24 July 2023). </w:t>
      </w:r>
    </w:p>
    <w:p w14:paraId="00000052" w14:textId="77777777" w:rsidR="00085CA6" w:rsidRDefault="00FE4DE4">
      <w:pPr>
        <w:pBdr>
          <w:top w:val="nil"/>
          <w:left w:val="nil"/>
          <w:bottom w:val="nil"/>
          <w:right w:val="nil"/>
          <w:between w:val="nil"/>
        </w:pBdr>
        <w:spacing w:before="280" w:line="48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Pilling, D. (2019) </w:t>
      </w:r>
      <w:r>
        <w:rPr>
          <w:rFonts w:ascii="Times New Roman" w:eastAsia="Times New Roman" w:hAnsi="Times New Roman" w:cs="Times New Roman"/>
          <w:i/>
          <w:color w:val="000000"/>
          <w:sz w:val="24"/>
          <w:szCs w:val="24"/>
        </w:rPr>
        <w:t>Diageo brews beer in Kenya but feels the draught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Subscribe to read | Financial Times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(Online) </w:t>
      </w:r>
      <w:r>
        <w:rPr>
          <w:rFonts w:ascii="Times New Roman" w:eastAsia="Times New Roman" w:hAnsi="Times New Roman" w:cs="Times New Roman"/>
          <w:color w:val="000000"/>
          <w:sz w:val="24"/>
          <w:szCs w:val="24"/>
        </w:rPr>
        <w:t xml:space="preserve">Available at: </w:t>
      </w:r>
      <w:hyperlink r:id="rId11">
        <w:r>
          <w:rPr>
            <w:rFonts w:ascii="Times New Roman" w:eastAsia="Times New Roman" w:hAnsi="Times New Roman" w:cs="Times New Roman"/>
            <w:color w:val="0000FF"/>
            <w:sz w:val="24"/>
            <w:szCs w:val="24"/>
            <w:u w:val="single"/>
          </w:rPr>
          <w:t>https://www.ft.com/content/362074ee-d558-11e9-8d46-8def889b4137</w:t>
        </w:r>
      </w:hyperlink>
      <w:r>
        <w:rPr>
          <w:rFonts w:ascii="Times New Roman" w:eastAsia="Times New Roman" w:hAnsi="Times New Roman" w:cs="Times New Roman"/>
          <w:color w:val="000000"/>
          <w:sz w:val="24"/>
          <w:szCs w:val="24"/>
        </w:rPr>
        <w:t xml:space="preserve">  (Accessed: 22 July 2023). </w:t>
      </w:r>
    </w:p>
    <w:p w14:paraId="00000053" w14:textId="77777777" w:rsidR="00085CA6" w:rsidRDefault="00FE4DE4">
      <w:pPr>
        <w:pBdr>
          <w:top w:val="nil"/>
          <w:left w:val="nil"/>
          <w:bottom w:val="nil"/>
          <w:right w:val="nil"/>
          <w:between w:val="nil"/>
        </w:pBdr>
        <w:spacing w:before="280" w:line="48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Yahoo Finance (2023) Diageo Plc (Online) Available at: </w:t>
      </w:r>
      <w:hyperlink r:id="rId12">
        <w:r>
          <w:rPr>
            <w:rFonts w:ascii="Times New Roman" w:eastAsia="Times New Roman" w:hAnsi="Times New Roman" w:cs="Times New Roman"/>
            <w:color w:val="1155CC"/>
            <w:sz w:val="24"/>
            <w:szCs w:val="24"/>
            <w:u w:val="single"/>
          </w:rPr>
          <w:t>https://finance.yahoo.com/quote/DEO/?guccounter=1&amp;guce_referrer=aHR0cHM6Ly93d3cuZ29vZ2xlLmNvbS8&amp;guce_referrer_sig=AQAAAJv35kf2wydccDgO-_AVW_Y_ExhCC</w:t>
        </w:r>
        <w:r>
          <w:rPr>
            <w:rFonts w:ascii="Times New Roman" w:eastAsia="Times New Roman" w:hAnsi="Times New Roman" w:cs="Times New Roman"/>
            <w:color w:val="1155CC"/>
            <w:sz w:val="24"/>
            <w:szCs w:val="24"/>
            <w:u w:val="single"/>
          </w:rPr>
          <w:t>_NtZ2UEcvIxRuhcjNqlG5h5XLd_AtjRLg1vN6RMF1MdRKDFpWRKL7A5DCPaCx--fzMm6KZeViIuzDY2dY3KhIPrSWMU0BqeR0Gcq178SyzB9yus3Bxp_I__MvjeHp2Kw4nCzk36198O0cfY</w:t>
        </w:r>
      </w:hyperlink>
      <w:r>
        <w:rPr>
          <w:rFonts w:ascii="Times New Roman" w:eastAsia="Times New Roman" w:hAnsi="Times New Roman" w:cs="Times New Roman"/>
          <w:sz w:val="24"/>
          <w:szCs w:val="24"/>
        </w:rPr>
        <w:t xml:space="preserve"> (Accessed: 23 July 2023)</w:t>
      </w:r>
    </w:p>
    <w:sectPr w:rsidR="00085CA6">
      <w:headerReference w:type="default" r:id="rId1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E7F5E" w14:textId="77777777" w:rsidR="00FE4DE4" w:rsidRDefault="00FE4DE4">
      <w:pPr>
        <w:spacing w:after="0" w:line="240" w:lineRule="auto"/>
      </w:pPr>
      <w:r>
        <w:separator/>
      </w:r>
    </w:p>
  </w:endnote>
  <w:endnote w:type="continuationSeparator" w:id="0">
    <w:p w14:paraId="20697856" w14:textId="77777777" w:rsidR="00FE4DE4" w:rsidRDefault="00FE4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4BD23" w14:textId="77777777" w:rsidR="00FE4DE4" w:rsidRDefault="00FE4DE4">
      <w:pPr>
        <w:spacing w:after="0" w:line="240" w:lineRule="auto"/>
      </w:pPr>
      <w:r>
        <w:separator/>
      </w:r>
    </w:p>
  </w:footnote>
  <w:footnote w:type="continuationSeparator" w:id="0">
    <w:p w14:paraId="3B0F4C2C" w14:textId="77777777" w:rsidR="00FE4DE4" w:rsidRDefault="00FE4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4" w14:textId="0AABFEA9" w:rsidR="00085CA6" w:rsidRDefault="00FE4DE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25780E">
      <w:rPr>
        <w:color w:val="000000"/>
      </w:rPr>
      <w:fldChar w:fldCharType="separate"/>
    </w:r>
    <w:r w:rsidR="00A64C84">
      <w:rPr>
        <w:noProof/>
        <w:color w:val="000000"/>
      </w:rPr>
      <w:t>2</w:t>
    </w:r>
    <w:r>
      <w:rPr>
        <w:color w:val="000000"/>
      </w:rPr>
      <w:fldChar w:fldCharType="end"/>
    </w:r>
  </w:p>
  <w:p w14:paraId="00000055" w14:textId="77777777" w:rsidR="00085CA6" w:rsidRDefault="00085CA6">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A6"/>
    <w:rsid w:val="00085CA6"/>
    <w:rsid w:val="0025780E"/>
    <w:rsid w:val="00A64C84"/>
    <w:rsid w:val="00FE4DE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32E7"/>
  <w15:docId w15:val="{030B4F57-25C8-4435-B99E-6EE01F75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bg-BG" w:eastAsia="bg-B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diageo.com/en/investors/shareholder-centre/ordinary-shares/ordinary-dividend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diageo.com/en/investors/annual-report" TargetMode="External"/><Relationship Id="rId12" Type="http://schemas.openxmlformats.org/officeDocument/2006/relationships/hyperlink" Target="https://finance.yahoo.com/quote/DEO/?guccounter=1&amp;guce_referrer=aHR0cHM6Ly93d3cuZ29vZ2xlLmNvbS8&amp;guce_referrer_sig=AQAAAJv35kf2wydccDgO-_AVW_Y_ExhCC_NtZ2UEcvIxRuhcjNqlG5h5XLd_AtjRLg1vN6RMF1MdRKDFpWRKL7A5DCPaCx--fzMm6KZeViIuzDY2dY3KhIPrSWMU0BqeR0Gcq178SyzB9yus3Bxp_I__MvjeHp2Kw4nCzk36198O0cf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ageo.com/en/news-and-media/press-releases/2019/diageo-and-jiangsu-yanghe-distillery-form-joint-venture-launch-new-to-world-whisky-in-china" TargetMode="External"/><Relationship Id="rId11" Type="http://schemas.openxmlformats.org/officeDocument/2006/relationships/hyperlink" Target="https://www.ft.com/content/362074ee-d558-11e9-8d46-8def889b4137"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jenseninvestment.com/insights/diageo-deo/" TargetMode="External"/><Relationship Id="rId4" Type="http://schemas.openxmlformats.org/officeDocument/2006/relationships/footnotes" Target="footnotes.xml"/><Relationship Id="rId9" Type="http://schemas.openxmlformats.org/officeDocument/2006/relationships/hyperlink" Target="https://www.hl.co.uk/shares/shares-searchresults/d/diageo-plc-ordinary-28-101108p/dividen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1950</Words>
  <Characters>11116</Characters>
  <Application>Microsoft Office Word</Application>
  <DocSecurity>0</DocSecurity>
  <Lines>92</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Nedzhmiev</dc:creator>
  <cp:lastModifiedBy>Denis</cp:lastModifiedBy>
  <cp:revision>2</cp:revision>
  <dcterms:created xsi:type="dcterms:W3CDTF">2023-08-18T12:57:00Z</dcterms:created>
  <dcterms:modified xsi:type="dcterms:W3CDTF">2023-08-18T12:57:00Z</dcterms:modified>
</cp:coreProperties>
</file>