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78.00000000000006" w:lineRule="auto"/>
        <w:ind w:left="502" w:hanging="360"/>
        <w:jc w:val="center"/>
        <w:rPr>
          <w:color w:val="1f2328"/>
          <w:sz w:val="46"/>
          <w:szCs w:val="46"/>
        </w:rPr>
      </w:pPr>
      <w:r w:rsidDel="00000000" w:rsidR="00000000" w:rsidRPr="00000000">
        <w:rPr>
          <w:b w:val="1"/>
          <w:bCs w:val="1"/>
        </w:rPr>
        <w:drawing>
          <wp:inline distB="0" distT="0" distL="0" distR="0">
            <wp:extent cx="2238687" cy="924054"/>
            <wp:effectExtent b="0" l="0" r="0" t="0"/>
            <wp:docPr descr="A close up of a sign&#10;&#10;AI-generated content may be incorrect." id="6" name="image1.png"/>
            <a:graphic>
              <a:graphicData uri="http://schemas.openxmlformats.org/drawingml/2006/picture">
                <pic:pic>
                  <pic:nvPicPr>
                    <pic:cNvPr descr="A close up of a sign&#10;&#10;AI-generated content may be incorrect." id="0" name="image1.png"/>
                    <pic:cNvPicPr preferRelativeResize="0"/>
                  </pic:nvPicPr>
                  <pic:blipFill>
                    <a:blip r:embed="rId6"/>
                    <a:srcRect b="0" l="0" r="0" t="0"/>
                    <a:stretch>
                      <a:fillRect/>
                    </a:stretch>
                  </pic:blipFill>
                  <pic:spPr>
                    <a:xfrm>
                      <a:off x="0" y="0"/>
                      <a:ext cx="2238687" cy="924054"/>
                    </a:xfrm>
                    <a:prstGeom prst="rect"/>
                    <a:ln/>
                  </pic:spPr>
                </pic:pic>
              </a:graphicData>
            </a:graphic>
          </wp:inline>
        </w:drawing>
      </w:r>
      <w:bookmarkStart w:colFirst="0" w:colLast="0" w:name="5j52wgy761fd" w:id="0"/>
      <w:bookmarkEnd w:id="0"/>
      <w:r w:rsidDel="00000000" w:rsidR="00000000" w:rsidRPr="00000000">
        <w:rPr>
          <w:rtl w:val="0"/>
        </w:rPr>
      </w:r>
    </w:p>
    <w:p w:rsidR="00000000" w:rsidDel="00000000" w:rsidP="00000000" w:rsidRDefault="00000000" w:rsidRPr="00000000" w14:paraId="00000002">
      <w:pPr>
        <w:pStyle w:val="Heading1"/>
        <w:keepNext w:val="0"/>
        <w:keepLines w:val="0"/>
        <w:spacing w:after="120" w:before="480" w:line="278.00000000000006" w:lineRule="auto"/>
        <w:ind w:left="502" w:hanging="360"/>
        <w:jc w:val="center"/>
        <w:rPr>
          <w:color w:val="1f2328"/>
          <w:sz w:val="46"/>
          <w:szCs w:val="46"/>
        </w:rPr>
      </w:pPr>
      <w:bookmarkStart w:colFirst="0" w:colLast="0" w:name="_68mo4ll2up8y" w:id="1"/>
      <w:bookmarkEnd w:id="1"/>
      <w:r w:rsidDel="00000000" w:rsidR="00000000" w:rsidRPr="00000000">
        <w:rPr>
          <w:color w:val="1f2328"/>
          <w:sz w:val="46"/>
          <w:szCs w:val="46"/>
          <w:rtl w:val="0"/>
        </w:rPr>
        <w:t xml:space="preserve">Digital Forensics Analysis</w:t>
      </w:r>
    </w:p>
    <w:p w:rsidR="00000000" w:rsidDel="00000000" w:rsidP="00000000" w:rsidRDefault="00000000" w:rsidRPr="00000000" w14:paraId="00000003">
      <w:pPr>
        <w:pStyle w:val="Heading1"/>
        <w:keepNext w:val="0"/>
        <w:keepLines w:val="0"/>
        <w:spacing w:after="120" w:before="480" w:line="278.00000000000006" w:lineRule="auto"/>
        <w:ind w:left="502" w:hanging="360"/>
        <w:jc w:val="center"/>
        <w:rPr>
          <w:color w:val="1f2328"/>
          <w:sz w:val="46"/>
          <w:szCs w:val="46"/>
        </w:rPr>
      </w:pPr>
      <w:bookmarkStart w:colFirst="0" w:colLast="0" w:name="_hzdu1jj1x1p6" w:id="2"/>
      <w:bookmarkEnd w:id="2"/>
      <w:r w:rsidDel="00000000" w:rsidR="00000000" w:rsidRPr="00000000">
        <w:rPr>
          <w:rtl w:val="0"/>
        </w:rPr>
      </w:r>
    </w:p>
    <w:p w:rsidR="00000000" w:rsidDel="00000000" w:rsidP="00000000" w:rsidRDefault="00000000" w:rsidRPr="00000000" w14:paraId="00000004">
      <w:pPr>
        <w:spacing w:line="278.00000000000006" w:lineRule="auto"/>
        <w:jc w:val="left"/>
        <w:rPr/>
      </w:pPr>
      <w:r w:rsidDel="00000000" w:rsidR="00000000" w:rsidRPr="00000000">
        <w:rPr>
          <w:rtl w:val="0"/>
        </w:rPr>
      </w:r>
    </w:p>
    <w:p w:rsidR="00000000" w:rsidDel="00000000" w:rsidP="00000000" w:rsidRDefault="00000000" w:rsidRPr="00000000" w14:paraId="00000005">
      <w:pPr>
        <w:spacing w:line="278.00000000000006" w:lineRule="auto"/>
        <w:jc w:val="left"/>
        <w:rPr/>
      </w:pPr>
      <w:r w:rsidDel="00000000" w:rsidR="00000000" w:rsidRPr="00000000">
        <w:rPr>
          <w:rtl w:val="0"/>
        </w:rPr>
      </w:r>
    </w:p>
    <w:p w:rsidR="00000000" w:rsidDel="00000000" w:rsidP="00000000" w:rsidRDefault="00000000" w:rsidRPr="00000000" w14:paraId="00000006">
      <w:pPr>
        <w:spacing w:line="278.00000000000006" w:lineRule="auto"/>
        <w:jc w:val="left"/>
        <w:rPr/>
      </w:pPr>
      <w:r w:rsidDel="00000000" w:rsidR="00000000" w:rsidRPr="00000000">
        <w:rPr>
          <w:rtl w:val="0"/>
        </w:rPr>
      </w:r>
    </w:p>
    <w:p w:rsidR="00000000" w:rsidDel="00000000" w:rsidP="00000000" w:rsidRDefault="00000000" w:rsidRPr="00000000" w14:paraId="00000007">
      <w:pPr>
        <w:spacing w:line="278.00000000000006" w:lineRule="auto"/>
        <w:jc w:val="left"/>
        <w:rPr/>
      </w:pPr>
      <w:r w:rsidDel="00000000" w:rsidR="00000000" w:rsidRPr="00000000">
        <w:rPr>
          <w:rtl w:val="0"/>
        </w:rPr>
      </w:r>
    </w:p>
    <w:p w:rsidR="00000000" w:rsidDel="00000000" w:rsidP="00000000" w:rsidRDefault="00000000" w:rsidRPr="00000000" w14:paraId="00000008">
      <w:pPr>
        <w:spacing w:after="0" w:line="240" w:lineRule="auto"/>
        <w:jc w:val="left"/>
        <w:rPr>
          <w:sz w:val="22"/>
          <w:szCs w:val="22"/>
        </w:rPr>
      </w:pPr>
      <w:r w:rsidDel="00000000" w:rsidR="00000000" w:rsidRPr="00000000">
        <w:rPr>
          <w:b w:val="1"/>
          <w:bCs w:val="1"/>
          <w:sz w:val="28"/>
          <w:szCs w:val="28"/>
          <w:rtl w:val="0"/>
        </w:rPr>
        <w:t xml:space="preserve">Programme Name: </w:t>
      </w:r>
      <w:r w:rsidDel="00000000" w:rsidR="00000000" w:rsidRPr="00000000">
        <w:rPr>
          <w:sz w:val="28"/>
          <w:szCs w:val="28"/>
          <w:rtl w:val="0"/>
        </w:rPr>
        <w:t xml:space="preserve">MSc Cybersecurity &amp; Digital Forensics</w:t>
        <w:br w:type="textWrapping"/>
      </w:r>
      <w:r w:rsidDel="00000000" w:rsidR="00000000" w:rsidRPr="00000000">
        <w:rPr>
          <w:b w:val="1"/>
          <w:bCs w:val="1"/>
          <w:sz w:val="28"/>
          <w:szCs w:val="28"/>
          <w:rtl w:val="0"/>
        </w:rPr>
        <w:t xml:space="preserve">Module Name : </w:t>
      </w:r>
      <w:r w:rsidDel="00000000" w:rsidR="00000000" w:rsidRPr="00000000">
        <w:rPr>
          <w:sz w:val="28"/>
          <w:szCs w:val="28"/>
          <w:rtl w:val="0"/>
        </w:rPr>
        <w:t xml:space="preserve">Digital Forensics Analysis</w:t>
        <w:br w:type="textWrapping"/>
      </w:r>
      <w:r w:rsidDel="00000000" w:rsidR="00000000" w:rsidRPr="00000000">
        <w:rPr>
          <w:b w:val="1"/>
          <w:bCs w:val="1"/>
          <w:sz w:val="28"/>
          <w:szCs w:val="28"/>
          <w:rtl w:val="0"/>
        </w:rPr>
        <w:t xml:space="preserve">Module code: </w:t>
      </w:r>
      <w:r w:rsidDel="00000000" w:rsidR="00000000" w:rsidRPr="00000000">
        <w:rPr>
          <w:sz w:val="28"/>
          <w:szCs w:val="28"/>
          <w:rtl w:val="0"/>
        </w:rPr>
        <w:t xml:space="preserve">ACCA7031</w:t>
        <w:br w:type="textWrapping"/>
      </w:r>
      <w:r w:rsidDel="00000000" w:rsidR="00000000" w:rsidRPr="00000000">
        <w:rPr>
          <w:b w:val="1"/>
          <w:bCs w:val="1"/>
          <w:sz w:val="28"/>
          <w:szCs w:val="28"/>
          <w:rtl w:val="0"/>
        </w:rPr>
        <w:t xml:space="preserve">Lecturer: </w:t>
      </w:r>
      <w:r w:rsidDel="00000000" w:rsidR="00000000" w:rsidRPr="00000000">
        <w:rPr>
          <w:sz w:val="28"/>
          <w:szCs w:val="28"/>
          <w:rtl w:val="0"/>
        </w:rPr>
        <w:t xml:space="preserve">Dr. Mohamed Ghanem</w:t>
      </w:r>
      <w:r w:rsidDel="00000000" w:rsidR="00000000" w:rsidRPr="00000000">
        <w:rPr>
          <w:b w:val="1"/>
          <w:bCs w:val="1"/>
          <w:sz w:val="28"/>
          <w:szCs w:val="28"/>
          <w:rtl w:val="0"/>
        </w:rPr>
        <w:br w:type="textWrapping"/>
        <w:t xml:space="preserve">Student Name: </w:t>
      </w:r>
      <w:r w:rsidDel="00000000" w:rsidR="00000000" w:rsidRPr="00000000">
        <w:rPr>
          <w:sz w:val="28"/>
          <w:szCs w:val="28"/>
          <w:rtl w:val="0"/>
        </w:rPr>
        <w:t xml:space="preserve">Vinay Kirtibhai Donda</w:t>
      </w:r>
      <w:r w:rsidDel="00000000" w:rsidR="00000000" w:rsidRPr="00000000">
        <w:rPr>
          <w:b w:val="1"/>
          <w:bCs w:val="1"/>
          <w:sz w:val="28"/>
          <w:szCs w:val="28"/>
          <w:rtl w:val="0"/>
        </w:rPr>
        <w:br w:type="textWrapping"/>
        <w:t xml:space="preserve">Student ID: </w:t>
      </w:r>
      <w:r w:rsidDel="00000000" w:rsidR="00000000" w:rsidRPr="00000000">
        <w:rPr>
          <w:sz w:val="28"/>
          <w:szCs w:val="28"/>
          <w:rtl w:val="0"/>
        </w:rPr>
        <w:t xml:space="preserve">2509592</w:t>
      </w:r>
      <w:r w:rsidDel="00000000" w:rsidR="00000000" w:rsidRPr="00000000">
        <w:rPr>
          <w:rtl w:val="0"/>
        </w:rPr>
      </w:r>
    </w:p>
    <w:p w:rsidR="00000000" w:rsidDel="00000000" w:rsidP="00000000" w:rsidRDefault="00000000" w:rsidRPr="00000000" w14:paraId="00000009">
      <w:pPr>
        <w:spacing w:after="280" w:line="240" w:lineRule="auto"/>
        <w:jc w:val="left"/>
        <w:rPr>
          <w:b w:val="1"/>
          <w:bCs w:val="1"/>
          <w:sz w:val="48"/>
          <w:szCs w:val="48"/>
        </w:rPr>
      </w:pPr>
      <w:bookmarkStart w:colFirst="0" w:colLast="0" w:name="_iryg7jxh17i8" w:id="3"/>
      <w:bookmarkEnd w:id="3"/>
      <w:r w:rsidDel="00000000" w:rsidR="00000000" w:rsidRPr="00000000">
        <w:rPr>
          <w:rtl w:val="0"/>
        </w:rPr>
      </w:r>
    </w:p>
    <w:p w:rsidR="00000000" w:rsidDel="00000000" w:rsidP="00000000" w:rsidRDefault="00000000" w:rsidRPr="00000000" w14:paraId="0000000A">
      <w:pPr>
        <w:spacing w:after="0" w:line="240" w:lineRule="auto"/>
        <w:jc w:val="left"/>
        <w:rPr/>
      </w:pPr>
      <w:r w:rsidDel="00000000" w:rsidR="00000000" w:rsidRPr="00000000">
        <w:rPr>
          <w:rtl w:val="0"/>
        </w:rPr>
      </w:r>
    </w:p>
    <w:p w:rsidR="00000000" w:rsidDel="00000000" w:rsidP="00000000" w:rsidRDefault="00000000" w:rsidRPr="00000000" w14:paraId="0000000B">
      <w:pPr>
        <w:spacing w:line="259" w:lineRule="auto"/>
        <w:jc w:val="left"/>
        <w:rPr>
          <w:b w:val="1"/>
          <w:bCs w:val="1"/>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bCs w:val="0"/>
          <w:i w:val="0"/>
          <w:iCs w:val="0"/>
          <w:smallCaps w:val="0"/>
          <w:strike w:val="0"/>
          <w:color w:val="2f5496"/>
          <w:sz w:val="32"/>
          <w:szCs w:val="32"/>
          <w:u w:val="none"/>
          <w:shd w:fill="auto" w:val="clear"/>
          <w:vertAlign w:val="baseline"/>
        </w:rPr>
      </w:pPr>
      <w:bookmarkStart w:colFirst="0" w:colLast="0" w:name="_2ad3aoqzvx76" w:id="4"/>
      <w:bookmarkEnd w:id="4"/>
      <w:r w:rsidDel="00000000" w:rsidR="00000000" w:rsidRPr="00000000">
        <w:rPr>
          <w:rFonts w:ascii="Calibri" w:cs="Calibri" w:eastAsia="Calibri" w:hAnsi="Calibri"/>
          <w:color w:val="2f5496"/>
          <w:sz w:val="32"/>
          <w:szCs w:val="32"/>
          <w:rtl w:val="0"/>
        </w:rPr>
        <w:t xml:space="preserve">TASK2 INDEX</w:t>
      </w:r>
      <w:r w:rsidDel="00000000" w:rsidR="00000000" w:rsidRPr="00000000">
        <w:rPr>
          <w:rtl w:val="0"/>
        </w:rPr>
      </w:r>
    </w:p>
    <w:sdt>
      <w:sdtPr>
        <w:id w:val="785849914"/>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iryg7jxh17i8">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DIGITAL FORENSIC INVESTIGATION REPORT</w:t>
            </w:r>
          </w:hyperlink>
          <w:hyperlink w:anchor="_iryg7jxh17i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r>
          </w:hyperlink>
          <w:r w:rsidDel="00000000" w:rsidR="00000000" w:rsidRPr="00000000">
            <w:rPr>
              <w:rFonts w:ascii="Calibri" w:cs="Calibri" w:eastAsia="Calibri" w:hAnsi="Calibri"/>
              <w:sz w:val="22"/>
              <w:szCs w:val="22"/>
              <w:rtl w:val="0"/>
            </w:rPr>
            <w:t xml:space="preserve">12</w:t>
          </w: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to72surrza4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Case Background</w:t>
              <w:tab/>
            </w:r>
          </w:hyperlink>
          <w:r w:rsidDel="00000000" w:rsidR="00000000" w:rsidRPr="00000000">
            <w:rPr>
              <w:rFonts w:ascii="Calibri" w:cs="Calibri" w:eastAsia="Calibri" w:hAnsi="Calibri"/>
              <w:sz w:val="22"/>
              <w:szCs w:val="22"/>
              <w:rtl w:val="0"/>
            </w:rPr>
            <w:t xml:space="preserve">12</w:t>
          </w: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ofk468wvxyr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 Incident Overview</w:t>
              <w:tab/>
            </w:r>
          </w:hyperlink>
          <w:r w:rsidDel="00000000" w:rsidR="00000000" w:rsidRPr="00000000">
            <w:rPr>
              <w:rFonts w:ascii="Calibri" w:cs="Calibri" w:eastAsia="Calibri" w:hAnsi="Calibri"/>
              <w:sz w:val="22"/>
              <w:szCs w:val="22"/>
              <w:rtl w:val="0"/>
            </w:rPr>
            <w:t xml:space="preserve">12</w:t>
          </w: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ypso8xpl6k5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1.2 Scope and Objectives</w:t>
              <w:tab/>
            </w:r>
          </w:hyperlink>
          <w:r w:rsidDel="00000000" w:rsidR="00000000" w:rsidRPr="00000000">
            <w:rPr>
              <w:rFonts w:ascii="Calibri" w:cs="Calibri" w:eastAsia="Calibri" w:hAnsi="Calibri"/>
              <w:sz w:val="22"/>
              <w:szCs w:val="22"/>
              <w:rtl w:val="0"/>
            </w:rPr>
            <w:t xml:space="preserve">13</w:t>
          </w:r>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a1zq5eab9px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1.3 Legal and Ethical Framework</w:t>
              <w:tab/>
            </w:r>
          </w:hyperlink>
          <w:r w:rsidDel="00000000" w:rsidR="00000000" w:rsidRPr="00000000">
            <w:rPr>
              <w:rFonts w:ascii="Calibri" w:cs="Calibri" w:eastAsia="Calibri" w:hAnsi="Calibri"/>
              <w:sz w:val="22"/>
              <w:szCs w:val="22"/>
              <w:rtl w:val="0"/>
            </w:rPr>
            <w:t xml:space="preserve">14</w:t>
          </w: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6h3bjz9nzy96">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2. Evidence Inventory</w:t>
            </w:r>
          </w:hyperlink>
          <w:hyperlink w:anchor="_6h3bjz9nzy9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r>
          </w:hyperlink>
          <w:r w:rsidDel="00000000" w:rsidR="00000000" w:rsidRPr="00000000">
            <w:rPr>
              <w:rFonts w:ascii="Calibri" w:cs="Calibri" w:eastAsia="Calibri" w:hAnsi="Calibri"/>
              <w:sz w:val="22"/>
              <w:szCs w:val="22"/>
              <w:rtl w:val="0"/>
            </w:rPr>
            <w:t xml:space="preserve">15</w:t>
          </w: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4qeyyqns6u2p">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 Overview of Evidence Collection</w:t>
              <w:tab/>
            </w:r>
          </w:hyperlink>
          <w:r w:rsidDel="00000000" w:rsidR="00000000" w:rsidRPr="00000000">
            <w:rPr>
              <w:rFonts w:ascii="Calibri" w:cs="Calibri" w:eastAsia="Calibri" w:hAnsi="Calibri"/>
              <w:sz w:val="22"/>
              <w:szCs w:val="22"/>
              <w:rtl w:val="0"/>
            </w:rPr>
            <w:t xml:space="preserve">15</w:t>
          </w: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ufzm8v70rre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 Device Inventory</w:t>
              <w:tab/>
            </w:r>
          </w:hyperlink>
          <w:r w:rsidDel="00000000" w:rsidR="00000000" w:rsidRPr="00000000">
            <w:rPr>
              <w:rFonts w:ascii="Calibri" w:cs="Calibri" w:eastAsia="Calibri" w:hAnsi="Calibri"/>
              <w:sz w:val="22"/>
              <w:szCs w:val="22"/>
              <w:rtl w:val="0"/>
            </w:rPr>
            <w:t xml:space="preserve">16</w:t>
          </w: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q73wguwyipk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 Evidential Significance and Analysis</w:t>
              <w:tab/>
            </w:r>
          </w:hyperlink>
          <w:r w:rsidDel="00000000" w:rsidR="00000000" w:rsidRPr="00000000">
            <w:rPr>
              <w:rFonts w:ascii="Calibri" w:cs="Calibri" w:eastAsia="Calibri" w:hAnsi="Calibri"/>
              <w:sz w:val="22"/>
              <w:szCs w:val="22"/>
              <w:rtl w:val="0"/>
            </w:rPr>
            <w:t xml:space="preserve">16</w:t>
          </w: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bmvy9orynng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2.4 Evidence Handling Considerations</w:t>
              <w:tab/>
            </w:r>
          </w:hyperlink>
          <w:r w:rsidDel="00000000" w:rsidR="00000000" w:rsidRPr="00000000">
            <w:rPr>
              <w:rFonts w:ascii="Calibri" w:cs="Calibri" w:eastAsia="Calibri" w:hAnsi="Calibri"/>
              <w:sz w:val="22"/>
              <w:szCs w:val="22"/>
              <w:rtl w:val="0"/>
            </w:rPr>
            <w:t xml:space="preserve">17</w:t>
          </w: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xiif1qk2190y">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3. Chain of Custody</w:t>
            </w:r>
          </w:hyperlink>
          <w:hyperlink w:anchor="_xiif1qk2190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r>
          </w:hyperlink>
          <w:r w:rsidDel="00000000" w:rsidR="00000000" w:rsidRPr="00000000">
            <w:rPr>
              <w:rFonts w:ascii="Calibri" w:cs="Calibri" w:eastAsia="Calibri" w:hAnsi="Calibri"/>
              <w:sz w:val="22"/>
              <w:szCs w:val="22"/>
              <w:rtl w:val="0"/>
            </w:rPr>
            <w:t xml:space="preserve">18</w:t>
          </w: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6y6q68i82ge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 Importance of Chain of Custody in Digital Forensics</w:t>
              <w:tab/>
            </w:r>
          </w:hyperlink>
          <w:r w:rsidDel="00000000" w:rsidR="00000000" w:rsidRPr="00000000">
            <w:rPr>
              <w:rFonts w:ascii="Calibri" w:cs="Calibri" w:eastAsia="Calibri" w:hAnsi="Calibri"/>
              <w:sz w:val="22"/>
              <w:szCs w:val="22"/>
              <w:rtl w:val="0"/>
            </w:rPr>
            <w:t xml:space="preserve">18</w:t>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7fqz3uikrbv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 Evidence Handling Process</w:t>
              <w:tab/>
            </w:r>
          </w:hyperlink>
          <w:r w:rsidDel="00000000" w:rsidR="00000000" w:rsidRPr="00000000">
            <w:rPr>
              <w:rFonts w:ascii="Calibri" w:cs="Calibri" w:eastAsia="Calibri" w:hAnsi="Calibri"/>
              <w:sz w:val="22"/>
              <w:szCs w:val="22"/>
              <w:rtl w:val="0"/>
            </w:rPr>
            <w:t xml:space="preserve">19</w:t>
          </w: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x9a06psax40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3.3 Documentation and Continuity</w:t>
              <w:tab/>
            </w:r>
          </w:hyperlink>
          <w:r w:rsidDel="00000000" w:rsidR="00000000" w:rsidRPr="00000000">
            <w:rPr>
              <w:rFonts w:ascii="Calibri" w:cs="Calibri" w:eastAsia="Calibri" w:hAnsi="Calibri"/>
              <w:sz w:val="22"/>
              <w:szCs w:val="22"/>
              <w:rtl w:val="0"/>
            </w:rPr>
            <w:t xml:space="preserve">20</w:t>
          </w: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w86m30975wg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3.4 Integrity Verification</w:t>
              <w:tab/>
            </w:r>
          </w:hyperlink>
          <w:r w:rsidDel="00000000" w:rsidR="00000000" w:rsidRPr="00000000">
            <w:rPr>
              <w:rFonts w:ascii="Calibri" w:cs="Calibri" w:eastAsia="Calibri" w:hAnsi="Calibri"/>
              <w:sz w:val="22"/>
              <w:szCs w:val="22"/>
              <w:rtl w:val="0"/>
            </w:rPr>
            <w:t xml:space="preserve">20</w:t>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s35vtr5lfs8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3.5 Critical Evaluation and Limitations</w:t>
              <w:tab/>
            </w:r>
          </w:hyperlink>
          <w:r w:rsidDel="00000000" w:rsidR="00000000" w:rsidRPr="00000000">
            <w:rPr>
              <w:rFonts w:ascii="Calibri" w:cs="Calibri" w:eastAsia="Calibri" w:hAnsi="Calibri"/>
              <w:sz w:val="22"/>
              <w:szCs w:val="22"/>
              <w:rtl w:val="0"/>
            </w:rPr>
            <w:t xml:space="preserve">21</w:t>
          </w: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n558z6cxu1s">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4. Evidence Acquisition</w:t>
            </w:r>
          </w:hyperlink>
          <w:hyperlink w:anchor="_n558z6cxu1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r>
          </w:hyperlink>
          <w:r w:rsidDel="00000000" w:rsidR="00000000" w:rsidRPr="00000000">
            <w:rPr>
              <w:rFonts w:ascii="Calibri" w:cs="Calibri" w:eastAsia="Calibri" w:hAnsi="Calibri"/>
              <w:sz w:val="22"/>
              <w:szCs w:val="22"/>
              <w:rtl w:val="0"/>
            </w:rPr>
            <w:t xml:space="preserve">21</w:t>
          </w: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tkp2wx88mb49">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5. Communication Analysis</w:t>
            </w:r>
          </w:hyperlink>
          <w:hyperlink w:anchor="_tkp2wx88mb4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r>
          </w:hyperlink>
          <w:r w:rsidDel="00000000" w:rsidR="00000000" w:rsidRPr="00000000">
            <w:rPr>
              <w:rFonts w:ascii="Calibri" w:cs="Calibri" w:eastAsia="Calibri" w:hAnsi="Calibri"/>
              <w:sz w:val="22"/>
              <w:szCs w:val="22"/>
              <w:rtl w:val="0"/>
            </w:rPr>
            <w:t xml:space="preserve">22</w:t>
          </w: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en60akxww7rf">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Reconstructed Timeline</w:t>
            </w:r>
          </w:hyperlink>
          <w:hyperlink w:anchor="_en60akxww7r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r>
          </w:hyperlink>
          <w:r w:rsidDel="00000000" w:rsidR="00000000" w:rsidRPr="00000000">
            <w:rPr>
              <w:rFonts w:ascii="Calibri" w:cs="Calibri" w:eastAsia="Calibri" w:hAnsi="Calibri"/>
              <w:sz w:val="22"/>
              <w:szCs w:val="22"/>
              <w:rtl w:val="0"/>
            </w:rPr>
            <w:t xml:space="preserve">22</w:t>
          </w: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6058rbu4amns">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6. File Analysis (USB Drive)</w:t>
            </w:r>
          </w:hyperlink>
          <w:hyperlink w:anchor="_6058rbu4amn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r>
          </w:hyperlink>
          <w:r w:rsidDel="00000000" w:rsidR="00000000" w:rsidRPr="00000000">
            <w:rPr>
              <w:rFonts w:ascii="Calibri" w:cs="Calibri" w:eastAsia="Calibri" w:hAnsi="Calibri"/>
              <w:sz w:val="22"/>
              <w:szCs w:val="22"/>
              <w:rtl w:val="0"/>
            </w:rPr>
            <w:t xml:space="preserve">22</w:t>
          </w: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240" w:right="0" w:firstLine="0"/>
            <w:jc w:val="both"/>
            <w:rPr>
              <w:rFonts w:ascii="Calibri" w:cs="Calibri" w:eastAsia="Calibri" w:hAnsi="Calibri"/>
              <w:sz w:val="22"/>
              <w:szCs w:val="22"/>
            </w:rPr>
          </w:pPr>
          <w:hyperlink w:anchor="_tmfkd97c4lj5">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7. Call Log and Email Correlation</w:t>
            </w:r>
          </w:hyperlink>
          <w:hyperlink w:anchor="_tmfkd97c4lj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r>
          </w:hyperlink>
          <w:r w:rsidDel="00000000" w:rsidR="00000000" w:rsidRPr="00000000">
            <w:rPr>
              <w:rFonts w:ascii="Calibri" w:cs="Calibri" w:eastAsia="Calibri" w:hAnsi="Calibri"/>
              <w:sz w:val="22"/>
              <w:szCs w:val="22"/>
              <w:rtl w:val="0"/>
            </w:rPr>
            <w:t xml:space="preserve">23</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dmfggp9polub">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8. Suspect Profiling</w:t>
            </w:r>
          </w:hyperlink>
          <w:hyperlink w:anchor="_dmfggp9polu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r>
          </w:hyperlink>
          <w:r w:rsidDel="00000000" w:rsidR="00000000" w:rsidRPr="00000000">
            <w:rPr>
              <w:rFonts w:ascii="Calibri" w:cs="Calibri" w:eastAsia="Calibri" w:hAnsi="Calibri"/>
              <w:sz w:val="22"/>
              <w:szCs w:val="22"/>
              <w:rtl w:val="0"/>
            </w:rPr>
            <w:t xml:space="preserve">24</w:t>
          </w: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r2qniotk6vax">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Emma (Primary Perpetrator)</w:t>
            </w:r>
          </w:hyperlink>
          <w:hyperlink w:anchor="_r2qniotk6va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r>
          </w:hyperlink>
          <w:r w:rsidDel="00000000" w:rsidR="00000000" w:rsidRPr="00000000">
            <w:rPr>
              <w:rFonts w:ascii="Calibri" w:cs="Calibri" w:eastAsia="Calibri" w:hAnsi="Calibri"/>
              <w:sz w:val="22"/>
              <w:szCs w:val="22"/>
              <w:rtl w:val="0"/>
            </w:rPr>
            <w:t xml:space="preserve">24</w:t>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wa3dco4dj5yu">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Joe (Intermediary)</w:t>
            </w:r>
          </w:hyperlink>
          <w:hyperlink w:anchor="_wa3dco4dj5y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r>
          </w:hyperlink>
          <w:r w:rsidDel="00000000" w:rsidR="00000000" w:rsidRPr="00000000">
            <w:rPr>
              <w:rFonts w:ascii="Calibri" w:cs="Calibri" w:eastAsia="Calibri" w:hAnsi="Calibri"/>
              <w:sz w:val="22"/>
              <w:szCs w:val="22"/>
              <w:rtl w:val="0"/>
            </w:rPr>
            <w:t xml:space="preserve">24</w:t>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t1npffd5p82i">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Norman (Buyer)</w:t>
            </w:r>
          </w:hyperlink>
          <w:hyperlink w:anchor="_t1npffd5p82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r>
          </w:hyperlink>
          <w:r w:rsidDel="00000000" w:rsidR="00000000" w:rsidRPr="00000000">
            <w:rPr>
              <w:rFonts w:ascii="Calibri" w:cs="Calibri" w:eastAsia="Calibri" w:hAnsi="Calibri"/>
              <w:sz w:val="22"/>
              <w:szCs w:val="22"/>
              <w:rtl w:val="0"/>
            </w:rPr>
            <w:t xml:space="preserve">24</w:t>
          </w: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6qbwp23deh0u">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9. Key Findings</w:t>
            </w:r>
          </w:hyperlink>
          <w:hyperlink w:anchor="_6qbwp23deh0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r>
          </w:hyperlink>
          <w:r w:rsidDel="00000000" w:rsidR="00000000" w:rsidRPr="00000000">
            <w:rPr>
              <w:rFonts w:ascii="Calibri" w:cs="Calibri" w:eastAsia="Calibri" w:hAnsi="Calibri"/>
              <w:sz w:val="22"/>
              <w:szCs w:val="22"/>
              <w:rtl w:val="0"/>
            </w:rPr>
            <w:t xml:space="preserve">24</w:t>
          </w: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240" w:right="0" w:firstLine="0"/>
            <w:jc w:val="both"/>
            <w:rPr>
              <w:rFonts w:ascii="Calibri" w:cs="Calibri" w:eastAsia="Calibri" w:hAnsi="Calibri"/>
              <w:sz w:val="22"/>
              <w:szCs w:val="22"/>
            </w:rPr>
          </w:pPr>
          <w:hyperlink w:anchor="_uo1436t2uxb1">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10. </w:t>
            </w:r>
          </w:hyperlink>
          <w:r w:rsidDel="00000000" w:rsidR="00000000" w:rsidRPr="00000000">
            <w:rPr>
              <w:b w:val="1"/>
              <w:bCs w:val="1"/>
              <w:rtl w:val="0"/>
            </w:rPr>
            <w:t xml:space="preserve">Forensic Collection Information</w:t>
          </w:r>
          <w:hyperlink w:anchor="_uo1436t2uxb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r>
          </w:hyperlink>
          <w:r w:rsidDel="00000000" w:rsidR="00000000" w:rsidRPr="00000000">
            <w:rPr>
              <w:rFonts w:ascii="Calibri" w:cs="Calibri" w:eastAsia="Calibri" w:hAnsi="Calibri"/>
              <w:sz w:val="22"/>
              <w:szCs w:val="22"/>
              <w:rtl w:val="0"/>
            </w:rPr>
            <w:t xml:space="preserve">25</w:t>
          </w:r>
        </w:p>
        <w:p w:rsidR="00000000" w:rsidDel="00000000" w:rsidP="00000000" w:rsidRDefault="00000000" w:rsidRPr="00000000" w14:paraId="00000028">
          <w:pPr>
            <w:tabs>
              <w:tab w:val="right" w:leader="none" w:pos="9016"/>
            </w:tabs>
            <w:spacing w:after="100" w:lineRule="auto"/>
            <w:ind w:left="240" w:firstLine="0"/>
            <w:rPr>
              <w:rFonts w:ascii="Calibri" w:cs="Calibri" w:eastAsia="Calibri" w:hAnsi="Calibri"/>
              <w:sz w:val="22"/>
              <w:szCs w:val="22"/>
            </w:rPr>
          </w:pPr>
          <w:hyperlink w:anchor="_uo1436t2uxb1">
            <w:r w:rsidDel="00000000" w:rsidR="00000000" w:rsidRPr="00000000">
              <w:rPr>
                <w:b w:val="1"/>
                <w:bCs w:val="1"/>
                <w:rtl w:val="0"/>
              </w:rPr>
              <w:t xml:space="preserve">11. Conclusion</w:t>
            </w:r>
          </w:hyperlink>
          <w:hyperlink w:anchor="_uo1436t2uxb1">
            <w:r w:rsidDel="00000000" w:rsidR="00000000" w:rsidRPr="00000000">
              <w:rPr>
                <w:rtl w:val="0"/>
              </w:rPr>
              <w:tab/>
            </w:r>
          </w:hyperlink>
          <w:r w:rsidDel="00000000" w:rsidR="00000000" w:rsidRPr="00000000">
            <w:rPr>
              <w:rFonts w:ascii="Calibri" w:cs="Calibri" w:eastAsia="Calibri" w:hAnsi="Calibri"/>
              <w:sz w:val="22"/>
              <w:szCs w:val="22"/>
              <w:rtl w:val="0"/>
            </w:rPr>
            <w:t xml:space="preserve">30</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q5i97nnd662j">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1</w:t>
            </w:r>
          </w:hyperlink>
          <w:hyperlink w:anchor="_q5i97nnd662j">
            <w:r w:rsidDel="00000000" w:rsidR="00000000" w:rsidRPr="00000000">
              <w:rPr>
                <w:b w:val="1"/>
                <w:bCs w:val="1"/>
                <w:rtl w:val="0"/>
              </w:rPr>
              <w:t xml:space="preserve">2</w:t>
            </w:r>
          </w:hyperlink>
          <w:hyperlink w:anchor="_q5i97nnd662j">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 Recommendations</w:t>
            </w:r>
          </w:hyperlink>
          <w:hyperlink w:anchor="_q5i97nnd662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r>
          </w:hyperlink>
          <w:r w:rsidDel="00000000" w:rsidR="00000000" w:rsidRPr="00000000">
            <w:rPr>
              <w:rFonts w:ascii="Calibri" w:cs="Calibri" w:eastAsia="Calibri" w:hAnsi="Calibri"/>
              <w:sz w:val="22"/>
              <w:szCs w:val="22"/>
              <w:rtl w:val="0"/>
            </w:rPr>
            <w:t xml:space="preserve">30</w:t>
          </w: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48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i8cb1wkvx5px">
            <w:r w:rsidDel="00000000" w:rsidR="00000000" w:rsidRPr="00000000">
              <w:rPr>
                <w:b w:val="1"/>
                <w:bCs w:val="1"/>
                <w:i w:val="0"/>
                <w:iCs w:val="0"/>
                <w:smallCaps w:val="0"/>
                <w:strike w:val="0"/>
                <w:color w:val="000000"/>
                <w:sz w:val="24"/>
                <w:szCs w:val="24"/>
                <w:u w:val="none"/>
                <w:shd w:fill="auto" w:val="clear"/>
                <w:vertAlign w:val="baseline"/>
                <w:rtl w:val="0"/>
              </w:rPr>
              <w:t xml:space="preserve">References</w:t>
            </w:r>
          </w:hyperlink>
          <w:hyperlink w:anchor="_i8cb1wkvx5p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r>
          </w:hyperlink>
          <w:r w:rsidDel="00000000" w:rsidR="00000000" w:rsidRPr="00000000">
            <w:rPr>
              <w:rFonts w:ascii="Calibri" w:cs="Calibri" w:eastAsia="Calibri" w:hAnsi="Calibri"/>
              <w:sz w:val="22"/>
              <w:szCs w:val="22"/>
              <w:rtl w:val="0"/>
            </w:rPr>
            <w:t xml:space="preserve">31</w:t>
          </w: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C">
      <w:pPr>
        <w:spacing w:line="259" w:lineRule="auto"/>
        <w:jc w:val="left"/>
        <w:rPr>
          <w:b w:val="1"/>
          <w:bCs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D">
      <w:pPr>
        <w:spacing w:after="280" w:before="280" w:line="240" w:lineRule="auto"/>
        <w:jc w:val="left"/>
        <w:rPr>
          <w:b w:val="1"/>
          <w:bCs w:val="1"/>
          <w:sz w:val="36"/>
          <w:szCs w:val="36"/>
        </w:rPr>
      </w:pPr>
      <w:r w:rsidDel="00000000" w:rsidR="00000000" w:rsidRPr="00000000">
        <w:rPr>
          <w:b w:val="1"/>
          <w:bCs w:val="1"/>
          <w:sz w:val="36"/>
          <w:szCs w:val="36"/>
          <w:rtl w:val="0"/>
        </w:rPr>
        <w:t xml:space="preserve">TASK-1 </w:t>
      </w:r>
    </w:p>
    <w:p w:rsidR="00000000" w:rsidDel="00000000" w:rsidP="00000000" w:rsidRDefault="00000000" w:rsidRPr="00000000" w14:paraId="0000002E">
      <w:pPr>
        <w:spacing w:after="280" w:before="280" w:line="240" w:lineRule="auto"/>
        <w:jc w:val="left"/>
        <w:rPr>
          <w:b w:val="1"/>
          <w:bCs w:val="1"/>
          <w:sz w:val="36"/>
          <w:szCs w:val="36"/>
        </w:rPr>
      </w:pPr>
      <w:r w:rsidDel="00000000" w:rsidR="00000000" w:rsidRPr="00000000">
        <w:rPr>
          <w:b w:val="1"/>
          <w:bCs w:val="1"/>
          <w:sz w:val="36"/>
          <w:szCs w:val="36"/>
          <w:rtl w:val="0"/>
        </w:rPr>
        <w:t xml:space="preserve">1. Current State of the Field</w:t>
      </w:r>
    </w:p>
    <w:p w:rsidR="00000000" w:rsidDel="00000000" w:rsidP="00000000" w:rsidRDefault="00000000" w:rsidRPr="00000000" w14:paraId="0000002F">
      <w:pPr>
        <w:rPr/>
      </w:pPr>
      <w:r w:rsidDel="00000000" w:rsidR="00000000" w:rsidRPr="00000000">
        <w:rPr>
          <w:rtl w:val="0"/>
        </w:rPr>
        <w:t xml:space="preserve">Digital forensics has evolved into a highly specialized and multidisciplinary domain, playing a crucial role in both modern criminal investigations and corporate security frameworks. The field is experiencing rapid expansion, with the global market projected to grow from approximately USD 13.46 billion in 2025 to USD 53.65 billion by 2035, reflecting a compound annual growth rate (CAGR) of 14.83%. This growth is largely driven by rising cybercrime rates, stricter data protection regulations, and widespread digital transformation across industries [1].</w:t>
      </w:r>
    </w:p>
    <w:p w:rsidR="00000000" w:rsidDel="00000000" w:rsidP="00000000" w:rsidRDefault="00000000" w:rsidRPr="00000000" w14:paraId="00000030">
      <w:pPr>
        <w:rPr/>
      </w:pPr>
      <w:r w:rsidDel="00000000" w:rsidR="00000000" w:rsidRPr="00000000">
        <w:rPr/>
        <w:drawing>
          <wp:inline distB="0" distT="0" distL="0" distR="0">
            <wp:extent cx="5731200" cy="3048000"/>
            <wp:effectExtent b="0" l="0" r="0" t="0"/>
            <wp:docPr descr="What Is SIEM Integration Explained | Netwitness" id="8" name="image12.jpg"/>
            <a:graphic>
              <a:graphicData uri="http://schemas.openxmlformats.org/drawingml/2006/picture">
                <pic:pic>
                  <pic:nvPicPr>
                    <pic:cNvPr descr="What Is SIEM Integration Explained | Netwitness" id="0" name="image12.jpg"/>
                    <pic:cNvPicPr preferRelativeResize="0"/>
                  </pic:nvPicPr>
                  <pic:blipFill>
                    <a:blip r:embed="rId7"/>
                    <a:srcRect b="0" l="0" r="0" t="0"/>
                    <a:stretch>
                      <a:fillRect/>
                    </a:stretch>
                  </pic:blipFill>
                  <pic:spPr>
                    <a:xfrm>
                      <a:off x="0" y="0"/>
                      <a:ext cx="5731200" cy="3048000"/>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spacing w:after="280" w:before="280" w:line="240" w:lineRule="auto"/>
        <w:jc w:val="left"/>
        <w:rPr>
          <w:b w:val="1"/>
          <w:bCs w:val="1"/>
          <w:sz w:val="27"/>
          <w:szCs w:val="27"/>
        </w:rPr>
      </w:pPr>
      <w:r w:rsidDel="00000000" w:rsidR="00000000" w:rsidRPr="00000000">
        <w:rPr>
          <w:b w:val="1"/>
          <w:bCs w:val="1"/>
          <w:sz w:val="27"/>
          <w:szCs w:val="27"/>
          <w:rtl w:val="0"/>
        </w:rPr>
        <w:t xml:space="preserve">Table 1: Core Tools in Active Use (2025–2026)</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22"/>
        <w:gridCol w:w="1300"/>
        <w:gridCol w:w="6094"/>
        <w:tblGridChange w:id="0">
          <w:tblGrid>
            <w:gridCol w:w="1622"/>
            <w:gridCol w:w="1300"/>
            <w:gridCol w:w="6094"/>
          </w:tblGrid>
        </w:tblGridChange>
      </w:tblGrid>
      <w:tr>
        <w:trPr>
          <w:cantSplit w:val="0"/>
          <w:tblHeader w:val="1"/>
        </w:trPr>
        <w:tc>
          <w:tcPr>
            <w:vAlign w:val="center"/>
          </w:tcPr>
          <w:p w:rsidR="00000000" w:rsidDel="00000000" w:rsidP="00000000" w:rsidRDefault="00000000" w:rsidRPr="00000000" w14:paraId="00000032">
            <w:pPr>
              <w:spacing w:after="0" w:line="240" w:lineRule="auto"/>
              <w:jc w:val="center"/>
              <w:rPr>
                <w:b w:val="1"/>
                <w:bCs w:val="1"/>
              </w:rPr>
            </w:pPr>
            <w:r w:rsidDel="00000000" w:rsidR="00000000" w:rsidRPr="00000000">
              <w:rPr>
                <w:b w:val="1"/>
                <w:bCs w:val="1"/>
                <w:rtl w:val="0"/>
              </w:rPr>
              <w:t xml:space="preserve">Tool</w:t>
            </w:r>
          </w:p>
        </w:tc>
        <w:tc>
          <w:tcPr>
            <w:vAlign w:val="center"/>
          </w:tcPr>
          <w:p w:rsidR="00000000" w:rsidDel="00000000" w:rsidP="00000000" w:rsidRDefault="00000000" w:rsidRPr="00000000" w14:paraId="00000033">
            <w:pPr>
              <w:spacing w:after="0" w:line="240" w:lineRule="auto"/>
              <w:jc w:val="center"/>
              <w:rPr>
                <w:b w:val="1"/>
                <w:bCs w:val="1"/>
              </w:rPr>
            </w:pPr>
            <w:r w:rsidDel="00000000" w:rsidR="00000000" w:rsidRPr="00000000">
              <w:rPr>
                <w:b w:val="1"/>
                <w:bCs w:val="1"/>
                <w:rtl w:val="0"/>
              </w:rPr>
              <w:t xml:space="preserve">Type</w:t>
            </w:r>
          </w:p>
        </w:tc>
        <w:tc>
          <w:tcPr>
            <w:vAlign w:val="center"/>
          </w:tcPr>
          <w:p w:rsidR="00000000" w:rsidDel="00000000" w:rsidP="00000000" w:rsidRDefault="00000000" w:rsidRPr="00000000" w14:paraId="00000034">
            <w:pPr>
              <w:spacing w:after="0" w:line="240" w:lineRule="auto"/>
              <w:jc w:val="center"/>
              <w:rPr>
                <w:b w:val="1"/>
                <w:bCs w:val="1"/>
              </w:rPr>
            </w:pPr>
            <w:r w:rsidDel="00000000" w:rsidR="00000000" w:rsidRPr="00000000">
              <w:rPr>
                <w:b w:val="1"/>
                <w:bCs w:val="1"/>
                <w:rtl w:val="0"/>
              </w:rPr>
              <w:t xml:space="preserve">Key Features</w:t>
            </w:r>
          </w:p>
        </w:tc>
      </w:tr>
      <w:tr>
        <w:trPr>
          <w:cantSplit w:val="0"/>
          <w:tblHeader w:val="0"/>
        </w:trPr>
        <w:tc>
          <w:tcPr>
            <w:vAlign w:val="center"/>
          </w:tcPr>
          <w:p w:rsidR="00000000" w:rsidDel="00000000" w:rsidP="00000000" w:rsidRDefault="00000000" w:rsidRPr="00000000" w14:paraId="00000035">
            <w:pPr>
              <w:spacing w:after="0" w:line="240" w:lineRule="auto"/>
              <w:jc w:val="left"/>
              <w:rPr/>
            </w:pPr>
            <w:r w:rsidDel="00000000" w:rsidR="00000000" w:rsidRPr="00000000">
              <w:rPr>
                <w:rtl w:val="0"/>
              </w:rPr>
              <w:t xml:space="preserve">Autopsy</w:t>
            </w:r>
          </w:p>
        </w:tc>
        <w:tc>
          <w:tcPr>
            <w:vAlign w:val="center"/>
          </w:tcPr>
          <w:p w:rsidR="00000000" w:rsidDel="00000000" w:rsidP="00000000" w:rsidRDefault="00000000" w:rsidRPr="00000000" w14:paraId="00000036">
            <w:pPr>
              <w:spacing w:after="0" w:line="240" w:lineRule="auto"/>
              <w:jc w:val="left"/>
              <w:rPr/>
            </w:pPr>
            <w:r w:rsidDel="00000000" w:rsidR="00000000" w:rsidRPr="00000000">
              <w:rPr>
                <w:rtl w:val="0"/>
              </w:rPr>
              <w:t xml:space="preserve">Open-source</w:t>
            </w:r>
          </w:p>
        </w:tc>
        <w:tc>
          <w:tcPr>
            <w:vAlign w:val="center"/>
          </w:tcPr>
          <w:p w:rsidR="00000000" w:rsidDel="00000000" w:rsidP="00000000" w:rsidRDefault="00000000" w:rsidRPr="00000000" w14:paraId="00000037">
            <w:pPr>
              <w:spacing w:after="0" w:line="240" w:lineRule="auto"/>
              <w:jc w:val="left"/>
              <w:rPr/>
            </w:pPr>
            <w:r w:rsidDel="00000000" w:rsidR="00000000" w:rsidRPr="00000000">
              <w:rPr>
                <w:rtl w:val="0"/>
              </w:rPr>
              <w:t xml:space="preserve">Data carving, keyword search, timeline creation, hash validation</w:t>
            </w:r>
          </w:p>
        </w:tc>
      </w:tr>
      <w:tr>
        <w:trPr>
          <w:cantSplit w:val="0"/>
          <w:tblHeader w:val="0"/>
        </w:trPr>
        <w:tc>
          <w:tcPr>
            <w:vAlign w:val="center"/>
          </w:tcPr>
          <w:p w:rsidR="00000000" w:rsidDel="00000000" w:rsidP="00000000" w:rsidRDefault="00000000" w:rsidRPr="00000000" w14:paraId="00000038">
            <w:pPr>
              <w:spacing w:after="0" w:line="240" w:lineRule="auto"/>
              <w:jc w:val="left"/>
              <w:rPr/>
            </w:pPr>
            <w:r w:rsidDel="00000000" w:rsidR="00000000" w:rsidRPr="00000000">
              <w:rPr>
                <w:rtl w:val="0"/>
              </w:rPr>
              <w:t xml:space="preserve">FTK</w:t>
            </w:r>
          </w:p>
        </w:tc>
        <w:tc>
          <w:tcPr>
            <w:vAlign w:val="center"/>
          </w:tcPr>
          <w:p w:rsidR="00000000" w:rsidDel="00000000" w:rsidP="00000000" w:rsidRDefault="00000000" w:rsidRPr="00000000" w14:paraId="00000039">
            <w:pPr>
              <w:spacing w:after="0" w:line="240" w:lineRule="auto"/>
              <w:jc w:val="left"/>
              <w:rPr/>
            </w:pPr>
            <w:r w:rsidDel="00000000" w:rsidR="00000000" w:rsidRPr="00000000">
              <w:rPr>
                <w:rtl w:val="0"/>
              </w:rPr>
              <w:t xml:space="preserve">Commercial</w:t>
            </w:r>
          </w:p>
        </w:tc>
        <w:tc>
          <w:tcPr>
            <w:vAlign w:val="center"/>
          </w:tcPr>
          <w:p w:rsidR="00000000" w:rsidDel="00000000" w:rsidP="00000000" w:rsidRDefault="00000000" w:rsidRPr="00000000" w14:paraId="0000003A">
            <w:pPr>
              <w:spacing w:after="0" w:line="240" w:lineRule="auto"/>
              <w:jc w:val="left"/>
              <w:rPr/>
            </w:pPr>
            <w:r w:rsidDel="00000000" w:rsidR="00000000" w:rsidRPr="00000000">
              <w:rPr>
                <w:rtl w:val="0"/>
              </w:rPr>
              <w:t xml:space="preserve">Fast processing, multi-format compatibility, team collaboration</w:t>
            </w:r>
          </w:p>
        </w:tc>
      </w:tr>
      <w:tr>
        <w:trPr>
          <w:cantSplit w:val="0"/>
          <w:tblHeader w:val="0"/>
        </w:trPr>
        <w:tc>
          <w:tcPr>
            <w:vAlign w:val="center"/>
          </w:tcPr>
          <w:p w:rsidR="00000000" w:rsidDel="00000000" w:rsidP="00000000" w:rsidRDefault="00000000" w:rsidRPr="00000000" w14:paraId="0000003B">
            <w:pPr>
              <w:spacing w:after="0" w:line="240" w:lineRule="auto"/>
              <w:jc w:val="left"/>
              <w:rPr/>
            </w:pPr>
            <w:r w:rsidDel="00000000" w:rsidR="00000000" w:rsidRPr="00000000">
              <w:rPr>
                <w:rtl w:val="0"/>
              </w:rPr>
              <w:t xml:space="preserve">Cellebrite UFED</w:t>
            </w:r>
          </w:p>
        </w:tc>
        <w:tc>
          <w:tcPr>
            <w:vAlign w:val="center"/>
          </w:tcPr>
          <w:p w:rsidR="00000000" w:rsidDel="00000000" w:rsidP="00000000" w:rsidRDefault="00000000" w:rsidRPr="00000000" w14:paraId="0000003C">
            <w:pPr>
              <w:spacing w:after="0" w:line="240" w:lineRule="auto"/>
              <w:jc w:val="left"/>
              <w:rPr/>
            </w:pPr>
            <w:r w:rsidDel="00000000" w:rsidR="00000000" w:rsidRPr="00000000">
              <w:rPr>
                <w:rtl w:val="0"/>
              </w:rPr>
              <w:t xml:space="preserve">Commercial</w:t>
            </w:r>
          </w:p>
        </w:tc>
        <w:tc>
          <w:tcPr>
            <w:vAlign w:val="center"/>
          </w:tcPr>
          <w:p w:rsidR="00000000" w:rsidDel="00000000" w:rsidP="00000000" w:rsidRDefault="00000000" w:rsidRPr="00000000" w14:paraId="0000003D">
            <w:pPr>
              <w:spacing w:after="0" w:line="240" w:lineRule="auto"/>
              <w:jc w:val="left"/>
              <w:rPr/>
            </w:pPr>
            <w:r w:rsidDel="00000000" w:rsidR="00000000" w:rsidRPr="00000000">
              <w:rPr>
                <w:rtl w:val="0"/>
              </w:rPr>
              <w:t xml:space="preserve">Mobile data extraction, cloud access, recovery of deleted files</w:t>
            </w:r>
          </w:p>
        </w:tc>
      </w:tr>
      <w:tr>
        <w:trPr>
          <w:cantSplit w:val="0"/>
          <w:tblHeader w:val="0"/>
        </w:trPr>
        <w:tc>
          <w:tcPr>
            <w:vAlign w:val="center"/>
          </w:tcPr>
          <w:p w:rsidR="00000000" w:rsidDel="00000000" w:rsidP="00000000" w:rsidRDefault="00000000" w:rsidRPr="00000000" w14:paraId="0000003E">
            <w:pPr>
              <w:spacing w:after="0" w:line="240" w:lineRule="auto"/>
              <w:jc w:val="left"/>
              <w:rPr/>
            </w:pPr>
            <w:r w:rsidDel="00000000" w:rsidR="00000000" w:rsidRPr="00000000">
              <w:rPr>
                <w:rtl w:val="0"/>
              </w:rPr>
              <w:t xml:space="preserve">EnCase</w:t>
            </w:r>
          </w:p>
        </w:tc>
        <w:tc>
          <w:tcPr>
            <w:vAlign w:val="center"/>
          </w:tcPr>
          <w:p w:rsidR="00000000" w:rsidDel="00000000" w:rsidP="00000000" w:rsidRDefault="00000000" w:rsidRPr="00000000" w14:paraId="0000003F">
            <w:pPr>
              <w:spacing w:after="0" w:line="240" w:lineRule="auto"/>
              <w:jc w:val="left"/>
              <w:rPr/>
            </w:pPr>
            <w:r w:rsidDel="00000000" w:rsidR="00000000" w:rsidRPr="00000000">
              <w:rPr>
                <w:rtl w:val="0"/>
              </w:rPr>
              <w:t xml:space="preserve">Commercial</w:t>
            </w:r>
          </w:p>
        </w:tc>
        <w:tc>
          <w:tcPr>
            <w:vAlign w:val="center"/>
          </w:tcPr>
          <w:p w:rsidR="00000000" w:rsidDel="00000000" w:rsidP="00000000" w:rsidRDefault="00000000" w:rsidRPr="00000000" w14:paraId="00000040">
            <w:pPr>
              <w:spacing w:after="0" w:line="240" w:lineRule="auto"/>
              <w:jc w:val="left"/>
              <w:rPr/>
            </w:pPr>
            <w:r w:rsidDel="00000000" w:rsidR="00000000" w:rsidRPr="00000000">
              <w:rPr>
                <w:rtl w:val="0"/>
              </w:rPr>
              <w:t xml:space="preserve">Disk imaging, email forensics, legal reporting</w:t>
            </w:r>
          </w:p>
        </w:tc>
      </w:tr>
      <w:tr>
        <w:trPr>
          <w:cantSplit w:val="0"/>
          <w:tblHeader w:val="0"/>
        </w:trPr>
        <w:tc>
          <w:tcPr>
            <w:vAlign w:val="center"/>
          </w:tcPr>
          <w:p w:rsidR="00000000" w:rsidDel="00000000" w:rsidP="00000000" w:rsidRDefault="00000000" w:rsidRPr="00000000" w14:paraId="00000041">
            <w:pPr>
              <w:spacing w:after="0" w:line="240" w:lineRule="auto"/>
              <w:jc w:val="left"/>
              <w:rPr/>
            </w:pPr>
            <w:r w:rsidDel="00000000" w:rsidR="00000000" w:rsidRPr="00000000">
              <w:rPr>
                <w:rtl w:val="0"/>
              </w:rPr>
              <w:t xml:space="preserve">Wireshark</w:t>
            </w:r>
          </w:p>
        </w:tc>
        <w:tc>
          <w:tcPr>
            <w:vAlign w:val="center"/>
          </w:tcPr>
          <w:p w:rsidR="00000000" w:rsidDel="00000000" w:rsidP="00000000" w:rsidRDefault="00000000" w:rsidRPr="00000000" w14:paraId="00000042">
            <w:pPr>
              <w:spacing w:after="0" w:line="240" w:lineRule="auto"/>
              <w:jc w:val="left"/>
              <w:rPr/>
            </w:pPr>
            <w:r w:rsidDel="00000000" w:rsidR="00000000" w:rsidRPr="00000000">
              <w:rPr>
                <w:rtl w:val="0"/>
              </w:rPr>
              <w:t xml:space="preserve">Open-source</w:t>
            </w:r>
          </w:p>
        </w:tc>
        <w:tc>
          <w:tcPr>
            <w:vAlign w:val="center"/>
          </w:tcPr>
          <w:p w:rsidR="00000000" w:rsidDel="00000000" w:rsidP="00000000" w:rsidRDefault="00000000" w:rsidRPr="00000000" w14:paraId="00000043">
            <w:pPr>
              <w:spacing w:after="0" w:line="240" w:lineRule="auto"/>
              <w:jc w:val="left"/>
              <w:rPr/>
            </w:pPr>
            <w:r w:rsidDel="00000000" w:rsidR="00000000" w:rsidRPr="00000000">
              <w:rPr>
                <w:rtl w:val="0"/>
              </w:rPr>
              <w:t xml:space="preserve">Real-time packet capture and protocol inspection</w:t>
            </w:r>
          </w:p>
        </w:tc>
      </w:tr>
      <w:tr>
        <w:trPr>
          <w:cantSplit w:val="0"/>
          <w:tblHeader w:val="0"/>
        </w:trPr>
        <w:tc>
          <w:tcPr>
            <w:vAlign w:val="center"/>
          </w:tcPr>
          <w:p w:rsidR="00000000" w:rsidDel="00000000" w:rsidP="00000000" w:rsidRDefault="00000000" w:rsidRPr="00000000" w14:paraId="00000044">
            <w:pPr>
              <w:spacing w:after="0" w:line="240" w:lineRule="auto"/>
              <w:jc w:val="left"/>
              <w:rPr/>
            </w:pPr>
            <w:r w:rsidDel="00000000" w:rsidR="00000000" w:rsidRPr="00000000">
              <w:rPr>
                <w:rtl w:val="0"/>
              </w:rPr>
              <w:t xml:space="preserve">Belkasoft X</w:t>
            </w:r>
          </w:p>
        </w:tc>
        <w:tc>
          <w:tcPr>
            <w:vAlign w:val="center"/>
          </w:tcPr>
          <w:p w:rsidR="00000000" w:rsidDel="00000000" w:rsidP="00000000" w:rsidRDefault="00000000" w:rsidRPr="00000000" w14:paraId="00000045">
            <w:pPr>
              <w:spacing w:after="0" w:line="240" w:lineRule="auto"/>
              <w:jc w:val="left"/>
              <w:rPr/>
            </w:pPr>
            <w:r w:rsidDel="00000000" w:rsidR="00000000" w:rsidRPr="00000000">
              <w:rPr>
                <w:rtl w:val="0"/>
              </w:rPr>
              <w:t xml:space="preserve">Commercial</w:t>
            </w:r>
          </w:p>
        </w:tc>
        <w:tc>
          <w:tcPr>
            <w:vAlign w:val="center"/>
          </w:tcPr>
          <w:p w:rsidR="00000000" w:rsidDel="00000000" w:rsidP="00000000" w:rsidRDefault="00000000" w:rsidRPr="00000000" w14:paraId="00000046">
            <w:pPr>
              <w:spacing w:after="0" w:line="240" w:lineRule="auto"/>
              <w:jc w:val="left"/>
              <w:rPr/>
            </w:pPr>
            <w:r w:rsidDel="00000000" w:rsidR="00000000" w:rsidRPr="00000000">
              <w:rPr>
                <w:rtl w:val="0"/>
              </w:rPr>
              <w:t xml:space="preserve">AI-powered media analysis, rule-based searching, automated workflows</w:t>
            </w:r>
          </w:p>
        </w:tc>
      </w:tr>
    </w:tbl>
    <w:p w:rsidR="00000000" w:rsidDel="00000000" w:rsidP="00000000" w:rsidRDefault="00000000" w:rsidRPr="00000000" w14:paraId="00000047">
      <w:pPr>
        <w:rPr/>
      </w:pPr>
      <w:r w:rsidDel="00000000" w:rsidR="00000000" w:rsidRPr="00000000">
        <w:rPr>
          <w:rtl w:val="0"/>
        </w:rPr>
        <w:t xml:space="preserve">Modern forensic tools increasingly rely on artificial intelligence for classification, automated evidence processing, and hash verification. These capabilities significantly reduce manual effort while ensuring the integrity of evidence for legal proceedings [2].</w:t>
      </w:r>
    </w:p>
    <w:p w:rsidR="00000000" w:rsidDel="00000000" w:rsidP="00000000" w:rsidRDefault="00000000" w:rsidRPr="00000000" w14:paraId="00000048">
      <w:pPr>
        <w:jc w:val="center"/>
        <w:rPr/>
      </w:pPr>
      <w:r w:rsidDel="00000000" w:rsidR="00000000" w:rsidRPr="00000000">
        <w:rPr/>
        <w:drawing>
          <wp:inline distB="114300" distT="114300" distL="114300" distR="114300">
            <wp:extent cx="3814763" cy="2148180"/>
            <wp:effectExtent b="0" l="0" r="0" t="0"/>
            <wp:docPr id="7"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3814763" cy="2148180"/>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jc w:val="center"/>
        <w:rPr/>
      </w:pPr>
      <w:r w:rsidDel="00000000" w:rsidR="00000000" w:rsidRPr="00000000">
        <w:rPr/>
        <w:drawing>
          <wp:inline distB="114300" distT="114300" distL="114300" distR="114300">
            <wp:extent cx="3801900" cy="2135450"/>
            <wp:effectExtent b="0" l="0" r="0" t="0"/>
            <wp:docPr id="10"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3801900" cy="2135450"/>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spacing w:after="280" w:before="280" w:line="240" w:lineRule="auto"/>
        <w:jc w:val="left"/>
        <w:rPr>
          <w:b w:val="1"/>
          <w:bCs w:val="1"/>
          <w:sz w:val="36"/>
          <w:szCs w:val="36"/>
        </w:rPr>
      </w:pPr>
      <w:r w:rsidDel="00000000" w:rsidR="00000000" w:rsidRPr="00000000">
        <w:rPr>
          <w:b w:val="1"/>
          <w:bCs w:val="1"/>
          <w:sz w:val="36"/>
          <w:szCs w:val="36"/>
          <w:rtl w:val="0"/>
        </w:rPr>
        <w:t xml:space="preserve">2. Digital Forensics and Cybersecurity Intersection</w:t>
      </w:r>
    </w:p>
    <w:p w:rsidR="00000000" w:rsidDel="00000000" w:rsidP="00000000" w:rsidRDefault="00000000" w:rsidRPr="00000000" w14:paraId="0000004B">
      <w:pPr>
        <w:rPr/>
      </w:pPr>
      <w:r w:rsidDel="00000000" w:rsidR="00000000" w:rsidRPr="00000000">
        <w:rPr>
          <w:rtl w:val="0"/>
        </w:rPr>
        <w:t xml:space="preserve">Digital forensics and cybersecurity have become deeply interconnected, forming a unified discipline known as </w:t>
      </w:r>
      <w:r w:rsidDel="00000000" w:rsidR="00000000" w:rsidRPr="00000000">
        <w:rPr>
          <w:b w:val="1"/>
          <w:bCs w:val="1"/>
          <w:rtl w:val="0"/>
        </w:rPr>
        <w:t xml:space="preserve">Digital Forensics and Incident Response (DFIR)</w:t>
      </w:r>
      <w:r w:rsidDel="00000000" w:rsidR="00000000" w:rsidRPr="00000000">
        <w:rPr>
          <w:rtl w:val="0"/>
        </w:rPr>
        <w:t xml:space="preserve">. As cyber threats such as ransomware attacks, insider threats, and data breaches become more sophisticated, organizations are embedding forensic capabilities into their incident response processes to enable real-time investigation and mitigation [3], [4].</w:t>
      </w:r>
    </w:p>
    <w:p w:rsidR="00000000" w:rsidDel="00000000" w:rsidP="00000000" w:rsidRDefault="00000000" w:rsidRPr="00000000" w14:paraId="0000004C">
      <w:pPr>
        <w:spacing w:after="280" w:before="280" w:line="240" w:lineRule="auto"/>
        <w:jc w:val="left"/>
        <w:rPr>
          <w:b w:val="1"/>
          <w:bCs w:val="1"/>
          <w:sz w:val="27"/>
          <w:szCs w:val="27"/>
        </w:rPr>
      </w:pPr>
      <w:r w:rsidDel="00000000" w:rsidR="00000000" w:rsidRPr="00000000">
        <w:rPr>
          <w:b w:val="1"/>
          <w:bCs w:val="1"/>
          <w:sz w:val="27"/>
          <w:szCs w:val="27"/>
          <w:rtl w:val="0"/>
        </w:rPr>
        <w:t xml:space="preserve">Key Areas of Integration</w:t>
      </w:r>
    </w:p>
    <w:p w:rsidR="00000000" w:rsidDel="00000000" w:rsidP="00000000" w:rsidRDefault="00000000" w:rsidRPr="00000000" w14:paraId="0000004D">
      <w:pPr>
        <w:numPr>
          <w:ilvl w:val="0"/>
          <w:numId w:val="2"/>
        </w:numPr>
        <w:spacing w:after="0" w:before="280" w:line="360" w:lineRule="auto"/>
        <w:ind w:left="720" w:hanging="360"/>
        <w:rPr>
          <w:rFonts w:ascii="Noto Sans Symbols" w:cs="Noto Sans Symbols" w:eastAsia="Noto Sans Symbols" w:hAnsi="Noto Sans Symbols"/>
          <w:b w:val="0"/>
          <w:bCs w:val="0"/>
          <w:sz w:val="20"/>
          <w:szCs w:val="20"/>
        </w:rPr>
      </w:pPr>
      <w:r w:rsidDel="00000000" w:rsidR="00000000" w:rsidRPr="00000000">
        <w:rPr>
          <w:b w:val="1"/>
          <w:bCs w:val="1"/>
          <w:rtl w:val="0"/>
        </w:rPr>
        <w:t xml:space="preserve">SIEM Integration:</w:t>
      </w:r>
      <w:r w:rsidDel="00000000" w:rsidR="00000000" w:rsidRPr="00000000">
        <w:rPr>
          <w:rtl w:val="0"/>
        </w:rPr>
        <w:t xml:space="preserve"> Forensic analysts now work alongside Security Information and Event Management systems to monitor and analyse live network activity, allowing early detection of potential threats before full system compromise occurs [4]. </w:t>
      </w:r>
      <w:r w:rsidDel="00000000" w:rsidR="00000000" w:rsidRPr="00000000">
        <w:rPr>
          <w:rtl w:val="0"/>
        </w:rPr>
      </w:r>
    </w:p>
    <w:p w:rsidR="00000000" w:rsidDel="00000000" w:rsidP="00000000" w:rsidRDefault="00000000" w:rsidRPr="00000000" w14:paraId="0000004E">
      <w:pPr>
        <w:numPr>
          <w:ilvl w:val="0"/>
          <w:numId w:val="2"/>
        </w:numPr>
        <w:spacing w:after="0" w:line="360" w:lineRule="auto"/>
        <w:ind w:left="720" w:hanging="360"/>
        <w:rPr>
          <w:rFonts w:ascii="Noto Sans Symbols" w:cs="Noto Sans Symbols" w:eastAsia="Noto Sans Symbols" w:hAnsi="Noto Sans Symbols"/>
          <w:b w:val="0"/>
          <w:bCs w:val="0"/>
          <w:sz w:val="20"/>
          <w:szCs w:val="20"/>
        </w:rPr>
      </w:pPr>
      <w:r w:rsidDel="00000000" w:rsidR="00000000" w:rsidRPr="00000000">
        <w:rPr>
          <w:b w:val="1"/>
          <w:bCs w:val="1"/>
          <w:rtl w:val="0"/>
        </w:rPr>
        <w:t xml:space="preserve">Threat Intelligence Feedback:</w:t>
      </w:r>
      <w:r w:rsidDel="00000000" w:rsidR="00000000" w:rsidRPr="00000000">
        <w:rPr>
          <w:rtl w:val="0"/>
        </w:rPr>
        <w:t xml:space="preserve"> Insights gained from post-incident investigations are fed back into cybersecurity strategies, creating a continuous improvement cycle for defence mechanisms [5]. </w:t>
      </w:r>
      <w:r w:rsidDel="00000000" w:rsidR="00000000" w:rsidRPr="00000000">
        <w:rPr>
          <w:rtl w:val="0"/>
        </w:rPr>
      </w:r>
    </w:p>
    <w:p w:rsidR="00000000" w:rsidDel="00000000" w:rsidP="00000000" w:rsidRDefault="00000000" w:rsidRPr="00000000" w14:paraId="0000004F">
      <w:pPr>
        <w:numPr>
          <w:ilvl w:val="0"/>
          <w:numId w:val="2"/>
        </w:numPr>
        <w:spacing w:after="0" w:line="360" w:lineRule="auto"/>
        <w:ind w:left="720" w:hanging="360"/>
        <w:rPr>
          <w:rFonts w:ascii="Noto Sans Symbols" w:cs="Noto Sans Symbols" w:eastAsia="Noto Sans Symbols" w:hAnsi="Noto Sans Symbols"/>
          <w:b w:val="0"/>
          <w:bCs w:val="0"/>
          <w:sz w:val="20"/>
          <w:szCs w:val="20"/>
        </w:rPr>
      </w:pPr>
      <w:r w:rsidDel="00000000" w:rsidR="00000000" w:rsidRPr="00000000">
        <w:rPr>
          <w:b w:val="1"/>
          <w:bCs w:val="1"/>
          <w:rtl w:val="0"/>
        </w:rPr>
        <w:t xml:space="preserve">Hybrid Skill Roles:</w:t>
      </w:r>
      <w:r w:rsidDel="00000000" w:rsidR="00000000" w:rsidRPr="00000000">
        <w:rPr>
          <w:rtl w:val="0"/>
        </w:rPr>
        <w:t xml:space="preserve"> There is increasing demand for professionals skilled in both forensic investigation and proactive cybersecurity practices, such as vulnerability assessment and evidence acquisition [4]. </w:t>
      </w:r>
      <w:r w:rsidDel="00000000" w:rsidR="00000000" w:rsidRPr="00000000">
        <w:rPr>
          <w:rtl w:val="0"/>
        </w:rPr>
      </w:r>
    </w:p>
    <w:p w:rsidR="00000000" w:rsidDel="00000000" w:rsidP="00000000" w:rsidRDefault="00000000" w:rsidRPr="00000000" w14:paraId="00000050">
      <w:pPr>
        <w:numPr>
          <w:ilvl w:val="0"/>
          <w:numId w:val="2"/>
        </w:numPr>
        <w:spacing w:after="280" w:line="360" w:lineRule="auto"/>
        <w:ind w:left="720" w:hanging="360"/>
        <w:rPr>
          <w:rFonts w:ascii="Noto Sans Symbols" w:cs="Noto Sans Symbols" w:eastAsia="Noto Sans Symbols" w:hAnsi="Noto Sans Symbols"/>
          <w:b w:val="0"/>
          <w:bCs w:val="0"/>
          <w:sz w:val="20"/>
          <w:szCs w:val="20"/>
        </w:rPr>
      </w:pPr>
      <w:r w:rsidDel="00000000" w:rsidR="00000000" w:rsidRPr="00000000">
        <w:rPr>
          <w:b w:val="1"/>
          <w:bCs w:val="1"/>
          <w:rtl w:val="0"/>
        </w:rPr>
        <w:t xml:space="preserve">Forensic Preparedness:</w:t>
      </w:r>
      <w:r w:rsidDel="00000000" w:rsidR="00000000" w:rsidRPr="00000000">
        <w:rPr>
          <w:rtl w:val="0"/>
        </w:rPr>
        <w:t xml:space="preserve"> Organizations are proactively developing forensic readiness strategies to ensure efficient evidence collection and reduced investigation time during incidents. </w:t>
      </w: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The </w:t>
      </w:r>
      <w:r w:rsidDel="00000000" w:rsidR="00000000" w:rsidRPr="00000000">
        <w:rPr>
          <w:b w:val="1"/>
          <w:bCs w:val="1"/>
          <w:rtl w:val="0"/>
        </w:rPr>
        <w:t xml:space="preserve">DSIT Cyber Security Skills Report 2025</w:t>
      </w:r>
      <w:r w:rsidDel="00000000" w:rsidR="00000000" w:rsidRPr="00000000">
        <w:rPr>
          <w:rtl w:val="0"/>
        </w:rPr>
        <w:t xml:space="preserve"> highlights this convergence, noting that around 30% of UK businesses face shortages in skills such as forensic analysis, penetration testing, and malware analysis.</w:t>
      </w:r>
    </w:p>
    <w:p w:rsidR="00000000" w:rsidDel="00000000" w:rsidP="00000000" w:rsidRDefault="00000000" w:rsidRPr="00000000" w14:paraId="00000052">
      <w:pPr>
        <w:spacing w:after="280" w:before="280" w:line="240" w:lineRule="auto"/>
        <w:jc w:val="left"/>
        <w:rPr>
          <w:b w:val="1"/>
          <w:bCs w:val="1"/>
          <w:sz w:val="36"/>
          <w:szCs w:val="36"/>
        </w:rPr>
      </w:pPr>
      <w:r w:rsidDel="00000000" w:rsidR="00000000" w:rsidRPr="00000000">
        <w:rPr>
          <w:b w:val="1"/>
          <w:bCs w:val="1"/>
          <w:sz w:val="36"/>
          <w:szCs w:val="36"/>
          <w:rtl w:val="0"/>
        </w:rPr>
        <w:t xml:space="preserve">3. Emerging Trends in Digital Forensics</w:t>
      </w:r>
    </w:p>
    <w:p w:rsidR="00000000" w:rsidDel="00000000" w:rsidP="00000000" w:rsidRDefault="00000000" w:rsidRPr="00000000" w14:paraId="00000053">
      <w:pPr>
        <w:rPr/>
      </w:pPr>
      <w:r w:rsidDel="00000000" w:rsidR="00000000" w:rsidRPr="00000000">
        <w:rPr>
          <w:rtl w:val="0"/>
        </w:rPr>
        <w:t xml:space="preserve">Several transformative trends are reshaping digital forensic investigations as we move beyond 2025 [6].</w:t>
      </w:r>
    </w:p>
    <w:p w:rsidR="00000000" w:rsidDel="00000000" w:rsidP="00000000" w:rsidRDefault="00000000" w:rsidRPr="00000000" w14:paraId="00000054">
      <w:pPr>
        <w:rPr/>
      </w:pPr>
      <w:r w:rsidDel="00000000" w:rsidR="00000000" w:rsidRPr="00000000">
        <w:rPr/>
        <w:drawing>
          <wp:inline distB="0" distT="0" distL="0" distR="0">
            <wp:extent cx="4943891" cy="5453063"/>
            <wp:effectExtent b="0" l="0" r="0" t="0"/>
            <wp:docPr descr="Future of Cybersecurity - Trends, prediction, operational risks, TrustWare - Wipro" id="9" name="image20.jpg"/>
            <a:graphic>
              <a:graphicData uri="http://schemas.openxmlformats.org/drawingml/2006/picture">
                <pic:pic>
                  <pic:nvPicPr>
                    <pic:cNvPr descr="Future of Cybersecurity - Trends, prediction, operational risks, TrustWare - Wipro" id="0" name="image20.jpg"/>
                    <pic:cNvPicPr preferRelativeResize="0"/>
                  </pic:nvPicPr>
                  <pic:blipFill>
                    <a:blip r:embed="rId10"/>
                    <a:srcRect b="0" l="0" r="0" t="0"/>
                    <a:stretch>
                      <a:fillRect/>
                    </a:stretch>
                  </pic:blipFill>
                  <pic:spPr>
                    <a:xfrm>
                      <a:off x="0" y="0"/>
                      <a:ext cx="4943891" cy="5453063"/>
                    </a:xfrm>
                    <a:prstGeom prst="rect"/>
                    <a:ln/>
                  </pic:spPr>
                </pic:pic>
              </a:graphicData>
            </a:graphic>
          </wp:inline>
        </w:drawing>
      </w:r>
      <w:r w:rsidDel="00000000" w:rsidR="00000000" w:rsidRPr="00000000">
        <w:rPr>
          <w:rtl w:val="0"/>
        </w:rPr>
      </w:r>
    </w:p>
    <w:p w:rsidR="00000000" w:rsidDel="00000000" w:rsidP="00000000" w:rsidRDefault="00000000" w:rsidRPr="00000000" w14:paraId="00000055">
      <w:pPr>
        <w:spacing w:after="280" w:before="280" w:line="240" w:lineRule="auto"/>
        <w:jc w:val="left"/>
        <w:rPr>
          <w:b w:val="1"/>
          <w:bCs w:val="1"/>
          <w:sz w:val="27"/>
          <w:szCs w:val="27"/>
        </w:rPr>
      </w:pPr>
      <w:r w:rsidDel="00000000" w:rsidR="00000000" w:rsidRPr="00000000">
        <w:rPr>
          <w:b w:val="1"/>
          <w:bCs w:val="1"/>
          <w:sz w:val="27"/>
          <w:szCs w:val="27"/>
          <w:rtl w:val="0"/>
        </w:rPr>
        <w:t xml:space="preserve">3.1 Artificial Intelligence and Machine Learning</w:t>
      </w:r>
    </w:p>
    <w:p w:rsidR="00000000" w:rsidDel="00000000" w:rsidP="00000000" w:rsidRDefault="00000000" w:rsidRPr="00000000" w14:paraId="00000056">
      <w:pPr>
        <w:rPr/>
      </w:pPr>
      <w:r w:rsidDel="00000000" w:rsidR="00000000" w:rsidRPr="00000000">
        <w:rPr>
          <w:rtl w:val="0"/>
        </w:rPr>
        <w:t xml:space="preserve">Artificial intelligence has become central to forensic investigations. It enables automated detection of anomalies, identification of illicit content, and discovery of hidden patterns within large datasets. Tasks that previously required extensive manual effort can now be completed efficiently using AI-driven tools. For example, tools like Belkasoft X incorporate AI for facial recognition, content filtering, and advanced rule-based searches.</w:t>
      </w:r>
    </w:p>
    <w:p w:rsidR="00000000" w:rsidDel="00000000" w:rsidP="00000000" w:rsidRDefault="00000000" w:rsidRPr="00000000" w14:paraId="00000057">
      <w:pPr>
        <w:spacing w:after="280" w:before="280" w:line="240" w:lineRule="auto"/>
        <w:jc w:val="left"/>
        <w:rPr>
          <w:b w:val="1"/>
          <w:bCs w:val="1"/>
          <w:sz w:val="27"/>
          <w:szCs w:val="27"/>
        </w:rPr>
      </w:pPr>
      <w:r w:rsidDel="00000000" w:rsidR="00000000" w:rsidRPr="00000000">
        <w:rPr>
          <w:b w:val="1"/>
          <w:bCs w:val="1"/>
          <w:sz w:val="27"/>
          <w:szCs w:val="27"/>
          <w:rtl w:val="0"/>
        </w:rPr>
        <w:t xml:space="preserve">3.2 Cloud Forensics</w:t>
      </w:r>
    </w:p>
    <w:p w:rsidR="00000000" w:rsidDel="00000000" w:rsidP="00000000" w:rsidRDefault="00000000" w:rsidRPr="00000000" w14:paraId="00000058">
      <w:pPr>
        <w:rPr/>
      </w:pPr>
      <w:r w:rsidDel="00000000" w:rsidR="00000000" w:rsidRPr="00000000">
        <w:rPr>
          <w:rtl w:val="0"/>
        </w:rPr>
        <w:t xml:space="preserve">With more than 60% of global data expected to be stored in cloud environments by 2025, forensic investigations must adapt to multi-cloud infrastructures. This introduces challenges related to jurisdiction, data access, and legal compliance. As a result, there is increasing emphasis on standardising cloud forensic methodologies and enhancing international cooperation.</w:t>
      </w:r>
    </w:p>
    <w:p w:rsidR="00000000" w:rsidDel="00000000" w:rsidP="00000000" w:rsidRDefault="00000000" w:rsidRPr="00000000" w14:paraId="00000059">
      <w:pPr>
        <w:spacing w:after="280" w:before="280" w:line="240" w:lineRule="auto"/>
        <w:jc w:val="left"/>
        <w:rPr>
          <w:b w:val="1"/>
          <w:bCs w:val="1"/>
          <w:sz w:val="27"/>
          <w:szCs w:val="27"/>
        </w:rPr>
      </w:pPr>
      <w:r w:rsidDel="00000000" w:rsidR="00000000" w:rsidRPr="00000000">
        <w:rPr>
          <w:b w:val="1"/>
          <w:bCs w:val="1"/>
          <w:sz w:val="27"/>
          <w:szCs w:val="27"/>
          <w:rtl w:val="0"/>
        </w:rPr>
        <w:t xml:space="preserve">3.3 Deepfake Detection</w:t>
      </w:r>
    </w:p>
    <w:p w:rsidR="00000000" w:rsidDel="00000000" w:rsidP="00000000" w:rsidRDefault="00000000" w:rsidRPr="00000000" w14:paraId="0000005A">
      <w:pPr>
        <w:rPr/>
      </w:pPr>
      <w:r w:rsidDel="00000000" w:rsidR="00000000" w:rsidRPr="00000000">
        <w:rPr>
          <w:rtl w:val="0"/>
        </w:rPr>
        <w:t xml:space="preserve">The rise of AI-generated media presents significant risks to evidence authenticity. Investigators must now employ advanced verification techniques to detect manipulated audio and video content, ensuring that digital evidence remains credible in legal contexts.</w:t>
      </w:r>
    </w:p>
    <w:p w:rsidR="00000000" w:rsidDel="00000000" w:rsidP="00000000" w:rsidRDefault="00000000" w:rsidRPr="00000000" w14:paraId="0000005B">
      <w:pPr>
        <w:spacing w:after="280" w:before="280" w:line="240" w:lineRule="auto"/>
        <w:jc w:val="left"/>
        <w:rPr>
          <w:b w:val="1"/>
          <w:bCs w:val="1"/>
          <w:sz w:val="27"/>
          <w:szCs w:val="27"/>
        </w:rPr>
      </w:pPr>
      <w:r w:rsidDel="00000000" w:rsidR="00000000" w:rsidRPr="00000000">
        <w:rPr>
          <w:b w:val="1"/>
          <w:bCs w:val="1"/>
          <w:sz w:val="27"/>
          <w:szCs w:val="27"/>
          <w:rtl w:val="0"/>
        </w:rPr>
        <w:t xml:space="preserve">3.4 IoT and Mobile Forensics</w:t>
      </w:r>
    </w:p>
    <w:p w:rsidR="00000000" w:rsidDel="00000000" w:rsidP="00000000" w:rsidRDefault="00000000" w:rsidRPr="00000000" w14:paraId="0000005C">
      <w:pPr>
        <w:rPr/>
      </w:pPr>
      <w:r w:rsidDel="00000000" w:rsidR="00000000" w:rsidRPr="00000000">
        <w:rPr>
          <w:rtl w:val="0"/>
        </w:rPr>
        <w:t xml:space="preserve">Smartphones and Internet of Things (IoT) devices, such as wearable technology and smart home systems, have become critical sources of digital evidence. However, their diverse operating systems, limited storage capacity, and rapid data volatility require specialised forensic tools and faster evidence acquisition techniques [7].</w:t>
      </w:r>
    </w:p>
    <w:p w:rsidR="00000000" w:rsidDel="00000000" w:rsidP="00000000" w:rsidRDefault="00000000" w:rsidRPr="00000000" w14:paraId="0000005D">
      <w:pPr>
        <w:spacing w:after="280" w:before="280" w:line="240" w:lineRule="auto"/>
        <w:jc w:val="left"/>
        <w:rPr>
          <w:b w:val="1"/>
          <w:bCs w:val="1"/>
          <w:sz w:val="27"/>
          <w:szCs w:val="27"/>
        </w:rPr>
      </w:pPr>
      <w:r w:rsidDel="00000000" w:rsidR="00000000" w:rsidRPr="00000000">
        <w:rPr>
          <w:b w:val="1"/>
          <w:bCs w:val="1"/>
          <w:sz w:val="27"/>
          <w:szCs w:val="27"/>
          <w:rtl w:val="0"/>
        </w:rPr>
        <w:t xml:space="preserve">3.5 Quantum Computing</w:t>
      </w:r>
    </w:p>
    <w:p w:rsidR="00000000" w:rsidDel="00000000" w:rsidP="00000000" w:rsidRDefault="00000000" w:rsidRPr="00000000" w14:paraId="0000005E">
      <w:pPr>
        <w:rPr/>
      </w:pPr>
      <w:r w:rsidDel="00000000" w:rsidR="00000000" w:rsidRPr="00000000">
        <w:rPr>
          <w:rtl w:val="0"/>
        </w:rPr>
        <w:t xml:space="preserve">Quantum computing is beginning to influence digital forensics in two contrasting ways: it offers potential capabilities for breaking complex encryption while also driving the development of quantum-resistant cryptographic systems. Forensic professionals must understand both aspects to remain effective in future investigations [6].</w:t>
      </w:r>
    </w:p>
    <w:p w:rsidR="00000000" w:rsidDel="00000000" w:rsidP="00000000" w:rsidRDefault="00000000" w:rsidRPr="00000000" w14:paraId="0000005F">
      <w:pPr>
        <w:spacing w:after="0" w:line="240" w:lineRule="auto"/>
        <w:jc w:val="left"/>
        <w:rPr/>
      </w:pPr>
      <w:r w:rsidDel="00000000" w:rsidR="00000000" w:rsidRPr="00000000">
        <w:rPr>
          <w:rtl w:val="0"/>
        </w:rPr>
      </w:r>
    </w:p>
    <w:p w:rsidR="00000000" w:rsidDel="00000000" w:rsidP="00000000" w:rsidRDefault="00000000" w:rsidRPr="00000000" w14:paraId="00000060">
      <w:pPr>
        <w:spacing w:after="280" w:before="280" w:line="240" w:lineRule="auto"/>
        <w:jc w:val="left"/>
        <w:rPr>
          <w:b w:val="1"/>
          <w:bCs w:val="1"/>
          <w:sz w:val="36"/>
          <w:szCs w:val="36"/>
        </w:rPr>
      </w:pPr>
      <w:r w:rsidDel="00000000" w:rsidR="00000000" w:rsidRPr="00000000">
        <w:rPr>
          <w:b w:val="1"/>
          <w:bCs w:val="1"/>
          <w:sz w:val="36"/>
          <w:szCs w:val="36"/>
          <w:rtl w:val="0"/>
        </w:rPr>
        <w:t xml:space="preserve">4. Key Challenges</w:t>
      </w:r>
    </w:p>
    <w:p w:rsidR="00000000" w:rsidDel="00000000" w:rsidP="00000000" w:rsidRDefault="00000000" w:rsidRPr="00000000" w14:paraId="00000061">
      <w:pPr>
        <w:rPr/>
      </w:pPr>
      <w:r w:rsidDel="00000000" w:rsidR="00000000" w:rsidRPr="00000000">
        <w:rPr>
          <w:rtl w:val="0"/>
        </w:rPr>
        <w:t xml:space="preserve">Despite technological advancements, digital forensics faces several ongoing challenges:</w:t>
      </w:r>
    </w:p>
    <w:p w:rsidR="00000000" w:rsidDel="00000000" w:rsidP="00000000" w:rsidRDefault="00000000" w:rsidRPr="00000000" w14:paraId="00000062">
      <w:pPr>
        <w:numPr>
          <w:ilvl w:val="0"/>
          <w:numId w:val="1"/>
        </w:numPr>
        <w:spacing w:after="0" w:before="280" w:line="360" w:lineRule="auto"/>
        <w:ind w:left="720" w:hanging="360"/>
        <w:rPr>
          <w:rFonts w:ascii="Noto Sans Symbols" w:cs="Noto Sans Symbols" w:eastAsia="Noto Sans Symbols" w:hAnsi="Noto Sans Symbols"/>
          <w:b w:val="0"/>
          <w:bCs w:val="0"/>
          <w:sz w:val="20"/>
          <w:szCs w:val="20"/>
        </w:rPr>
      </w:pPr>
      <w:r w:rsidDel="00000000" w:rsidR="00000000" w:rsidRPr="00000000">
        <w:rPr>
          <w:b w:val="1"/>
          <w:bCs w:val="1"/>
          <w:rtl w:val="0"/>
        </w:rPr>
        <w:t xml:space="preserve">Encryption and Anti-Forensics:</w:t>
      </w:r>
      <w:r w:rsidDel="00000000" w:rsidR="00000000" w:rsidRPr="00000000">
        <w:rPr>
          <w:rtl w:val="0"/>
        </w:rPr>
        <w:t xml:space="preserve"> Technologies such as end-to-end encryption (e.g., WhatsApp and Signal) and full-disk encryption limit access to critical evidence without decryption keys. </w:t>
      </w:r>
      <w:r w:rsidDel="00000000" w:rsidR="00000000" w:rsidRPr="00000000">
        <w:rPr>
          <w:rtl w:val="0"/>
        </w:rPr>
      </w:r>
    </w:p>
    <w:p w:rsidR="00000000" w:rsidDel="00000000" w:rsidP="00000000" w:rsidRDefault="00000000" w:rsidRPr="00000000" w14:paraId="00000063">
      <w:pPr>
        <w:numPr>
          <w:ilvl w:val="0"/>
          <w:numId w:val="1"/>
        </w:numPr>
        <w:spacing w:after="0" w:line="360" w:lineRule="auto"/>
        <w:ind w:left="720" w:hanging="360"/>
        <w:rPr>
          <w:rFonts w:ascii="Noto Sans Symbols" w:cs="Noto Sans Symbols" w:eastAsia="Noto Sans Symbols" w:hAnsi="Noto Sans Symbols"/>
          <w:b w:val="0"/>
          <w:bCs w:val="0"/>
          <w:sz w:val="20"/>
          <w:szCs w:val="20"/>
        </w:rPr>
      </w:pPr>
      <w:r w:rsidDel="00000000" w:rsidR="00000000" w:rsidRPr="00000000">
        <w:rPr>
          <w:b w:val="1"/>
          <w:bCs w:val="1"/>
          <w:rtl w:val="0"/>
        </w:rPr>
        <w:t xml:space="preserve">Data Volume and Diversity:</w:t>
      </w:r>
      <w:r w:rsidDel="00000000" w:rsidR="00000000" w:rsidRPr="00000000">
        <w:rPr>
          <w:rtl w:val="0"/>
        </w:rPr>
        <w:t xml:space="preserve"> Evidence is now distributed across multiple platforms, including mobile devices, cloud services, social media, blockchain, and IoT systems, making analysis more complex. </w:t>
      </w:r>
      <w:r w:rsidDel="00000000" w:rsidR="00000000" w:rsidRPr="00000000">
        <w:rPr>
          <w:rtl w:val="0"/>
        </w:rPr>
      </w:r>
    </w:p>
    <w:p w:rsidR="00000000" w:rsidDel="00000000" w:rsidP="00000000" w:rsidRDefault="00000000" w:rsidRPr="00000000" w14:paraId="00000064">
      <w:pPr>
        <w:numPr>
          <w:ilvl w:val="0"/>
          <w:numId w:val="1"/>
        </w:numPr>
        <w:spacing w:after="0" w:line="360" w:lineRule="auto"/>
        <w:ind w:left="720" w:hanging="360"/>
        <w:rPr>
          <w:rFonts w:ascii="Noto Sans Symbols" w:cs="Noto Sans Symbols" w:eastAsia="Noto Sans Symbols" w:hAnsi="Noto Sans Symbols"/>
          <w:b w:val="0"/>
          <w:bCs w:val="0"/>
          <w:sz w:val="20"/>
          <w:szCs w:val="20"/>
        </w:rPr>
      </w:pPr>
      <w:r w:rsidDel="00000000" w:rsidR="00000000" w:rsidRPr="00000000">
        <w:rPr>
          <w:b w:val="1"/>
          <w:bCs w:val="1"/>
          <w:rtl w:val="0"/>
        </w:rPr>
        <w:t xml:space="preserve">Cross-Border Legal Issues:</w:t>
      </w:r>
      <w:r w:rsidDel="00000000" w:rsidR="00000000" w:rsidRPr="00000000">
        <w:rPr>
          <w:rtl w:val="0"/>
        </w:rPr>
        <w:t xml:space="preserve"> Data stored in different jurisdictions often requires lengthy legal processes, increasing the risk of evidence loss. </w:t>
      </w:r>
      <w:r w:rsidDel="00000000" w:rsidR="00000000" w:rsidRPr="00000000">
        <w:rPr>
          <w:rtl w:val="0"/>
        </w:rPr>
      </w:r>
    </w:p>
    <w:p w:rsidR="00000000" w:rsidDel="00000000" w:rsidP="00000000" w:rsidRDefault="00000000" w:rsidRPr="00000000" w14:paraId="00000065">
      <w:pPr>
        <w:numPr>
          <w:ilvl w:val="0"/>
          <w:numId w:val="1"/>
        </w:numPr>
        <w:spacing w:after="0" w:line="360" w:lineRule="auto"/>
        <w:ind w:left="720" w:hanging="360"/>
        <w:rPr>
          <w:rFonts w:ascii="Noto Sans Symbols" w:cs="Noto Sans Symbols" w:eastAsia="Noto Sans Symbols" w:hAnsi="Noto Sans Symbols"/>
          <w:b w:val="0"/>
          <w:bCs w:val="0"/>
          <w:sz w:val="20"/>
          <w:szCs w:val="20"/>
        </w:rPr>
      </w:pPr>
      <w:r w:rsidDel="00000000" w:rsidR="00000000" w:rsidRPr="00000000">
        <w:rPr>
          <w:b w:val="1"/>
          <w:bCs w:val="1"/>
          <w:rtl w:val="0"/>
        </w:rPr>
        <w:t xml:space="preserve">Deepfake Threats:</w:t>
      </w:r>
      <w:r w:rsidDel="00000000" w:rsidR="00000000" w:rsidRPr="00000000">
        <w:rPr>
          <w:rtl w:val="0"/>
        </w:rPr>
        <w:t xml:space="preserve"> The growing sophistication of AI-generated content raises concerns about the reliability and admissibility of digital evidence. </w:t>
      </w:r>
      <w:r w:rsidDel="00000000" w:rsidR="00000000" w:rsidRPr="00000000">
        <w:rPr>
          <w:rtl w:val="0"/>
        </w:rPr>
      </w:r>
    </w:p>
    <w:p w:rsidR="00000000" w:rsidDel="00000000" w:rsidP="00000000" w:rsidRDefault="00000000" w:rsidRPr="00000000" w14:paraId="00000066">
      <w:pPr>
        <w:numPr>
          <w:ilvl w:val="0"/>
          <w:numId w:val="1"/>
        </w:numPr>
        <w:spacing w:after="0" w:line="360" w:lineRule="auto"/>
        <w:ind w:left="720" w:hanging="360"/>
        <w:rPr>
          <w:rFonts w:ascii="Noto Sans Symbols" w:cs="Noto Sans Symbols" w:eastAsia="Noto Sans Symbols" w:hAnsi="Noto Sans Symbols"/>
          <w:b w:val="0"/>
          <w:bCs w:val="0"/>
          <w:sz w:val="20"/>
          <w:szCs w:val="20"/>
        </w:rPr>
      </w:pPr>
      <w:r w:rsidDel="00000000" w:rsidR="00000000" w:rsidRPr="00000000">
        <w:rPr>
          <w:b w:val="1"/>
          <w:bCs w:val="1"/>
          <w:rtl w:val="0"/>
        </w:rPr>
        <w:t xml:space="preserve">Standards and Accreditation:</w:t>
      </w:r>
      <w:r w:rsidDel="00000000" w:rsidR="00000000" w:rsidRPr="00000000">
        <w:rPr>
          <w:rtl w:val="0"/>
        </w:rPr>
        <w:t xml:space="preserve"> Variations in forensic procedures and compliance standards (e.g., ISO/IEC 27037) create inconsistencies across regions. </w:t>
      </w:r>
      <w:r w:rsidDel="00000000" w:rsidR="00000000" w:rsidRPr="00000000">
        <w:rPr>
          <w:rtl w:val="0"/>
        </w:rPr>
      </w:r>
    </w:p>
    <w:p w:rsidR="00000000" w:rsidDel="00000000" w:rsidP="00000000" w:rsidRDefault="00000000" w:rsidRPr="00000000" w14:paraId="00000067">
      <w:pPr>
        <w:numPr>
          <w:ilvl w:val="0"/>
          <w:numId w:val="1"/>
        </w:numPr>
        <w:spacing w:after="280" w:line="360" w:lineRule="auto"/>
        <w:ind w:left="720" w:hanging="360"/>
        <w:rPr>
          <w:rFonts w:ascii="Noto Sans Symbols" w:cs="Noto Sans Symbols" w:eastAsia="Noto Sans Symbols" w:hAnsi="Noto Sans Symbols"/>
          <w:b w:val="0"/>
          <w:bCs w:val="0"/>
          <w:sz w:val="20"/>
          <w:szCs w:val="20"/>
        </w:rPr>
      </w:pPr>
      <w:r w:rsidDel="00000000" w:rsidR="00000000" w:rsidRPr="00000000">
        <w:rPr>
          <w:b w:val="1"/>
          <w:bCs w:val="1"/>
          <w:rtl w:val="0"/>
        </w:rPr>
        <w:t xml:space="preserve">Skills Shortage in AI:</w:t>
      </w:r>
      <w:r w:rsidDel="00000000" w:rsidR="00000000" w:rsidRPr="00000000">
        <w:rPr>
          <w:rtl w:val="0"/>
        </w:rPr>
        <w:t xml:space="preserve"> There is a widening gap between the demand for AI expertise and the availability of skilled professionals. </w:t>
      </w:r>
      <w:r w:rsidDel="00000000" w:rsidR="00000000" w:rsidRPr="00000000">
        <w:rPr>
          <w:rtl w:val="0"/>
        </w:rPr>
      </w:r>
    </w:p>
    <w:p w:rsidR="00000000" w:rsidDel="00000000" w:rsidP="00000000" w:rsidRDefault="00000000" w:rsidRPr="00000000" w14:paraId="00000068">
      <w:pPr>
        <w:spacing w:after="280" w:before="280" w:line="240" w:lineRule="auto"/>
        <w:jc w:val="left"/>
        <w:rPr>
          <w:b w:val="1"/>
          <w:bCs w:val="1"/>
          <w:sz w:val="36"/>
          <w:szCs w:val="36"/>
        </w:rPr>
      </w:pPr>
      <w:r w:rsidDel="00000000" w:rsidR="00000000" w:rsidRPr="00000000">
        <w:rPr>
          <w:b w:val="1"/>
          <w:bCs w:val="1"/>
          <w:sz w:val="36"/>
          <w:szCs w:val="36"/>
          <w:rtl w:val="0"/>
        </w:rPr>
        <w:t xml:space="preserve">5. Job Market: National and International Perspective</w:t>
      </w:r>
    </w:p>
    <w:p w:rsidR="00000000" w:rsidDel="00000000" w:rsidP="00000000" w:rsidRDefault="00000000" w:rsidRPr="00000000" w14:paraId="00000069">
      <w:pPr>
        <w:spacing w:after="280" w:before="280" w:line="240" w:lineRule="auto"/>
        <w:jc w:val="center"/>
        <w:rPr>
          <w:b w:val="1"/>
          <w:bCs w:val="1"/>
          <w:sz w:val="36"/>
          <w:szCs w:val="36"/>
        </w:rPr>
      </w:pPr>
      <w:bookmarkStart w:colFirst="0" w:colLast="0" w:name="_pn2h41e14gpq" w:id="5"/>
      <w:bookmarkEnd w:id="5"/>
      <w:r w:rsidDel="00000000" w:rsidR="00000000" w:rsidRPr="00000000">
        <w:rPr/>
        <w:drawing>
          <wp:inline distB="0" distT="0" distL="0" distR="0">
            <wp:extent cx="4769623" cy="2941778"/>
            <wp:effectExtent b="0" l="0" r="0" t="0"/>
            <wp:docPr descr="Infographic design template with cyber security keywords and icons" id="12" name="image15.jpg"/>
            <a:graphic>
              <a:graphicData uri="http://schemas.openxmlformats.org/drawingml/2006/picture">
                <pic:pic>
                  <pic:nvPicPr>
                    <pic:cNvPr descr="Infographic design template with cyber security keywords and icons" id="0" name="image15.jpg"/>
                    <pic:cNvPicPr preferRelativeResize="0"/>
                  </pic:nvPicPr>
                  <pic:blipFill>
                    <a:blip r:embed="rId11"/>
                    <a:srcRect b="0" l="0" r="0" t="0"/>
                    <a:stretch>
                      <a:fillRect/>
                    </a:stretch>
                  </pic:blipFill>
                  <pic:spPr>
                    <a:xfrm>
                      <a:off x="0" y="0"/>
                      <a:ext cx="4769623" cy="2941778"/>
                    </a:xfrm>
                    <a:prstGeom prst="rect"/>
                    <a:ln/>
                  </pic:spPr>
                </pic:pic>
              </a:graphicData>
            </a:graphic>
          </wp:inline>
        </w:drawing>
      </w:r>
      <w:r w:rsidDel="00000000" w:rsidR="00000000" w:rsidRPr="00000000">
        <w:rPr>
          <w:rtl w:val="0"/>
        </w:rPr>
      </w:r>
    </w:p>
    <w:p w:rsidR="00000000" w:rsidDel="00000000" w:rsidP="00000000" w:rsidRDefault="00000000" w:rsidRPr="00000000" w14:paraId="0000006A">
      <w:pPr>
        <w:spacing w:after="280" w:before="280" w:line="240" w:lineRule="auto"/>
        <w:jc w:val="left"/>
        <w:rPr>
          <w:b w:val="1"/>
          <w:bCs w:val="1"/>
          <w:sz w:val="27"/>
          <w:szCs w:val="27"/>
        </w:rPr>
      </w:pPr>
      <w:r w:rsidDel="00000000" w:rsidR="00000000" w:rsidRPr="00000000">
        <w:rPr>
          <w:b w:val="1"/>
          <w:bCs w:val="1"/>
          <w:sz w:val="27"/>
          <w:szCs w:val="27"/>
          <w:rtl w:val="0"/>
        </w:rPr>
        <w:t xml:space="preserve">5.1 UK Market</w:t>
      </w:r>
    </w:p>
    <w:p w:rsidR="00000000" w:rsidDel="00000000" w:rsidP="00000000" w:rsidRDefault="00000000" w:rsidRPr="00000000" w14:paraId="0000006B">
      <w:pPr>
        <w:rPr/>
      </w:pPr>
      <w:r w:rsidDel="00000000" w:rsidR="00000000" w:rsidRPr="00000000">
        <w:rPr>
          <w:rtl w:val="0"/>
        </w:rPr>
        <w:t xml:space="preserve">The UK cybersecurity workforce is estimated at approximately 143,000 professionals, growing annually by around 5%, according to the DSIT Cyber Security Skills Report 2025. However, entry-level opportunities remain limited, with 63% of job postings requiring mid-level experience (2–6 years).</w:t>
      </w:r>
    </w:p>
    <w:p w:rsidR="00000000" w:rsidDel="00000000" w:rsidP="00000000" w:rsidRDefault="00000000" w:rsidRPr="00000000" w14:paraId="0000006C">
      <w:pPr>
        <w:spacing w:after="280" w:before="280" w:line="240" w:lineRule="auto"/>
        <w:jc w:val="left"/>
        <w:rPr/>
      </w:pPr>
      <w:r w:rsidDel="00000000" w:rsidR="00000000" w:rsidRPr="00000000">
        <w:rPr>
          <w:rtl w:val="0"/>
        </w:rPr>
        <w:t xml:space="preserve">In digital forensics specifically [8]:</w:t>
      </w:r>
    </w:p>
    <w:p w:rsidR="00000000" w:rsidDel="00000000" w:rsidP="00000000" w:rsidRDefault="00000000" w:rsidRPr="00000000" w14:paraId="0000006D">
      <w:pPr>
        <w:numPr>
          <w:ilvl w:val="0"/>
          <w:numId w:val="10"/>
        </w:numPr>
        <w:spacing w:after="0" w:before="280" w:line="240" w:lineRule="auto"/>
        <w:ind w:left="720" w:hanging="360"/>
        <w:jc w:val="left"/>
        <w:rPr>
          <w:rFonts w:ascii="Noto Sans Symbols" w:cs="Noto Sans Symbols" w:eastAsia="Noto Sans Symbols" w:hAnsi="Noto Sans Symbols"/>
          <w:b w:val="0"/>
          <w:bCs w:val="0"/>
          <w:sz w:val="20"/>
          <w:szCs w:val="20"/>
        </w:rPr>
      </w:pPr>
      <w:r w:rsidDel="00000000" w:rsidR="00000000" w:rsidRPr="00000000">
        <w:rPr>
          <w:b w:val="1"/>
          <w:bCs w:val="1"/>
          <w:rtl w:val="0"/>
        </w:rPr>
        <w:t xml:space="preserve">Average Salary:</w:t>
      </w:r>
      <w:r w:rsidDel="00000000" w:rsidR="00000000" w:rsidRPr="00000000">
        <w:rPr>
          <w:rtl w:val="0"/>
        </w:rPr>
        <w:t xml:space="preserve"> £60,000 </w:t>
      </w:r>
      <w:r w:rsidDel="00000000" w:rsidR="00000000" w:rsidRPr="00000000">
        <w:rPr>
          <w:rtl w:val="0"/>
        </w:rPr>
      </w:r>
    </w:p>
    <w:p w:rsidR="00000000" w:rsidDel="00000000" w:rsidP="00000000" w:rsidRDefault="00000000" w:rsidRPr="00000000" w14:paraId="0000006E">
      <w:pPr>
        <w:numPr>
          <w:ilvl w:val="0"/>
          <w:numId w:val="10"/>
        </w:numPr>
        <w:spacing w:after="0" w:line="240" w:lineRule="auto"/>
        <w:ind w:left="720" w:hanging="360"/>
        <w:jc w:val="left"/>
        <w:rPr>
          <w:rFonts w:ascii="Noto Sans Symbols" w:cs="Noto Sans Symbols" w:eastAsia="Noto Sans Symbols" w:hAnsi="Noto Sans Symbols"/>
          <w:b w:val="0"/>
          <w:bCs w:val="0"/>
          <w:sz w:val="20"/>
          <w:szCs w:val="20"/>
        </w:rPr>
      </w:pPr>
      <w:r w:rsidDel="00000000" w:rsidR="00000000" w:rsidRPr="00000000">
        <w:rPr>
          <w:b w:val="1"/>
          <w:bCs w:val="1"/>
          <w:rtl w:val="0"/>
        </w:rPr>
        <w:t xml:space="preserve">London Median Salary:</w:t>
      </w:r>
      <w:r w:rsidDel="00000000" w:rsidR="00000000" w:rsidRPr="00000000">
        <w:rPr>
          <w:rtl w:val="0"/>
        </w:rPr>
        <w:t xml:space="preserve"> £67,500 </w:t>
      </w:r>
      <w:r w:rsidDel="00000000" w:rsidR="00000000" w:rsidRPr="00000000">
        <w:rPr>
          <w:rtl w:val="0"/>
        </w:rPr>
      </w:r>
    </w:p>
    <w:p w:rsidR="00000000" w:rsidDel="00000000" w:rsidP="00000000" w:rsidRDefault="00000000" w:rsidRPr="00000000" w14:paraId="0000006F">
      <w:pPr>
        <w:numPr>
          <w:ilvl w:val="0"/>
          <w:numId w:val="10"/>
        </w:numPr>
        <w:spacing w:after="280" w:line="240" w:lineRule="auto"/>
        <w:ind w:left="720" w:hanging="360"/>
        <w:jc w:val="left"/>
        <w:rPr>
          <w:rFonts w:ascii="Noto Sans Symbols" w:cs="Noto Sans Symbols" w:eastAsia="Noto Sans Symbols" w:hAnsi="Noto Sans Symbols"/>
          <w:b w:val="0"/>
          <w:bCs w:val="0"/>
          <w:sz w:val="20"/>
          <w:szCs w:val="20"/>
        </w:rPr>
      </w:pPr>
      <w:r w:rsidDel="00000000" w:rsidR="00000000" w:rsidRPr="00000000">
        <w:rPr>
          <w:b w:val="1"/>
          <w:bCs w:val="1"/>
          <w:rtl w:val="0"/>
        </w:rPr>
        <w:t xml:space="preserve">Outside London:</w:t>
      </w:r>
      <w:r w:rsidDel="00000000" w:rsidR="00000000" w:rsidRPr="00000000">
        <w:rPr>
          <w:rtl w:val="0"/>
        </w:rPr>
        <w:t xml:space="preserve"> £50,000 </w:t>
      </w: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Only 8% of UK cybersecurity firms employ digital forensic specialists, indicating a significant talent shortage in this area.</w:t>
      </w:r>
    </w:p>
    <w:p w:rsidR="00000000" w:rsidDel="00000000" w:rsidP="00000000" w:rsidRDefault="00000000" w:rsidRPr="00000000" w14:paraId="00000071">
      <w:pPr>
        <w:rPr/>
      </w:pPr>
      <w:r w:rsidDel="00000000" w:rsidR="00000000" w:rsidRPr="00000000">
        <w:rPr>
          <w:rtl w:val="0"/>
        </w:rPr>
        <w:t xml:space="preserve">Although overall cybersecurity job postings declined by 33% in 2023, advanced skills in digital forensics and cryptography remain in high demand.</w:t>
      </w:r>
    </w:p>
    <w:p w:rsidR="00000000" w:rsidDel="00000000" w:rsidP="00000000" w:rsidRDefault="00000000" w:rsidRPr="00000000" w14:paraId="00000072">
      <w:pPr>
        <w:spacing w:after="280" w:before="280" w:line="240" w:lineRule="auto"/>
        <w:jc w:val="left"/>
        <w:rPr>
          <w:b w:val="1"/>
          <w:bCs w:val="1"/>
          <w:sz w:val="27"/>
          <w:szCs w:val="27"/>
        </w:rPr>
      </w:pPr>
      <w:r w:rsidDel="00000000" w:rsidR="00000000" w:rsidRPr="00000000">
        <w:rPr>
          <w:b w:val="1"/>
          <w:bCs w:val="1"/>
          <w:sz w:val="27"/>
          <w:szCs w:val="27"/>
          <w:rtl w:val="0"/>
        </w:rPr>
        <w:t xml:space="preserve">5.2 International Market</w:t>
      </w:r>
    </w:p>
    <w:p w:rsidR="00000000" w:rsidDel="00000000" w:rsidP="00000000" w:rsidRDefault="00000000" w:rsidRPr="00000000" w14:paraId="00000073">
      <w:pPr>
        <w:rPr/>
      </w:pPr>
      <w:r w:rsidDel="00000000" w:rsidR="00000000" w:rsidRPr="00000000">
        <w:rPr>
          <w:rtl w:val="0"/>
        </w:rPr>
        <w:t xml:space="preserve">Globally, the digital forensics industry is expected to grow significantly, reaching USD 53.65 billion by 2035. Demand for DFIR professionals, forensic analysts, and cybersecurity experts is particularly strong in regions such as the United States, the United Kingdom, Europe, Australia, and the Gulf countries [9].</w:t>
      </w:r>
    </w:p>
    <w:p w:rsidR="00000000" w:rsidDel="00000000" w:rsidP="00000000" w:rsidRDefault="00000000" w:rsidRPr="00000000" w14:paraId="00000074">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75">
      <w:pPr>
        <w:spacing w:after="280" w:before="280" w:line="240" w:lineRule="auto"/>
        <w:jc w:val="left"/>
        <w:rPr>
          <w:b w:val="1"/>
          <w:bCs w:val="1"/>
          <w:sz w:val="36"/>
          <w:szCs w:val="36"/>
        </w:rPr>
      </w:pPr>
      <w:r w:rsidDel="00000000" w:rsidR="00000000" w:rsidRPr="00000000">
        <w:rPr>
          <w:b w:val="1"/>
          <w:bCs w:val="1"/>
          <w:sz w:val="36"/>
          <w:szCs w:val="36"/>
          <w:rtl w:val="0"/>
        </w:rPr>
        <w:t xml:space="preserve">References </w:t>
      </w:r>
    </w:p>
    <w:p w:rsidR="00000000" w:rsidDel="00000000" w:rsidP="00000000" w:rsidRDefault="00000000" w:rsidRPr="00000000" w14:paraId="00000076">
      <w:pPr>
        <w:rPr/>
      </w:pPr>
      <w:r w:rsidDel="00000000" w:rsidR="00000000" w:rsidRPr="00000000">
        <w:rPr>
          <w:rtl w:val="0"/>
        </w:rPr>
        <w:t xml:space="preserve">[1] Precedence Research, “Digital Forensics Market Size to Hit USD 47.9 Billion by 2034.” [Online]. Available: </w:t>
      </w:r>
      <w:hyperlink r:id="rId12">
        <w:r w:rsidDel="00000000" w:rsidR="00000000" w:rsidRPr="00000000">
          <w:rPr>
            <w:color w:val="0000ff"/>
            <w:u w:val="single"/>
            <w:rtl w:val="0"/>
          </w:rPr>
          <w:t xml:space="preserve">https://www.precedenceresearch.com/digital-forensics-market</w:t>
        </w:r>
      </w:hyperlink>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[2] P. K., “Top 10 Digital Forensics Tools in 2025: Features, Pros, Cons &amp; Comparison,” </w:t>
      </w:r>
      <w:r w:rsidDel="00000000" w:rsidR="00000000" w:rsidRPr="00000000">
        <w:rPr>
          <w:i w:val="1"/>
          <w:iCs w:val="1"/>
          <w:rtl w:val="0"/>
        </w:rPr>
        <w:t xml:space="preserve">Cotocus Blog</w:t>
      </w:r>
      <w:r w:rsidDel="00000000" w:rsidR="00000000" w:rsidRPr="00000000">
        <w:rPr>
          <w:rtl w:val="0"/>
        </w:rPr>
        <w:t xml:space="preserve">. [Online]. Available: </w:t>
      </w:r>
      <w:hyperlink r:id="rId13">
        <w:r w:rsidDel="00000000" w:rsidR="00000000" w:rsidRPr="00000000">
          <w:rPr>
            <w:color w:val="0000ff"/>
            <w:u w:val="single"/>
            <w:rtl w:val="0"/>
          </w:rPr>
          <w:t xml:space="preserve">https://www.cotocus.com/blog/top-10-digital-forensics-tools-in-2025-features-pros-cons-comparison/</w:t>
        </w:r>
      </w:hyperlink>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[3] Belkasoft, “Top 6 Trends in Digital Forensics and Incident Response for 2025.” [Online]. Available: </w:t>
      </w:r>
      <w:hyperlink r:id="rId14">
        <w:r w:rsidDel="00000000" w:rsidR="00000000" w:rsidRPr="00000000">
          <w:rPr>
            <w:color w:val="0000ff"/>
            <w:u w:val="single"/>
            <w:rtl w:val="0"/>
          </w:rPr>
          <w:t xml:space="preserve">https://belkasoft.com/dfir-trends-2025</w:t>
        </w:r>
      </w:hyperlink>
      <w:r w:rsidDel="00000000" w:rsidR="00000000" w:rsidRPr="00000000">
        <w:rPr>
          <w:rtl w:val="0"/>
        </w:rPr>
      </w:r>
    </w:p>
    <w:p w:rsidR="00000000" w:rsidDel="00000000" w:rsidP="00000000" w:rsidRDefault="00000000" w:rsidRPr="00000000" w14:paraId="00000079">
      <w:pPr>
        <w:rPr/>
      </w:pPr>
      <w:r w:rsidDel="00000000" w:rsidR="00000000" w:rsidRPr="00000000">
        <w:rPr>
          <w:rtl w:val="0"/>
        </w:rPr>
        <w:t xml:space="preserve">[4] Oxygen Forensics, “The Digital Forensics Landscape in 2025: What Lies Ahead?” [Online]. Available: </w:t>
      </w:r>
      <w:hyperlink r:id="rId15">
        <w:r w:rsidDel="00000000" w:rsidR="00000000" w:rsidRPr="00000000">
          <w:rPr>
            <w:color w:val="0000ff"/>
            <w:u w:val="single"/>
            <w:rtl w:val="0"/>
          </w:rPr>
          <w:t xml:space="preserve">https://www.oxygenforensics.com/news/digital-forensics-trends-2025/</w:t>
        </w:r>
      </w:hyperlink>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[5] ArcPoint Forensics, “Key Trends in Digital Forensics for 2025.” [Online]. Available: </w:t>
      </w:r>
      <w:hyperlink r:id="rId16">
        <w:r w:rsidDel="00000000" w:rsidR="00000000" w:rsidRPr="00000000">
          <w:rPr>
            <w:color w:val="0000ff"/>
            <w:u w:val="single"/>
            <w:rtl w:val="0"/>
          </w:rPr>
          <w:t xml:space="preserve">https://www.arcpointforensics.com/news-1/2025-digital-forensic-trends</w:t>
        </w:r>
      </w:hyperlink>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[6] Computer Forensics Lab, “Digital Forensic Trends 2025: AI, Cloud, and Risk.” [Online]. Available: </w:t>
      </w:r>
      <w:hyperlink r:id="rId17">
        <w:r w:rsidDel="00000000" w:rsidR="00000000" w:rsidRPr="00000000">
          <w:rPr>
            <w:color w:val="0000ff"/>
            <w:u w:val="single"/>
            <w:rtl w:val="0"/>
          </w:rPr>
          <w:t xml:space="preserve">https://computerforensicslab.co.uk/digital-forensic-trends-2025/</w:t>
        </w:r>
      </w:hyperlink>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[7] AGT – Advanced German Technology, “7 Challenges Facing Digital Forensics Teams in 2025.” [Online]. Available: </w:t>
      </w:r>
      <w:hyperlink r:id="rId18">
        <w:r w:rsidDel="00000000" w:rsidR="00000000" w:rsidRPr="00000000">
          <w:rPr>
            <w:color w:val="0000ff"/>
            <w:u w:val="single"/>
            <w:rtl w:val="0"/>
          </w:rPr>
          <w:t xml:space="preserve">https://agt-technology.com/7-challenges-facing-digital-forensics-teams-in-2025/</w:t>
        </w:r>
      </w:hyperlink>
      <w:r w:rsidDel="00000000" w:rsidR="00000000" w:rsidRPr="00000000">
        <w:rPr>
          <w:rtl w:val="0"/>
        </w:rPr>
      </w:r>
    </w:p>
    <w:p w:rsidR="00000000" w:rsidDel="00000000" w:rsidP="00000000" w:rsidRDefault="00000000" w:rsidRPr="00000000" w14:paraId="0000007D">
      <w:pPr>
        <w:rPr/>
      </w:pPr>
      <w:r w:rsidDel="00000000" w:rsidR="00000000" w:rsidRPr="00000000">
        <w:rPr>
          <w:rtl w:val="0"/>
        </w:rPr>
        <w:t xml:space="preserve">[8] IT Jobs Watch, “Digital Forensics Job Trends, Salaries &amp; Related Skills.” [Online]. Available: </w:t>
      </w:r>
      <w:hyperlink r:id="rId19">
        <w:r w:rsidDel="00000000" w:rsidR="00000000" w:rsidRPr="00000000">
          <w:rPr>
            <w:color w:val="0000ff"/>
            <w:u w:val="single"/>
            <w:rtl w:val="0"/>
          </w:rPr>
          <w:t xml:space="preserve">https://www.itjobswatch.co.uk/jobs/uk/digital%20forensics.do</w:t>
        </w:r>
      </w:hyperlink>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[9] Grand View Research, “Digital Forensics Market Size &amp; Outlook, 2030.” [Online]. Available: </w:t>
      </w:r>
      <w:hyperlink r:id="rId20">
        <w:r w:rsidDel="00000000" w:rsidR="00000000" w:rsidRPr="00000000">
          <w:rPr>
            <w:color w:val="0000ff"/>
            <w:u w:val="single"/>
            <w:rtl w:val="0"/>
          </w:rPr>
          <w:t xml:space="preserve">https://www.grandviewresearch.com/horizon/outlook/digital-forensics-market-size/global</w:t>
        </w:r>
      </w:hyperlink>
      <w:r w:rsidDel="00000000" w:rsidR="00000000" w:rsidRPr="00000000">
        <w:rPr>
          <w:rtl w:val="0"/>
        </w:rPr>
      </w:r>
    </w:p>
    <w:p w:rsidR="00000000" w:rsidDel="00000000" w:rsidP="00000000" w:rsidRDefault="00000000" w:rsidRPr="00000000" w14:paraId="0000007F">
      <w:pPr>
        <w:rPr/>
      </w:pPr>
      <w:r w:rsidDel="00000000" w:rsidR="00000000" w:rsidRPr="00000000">
        <w:rPr>
          <w:b w:val="1"/>
          <w:bCs w:val="1"/>
          <w:sz w:val="36"/>
          <w:szCs w:val="36"/>
          <w:rtl w:val="0"/>
        </w:rPr>
        <w:t xml:space="preserve">TASK-2</w:t>
      </w:r>
      <w:r w:rsidDel="00000000" w:rsidR="00000000" w:rsidRPr="00000000">
        <w:rPr>
          <w:rtl w:val="0"/>
        </w:rPr>
        <w:t xml:space="preserve"> </w:t>
      </w:r>
    </w:p>
    <w:p w:rsidR="00000000" w:rsidDel="00000000" w:rsidP="00000000" w:rsidRDefault="00000000" w:rsidRPr="00000000" w14:paraId="00000080">
      <w:pPr>
        <w:pStyle w:val="Heading1"/>
        <w:rPr/>
      </w:pPr>
      <w:bookmarkStart w:colFirst="0" w:colLast="0" w:name="_to72surrza4g" w:id="6"/>
      <w:bookmarkEnd w:id="6"/>
      <w:r w:rsidDel="00000000" w:rsidR="00000000" w:rsidRPr="00000000">
        <w:rPr>
          <w:rtl w:val="0"/>
        </w:rPr>
        <w:t xml:space="preserve">1. Case Background</w:t>
      </w:r>
    </w:p>
    <w:p w:rsidR="00000000" w:rsidDel="00000000" w:rsidP="00000000" w:rsidRDefault="00000000" w:rsidRPr="00000000" w14:paraId="00000081">
      <w:pPr>
        <w:pStyle w:val="Heading2"/>
        <w:rPr/>
      </w:pPr>
      <w:bookmarkStart w:colFirst="0" w:colLast="0" w:name="_ofk468wvxyr1" w:id="7"/>
      <w:bookmarkEnd w:id="7"/>
      <w:r w:rsidDel="00000000" w:rsidR="00000000" w:rsidRPr="00000000">
        <w:rPr>
          <w:rtl w:val="0"/>
        </w:rPr>
        <w:t xml:space="preserve">1.1 Incident Overview</w:t>
      </w:r>
    </w:p>
    <w:p w:rsidR="00000000" w:rsidDel="00000000" w:rsidP="00000000" w:rsidRDefault="00000000" w:rsidRPr="00000000" w14:paraId="00000082">
      <w:pPr>
        <w:rPr/>
      </w:pPr>
      <w:r w:rsidDel="00000000" w:rsidR="00000000" w:rsidRPr="00000000">
        <w:rPr>
          <w:rtl w:val="0"/>
        </w:rPr>
        <w:t xml:space="preserve">The rapid digitalisation of high-value industries such as semiconductor manufacturing has significantly increased the exposure of organisations to cyber threats, particularly insider-driven breaches. Quantum Tech, a leading organisation in advanced semiconductor innovation, reported a critical cybersecurity incident involving unauthorised access to its proprietary artificial intelligence chip design patent (QT-AI-2025).</w:t>
      </w:r>
    </w:p>
    <w:p w:rsidR="00000000" w:rsidDel="00000000" w:rsidP="00000000" w:rsidRDefault="00000000" w:rsidRPr="00000000" w14:paraId="00000083">
      <w:pPr>
        <w:rPr/>
      </w:pPr>
      <w:r w:rsidDel="00000000" w:rsidR="00000000" w:rsidRPr="00000000">
        <w:rPr/>
        <w:drawing>
          <wp:inline distB="0" distT="0" distL="0" distR="0">
            <wp:extent cx="5731510" cy="3418205"/>
            <wp:effectExtent b="0" l="0" r="0" t="0"/>
            <wp:docPr descr="Insider Threat - What Is It, Indicators, Examples, Types, Prevention" id="11" name="image3.jpg"/>
            <a:graphic>
              <a:graphicData uri="http://schemas.openxmlformats.org/drawingml/2006/picture">
                <pic:pic>
                  <pic:nvPicPr>
                    <pic:cNvPr descr="Insider Threat - What Is It, Indicators, Examples, Types, Prevention" id="0" name="image3.jpg"/>
                    <pic:cNvPicPr preferRelativeResize="0"/>
                  </pic:nvPicPr>
                  <pic:blipFill>
                    <a:blip r:embed="rId21"/>
                    <a:srcRect b="0" l="0" r="0" t="0"/>
                    <a:stretch>
                      <a:fillRect/>
                    </a:stretch>
                  </pic:blipFill>
                  <pic:spPr>
                    <a:xfrm>
                      <a:off x="0" y="0"/>
                      <a:ext cx="5731510" cy="3418205"/>
                    </a:xfrm>
                    <a:prstGeom prst="rect"/>
                    <a:ln/>
                  </pic:spPr>
                </pic:pic>
              </a:graphicData>
            </a:graphic>
          </wp:inline>
        </w:drawing>
      </w: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The breach is suspected to have originated internally, with Emma, a senior engineer, identified as the primary suspect. It is alleged that Emma exploited her legitimate access privileges to extract sensitive intellectual property and initiate its unauthorised transfer. The involvement of Joe, acting as an intermediary, and Norman, associated with a competing firm (NexGen Circuits), suggests a coordinated attempt at corporate espionage.</w:t>
      </w:r>
    </w:p>
    <w:p w:rsidR="00000000" w:rsidDel="00000000" w:rsidP="00000000" w:rsidRDefault="00000000" w:rsidRPr="00000000" w14:paraId="00000085">
      <w:pPr>
        <w:rPr/>
      </w:pPr>
      <w:r w:rsidDel="00000000" w:rsidR="00000000" w:rsidRPr="00000000">
        <w:rPr>
          <w:rtl w:val="0"/>
        </w:rPr>
        <w:t xml:space="preserve">This incident reflects a broader trend in cybersecurity where </w:t>
      </w:r>
      <w:r w:rsidDel="00000000" w:rsidR="00000000" w:rsidRPr="00000000">
        <w:rPr>
          <w:b w:val="1"/>
          <w:bCs w:val="1"/>
          <w:rtl w:val="0"/>
        </w:rPr>
        <w:t xml:space="preserve">insider threats account for a significant proportion of data breaches</w:t>
      </w:r>
      <w:r w:rsidDel="00000000" w:rsidR="00000000" w:rsidRPr="00000000">
        <w:rPr>
          <w:rtl w:val="0"/>
        </w:rPr>
        <w:t xml:space="preserve">, often due to privileged access misuse and weak internal monitoring mechanisms. Unlike external cyberattacks, insider incidents are more difficult to detect due to the inherent trust placed in employees, making forensic investigation critical in identifying intent, reconstructing activities, and ensuring accountability.</w:t>
      </w:r>
    </w:p>
    <w:p w:rsidR="00000000" w:rsidDel="00000000" w:rsidP="00000000" w:rsidRDefault="00000000" w:rsidRPr="00000000" w14:paraId="00000086">
      <w:pPr>
        <w:pStyle w:val="Heading2"/>
        <w:rPr/>
      </w:pPr>
      <w:bookmarkStart w:colFirst="0" w:colLast="0" w:name="_ypso8xpl6k54" w:id="8"/>
      <w:bookmarkEnd w:id="8"/>
      <w:r w:rsidDel="00000000" w:rsidR="00000000" w:rsidRPr="00000000">
        <w:rPr>
          <w:rtl w:val="0"/>
        </w:rPr>
        <w:t xml:space="preserve">1.2 Scope and Objectives</w:t>
      </w:r>
    </w:p>
    <w:p w:rsidR="00000000" w:rsidDel="00000000" w:rsidP="00000000" w:rsidRDefault="00000000" w:rsidRPr="00000000" w14:paraId="00000087">
      <w:pPr>
        <w:rPr/>
      </w:pPr>
      <w:r w:rsidDel="00000000" w:rsidR="00000000" w:rsidRPr="00000000">
        <w:rPr>
          <w:rtl w:val="0"/>
        </w:rPr>
        <w:t xml:space="preserve">The scope of this digital forensic investigation is focused on the systematic acquisition, preservation, and analysis of digital evidence obtained from multiple devices linked to the suspects. The investigation seeks to establish a clear evidential narrative that connects individuals, actions, and outcomes within the suspected breach.</w:t>
      </w:r>
    </w:p>
    <w:p w:rsidR="00000000" w:rsidDel="00000000" w:rsidP="00000000" w:rsidRDefault="00000000" w:rsidRPr="00000000" w14:paraId="00000088">
      <w:pPr>
        <w:spacing w:after="280" w:before="280" w:lineRule="auto"/>
        <w:jc w:val="left"/>
        <w:rPr/>
      </w:pPr>
      <w:r w:rsidDel="00000000" w:rsidR="00000000" w:rsidRPr="00000000">
        <w:rPr>
          <w:rtl w:val="0"/>
        </w:rPr>
        <w:t xml:space="preserve">The primary objectives include:</w:t>
      </w:r>
    </w:p>
    <w:p w:rsidR="00000000" w:rsidDel="00000000" w:rsidP="00000000" w:rsidRDefault="00000000" w:rsidRPr="00000000" w14:paraId="00000089">
      <w:pPr>
        <w:numPr>
          <w:ilvl w:val="0"/>
          <w:numId w:val="8"/>
        </w:numPr>
        <w:spacing w:after="0" w:before="280" w:lineRule="auto"/>
        <w:ind w:left="720" w:hanging="360"/>
        <w:jc w:val="left"/>
        <w:rPr/>
      </w:pPr>
      <w:r w:rsidDel="00000000" w:rsidR="00000000" w:rsidRPr="00000000">
        <w:rPr>
          <w:rtl w:val="0"/>
        </w:rPr>
        <w:t xml:space="preserve">Identifying the ownership and usage patterns of all seized devices </w:t>
      </w:r>
    </w:p>
    <w:p w:rsidR="00000000" w:rsidDel="00000000" w:rsidP="00000000" w:rsidRDefault="00000000" w:rsidRPr="00000000" w14:paraId="0000008A">
      <w:pPr>
        <w:numPr>
          <w:ilvl w:val="0"/>
          <w:numId w:val="8"/>
        </w:numPr>
        <w:spacing w:after="0" w:before="0" w:lineRule="auto"/>
        <w:ind w:left="720" w:hanging="360"/>
        <w:jc w:val="left"/>
        <w:rPr/>
      </w:pPr>
      <w:r w:rsidDel="00000000" w:rsidR="00000000" w:rsidRPr="00000000">
        <w:rPr>
          <w:rtl w:val="0"/>
        </w:rPr>
        <w:t xml:space="preserve">Establishing the nature of relationships between Emma, Joe, and Norman </w:t>
      </w:r>
    </w:p>
    <w:p w:rsidR="00000000" w:rsidDel="00000000" w:rsidP="00000000" w:rsidRDefault="00000000" w:rsidRPr="00000000" w14:paraId="0000008B">
      <w:pPr>
        <w:numPr>
          <w:ilvl w:val="0"/>
          <w:numId w:val="8"/>
        </w:numPr>
        <w:spacing w:after="0" w:before="0" w:lineRule="auto"/>
        <w:ind w:left="720" w:hanging="360"/>
        <w:jc w:val="left"/>
        <w:rPr/>
      </w:pPr>
      <w:r w:rsidDel="00000000" w:rsidR="00000000" w:rsidRPr="00000000">
        <w:rPr>
          <w:rtl w:val="0"/>
        </w:rPr>
        <w:t xml:space="preserve">Reconstructing a chronological timeline of events leading to the data breach </w:t>
      </w:r>
    </w:p>
    <w:p w:rsidR="00000000" w:rsidDel="00000000" w:rsidP="00000000" w:rsidRDefault="00000000" w:rsidRPr="00000000" w14:paraId="0000008C">
      <w:pPr>
        <w:numPr>
          <w:ilvl w:val="0"/>
          <w:numId w:val="8"/>
        </w:numPr>
        <w:spacing w:after="0" w:before="0" w:lineRule="auto"/>
        <w:ind w:left="720" w:hanging="360"/>
        <w:jc w:val="left"/>
        <w:rPr/>
      </w:pPr>
      <w:r w:rsidDel="00000000" w:rsidR="00000000" w:rsidRPr="00000000">
        <w:rPr>
          <w:rtl w:val="0"/>
        </w:rPr>
        <w:t xml:space="preserve">Detecting and analysing the presence of proprietary patent-related files </w:t>
      </w:r>
    </w:p>
    <w:p w:rsidR="00000000" w:rsidDel="00000000" w:rsidP="00000000" w:rsidRDefault="00000000" w:rsidRPr="00000000" w14:paraId="0000008D">
      <w:pPr>
        <w:numPr>
          <w:ilvl w:val="0"/>
          <w:numId w:val="8"/>
        </w:numPr>
        <w:spacing w:after="0" w:before="0" w:lineRule="auto"/>
        <w:ind w:left="720" w:hanging="360"/>
        <w:jc w:val="left"/>
        <w:rPr/>
      </w:pPr>
      <w:r w:rsidDel="00000000" w:rsidR="00000000" w:rsidRPr="00000000">
        <w:rPr>
          <w:rtl w:val="0"/>
        </w:rPr>
        <w:t xml:space="preserve">Correlating communication records across devices to identify coordination </w:t>
      </w:r>
    </w:p>
    <w:p w:rsidR="00000000" w:rsidDel="00000000" w:rsidP="00000000" w:rsidRDefault="00000000" w:rsidRPr="00000000" w14:paraId="0000008E">
      <w:pPr>
        <w:numPr>
          <w:ilvl w:val="0"/>
          <w:numId w:val="8"/>
        </w:numPr>
        <w:spacing w:after="280" w:before="0" w:lineRule="auto"/>
        <w:ind w:left="720" w:hanging="360"/>
        <w:jc w:val="left"/>
        <w:rPr/>
      </w:pPr>
      <w:r w:rsidDel="00000000" w:rsidR="00000000" w:rsidRPr="00000000">
        <w:rPr>
          <w:rtl w:val="0"/>
        </w:rPr>
        <w:t xml:space="preserve">Producing legally admissible findings to support potential prosecution </w:t>
      </w:r>
    </w:p>
    <w:p w:rsidR="00000000" w:rsidDel="00000000" w:rsidP="00000000" w:rsidRDefault="00000000" w:rsidRPr="00000000" w14:paraId="0000008F">
      <w:pPr>
        <w:rPr/>
      </w:pPr>
      <w:r w:rsidDel="00000000" w:rsidR="00000000" w:rsidRPr="00000000">
        <w:rPr>
          <w:rtl w:val="0"/>
        </w:rPr>
        <w:t xml:space="preserve">This structured approach ensures that the investigation not only identifies technical artefacts but also contextualises them within a </w:t>
      </w:r>
      <w:r w:rsidDel="00000000" w:rsidR="00000000" w:rsidRPr="00000000">
        <w:rPr>
          <w:b w:val="1"/>
          <w:bCs w:val="1"/>
          <w:rtl w:val="0"/>
        </w:rPr>
        <w:t xml:space="preserve">legally and operationally relevant framework</w:t>
      </w:r>
      <w:r w:rsidDel="00000000" w:rsidR="00000000" w:rsidRPr="00000000">
        <w:rPr>
          <w:rtl w:val="0"/>
        </w:rPr>
        <w:t xml:space="preserve">.</w:t>
      </w:r>
    </w:p>
    <w:p w:rsidR="00000000" w:rsidDel="00000000" w:rsidP="00000000" w:rsidRDefault="00000000" w:rsidRPr="00000000" w14:paraId="00000090">
      <w:pPr>
        <w:pStyle w:val="Heading2"/>
        <w:rPr/>
      </w:pPr>
      <w:bookmarkStart w:colFirst="0" w:colLast="0" w:name="_a1zq5eab9pxg" w:id="9"/>
      <w:bookmarkEnd w:id="9"/>
      <w:r w:rsidDel="00000000" w:rsidR="00000000" w:rsidRPr="00000000">
        <w:rPr>
          <w:rtl w:val="0"/>
        </w:rPr>
        <w:t xml:space="preserve">1.3 Legal and Ethical Framework</w:t>
      </w:r>
    </w:p>
    <w:p w:rsidR="00000000" w:rsidDel="00000000" w:rsidP="00000000" w:rsidRDefault="00000000" w:rsidRPr="00000000" w14:paraId="00000091">
      <w:pPr>
        <w:rPr/>
      </w:pPr>
      <w:r w:rsidDel="00000000" w:rsidR="00000000" w:rsidRPr="00000000">
        <w:rPr>
          <w:rtl w:val="0"/>
        </w:rPr>
        <w:t xml:space="preserve">The investigation has been conducted in accordance with established legal and ethical standards governing digital forensic practices. These include adherence to internationally recognised frameworks such as ISO/IEC 27037, which outlines guidelines for the identification, collection, acquisition, and preservation of digital evidence.</w:t>
      </w:r>
    </w:p>
    <w:p w:rsidR="00000000" w:rsidDel="00000000" w:rsidP="00000000" w:rsidRDefault="00000000" w:rsidRPr="00000000" w14:paraId="00000092">
      <w:pPr>
        <w:rPr/>
      </w:pPr>
      <w:r w:rsidDel="00000000" w:rsidR="00000000" w:rsidRPr="00000000">
        <w:rPr>
          <w:rtl w:val="0"/>
        </w:rPr>
        <w:t xml:space="preserve">From a legal perspective, the case aligns with principles found in cybersecurity and data protection legislation, including regulations related to unauthorised access, misuse of data, and intellectual property theft. The handling of evidence follows strict chain-of-custody procedures to ensure integrity and admissibility in legal proceedings.</w:t>
      </w:r>
    </w:p>
    <w:p w:rsidR="00000000" w:rsidDel="00000000" w:rsidP="00000000" w:rsidRDefault="00000000" w:rsidRPr="00000000" w14:paraId="00000093">
      <w:pPr>
        <w:rPr/>
      </w:pPr>
      <w:r w:rsidDel="00000000" w:rsidR="00000000" w:rsidRPr="00000000">
        <w:rPr>
          <w:rtl w:val="0"/>
        </w:rPr>
        <w:t xml:space="preserve">Ethically, the investigation maintains a clear boundary between relevant and non-relevant data, ensuring that only information directly associated with the case is examined. Sensitive personal data unrelated to the investigation is excluded to uphold privacy standards. Furthermore, any encrypted or inaccessible data is documented and handled through appropriate legal and technical channels rather than bypassed through unauthorised means.</w:t>
      </w:r>
    </w:p>
    <w:p w:rsidR="00000000" w:rsidDel="00000000" w:rsidP="00000000" w:rsidRDefault="00000000" w:rsidRPr="00000000" w14:paraId="00000094">
      <w:pPr>
        <w:rPr/>
      </w:pPr>
      <w:r w:rsidDel="00000000" w:rsidR="00000000" w:rsidRPr="00000000">
        <w:rPr>
          <w:rtl w:val="0"/>
        </w:rPr>
        <w:t xml:space="preserve">This dual emphasis on </w:t>
      </w:r>
      <w:r w:rsidDel="00000000" w:rsidR="00000000" w:rsidRPr="00000000">
        <w:rPr>
          <w:b w:val="1"/>
          <w:bCs w:val="1"/>
          <w:rtl w:val="0"/>
        </w:rPr>
        <w:t xml:space="preserve">legal compliance and ethical responsibility</w:t>
      </w:r>
      <w:r w:rsidDel="00000000" w:rsidR="00000000" w:rsidRPr="00000000">
        <w:rPr>
          <w:rtl w:val="0"/>
        </w:rPr>
        <w:t xml:space="preserve"> strengthens the credibility of the investigation and ensures that findings are both professionally and judicially defensible.</w:t>
      </w:r>
    </w:p>
    <w:p w:rsidR="00000000" w:rsidDel="00000000" w:rsidP="00000000" w:rsidRDefault="00000000" w:rsidRPr="00000000" w14:paraId="00000095">
      <w:pPr>
        <w:spacing w:after="280" w:before="280" w:line="240" w:lineRule="auto"/>
        <w:jc w:val="left"/>
        <w:rPr>
          <w:b w:val="1"/>
          <w:bCs w:val="1"/>
          <w:sz w:val="36"/>
          <w:szCs w:val="36"/>
        </w:rPr>
      </w:pPr>
      <w:bookmarkStart w:colFirst="0" w:colLast="0" w:name="_6h3bjz9nzy96" w:id="10"/>
      <w:bookmarkEnd w:id="10"/>
      <w:r w:rsidDel="00000000" w:rsidR="00000000" w:rsidRPr="00000000">
        <w:rPr>
          <w:b w:val="1"/>
          <w:bCs w:val="1"/>
          <w:sz w:val="36"/>
          <w:szCs w:val="36"/>
          <w:rtl w:val="0"/>
        </w:rPr>
        <w:t xml:space="preserve">2. Evidence Inventory</w:t>
      </w:r>
    </w:p>
    <w:p w:rsidR="00000000" w:rsidDel="00000000" w:rsidP="00000000" w:rsidRDefault="00000000" w:rsidRPr="00000000" w14:paraId="00000096">
      <w:pPr>
        <w:jc w:val="center"/>
        <w:rPr>
          <w:b w:val="1"/>
          <w:bCs w:val="1"/>
          <w:sz w:val="36"/>
          <w:szCs w:val="36"/>
        </w:rPr>
      </w:pPr>
      <w:r w:rsidDel="00000000" w:rsidR="00000000" w:rsidRPr="00000000">
        <w:rPr/>
        <w:drawing>
          <wp:inline distB="0" distT="0" distL="0" distR="0">
            <wp:extent cx="4171410" cy="3423644"/>
            <wp:effectExtent b="0" l="0" r="0" t="0"/>
            <wp:docPr descr="Mobile Forensic Data Acquisition Methods" id="14" name="image21.jpg"/>
            <a:graphic>
              <a:graphicData uri="http://schemas.openxmlformats.org/drawingml/2006/picture">
                <pic:pic>
                  <pic:nvPicPr>
                    <pic:cNvPr descr="Mobile Forensic Data Acquisition Methods" id="0" name="image21.jpg"/>
                    <pic:cNvPicPr preferRelativeResize="0"/>
                  </pic:nvPicPr>
                  <pic:blipFill>
                    <a:blip r:embed="rId22"/>
                    <a:srcRect b="0" l="0" r="0" t="0"/>
                    <a:stretch>
                      <a:fillRect/>
                    </a:stretch>
                  </pic:blipFill>
                  <pic:spPr>
                    <a:xfrm>
                      <a:off x="0" y="0"/>
                      <a:ext cx="4171410" cy="3423644"/>
                    </a:xfrm>
                    <a:prstGeom prst="rect"/>
                    <a:ln/>
                  </pic:spPr>
                </pic:pic>
              </a:graphicData>
            </a:graphic>
          </wp:inline>
        </w:drawing>
      </w:r>
      <w:r w:rsidDel="00000000" w:rsidR="00000000" w:rsidRPr="00000000">
        <w:rPr>
          <w:rtl w:val="0"/>
        </w:rPr>
      </w:r>
    </w:p>
    <w:p w:rsidR="00000000" w:rsidDel="00000000" w:rsidP="00000000" w:rsidRDefault="00000000" w:rsidRPr="00000000" w14:paraId="00000097">
      <w:pPr>
        <w:pStyle w:val="Heading2"/>
        <w:rPr>
          <w:sz w:val="36"/>
          <w:szCs w:val="36"/>
        </w:rPr>
      </w:pPr>
      <w:bookmarkStart w:colFirst="0" w:colLast="0" w:name="_4qeyyqns6u2p" w:id="11"/>
      <w:bookmarkEnd w:id="11"/>
      <w:r w:rsidDel="00000000" w:rsidR="00000000" w:rsidRPr="00000000">
        <w:rPr>
          <w:b w:val="1"/>
          <w:bCs w:val="1"/>
          <w:rtl w:val="0"/>
        </w:rPr>
        <w:t xml:space="preserve">2.1 Overview of Evidence Collection</w:t>
      </w:r>
      <w:r w:rsidDel="00000000" w:rsidR="00000000" w:rsidRPr="00000000">
        <w:rPr>
          <w:rtl w:val="0"/>
        </w:rPr>
      </w:r>
    </w:p>
    <w:p w:rsidR="00000000" w:rsidDel="00000000" w:rsidP="00000000" w:rsidRDefault="00000000" w:rsidRPr="00000000" w14:paraId="00000098">
      <w:pPr>
        <w:rPr/>
      </w:pPr>
      <w:r w:rsidDel="00000000" w:rsidR="00000000" w:rsidRPr="00000000">
        <w:rPr>
          <w:rtl w:val="0"/>
        </w:rPr>
        <w:t xml:space="preserve">The identification and documentation of digital evidence represent a foundational stage in any forensic investigation, as the reliability and admissibility of findings depend heavily on how evidence is initially handled. In the Quantum Tech case, multiple digital devices were seized under controlled conditions following the detection of the data breach. These devices were identified as critical repositories of potential evidence, containing communication logs, file artefacts, and metadata relevant to the suspected corporate espionage.</w:t>
      </w:r>
    </w:p>
    <w:p w:rsidR="00000000" w:rsidDel="00000000" w:rsidP="00000000" w:rsidRDefault="00000000" w:rsidRPr="00000000" w14:paraId="00000099">
      <w:pPr>
        <w:rPr/>
      </w:pPr>
      <w:r w:rsidDel="00000000" w:rsidR="00000000" w:rsidRPr="00000000">
        <w:rPr>
          <w:rtl w:val="0"/>
        </w:rPr>
        <w:t xml:space="preserve">The evidence inventory process ensured that each item was uniquely labelled, categorised, and documented with sufficient detail to support traceability throughout the investigation lifecycle. This structured approach not only strengthens evidential integrity but also enables efficient cross-device analysis, which is essential in multi-actor cybercrime scenarios.</w:t>
      </w:r>
    </w:p>
    <w:p w:rsidR="00000000" w:rsidDel="00000000" w:rsidP="00000000" w:rsidRDefault="00000000" w:rsidRPr="00000000" w14:paraId="0000009A">
      <w:pPr>
        <w:pStyle w:val="Heading2"/>
        <w:rPr/>
      </w:pPr>
      <w:bookmarkStart w:colFirst="0" w:colLast="0" w:name="_ufzm8v70rreg" w:id="12"/>
      <w:bookmarkEnd w:id="12"/>
      <w:r w:rsidDel="00000000" w:rsidR="00000000" w:rsidRPr="00000000">
        <w:rPr>
          <w:b w:val="1"/>
          <w:bCs w:val="1"/>
          <w:rtl w:val="0"/>
        </w:rPr>
        <w:t xml:space="preserve">2.2 Device Inventory</w:t>
      </w:r>
      <w:r w:rsidDel="00000000" w:rsidR="00000000" w:rsidRPr="00000000">
        <w:rPr>
          <w:rtl w:val="0"/>
        </w:rPr>
      </w:r>
    </w:p>
    <w:tbl>
      <w:tblPr>
        <w:tblStyle w:val="Table2"/>
        <w:tblW w:w="9016.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85"/>
        <w:gridCol w:w="1389"/>
        <w:gridCol w:w="801"/>
        <w:gridCol w:w="2213"/>
        <w:gridCol w:w="2704"/>
        <w:gridCol w:w="1024"/>
        <w:tblGridChange w:id="0">
          <w:tblGrid>
            <w:gridCol w:w="885"/>
            <w:gridCol w:w="1389"/>
            <w:gridCol w:w="801"/>
            <w:gridCol w:w="2213"/>
            <w:gridCol w:w="2704"/>
            <w:gridCol w:w="1024"/>
          </w:tblGrid>
        </w:tblGridChange>
      </w:tblGrid>
      <w:tr>
        <w:trPr>
          <w:cantSplit w:val="0"/>
          <w:tblHeader w:val="1"/>
        </w:trPr>
        <w:tc>
          <w:tcPr>
            <w:vAlign w:val="center"/>
          </w:tcPr>
          <w:p w:rsidR="00000000" w:rsidDel="00000000" w:rsidP="00000000" w:rsidRDefault="00000000" w:rsidRPr="00000000" w14:paraId="0000009B">
            <w:pPr>
              <w:jc w:val="center"/>
              <w:rPr>
                <w:b w:val="1"/>
                <w:bCs w:val="1"/>
                <w:sz w:val="22"/>
                <w:szCs w:val="22"/>
              </w:rPr>
            </w:pPr>
            <w:r w:rsidDel="00000000" w:rsidR="00000000" w:rsidRPr="00000000">
              <w:rPr>
                <w:b w:val="1"/>
                <w:bCs w:val="1"/>
                <w:sz w:val="22"/>
                <w:szCs w:val="22"/>
                <w:rtl w:val="0"/>
              </w:rPr>
              <w:t xml:space="preserve">Exhibit ID</w:t>
            </w:r>
          </w:p>
        </w:tc>
        <w:tc>
          <w:tcPr>
            <w:vAlign w:val="center"/>
          </w:tcPr>
          <w:p w:rsidR="00000000" w:rsidDel="00000000" w:rsidP="00000000" w:rsidRDefault="00000000" w:rsidRPr="00000000" w14:paraId="0000009C">
            <w:pPr>
              <w:jc w:val="center"/>
              <w:rPr>
                <w:b w:val="1"/>
                <w:bCs w:val="1"/>
                <w:sz w:val="22"/>
                <w:szCs w:val="22"/>
              </w:rPr>
            </w:pPr>
            <w:r w:rsidDel="00000000" w:rsidR="00000000" w:rsidRPr="00000000">
              <w:rPr>
                <w:b w:val="1"/>
                <w:bCs w:val="1"/>
                <w:sz w:val="22"/>
                <w:szCs w:val="22"/>
                <w:rtl w:val="0"/>
              </w:rPr>
              <w:t xml:space="preserve">Device Type</w:t>
            </w:r>
          </w:p>
        </w:tc>
        <w:tc>
          <w:tcPr>
            <w:vAlign w:val="center"/>
          </w:tcPr>
          <w:p w:rsidR="00000000" w:rsidDel="00000000" w:rsidP="00000000" w:rsidRDefault="00000000" w:rsidRPr="00000000" w14:paraId="0000009D">
            <w:pPr>
              <w:jc w:val="center"/>
              <w:rPr>
                <w:b w:val="1"/>
                <w:bCs w:val="1"/>
                <w:sz w:val="22"/>
                <w:szCs w:val="22"/>
              </w:rPr>
            </w:pPr>
            <w:r w:rsidDel="00000000" w:rsidR="00000000" w:rsidRPr="00000000">
              <w:rPr>
                <w:b w:val="1"/>
                <w:bCs w:val="1"/>
                <w:sz w:val="22"/>
                <w:szCs w:val="22"/>
                <w:rtl w:val="0"/>
              </w:rPr>
              <w:t xml:space="preserve">Owner</w:t>
            </w:r>
          </w:p>
        </w:tc>
        <w:tc>
          <w:tcPr>
            <w:vAlign w:val="center"/>
          </w:tcPr>
          <w:p w:rsidR="00000000" w:rsidDel="00000000" w:rsidP="00000000" w:rsidRDefault="00000000" w:rsidRPr="00000000" w14:paraId="0000009E">
            <w:pPr>
              <w:jc w:val="center"/>
              <w:rPr>
                <w:b w:val="1"/>
                <w:bCs w:val="1"/>
                <w:sz w:val="22"/>
                <w:szCs w:val="22"/>
              </w:rPr>
            </w:pPr>
            <w:r w:rsidDel="00000000" w:rsidR="00000000" w:rsidRPr="00000000">
              <w:rPr>
                <w:b w:val="1"/>
                <w:bCs w:val="1"/>
                <w:sz w:val="22"/>
                <w:szCs w:val="22"/>
                <w:rtl w:val="0"/>
              </w:rPr>
              <w:t xml:space="preserve">Description of Evidence</w:t>
            </w:r>
          </w:p>
        </w:tc>
        <w:tc>
          <w:tcPr>
            <w:vAlign w:val="center"/>
          </w:tcPr>
          <w:p w:rsidR="00000000" w:rsidDel="00000000" w:rsidP="00000000" w:rsidRDefault="00000000" w:rsidRPr="00000000" w14:paraId="0000009F">
            <w:pPr>
              <w:jc w:val="center"/>
              <w:rPr>
                <w:b w:val="1"/>
                <w:bCs w:val="1"/>
                <w:sz w:val="22"/>
                <w:szCs w:val="22"/>
              </w:rPr>
            </w:pPr>
            <w:r w:rsidDel="00000000" w:rsidR="00000000" w:rsidRPr="00000000">
              <w:rPr>
                <w:b w:val="1"/>
                <w:bCs w:val="1"/>
                <w:sz w:val="22"/>
                <w:szCs w:val="22"/>
                <w:rtl w:val="0"/>
              </w:rPr>
              <w:t xml:space="preserve">Forensic Relevance</w:t>
            </w:r>
          </w:p>
        </w:tc>
        <w:tc>
          <w:tcPr>
            <w:vAlign w:val="center"/>
          </w:tcPr>
          <w:p w:rsidR="00000000" w:rsidDel="00000000" w:rsidP="00000000" w:rsidRDefault="00000000" w:rsidRPr="00000000" w14:paraId="000000A0">
            <w:pPr>
              <w:jc w:val="center"/>
              <w:rPr>
                <w:b w:val="1"/>
                <w:bCs w:val="1"/>
                <w:sz w:val="22"/>
                <w:szCs w:val="22"/>
              </w:rPr>
            </w:pPr>
            <w:r w:rsidDel="00000000" w:rsidR="00000000" w:rsidRPr="00000000">
              <w:rPr>
                <w:b w:val="1"/>
                <w:bCs w:val="1"/>
                <w:sz w:val="22"/>
                <w:szCs w:val="22"/>
                <w:rtl w:val="0"/>
              </w:rPr>
              <w:t xml:space="preserve">Status</w:t>
            </w:r>
          </w:p>
        </w:tc>
      </w:tr>
      <w:tr>
        <w:trPr>
          <w:cantSplit w:val="0"/>
          <w:tblHeader w:val="0"/>
        </w:trPr>
        <w:tc>
          <w:tcPr>
            <w:vAlign w:val="center"/>
          </w:tcPr>
          <w:p w:rsidR="00000000" w:rsidDel="00000000" w:rsidP="00000000" w:rsidRDefault="00000000" w:rsidRPr="00000000" w14:paraId="000000A1">
            <w:pPr>
              <w:jc w:val="left"/>
              <w:rPr>
                <w:sz w:val="22"/>
                <w:szCs w:val="22"/>
              </w:rPr>
            </w:pPr>
            <w:r w:rsidDel="00000000" w:rsidR="00000000" w:rsidRPr="00000000">
              <w:rPr>
                <w:sz w:val="22"/>
                <w:szCs w:val="22"/>
                <w:rtl w:val="0"/>
              </w:rPr>
              <w:t xml:space="preserve">E1</w:t>
            </w:r>
          </w:p>
        </w:tc>
        <w:tc>
          <w:tcPr>
            <w:vAlign w:val="center"/>
          </w:tcPr>
          <w:p w:rsidR="00000000" w:rsidDel="00000000" w:rsidP="00000000" w:rsidRDefault="00000000" w:rsidRPr="00000000" w14:paraId="000000A2">
            <w:pPr>
              <w:rPr>
                <w:sz w:val="22"/>
                <w:szCs w:val="22"/>
              </w:rPr>
            </w:pPr>
            <w:r w:rsidDel="00000000" w:rsidR="00000000" w:rsidRPr="00000000">
              <w:rPr>
                <w:sz w:val="22"/>
                <w:szCs w:val="22"/>
                <w:rtl w:val="0"/>
              </w:rPr>
              <w:t xml:space="preserve">Android Smartphone</w:t>
            </w:r>
          </w:p>
        </w:tc>
        <w:tc>
          <w:tcPr>
            <w:vAlign w:val="center"/>
          </w:tcPr>
          <w:p w:rsidR="00000000" w:rsidDel="00000000" w:rsidP="00000000" w:rsidRDefault="00000000" w:rsidRPr="00000000" w14:paraId="000000A3">
            <w:pPr>
              <w:rPr>
                <w:sz w:val="22"/>
                <w:szCs w:val="22"/>
              </w:rPr>
            </w:pPr>
            <w:r w:rsidDel="00000000" w:rsidR="00000000" w:rsidRPr="00000000">
              <w:rPr>
                <w:sz w:val="22"/>
                <w:szCs w:val="22"/>
                <w:rtl w:val="0"/>
              </w:rPr>
              <w:t xml:space="preserve">Emma</w:t>
            </w:r>
          </w:p>
        </w:tc>
        <w:tc>
          <w:tcPr>
            <w:vAlign w:val="center"/>
          </w:tcPr>
          <w:p w:rsidR="00000000" w:rsidDel="00000000" w:rsidP="00000000" w:rsidRDefault="00000000" w:rsidRPr="00000000" w14:paraId="000000A4">
            <w:pPr>
              <w:rPr>
                <w:sz w:val="22"/>
                <w:szCs w:val="22"/>
              </w:rPr>
            </w:pPr>
            <w:r w:rsidDel="00000000" w:rsidR="00000000" w:rsidRPr="00000000">
              <w:rPr>
                <w:sz w:val="22"/>
                <w:szCs w:val="22"/>
                <w:rtl w:val="0"/>
              </w:rPr>
              <w:t xml:space="preserve">WhatsApp chats, emails, call logs, app data</w:t>
            </w:r>
          </w:p>
        </w:tc>
        <w:tc>
          <w:tcPr>
            <w:vAlign w:val="center"/>
          </w:tcPr>
          <w:p w:rsidR="00000000" w:rsidDel="00000000" w:rsidP="00000000" w:rsidRDefault="00000000" w:rsidRPr="00000000" w14:paraId="000000A5">
            <w:pPr>
              <w:rPr>
                <w:sz w:val="22"/>
                <w:szCs w:val="22"/>
              </w:rPr>
            </w:pPr>
            <w:r w:rsidDel="00000000" w:rsidR="00000000" w:rsidRPr="00000000">
              <w:rPr>
                <w:sz w:val="22"/>
                <w:szCs w:val="22"/>
                <w:rtl w:val="0"/>
              </w:rPr>
              <w:t xml:space="preserve">Primary communication and potential data exfiltration source</w:t>
            </w:r>
          </w:p>
        </w:tc>
        <w:tc>
          <w:tcPr>
            <w:vAlign w:val="center"/>
          </w:tcPr>
          <w:p w:rsidR="00000000" w:rsidDel="00000000" w:rsidP="00000000" w:rsidRDefault="00000000" w:rsidRPr="00000000" w14:paraId="000000A6">
            <w:pPr>
              <w:rPr>
                <w:sz w:val="22"/>
                <w:szCs w:val="22"/>
              </w:rPr>
            </w:pPr>
            <w:r w:rsidDel="00000000" w:rsidR="00000000" w:rsidRPr="00000000">
              <w:rPr>
                <w:sz w:val="22"/>
                <w:szCs w:val="22"/>
                <w:rtl w:val="0"/>
              </w:rPr>
              <w:t xml:space="preserve">Seized &amp; Imaged</w:t>
            </w:r>
          </w:p>
        </w:tc>
      </w:tr>
      <w:tr>
        <w:trPr>
          <w:cantSplit w:val="0"/>
          <w:tblHeader w:val="0"/>
        </w:trPr>
        <w:tc>
          <w:tcPr>
            <w:vAlign w:val="center"/>
          </w:tcPr>
          <w:p w:rsidR="00000000" w:rsidDel="00000000" w:rsidP="00000000" w:rsidRDefault="00000000" w:rsidRPr="00000000" w14:paraId="000000A7">
            <w:pPr>
              <w:rPr>
                <w:sz w:val="22"/>
                <w:szCs w:val="22"/>
              </w:rPr>
            </w:pPr>
            <w:r w:rsidDel="00000000" w:rsidR="00000000" w:rsidRPr="00000000">
              <w:rPr>
                <w:sz w:val="22"/>
                <w:szCs w:val="22"/>
                <w:rtl w:val="0"/>
              </w:rPr>
              <w:t xml:space="preserve">E2</w:t>
            </w:r>
          </w:p>
        </w:tc>
        <w:tc>
          <w:tcPr>
            <w:vAlign w:val="center"/>
          </w:tcPr>
          <w:p w:rsidR="00000000" w:rsidDel="00000000" w:rsidP="00000000" w:rsidRDefault="00000000" w:rsidRPr="00000000" w14:paraId="000000A8">
            <w:pPr>
              <w:rPr>
                <w:sz w:val="22"/>
                <w:szCs w:val="22"/>
              </w:rPr>
            </w:pPr>
            <w:r w:rsidDel="00000000" w:rsidR="00000000" w:rsidRPr="00000000">
              <w:rPr>
                <w:sz w:val="22"/>
                <w:szCs w:val="22"/>
                <w:rtl w:val="0"/>
              </w:rPr>
              <w:t xml:space="preserve">USB Flash Drive</w:t>
            </w:r>
          </w:p>
        </w:tc>
        <w:tc>
          <w:tcPr>
            <w:vAlign w:val="center"/>
          </w:tcPr>
          <w:p w:rsidR="00000000" w:rsidDel="00000000" w:rsidP="00000000" w:rsidRDefault="00000000" w:rsidRPr="00000000" w14:paraId="000000A9">
            <w:pPr>
              <w:rPr>
                <w:sz w:val="22"/>
                <w:szCs w:val="22"/>
              </w:rPr>
            </w:pPr>
            <w:r w:rsidDel="00000000" w:rsidR="00000000" w:rsidRPr="00000000">
              <w:rPr>
                <w:sz w:val="22"/>
                <w:szCs w:val="22"/>
                <w:rtl w:val="0"/>
              </w:rPr>
              <w:t xml:space="preserve">Emma</w:t>
            </w:r>
          </w:p>
        </w:tc>
        <w:tc>
          <w:tcPr>
            <w:vAlign w:val="center"/>
          </w:tcPr>
          <w:p w:rsidR="00000000" w:rsidDel="00000000" w:rsidP="00000000" w:rsidRDefault="00000000" w:rsidRPr="00000000" w14:paraId="000000AA">
            <w:pPr>
              <w:rPr>
                <w:sz w:val="22"/>
                <w:szCs w:val="22"/>
              </w:rPr>
            </w:pPr>
            <w:r w:rsidDel="00000000" w:rsidR="00000000" w:rsidRPr="00000000">
              <w:rPr>
                <w:sz w:val="22"/>
                <w:szCs w:val="22"/>
                <w:rtl w:val="0"/>
              </w:rPr>
              <w:t xml:space="preserve">AI chip design files (QT-AI-2025)</w:t>
            </w:r>
          </w:p>
        </w:tc>
        <w:tc>
          <w:tcPr>
            <w:vAlign w:val="center"/>
          </w:tcPr>
          <w:p w:rsidR="00000000" w:rsidDel="00000000" w:rsidP="00000000" w:rsidRDefault="00000000" w:rsidRPr="00000000" w14:paraId="000000AB">
            <w:pPr>
              <w:rPr>
                <w:sz w:val="22"/>
                <w:szCs w:val="22"/>
              </w:rPr>
            </w:pPr>
            <w:r w:rsidDel="00000000" w:rsidR="00000000" w:rsidRPr="00000000">
              <w:rPr>
                <w:sz w:val="22"/>
                <w:szCs w:val="22"/>
                <w:rtl w:val="0"/>
              </w:rPr>
              <w:t xml:space="preserve">Direct evidence of stolen intellectual property</w:t>
            </w:r>
          </w:p>
        </w:tc>
        <w:tc>
          <w:tcPr>
            <w:vAlign w:val="center"/>
          </w:tcPr>
          <w:p w:rsidR="00000000" w:rsidDel="00000000" w:rsidP="00000000" w:rsidRDefault="00000000" w:rsidRPr="00000000" w14:paraId="000000AC">
            <w:pPr>
              <w:rPr>
                <w:sz w:val="22"/>
                <w:szCs w:val="22"/>
              </w:rPr>
            </w:pPr>
            <w:r w:rsidDel="00000000" w:rsidR="00000000" w:rsidRPr="00000000">
              <w:rPr>
                <w:sz w:val="22"/>
                <w:szCs w:val="22"/>
                <w:rtl w:val="0"/>
              </w:rPr>
              <w:t xml:space="preserve">Seized &amp; Imaged</w:t>
            </w:r>
          </w:p>
        </w:tc>
      </w:tr>
      <w:tr>
        <w:trPr>
          <w:cantSplit w:val="0"/>
          <w:tblHeader w:val="0"/>
        </w:trPr>
        <w:tc>
          <w:tcPr>
            <w:vAlign w:val="center"/>
          </w:tcPr>
          <w:p w:rsidR="00000000" w:rsidDel="00000000" w:rsidP="00000000" w:rsidRDefault="00000000" w:rsidRPr="00000000" w14:paraId="000000AD">
            <w:pPr>
              <w:rPr>
                <w:sz w:val="22"/>
                <w:szCs w:val="22"/>
              </w:rPr>
            </w:pPr>
            <w:r w:rsidDel="00000000" w:rsidR="00000000" w:rsidRPr="00000000">
              <w:rPr>
                <w:sz w:val="22"/>
                <w:szCs w:val="22"/>
                <w:rtl w:val="0"/>
              </w:rPr>
              <w:t xml:space="preserve">E3</w:t>
            </w:r>
          </w:p>
        </w:tc>
        <w:tc>
          <w:tcPr>
            <w:vAlign w:val="center"/>
          </w:tcPr>
          <w:p w:rsidR="00000000" w:rsidDel="00000000" w:rsidP="00000000" w:rsidRDefault="00000000" w:rsidRPr="00000000" w14:paraId="000000AE">
            <w:pPr>
              <w:rPr>
                <w:sz w:val="22"/>
                <w:szCs w:val="22"/>
              </w:rPr>
            </w:pPr>
            <w:r w:rsidDel="00000000" w:rsidR="00000000" w:rsidRPr="00000000">
              <w:rPr>
                <w:sz w:val="22"/>
                <w:szCs w:val="22"/>
                <w:rtl w:val="0"/>
              </w:rPr>
              <w:t xml:space="preserve">Android Smartphone</w:t>
            </w:r>
          </w:p>
        </w:tc>
        <w:tc>
          <w:tcPr>
            <w:vAlign w:val="center"/>
          </w:tcPr>
          <w:p w:rsidR="00000000" w:rsidDel="00000000" w:rsidP="00000000" w:rsidRDefault="00000000" w:rsidRPr="00000000" w14:paraId="000000AF">
            <w:pPr>
              <w:rPr>
                <w:sz w:val="22"/>
                <w:szCs w:val="22"/>
              </w:rPr>
            </w:pPr>
            <w:r w:rsidDel="00000000" w:rsidR="00000000" w:rsidRPr="00000000">
              <w:rPr>
                <w:sz w:val="22"/>
                <w:szCs w:val="22"/>
                <w:rtl w:val="0"/>
              </w:rPr>
              <w:t xml:space="preserve">Joe</w:t>
            </w:r>
          </w:p>
        </w:tc>
        <w:tc>
          <w:tcPr>
            <w:vAlign w:val="center"/>
          </w:tcPr>
          <w:p w:rsidR="00000000" w:rsidDel="00000000" w:rsidP="00000000" w:rsidRDefault="00000000" w:rsidRPr="00000000" w14:paraId="000000B0">
            <w:pPr>
              <w:rPr>
                <w:sz w:val="22"/>
                <w:szCs w:val="22"/>
              </w:rPr>
            </w:pPr>
            <w:r w:rsidDel="00000000" w:rsidR="00000000" w:rsidRPr="00000000">
              <w:rPr>
                <w:sz w:val="22"/>
                <w:szCs w:val="22"/>
                <w:rtl w:val="0"/>
              </w:rPr>
              <w:t xml:space="preserve">Messaging apps, call logs</w:t>
            </w:r>
          </w:p>
        </w:tc>
        <w:tc>
          <w:tcPr>
            <w:vAlign w:val="center"/>
          </w:tcPr>
          <w:p w:rsidR="00000000" w:rsidDel="00000000" w:rsidP="00000000" w:rsidRDefault="00000000" w:rsidRPr="00000000" w14:paraId="000000B1">
            <w:pPr>
              <w:rPr>
                <w:sz w:val="22"/>
                <w:szCs w:val="22"/>
              </w:rPr>
            </w:pPr>
            <w:r w:rsidDel="00000000" w:rsidR="00000000" w:rsidRPr="00000000">
              <w:rPr>
                <w:sz w:val="22"/>
                <w:szCs w:val="22"/>
                <w:rtl w:val="0"/>
              </w:rPr>
              <w:t xml:space="preserve">Coordination between parties</w:t>
            </w:r>
          </w:p>
        </w:tc>
        <w:tc>
          <w:tcPr>
            <w:vAlign w:val="center"/>
          </w:tcPr>
          <w:p w:rsidR="00000000" w:rsidDel="00000000" w:rsidP="00000000" w:rsidRDefault="00000000" w:rsidRPr="00000000" w14:paraId="000000B2">
            <w:pPr>
              <w:rPr>
                <w:sz w:val="22"/>
                <w:szCs w:val="22"/>
              </w:rPr>
            </w:pPr>
            <w:r w:rsidDel="00000000" w:rsidR="00000000" w:rsidRPr="00000000">
              <w:rPr>
                <w:sz w:val="22"/>
                <w:szCs w:val="22"/>
                <w:rtl w:val="0"/>
              </w:rPr>
              <w:t xml:space="preserve">Seized &amp; Imaged</w:t>
            </w:r>
          </w:p>
        </w:tc>
      </w:tr>
      <w:tr>
        <w:trPr>
          <w:cantSplit w:val="0"/>
          <w:tblHeader w:val="0"/>
        </w:trPr>
        <w:tc>
          <w:tcPr>
            <w:vAlign w:val="center"/>
          </w:tcPr>
          <w:p w:rsidR="00000000" w:rsidDel="00000000" w:rsidP="00000000" w:rsidRDefault="00000000" w:rsidRPr="00000000" w14:paraId="000000B3">
            <w:pPr>
              <w:rPr>
                <w:sz w:val="22"/>
                <w:szCs w:val="22"/>
              </w:rPr>
            </w:pPr>
            <w:r w:rsidDel="00000000" w:rsidR="00000000" w:rsidRPr="00000000">
              <w:rPr>
                <w:sz w:val="22"/>
                <w:szCs w:val="22"/>
                <w:rtl w:val="0"/>
              </w:rPr>
              <w:t xml:space="preserve">E4</w:t>
            </w:r>
          </w:p>
        </w:tc>
        <w:tc>
          <w:tcPr>
            <w:vAlign w:val="center"/>
          </w:tcPr>
          <w:p w:rsidR="00000000" w:rsidDel="00000000" w:rsidP="00000000" w:rsidRDefault="00000000" w:rsidRPr="00000000" w14:paraId="000000B4">
            <w:pPr>
              <w:rPr>
                <w:sz w:val="22"/>
                <w:szCs w:val="22"/>
              </w:rPr>
            </w:pPr>
            <w:r w:rsidDel="00000000" w:rsidR="00000000" w:rsidRPr="00000000">
              <w:rPr>
                <w:sz w:val="22"/>
                <w:szCs w:val="22"/>
                <w:rtl w:val="0"/>
              </w:rPr>
              <w:t xml:space="preserve">Android Smartphone</w:t>
            </w:r>
          </w:p>
        </w:tc>
        <w:tc>
          <w:tcPr>
            <w:vAlign w:val="center"/>
          </w:tcPr>
          <w:p w:rsidR="00000000" w:rsidDel="00000000" w:rsidP="00000000" w:rsidRDefault="00000000" w:rsidRPr="00000000" w14:paraId="000000B5">
            <w:pPr>
              <w:rPr>
                <w:sz w:val="22"/>
                <w:szCs w:val="22"/>
              </w:rPr>
            </w:pPr>
            <w:r w:rsidDel="00000000" w:rsidR="00000000" w:rsidRPr="00000000">
              <w:rPr>
                <w:sz w:val="22"/>
                <w:szCs w:val="22"/>
                <w:rtl w:val="0"/>
              </w:rPr>
              <w:t xml:space="preserve">Norman</w:t>
            </w:r>
          </w:p>
        </w:tc>
        <w:tc>
          <w:tcPr>
            <w:vAlign w:val="center"/>
          </w:tcPr>
          <w:p w:rsidR="00000000" w:rsidDel="00000000" w:rsidP="00000000" w:rsidRDefault="00000000" w:rsidRPr="00000000" w14:paraId="000000B6">
            <w:pPr>
              <w:rPr>
                <w:sz w:val="22"/>
                <w:szCs w:val="22"/>
              </w:rPr>
            </w:pPr>
            <w:r w:rsidDel="00000000" w:rsidR="00000000" w:rsidRPr="00000000">
              <w:rPr>
                <w:sz w:val="22"/>
                <w:szCs w:val="22"/>
                <w:rtl w:val="0"/>
              </w:rPr>
              <w:t xml:space="preserve">Emails, communication records</w:t>
            </w:r>
          </w:p>
        </w:tc>
        <w:tc>
          <w:tcPr>
            <w:vAlign w:val="center"/>
          </w:tcPr>
          <w:p w:rsidR="00000000" w:rsidDel="00000000" w:rsidP="00000000" w:rsidRDefault="00000000" w:rsidRPr="00000000" w14:paraId="000000B7">
            <w:pPr>
              <w:rPr>
                <w:sz w:val="22"/>
                <w:szCs w:val="22"/>
              </w:rPr>
            </w:pPr>
            <w:r w:rsidDel="00000000" w:rsidR="00000000" w:rsidRPr="00000000">
              <w:rPr>
                <w:sz w:val="22"/>
                <w:szCs w:val="22"/>
                <w:rtl w:val="0"/>
              </w:rPr>
              <w:t xml:space="preserve">Evidence of buyer involvement</w:t>
            </w:r>
          </w:p>
        </w:tc>
        <w:tc>
          <w:tcPr>
            <w:vAlign w:val="center"/>
          </w:tcPr>
          <w:p w:rsidR="00000000" w:rsidDel="00000000" w:rsidP="00000000" w:rsidRDefault="00000000" w:rsidRPr="00000000" w14:paraId="000000B8">
            <w:pPr>
              <w:rPr>
                <w:sz w:val="22"/>
                <w:szCs w:val="22"/>
              </w:rPr>
            </w:pPr>
            <w:r w:rsidDel="00000000" w:rsidR="00000000" w:rsidRPr="00000000">
              <w:rPr>
                <w:sz w:val="22"/>
                <w:szCs w:val="22"/>
                <w:rtl w:val="0"/>
              </w:rPr>
              <w:t xml:space="preserve">Seized &amp; Imaged</w:t>
            </w:r>
          </w:p>
        </w:tc>
      </w:tr>
    </w:tbl>
    <w:p w:rsidR="00000000" w:rsidDel="00000000" w:rsidP="00000000" w:rsidRDefault="00000000" w:rsidRPr="00000000" w14:paraId="000000B9">
      <w:pPr>
        <w:pStyle w:val="Heading2"/>
        <w:rPr/>
      </w:pPr>
      <w:bookmarkStart w:colFirst="0" w:colLast="0" w:name="_q73wguwyipk1" w:id="13"/>
      <w:bookmarkEnd w:id="13"/>
      <w:r w:rsidDel="00000000" w:rsidR="00000000" w:rsidRPr="00000000">
        <w:rPr>
          <w:b w:val="1"/>
          <w:bCs w:val="1"/>
          <w:rtl w:val="0"/>
        </w:rPr>
        <w:t xml:space="preserve">2.3 Evidential Significance and Analysis</w:t>
      </w:r>
      <w:r w:rsidDel="00000000" w:rsidR="00000000" w:rsidRPr="00000000">
        <w:rPr>
          <w:rtl w:val="0"/>
        </w:rPr>
      </w:r>
    </w:p>
    <w:p w:rsidR="00000000" w:rsidDel="00000000" w:rsidP="00000000" w:rsidRDefault="00000000" w:rsidRPr="00000000" w14:paraId="000000BA">
      <w:pPr>
        <w:rPr/>
      </w:pPr>
      <w:r w:rsidDel="00000000" w:rsidR="00000000" w:rsidRPr="00000000">
        <w:rPr>
          <w:rtl w:val="0"/>
        </w:rPr>
        <w:t xml:space="preserve">The collected devices provide a </w:t>
      </w:r>
      <w:r w:rsidDel="00000000" w:rsidR="00000000" w:rsidRPr="00000000">
        <w:rPr>
          <w:b w:val="1"/>
          <w:bCs w:val="1"/>
          <w:rtl w:val="0"/>
        </w:rPr>
        <w:t xml:space="preserve">multi-layered evidential framework</w:t>
      </w:r>
      <w:r w:rsidDel="00000000" w:rsidR="00000000" w:rsidRPr="00000000">
        <w:rPr>
          <w:rtl w:val="0"/>
        </w:rPr>
        <w:t xml:space="preserve">, allowing the investigation to triangulate findings across communication, storage, and transactional domains. Emma’s smartphone (E1) serves as the primary source of insider activity, offering insight into intent, access patterns, and potential data extraction behaviour. The USB flash drive (E2) is of particular importance, as it contains the proprietary patent files, representing direct physical evidence of data exfiltration.</w:t>
      </w:r>
    </w:p>
    <w:p w:rsidR="00000000" w:rsidDel="00000000" w:rsidP="00000000" w:rsidRDefault="00000000" w:rsidRPr="00000000" w14:paraId="000000BB">
      <w:pPr>
        <w:rPr/>
      </w:pPr>
      <w:r w:rsidDel="00000000" w:rsidR="00000000" w:rsidRPr="00000000">
        <w:rPr>
          <w:rtl w:val="0"/>
        </w:rPr>
        <w:t xml:space="preserve">Joe’s device (E3) functions as an intermediary link, facilitating communication between the internal perpetrator and the external recipient, while Norman’s device (E4) provides evidence of intent to acquire confidential information. This distribution of evidence across multiple devices reflects a </w:t>
      </w:r>
      <w:r w:rsidDel="00000000" w:rsidR="00000000" w:rsidRPr="00000000">
        <w:rPr>
          <w:b w:val="1"/>
          <w:bCs w:val="1"/>
          <w:rtl w:val="0"/>
        </w:rPr>
        <w:t xml:space="preserve">structured and coordinated operation</w:t>
      </w:r>
      <w:r w:rsidDel="00000000" w:rsidR="00000000" w:rsidRPr="00000000">
        <w:rPr>
          <w:rtl w:val="0"/>
        </w:rPr>
        <w:t xml:space="preserve">, rather than an isolated incident.</w:t>
      </w:r>
    </w:p>
    <w:p w:rsidR="00000000" w:rsidDel="00000000" w:rsidP="00000000" w:rsidRDefault="00000000" w:rsidRPr="00000000" w14:paraId="000000BC">
      <w:pPr>
        <w:rPr/>
      </w:pPr>
      <w:r w:rsidDel="00000000" w:rsidR="00000000" w:rsidRPr="00000000">
        <w:rPr>
          <w:rtl w:val="0"/>
        </w:rPr>
        <w:t xml:space="preserve">From a forensic perspective, the diversity of evidence sources enhances the </w:t>
      </w:r>
      <w:r w:rsidDel="00000000" w:rsidR="00000000" w:rsidRPr="00000000">
        <w:rPr>
          <w:b w:val="1"/>
          <w:bCs w:val="1"/>
          <w:rtl w:val="0"/>
        </w:rPr>
        <w:t xml:space="preserve">credibility and robustness of the investigation</w:t>
      </w:r>
      <w:r w:rsidDel="00000000" w:rsidR="00000000" w:rsidRPr="00000000">
        <w:rPr>
          <w:rtl w:val="0"/>
        </w:rPr>
        <w:t xml:space="preserve">, as findings can be validated through cross-correlation. For example, communication records on one device can be verified against corresponding logs on another, reducing the likelihood of false attribution or data misinterpretation.</w:t>
      </w:r>
    </w:p>
    <w:p w:rsidR="00000000" w:rsidDel="00000000" w:rsidP="00000000" w:rsidRDefault="00000000" w:rsidRPr="00000000" w14:paraId="000000BD">
      <w:pPr>
        <w:pStyle w:val="Heading2"/>
        <w:rPr/>
      </w:pPr>
      <w:bookmarkStart w:colFirst="0" w:colLast="0" w:name="_bmvy9orynng7" w:id="14"/>
      <w:bookmarkEnd w:id="14"/>
      <w:r w:rsidDel="00000000" w:rsidR="00000000" w:rsidRPr="00000000">
        <w:rPr>
          <w:b w:val="1"/>
          <w:bCs w:val="1"/>
          <w:rtl w:val="0"/>
        </w:rPr>
        <w:t xml:space="preserve">2.4 Evidence Handling Considerations</w:t>
      </w:r>
      <w:r w:rsidDel="00000000" w:rsidR="00000000" w:rsidRPr="00000000">
        <w:rPr>
          <w:rtl w:val="0"/>
        </w:rPr>
      </w:r>
    </w:p>
    <w:p w:rsidR="00000000" w:rsidDel="00000000" w:rsidP="00000000" w:rsidRDefault="00000000" w:rsidRPr="00000000" w14:paraId="000000BE">
      <w:pPr>
        <w:rPr/>
      </w:pPr>
      <w:r w:rsidDel="00000000" w:rsidR="00000000" w:rsidRPr="00000000">
        <w:rPr>
          <w:rtl w:val="0"/>
        </w:rPr>
        <w:t xml:space="preserve">All devices were secured using tamper-evident packaging and stored in controlled environments to prevent contamination or unauthorised access. Proper documentation, including timestamps, ownership details, and seizure context, was maintained to ensure continuity and accountability.</w:t>
      </w:r>
    </w:p>
    <w:p w:rsidR="00000000" w:rsidDel="00000000" w:rsidP="00000000" w:rsidRDefault="00000000" w:rsidRPr="00000000" w14:paraId="000000BF">
      <w:pPr>
        <w:rPr/>
      </w:pPr>
      <w:r w:rsidDel="00000000" w:rsidR="00000000" w:rsidRPr="00000000">
        <w:rPr>
          <w:rtl w:val="0"/>
        </w:rPr>
        <w:t xml:space="preserve">However, it is important to acknowledge that the nature of digital evidence introduces certain limitations. Data stored on volatile memory or encrypted platforms may not be fully recoverable, and reliance on logical acquisition methods may restrict access to deleted artefacts. These constraints highlight the importance of adopting comprehensive forensic strategies and recognising potential gaps in evidential completeness.</w:t>
      </w:r>
    </w:p>
    <w:p w:rsidR="00000000" w:rsidDel="00000000" w:rsidP="00000000" w:rsidRDefault="00000000" w:rsidRPr="00000000" w14:paraId="000000C0">
      <w:pPr>
        <w:spacing w:after="280" w:before="280" w:line="240" w:lineRule="auto"/>
        <w:jc w:val="left"/>
        <w:rPr>
          <w:b w:val="1"/>
          <w:bCs w:val="1"/>
          <w:sz w:val="36"/>
          <w:szCs w:val="36"/>
        </w:rPr>
      </w:pPr>
      <w:bookmarkStart w:colFirst="0" w:colLast="0" w:name="_xiif1qk2190y" w:id="15"/>
      <w:bookmarkEnd w:id="15"/>
      <w:r w:rsidDel="00000000" w:rsidR="00000000" w:rsidRPr="00000000">
        <w:rPr>
          <w:b w:val="1"/>
          <w:bCs w:val="1"/>
          <w:sz w:val="36"/>
          <w:szCs w:val="36"/>
          <w:rtl w:val="0"/>
        </w:rPr>
        <w:t xml:space="preserve">3. Chain of Custody</w:t>
      </w:r>
    </w:p>
    <w:p w:rsidR="00000000" w:rsidDel="00000000" w:rsidP="00000000" w:rsidRDefault="00000000" w:rsidRPr="00000000" w14:paraId="000000C1">
      <w:pPr>
        <w:pStyle w:val="Heading2"/>
        <w:rPr>
          <w:sz w:val="36"/>
          <w:szCs w:val="36"/>
        </w:rPr>
      </w:pPr>
      <w:bookmarkStart w:colFirst="0" w:colLast="0" w:name="_6y6q68i82gef" w:id="16"/>
      <w:bookmarkEnd w:id="16"/>
      <w:r w:rsidDel="00000000" w:rsidR="00000000" w:rsidRPr="00000000">
        <w:rPr>
          <w:b w:val="1"/>
          <w:bCs w:val="1"/>
          <w:rtl w:val="0"/>
        </w:rPr>
        <w:t xml:space="preserve">3.1 Importance of Chain of Custody in Digital Forensics</w:t>
      </w:r>
      <w:r w:rsidDel="00000000" w:rsidR="00000000" w:rsidRPr="00000000">
        <w:rPr>
          <w:rtl w:val="0"/>
        </w:rPr>
      </w:r>
    </w:p>
    <w:p w:rsidR="00000000" w:rsidDel="00000000" w:rsidP="00000000" w:rsidRDefault="00000000" w:rsidRPr="00000000" w14:paraId="000000C2">
      <w:pPr>
        <w:rPr/>
      </w:pPr>
      <w:r w:rsidDel="00000000" w:rsidR="00000000" w:rsidRPr="00000000">
        <w:rPr>
          <w:rtl w:val="0"/>
        </w:rPr>
        <w:t xml:space="preserve">The chain of custody is a fundamental principle in digital forensic investigations, ensuring that all evidence is handled, documented, and preserved in a manner that guarantees its integrity and admissibility in legal proceedings. In the context of cybercrime and corporate espionage, where evidence is entirely digital and easily alterable, maintaining a robust chain of custody becomes critically important.</w:t>
      </w:r>
    </w:p>
    <w:p w:rsidR="00000000" w:rsidDel="00000000" w:rsidP="00000000" w:rsidRDefault="00000000" w:rsidRPr="00000000" w14:paraId="000000C3">
      <w:pPr>
        <w:jc w:val="center"/>
        <w:rPr/>
      </w:pPr>
      <w:r w:rsidDel="00000000" w:rsidR="00000000" w:rsidRPr="00000000">
        <w:rPr/>
        <w:drawing>
          <wp:inline distB="0" distT="0" distL="0" distR="0">
            <wp:extent cx="2863093" cy="4035166"/>
            <wp:effectExtent b="0" l="0" r="0" t="0"/>
            <wp:docPr descr="Free Timeline Infographic Templates to Customize Online" id="13" name="image9.jpg"/>
            <a:graphic>
              <a:graphicData uri="http://schemas.openxmlformats.org/drawingml/2006/picture">
                <pic:pic>
                  <pic:nvPicPr>
                    <pic:cNvPr descr="Free Timeline Infographic Templates to Customize Online" id="0" name="image9.jpg"/>
                    <pic:cNvPicPr preferRelativeResize="0"/>
                  </pic:nvPicPr>
                  <pic:blipFill>
                    <a:blip r:embed="rId23"/>
                    <a:srcRect b="0" l="0" r="0" t="0"/>
                    <a:stretch>
                      <a:fillRect/>
                    </a:stretch>
                  </pic:blipFill>
                  <pic:spPr>
                    <a:xfrm>
                      <a:off x="0" y="0"/>
                      <a:ext cx="2863093" cy="4035166"/>
                    </a:xfrm>
                    <a:prstGeom prst="rect"/>
                    <a:ln/>
                  </pic:spPr>
                </pic:pic>
              </a:graphicData>
            </a:graphic>
          </wp:inline>
        </w:drawing>
      </w:r>
      <w:r w:rsidDel="00000000" w:rsidR="00000000" w:rsidRPr="00000000">
        <w:rPr>
          <w:rtl w:val="0"/>
        </w:rPr>
      </w:r>
    </w:p>
    <w:p w:rsidR="00000000" w:rsidDel="00000000" w:rsidP="00000000" w:rsidRDefault="00000000" w:rsidRPr="00000000" w14:paraId="000000C4">
      <w:pPr>
        <w:rPr/>
      </w:pPr>
      <w:r w:rsidDel="00000000" w:rsidR="00000000" w:rsidRPr="00000000">
        <w:rPr>
          <w:rtl w:val="0"/>
        </w:rPr>
        <w:t xml:space="preserve">A properly maintained chain of custody establishes a clear and chronological record of evidence handling, from the point of seizure through acquisition, analysis, and storage. This process not only safeguards against tampering or contamination but also enhances the credibility of the investigation by demonstrating adherence to recognised forensic standards.</w:t>
      </w:r>
    </w:p>
    <w:p w:rsidR="00000000" w:rsidDel="00000000" w:rsidP="00000000" w:rsidRDefault="00000000" w:rsidRPr="00000000" w14:paraId="000000C5">
      <w:pPr>
        <w:pStyle w:val="Heading2"/>
        <w:rPr/>
      </w:pPr>
      <w:bookmarkStart w:colFirst="0" w:colLast="0" w:name="_7fqz3uikrbvq" w:id="17"/>
      <w:bookmarkEnd w:id="17"/>
      <w:r w:rsidDel="00000000" w:rsidR="00000000" w:rsidRPr="00000000">
        <w:rPr>
          <w:b w:val="1"/>
          <w:bCs w:val="1"/>
          <w:rtl w:val="0"/>
        </w:rPr>
        <w:t xml:space="preserve">3.2 Evidence Handling Process</w:t>
      </w:r>
      <w:r w:rsidDel="00000000" w:rsidR="00000000" w:rsidRPr="00000000">
        <w:rPr>
          <w:rtl w:val="0"/>
        </w:rPr>
      </w:r>
    </w:p>
    <w:p w:rsidR="00000000" w:rsidDel="00000000" w:rsidP="00000000" w:rsidRDefault="00000000" w:rsidRPr="00000000" w14:paraId="000000C6">
      <w:pPr>
        <w:rPr/>
      </w:pPr>
      <w:r w:rsidDel="00000000" w:rsidR="00000000" w:rsidRPr="00000000">
        <w:rPr>
          <w:rtl w:val="0"/>
        </w:rPr>
        <w:t xml:space="preserve">In the Quantum Tech investigation, all devices were seized under controlled conditions immediately following the identification of the security breach. Each item of evidence (E1–E4) was assigned a unique exhibit identifier and labelled with key details, including date, time, location of seizure, and the identity of the collecting authority.</w:t>
      </w:r>
    </w:p>
    <w:p w:rsidR="00000000" w:rsidDel="00000000" w:rsidP="00000000" w:rsidRDefault="00000000" w:rsidRPr="00000000" w14:paraId="000000C7">
      <w:pPr>
        <w:rPr/>
      </w:pPr>
      <w:r w:rsidDel="00000000" w:rsidR="00000000" w:rsidRPr="00000000">
        <w:rPr>
          <w:rtl w:val="0"/>
        </w:rPr>
        <w:t xml:space="preserve">Following seizure, the devices were secured in tamper-evident packaging to prevent unauthorised access or environmental interference. A formal handover process was conducted when transferring the evidence to the forensic investigation unit, ensuring that the condition of each device was verified and documented at every stage.</w:t>
      </w:r>
    </w:p>
    <w:p w:rsidR="00000000" w:rsidDel="00000000" w:rsidP="00000000" w:rsidRDefault="00000000" w:rsidRPr="00000000" w14:paraId="000000C8">
      <w:pPr>
        <w:rPr/>
      </w:pPr>
      <w:r w:rsidDel="00000000" w:rsidR="00000000" w:rsidRPr="00000000">
        <w:rPr>
          <w:rtl w:val="0"/>
        </w:rPr>
        <w:t xml:space="preserve">During forensic acquisition and analysis, strict access controls were enforced. Only authorised personnel were permitted to interact with the evidence, and all actions performed were logged with timestamps and purpose descriptions. The use of write-blocking techniques ensured that original data remained unaltered during the imaging process, while forensic copies were used for examination.</w:t>
      </w:r>
    </w:p>
    <w:p w:rsidR="00000000" w:rsidDel="00000000" w:rsidP="00000000" w:rsidRDefault="00000000" w:rsidRPr="00000000" w14:paraId="000000C9">
      <w:pPr>
        <w:jc w:val="center"/>
        <w:rPr/>
      </w:pPr>
      <w:r w:rsidDel="00000000" w:rsidR="00000000" w:rsidRPr="00000000">
        <w:rPr/>
        <w:drawing>
          <wp:inline distB="0" distT="0" distL="0" distR="0">
            <wp:extent cx="3849414" cy="4425162"/>
            <wp:effectExtent b="0" l="0" r="0" t="0"/>
            <wp:docPr descr="Blockchain Forensics: A Systematic Literature Review of Techniques, Applications, Challenges, and Future Directions" id="17" name="image14.jpg"/>
            <a:graphic>
              <a:graphicData uri="http://schemas.openxmlformats.org/drawingml/2006/picture">
                <pic:pic>
                  <pic:nvPicPr>
                    <pic:cNvPr descr="Blockchain Forensics: A Systematic Literature Review of Techniques, Applications, Challenges, and Future Directions" id="0" name="image14.jpg"/>
                    <pic:cNvPicPr preferRelativeResize="0"/>
                  </pic:nvPicPr>
                  <pic:blipFill>
                    <a:blip r:embed="rId24"/>
                    <a:srcRect b="0" l="0" r="0" t="0"/>
                    <a:stretch>
                      <a:fillRect/>
                    </a:stretch>
                  </pic:blipFill>
                  <pic:spPr>
                    <a:xfrm>
                      <a:off x="0" y="0"/>
                      <a:ext cx="3849414" cy="4425162"/>
                    </a:xfrm>
                    <a:prstGeom prst="rect"/>
                    <a:ln/>
                  </pic:spPr>
                </pic:pic>
              </a:graphicData>
            </a:graphic>
          </wp:inline>
        </w:drawing>
      </w:r>
      <w:r w:rsidDel="00000000" w:rsidR="00000000" w:rsidRPr="00000000">
        <w:rPr>
          <w:rtl w:val="0"/>
        </w:rPr>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pStyle w:val="Heading2"/>
        <w:spacing w:line="480" w:lineRule="auto"/>
        <w:rPr/>
      </w:pPr>
      <w:bookmarkStart w:colFirst="0" w:colLast="0" w:name="_x9a06psax40x" w:id="18"/>
      <w:bookmarkEnd w:id="18"/>
      <w:r w:rsidDel="00000000" w:rsidR="00000000" w:rsidRPr="00000000">
        <w:rPr>
          <w:b w:val="1"/>
          <w:bCs w:val="1"/>
          <w:rtl w:val="0"/>
        </w:rPr>
        <w:t xml:space="preserve">3.3 Documentation and Continuity</w:t>
      </w:r>
      <w:r w:rsidDel="00000000" w:rsidR="00000000" w:rsidRPr="00000000">
        <w:rPr>
          <w:rtl w:val="0"/>
        </w:rPr>
      </w:r>
    </w:p>
    <w:p w:rsidR="00000000" w:rsidDel="00000000" w:rsidP="00000000" w:rsidRDefault="00000000" w:rsidRPr="00000000" w14:paraId="000000C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Comprehensive documentation was maintained throughout the investigation to ensure full traceability of evidence. This included:</w:t>
      </w:r>
    </w:p>
    <w:p w:rsidR="00000000" w:rsidDel="00000000" w:rsidP="00000000" w:rsidRDefault="00000000" w:rsidRPr="00000000" w14:paraId="000000CD">
      <w:pPr>
        <w:numPr>
          <w:ilvl w:val="0"/>
          <w:numId w:val="9"/>
        </w:numPr>
        <w:spacing w:after="0" w:before="280" w:line="480" w:lineRule="auto"/>
        <w:ind w:left="720" w:hanging="360"/>
        <w:jc w:val="left"/>
        <w:rPr/>
      </w:pPr>
      <w:r w:rsidDel="00000000" w:rsidR="00000000" w:rsidRPr="00000000">
        <w:rPr>
          <w:rtl w:val="0"/>
        </w:rPr>
        <w:t xml:space="preserve">Evidence seizure records </w:t>
      </w:r>
    </w:p>
    <w:p w:rsidR="00000000" w:rsidDel="00000000" w:rsidP="00000000" w:rsidRDefault="00000000" w:rsidRPr="00000000" w14:paraId="000000CE">
      <w:pPr>
        <w:numPr>
          <w:ilvl w:val="0"/>
          <w:numId w:val="9"/>
        </w:numPr>
        <w:spacing w:after="0" w:before="0" w:line="480" w:lineRule="auto"/>
        <w:ind w:left="720" w:hanging="360"/>
        <w:jc w:val="left"/>
        <w:rPr/>
      </w:pPr>
      <w:r w:rsidDel="00000000" w:rsidR="00000000" w:rsidRPr="00000000">
        <w:rPr>
          <w:rtl w:val="0"/>
        </w:rPr>
        <w:t xml:space="preserve">Transfer and handover logs </w:t>
      </w:r>
    </w:p>
    <w:p w:rsidR="00000000" w:rsidDel="00000000" w:rsidP="00000000" w:rsidRDefault="00000000" w:rsidRPr="00000000" w14:paraId="000000CF">
      <w:pPr>
        <w:numPr>
          <w:ilvl w:val="0"/>
          <w:numId w:val="9"/>
        </w:numPr>
        <w:spacing w:after="0" w:before="0" w:line="480" w:lineRule="auto"/>
        <w:ind w:left="720" w:hanging="360"/>
        <w:jc w:val="left"/>
        <w:rPr/>
      </w:pPr>
      <w:r w:rsidDel="00000000" w:rsidR="00000000" w:rsidRPr="00000000">
        <w:rPr>
          <w:rtl w:val="0"/>
        </w:rPr>
        <w:t xml:space="preserve">Access and analysis logs </w:t>
      </w:r>
    </w:p>
    <w:p w:rsidR="00000000" w:rsidDel="00000000" w:rsidP="00000000" w:rsidRDefault="00000000" w:rsidRPr="00000000" w14:paraId="000000D0">
      <w:pPr>
        <w:numPr>
          <w:ilvl w:val="0"/>
          <w:numId w:val="9"/>
        </w:numPr>
        <w:spacing w:after="280" w:before="0" w:line="480" w:lineRule="auto"/>
        <w:ind w:left="720" w:hanging="360"/>
        <w:jc w:val="left"/>
        <w:rPr/>
      </w:pPr>
      <w:r w:rsidDel="00000000" w:rsidR="00000000" w:rsidRPr="00000000">
        <w:rPr>
          <w:rtl w:val="0"/>
        </w:rPr>
        <w:t xml:space="preserve">Storage location records </w:t>
      </w:r>
    </w:p>
    <w:p w:rsidR="00000000" w:rsidDel="00000000" w:rsidP="00000000" w:rsidRDefault="00000000" w:rsidRPr="00000000" w14:paraId="000000D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Such documentation provides a transparent audit trail, allowing investigators and legal authorities to verify that the evidence has been consistently handled in accordance with forensic best practices. The continuity of evidence is particularly important in multi-device investigations, where data from different sources must be correlated without compromising integrity.</w:t>
      </w:r>
    </w:p>
    <w:p w:rsidR="00000000" w:rsidDel="00000000" w:rsidP="00000000" w:rsidRDefault="00000000" w:rsidRPr="00000000" w14:paraId="000000D2">
      <w:pPr>
        <w:pStyle w:val="Heading2"/>
        <w:spacing w:line="480" w:lineRule="auto"/>
        <w:rPr/>
      </w:pPr>
      <w:bookmarkStart w:colFirst="0" w:colLast="0" w:name="_w86m30975wgj" w:id="19"/>
      <w:bookmarkEnd w:id="19"/>
      <w:r w:rsidDel="00000000" w:rsidR="00000000" w:rsidRPr="00000000">
        <w:rPr>
          <w:b w:val="1"/>
          <w:bCs w:val="1"/>
          <w:rtl w:val="0"/>
        </w:rPr>
        <w:t xml:space="preserve">3.4 Integrity Verification</w:t>
      </w:r>
      <w:r w:rsidDel="00000000" w:rsidR="00000000" w:rsidRPr="00000000">
        <w:rPr>
          <w:rtl w:val="0"/>
        </w:rPr>
      </w:r>
    </w:p>
    <w:p w:rsidR="00000000" w:rsidDel="00000000" w:rsidP="00000000" w:rsidRDefault="00000000" w:rsidRPr="00000000" w14:paraId="000000D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ensure that no alterations occurred during acquisition or analysis, cryptographic hash values were generated for each device image. Both MD5 and SHA-1 hashing algorithms were used to create digital fingerprints of the data before and after imaging.</w:t>
      </w:r>
    </w:p>
    <w:p w:rsidR="00000000" w:rsidDel="00000000" w:rsidP="00000000" w:rsidRDefault="00000000" w:rsidRPr="00000000" w14:paraId="000000D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matching of hash values confirmed that the forensic copies were exact replicas of the original data, thereby validating the integrity and authenticity of the evidence. However, it is important to note that while MD5 and SHA-1 are widely used, modern forensic standards increasingly recommend stronger algorithms such as SHA-256 due to known vulnerabilities in older hashing methods.</w:t>
      </w:r>
    </w:p>
    <w:p w:rsidR="00000000" w:rsidDel="00000000" w:rsidP="00000000" w:rsidRDefault="00000000" w:rsidRPr="00000000" w14:paraId="000000D5">
      <w:pPr>
        <w:pStyle w:val="Heading2"/>
        <w:spacing w:line="480" w:lineRule="auto"/>
        <w:rPr/>
      </w:pPr>
      <w:bookmarkStart w:colFirst="0" w:colLast="0" w:name="_s35vtr5lfs8i" w:id="20"/>
      <w:bookmarkEnd w:id="20"/>
      <w:r w:rsidDel="00000000" w:rsidR="00000000" w:rsidRPr="00000000">
        <w:rPr>
          <w:b w:val="1"/>
          <w:bCs w:val="1"/>
          <w:rtl w:val="0"/>
        </w:rPr>
        <w:t xml:space="preserve">3.5 Critical Evaluation and Limitations</w:t>
      </w:r>
      <w:r w:rsidDel="00000000" w:rsidR="00000000" w:rsidRPr="00000000">
        <w:rPr>
          <w:rtl w:val="0"/>
        </w:rPr>
      </w:r>
    </w:p>
    <w:p w:rsidR="00000000" w:rsidDel="00000000" w:rsidP="00000000" w:rsidRDefault="00000000" w:rsidRPr="00000000" w14:paraId="000000D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While the chain of custody procedures followed in this investigation align with recognised forensic standards, certain limitations must be acknowledged. Digital evidence is inherently fragile, and despite strict controls, factors such as prior device usage, encryption, or remote data deletion may impact the completeness of available evidence.</w:t>
      </w:r>
    </w:p>
    <w:p w:rsidR="00000000" w:rsidDel="00000000" w:rsidP="00000000" w:rsidRDefault="00000000" w:rsidRPr="00000000" w14:paraId="000000D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Additionally, the reliance on procedural accuracy means that any undocumented interaction with evidence could potentially undermine its admissibility in court. Therefore, maintaining rigorous documentation and minimising human error remain critical challenges in forensic practice.</w:t>
      </w:r>
    </w:p>
    <w:p w:rsidR="00000000" w:rsidDel="00000000" w:rsidP="00000000" w:rsidRDefault="00000000" w:rsidRPr="00000000" w14:paraId="000000D8">
      <w:pPr>
        <w:spacing w:after="280" w:before="280" w:line="240" w:lineRule="auto"/>
        <w:jc w:val="left"/>
        <w:rPr>
          <w:b w:val="1"/>
          <w:bCs w:val="1"/>
          <w:sz w:val="36"/>
          <w:szCs w:val="36"/>
        </w:rPr>
      </w:pPr>
      <w:bookmarkStart w:colFirst="0" w:colLast="0" w:name="_ada3odoi58mp" w:id="21"/>
      <w:bookmarkEnd w:id="21"/>
      <w:r w:rsidDel="00000000" w:rsidR="00000000" w:rsidRPr="00000000">
        <w:rPr>
          <w:rtl w:val="0"/>
        </w:rPr>
      </w:r>
    </w:p>
    <w:p w:rsidR="00000000" w:rsidDel="00000000" w:rsidP="00000000" w:rsidRDefault="00000000" w:rsidRPr="00000000" w14:paraId="000000D9">
      <w:pPr>
        <w:spacing w:after="280" w:before="280" w:line="240" w:lineRule="auto"/>
        <w:jc w:val="left"/>
        <w:rPr>
          <w:b w:val="1"/>
          <w:bCs w:val="1"/>
          <w:sz w:val="36"/>
          <w:szCs w:val="36"/>
        </w:rPr>
      </w:pPr>
      <w:bookmarkStart w:colFirst="0" w:colLast="0" w:name="_u31x8uhwak1" w:id="22"/>
      <w:bookmarkEnd w:id="22"/>
      <w:r w:rsidDel="00000000" w:rsidR="00000000" w:rsidRPr="00000000">
        <w:rPr>
          <w:rtl w:val="0"/>
        </w:rPr>
      </w:r>
    </w:p>
    <w:p w:rsidR="00000000" w:rsidDel="00000000" w:rsidP="00000000" w:rsidRDefault="00000000" w:rsidRPr="00000000" w14:paraId="000000DA">
      <w:pPr>
        <w:spacing w:after="280" w:before="280" w:line="240" w:lineRule="auto"/>
        <w:jc w:val="left"/>
        <w:rPr>
          <w:b w:val="1"/>
          <w:bCs w:val="1"/>
          <w:sz w:val="36"/>
          <w:szCs w:val="36"/>
        </w:rPr>
      </w:pPr>
      <w:bookmarkStart w:colFirst="0" w:colLast="0" w:name="_n558z6cxu1s" w:id="23"/>
      <w:bookmarkEnd w:id="23"/>
      <w:r w:rsidDel="00000000" w:rsidR="00000000" w:rsidRPr="00000000">
        <w:rPr>
          <w:b w:val="1"/>
          <w:bCs w:val="1"/>
          <w:sz w:val="36"/>
          <w:szCs w:val="36"/>
          <w:rtl w:val="0"/>
        </w:rPr>
        <w:t xml:space="preserve">4. Evidence Acquisition</w:t>
      </w:r>
    </w:p>
    <w:p w:rsidR="00000000" w:rsidDel="00000000" w:rsidP="00000000" w:rsidRDefault="00000000" w:rsidRPr="00000000" w14:paraId="000000DB">
      <w:pPr>
        <w:rPr/>
      </w:pPr>
      <w:r w:rsidDel="00000000" w:rsidR="00000000" w:rsidRPr="00000000">
        <w:rPr>
          <w:rtl w:val="0"/>
        </w:rPr>
        <w:t xml:space="preserve">Forensic acquisition was performed using industry-standard tools to ensure data integrity and reliability. Tools such as FTK Imager, Autopsy, and Cellebrite were utilised for extracting data from the devices.</w:t>
      </w:r>
    </w:p>
    <w:p w:rsidR="00000000" w:rsidDel="00000000" w:rsidP="00000000" w:rsidRDefault="00000000" w:rsidRPr="00000000" w14:paraId="000000DC">
      <w:pPr>
        <w:rPr/>
      </w:pPr>
      <w:r w:rsidDel="00000000" w:rsidR="00000000" w:rsidRPr="00000000">
        <w:rPr>
          <w:rtl w:val="0"/>
        </w:rPr>
        <w:t xml:space="preserve">A bit-by-bit forensic image of each device was created to preserve the original data. Write blockers were used during acquisition to prevent any modification to the original storage media.</w:t>
      </w:r>
    </w:p>
    <w:p w:rsidR="00000000" w:rsidDel="00000000" w:rsidP="00000000" w:rsidRDefault="00000000" w:rsidRPr="00000000" w14:paraId="000000DD">
      <w:pPr>
        <w:rPr/>
      </w:pPr>
      <w:r w:rsidDel="00000000" w:rsidR="00000000" w:rsidRPr="00000000">
        <w:rPr>
          <w:rtl w:val="0"/>
        </w:rPr>
        <w:t xml:space="preserve">To verify the integrity of acquired images, hash values (MD5 and SHA-1) were generated before and after imaging. The hash values matched, confirming that the data remained unchanged and had not been tampered with during the acquisition process.</w:t>
      </w:r>
    </w:p>
    <w:p w:rsidR="00000000" w:rsidDel="00000000" w:rsidP="00000000" w:rsidRDefault="00000000" w:rsidRPr="00000000" w14:paraId="000000DE">
      <w:pPr>
        <w:spacing w:after="280" w:before="280" w:line="240" w:lineRule="auto"/>
        <w:jc w:val="left"/>
        <w:rPr>
          <w:b w:val="1"/>
          <w:bCs w:val="1"/>
          <w:sz w:val="36"/>
          <w:szCs w:val="36"/>
        </w:rPr>
      </w:pPr>
      <w:bookmarkStart w:colFirst="0" w:colLast="0" w:name="_n6liqaxs9jiv" w:id="24"/>
      <w:bookmarkEnd w:id="24"/>
      <w:r w:rsidDel="00000000" w:rsidR="00000000" w:rsidRPr="00000000">
        <w:rPr>
          <w:rtl w:val="0"/>
        </w:rPr>
      </w:r>
    </w:p>
    <w:p w:rsidR="00000000" w:rsidDel="00000000" w:rsidP="00000000" w:rsidRDefault="00000000" w:rsidRPr="00000000" w14:paraId="000000DF">
      <w:pPr>
        <w:spacing w:after="280" w:before="280" w:line="240" w:lineRule="auto"/>
        <w:jc w:val="left"/>
        <w:rPr>
          <w:b w:val="1"/>
          <w:bCs w:val="1"/>
          <w:sz w:val="36"/>
          <w:szCs w:val="36"/>
        </w:rPr>
      </w:pPr>
      <w:bookmarkStart w:colFirst="0" w:colLast="0" w:name="_la09xi6n3rwe" w:id="25"/>
      <w:bookmarkEnd w:id="25"/>
      <w:r w:rsidDel="00000000" w:rsidR="00000000" w:rsidRPr="00000000">
        <w:rPr>
          <w:rtl w:val="0"/>
        </w:rPr>
      </w:r>
    </w:p>
    <w:p w:rsidR="00000000" w:rsidDel="00000000" w:rsidP="00000000" w:rsidRDefault="00000000" w:rsidRPr="00000000" w14:paraId="000000E0">
      <w:pPr>
        <w:spacing w:after="280" w:before="280" w:line="240" w:lineRule="auto"/>
        <w:jc w:val="left"/>
        <w:rPr>
          <w:b w:val="1"/>
          <w:bCs w:val="1"/>
          <w:sz w:val="36"/>
          <w:szCs w:val="36"/>
        </w:rPr>
      </w:pPr>
      <w:bookmarkStart w:colFirst="0" w:colLast="0" w:name="_tkp2wx88mb49" w:id="26"/>
      <w:bookmarkEnd w:id="26"/>
      <w:r w:rsidDel="00000000" w:rsidR="00000000" w:rsidRPr="00000000">
        <w:rPr>
          <w:b w:val="1"/>
          <w:bCs w:val="1"/>
          <w:sz w:val="36"/>
          <w:szCs w:val="36"/>
          <w:rtl w:val="0"/>
        </w:rPr>
        <w:t xml:space="preserve">5. Communication Analysis</w:t>
      </w:r>
    </w:p>
    <w:p w:rsidR="00000000" w:rsidDel="00000000" w:rsidP="00000000" w:rsidRDefault="00000000" w:rsidRPr="00000000" w14:paraId="000000E1">
      <w:pPr>
        <w:spacing w:after="280" w:before="280" w:line="480" w:lineRule="auto"/>
        <w:jc w:val="left"/>
        <w:rPr/>
      </w:pPr>
      <w:r w:rsidDel="00000000" w:rsidR="00000000" w:rsidRPr="00000000">
        <w:rPr>
          <w:rtl w:val="0"/>
        </w:rPr>
        <w:t xml:space="preserve">Analysis of communication logs across all devices revealed significant interactions between Emma, Joe, and Norman.</w:t>
      </w:r>
    </w:p>
    <w:p w:rsidR="00000000" w:rsidDel="00000000" w:rsidP="00000000" w:rsidRDefault="00000000" w:rsidRPr="00000000" w14:paraId="000000E2">
      <w:pPr>
        <w:numPr>
          <w:ilvl w:val="0"/>
          <w:numId w:val="3"/>
        </w:numPr>
        <w:spacing w:after="0" w:before="280" w:line="480" w:lineRule="auto"/>
        <w:ind w:left="720" w:hanging="360"/>
        <w:jc w:val="left"/>
        <w:rPr/>
      </w:pPr>
      <w:r w:rsidDel="00000000" w:rsidR="00000000" w:rsidRPr="00000000">
        <w:rPr>
          <w:rtl w:val="0"/>
        </w:rPr>
        <w:t xml:space="preserve">WhatsApp messages from Emma’s device showed discussions regarding “design files” and “confidential data.” </w:t>
      </w:r>
    </w:p>
    <w:p w:rsidR="00000000" w:rsidDel="00000000" w:rsidP="00000000" w:rsidRDefault="00000000" w:rsidRPr="00000000" w14:paraId="000000E3">
      <w:pPr>
        <w:numPr>
          <w:ilvl w:val="0"/>
          <w:numId w:val="3"/>
        </w:numPr>
        <w:spacing w:after="0" w:before="0" w:line="480" w:lineRule="auto"/>
        <w:ind w:left="720" w:hanging="360"/>
        <w:jc w:val="left"/>
        <w:rPr/>
      </w:pPr>
      <w:r w:rsidDel="00000000" w:rsidR="00000000" w:rsidRPr="00000000">
        <w:rPr>
          <w:rtl w:val="0"/>
        </w:rPr>
        <w:t xml:space="preserve">Joe’s device contained messages coordinating meetings and negotiations. </w:t>
      </w:r>
    </w:p>
    <w:p w:rsidR="00000000" w:rsidDel="00000000" w:rsidP="00000000" w:rsidRDefault="00000000" w:rsidRPr="00000000" w14:paraId="000000E4">
      <w:pPr>
        <w:numPr>
          <w:ilvl w:val="0"/>
          <w:numId w:val="3"/>
        </w:numPr>
        <w:spacing w:after="280" w:before="0" w:line="480" w:lineRule="auto"/>
        <w:ind w:left="720" w:hanging="360"/>
        <w:jc w:val="left"/>
        <w:rPr/>
      </w:pPr>
      <w:r w:rsidDel="00000000" w:rsidR="00000000" w:rsidRPr="00000000">
        <w:rPr>
          <w:rtl w:val="0"/>
        </w:rPr>
        <w:t xml:space="preserve">Norman’s smartphone included communication suggesting interest in acquiring proprietary information. </w:t>
      </w:r>
    </w:p>
    <w:p w:rsidR="00000000" w:rsidDel="00000000" w:rsidP="00000000" w:rsidRDefault="00000000" w:rsidRPr="00000000" w14:paraId="000000E5">
      <w:pPr>
        <w:spacing w:after="280" w:before="280" w:line="480" w:lineRule="auto"/>
        <w:jc w:val="left"/>
        <w:rPr/>
      </w:pPr>
      <w:r w:rsidDel="00000000" w:rsidR="00000000" w:rsidRPr="00000000">
        <w:rPr>
          <w:rtl w:val="0"/>
        </w:rPr>
        <w:t xml:space="preserve">Email analysis revealed that Emma had shared sample files related to the AI chip design. These emails indicated intent to transfer sensitive company data for external use.</w:t>
      </w:r>
    </w:p>
    <w:p w:rsidR="00000000" w:rsidDel="00000000" w:rsidP="00000000" w:rsidRDefault="00000000" w:rsidRPr="00000000" w14:paraId="000000E6">
      <w:pPr>
        <w:spacing w:after="280" w:before="280" w:line="240" w:lineRule="auto"/>
        <w:jc w:val="left"/>
        <w:rPr>
          <w:b w:val="1"/>
          <w:bCs w:val="1"/>
          <w:sz w:val="27"/>
          <w:szCs w:val="27"/>
        </w:rPr>
      </w:pPr>
      <w:bookmarkStart w:colFirst="0" w:colLast="0" w:name="_en60akxww7rf" w:id="27"/>
      <w:bookmarkEnd w:id="27"/>
      <w:r w:rsidDel="00000000" w:rsidR="00000000" w:rsidRPr="00000000">
        <w:rPr>
          <w:b w:val="1"/>
          <w:bCs w:val="1"/>
          <w:sz w:val="27"/>
          <w:szCs w:val="27"/>
          <w:rtl w:val="0"/>
        </w:rPr>
        <w:t xml:space="preserve">Reconstructed Timeline</w:t>
      </w:r>
    </w:p>
    <w:tbl>
      <w:tblPr>
        <w:tblStyle w:val="Table3"/>
        <w:tblW w:w="5744.0" w:type="dxa"/>
        <w:jc w:val="center"/>
        <w:tblBorders>
          <w:top w:color="000000" w:space="0" w:sz="12" w:val="single"/>
          <w:left w:color="000000" w:space="0" w:sz="12" w:val="single"/>
          <w:bottom w:color="000000" w:space="0" w:sz="12" w:val="single"/>
          <w:right w:color="000000" w:space="0" w:sz="12" w:val="single"/>
          <w:insideH w:color="000000" w:space="0" w:sz="12" w:val="single"/>
          <w:insideV w:color="000000" w:space="0" w:sz="12" w:val="single"/>
        </w:tblBorders>
        <w:tblLayout w:type="fixed"/>
        <w:tblLook w:val="0400"/>
      </w:tblPr>
      <w:tblGrid>
        <w:gridCol w:w="1602"/>
        <w:gridCol w:w="4142"/>
        <w:tblGridChange w:id="0">
          <w:tblGrid>
            <w:gridCol w:w="1602"/>
            <w:gridCol w:w="4142"/>
          </w:tblGrid>
        </w:tblGridChange>
      </w:tblGrid>
      <w:tr>
        <w:trPr>
          <w:cantSplit w:val="0"/>
          <w:tblHeader w:val="1"/>
        </w:trPr>
        <w:tc>
          <w:tcPr>
            <w:vAlign w:val="center"/>
          </w:tcPr>
          <w:p w:rsidR="00000000" w:rsidDel="00000000" w:rsidP="00000000" w:rsidRDefault="00000000" w:rsidRPr="00000000" w14:paraId="000000E7">
            <w:pPr>
              <w:spacing w:after="0" w:line="240" w:lineRule="auto"/>
              <w:jc w:val="center"/>
              <w:rPr>
                <w:b w:val="1"/>
                <w:bCs w:val="1"/>
              </w:rPr>
            </w:pPr>
            <w:r w:rsidDel="00000000" w:rsidR="00000000" w:rsidRPr="00000000">
              <w:rPr>
                <w:b w:val="1"/>
                <w:bCs w:val="1"/>
                <w:rtl w:val="0"/>
              </w:rPr>
              <w:t xml:space="preserve">Date</w:t>
            </w:r>
          </w:p>
        </w:tc>
        <w:tc>
          <w:tcPr>
            <w:vAlign w:val="center"/>
          </w:tcPr>
          <w:p w:rsidR="00000000" w:rsidDel="00000000" w:rsidP="00000000" w:rsidRDefault="00000000" w:rsidRPr="00000000" w14:paraId="000000E8">
            <w:pPr>
              <w:spacing w:after="0" w:line="240" w:lineRule="auto"/>
              <w:jc w:val="center"/>
              <w:rPr>
                <w:b w:val="1"/>
                <w:bCs w:val="1"/>
              </w:rPr>
            </w:pPr>
            <w:r w:rsidDel="00000000" w:rsidR="00000000" w:rsidRPr="00000000">
              <w:rPr>
                <w:b w:val="1"/>
                <w:bCs w:val="1"/>
                <w:rtl w:val="0"/>
              </w:rPr>
              <w:t xml:space="preserve">Event</w:t>
            </w:r>
          </w:p>
        </w:tc>
      </w:tr>
      <w:tr>
        <w:trPr>
          <w:cantSplit w:val="0"/>
          <w:tblHeader w:val="0"/>
        </w:trPr>
        <w:tc>
          <w:tcPr>
            <w:vAlign w:val="center"/>
          </w:tcPr>
          <w:p w:rsidR="00000000" w:rsidDel="00000000" w:rsidP="00000000" w:rsidRDefault="00000000" w:rsidRPr="00000000" w14:paraId="000000E9">
            <w:pPr>
              <w:spacing w:after="0" w:line="240" w:lineRule="auto"/>
              <w:jc w:val="left"/>
              <w:rPr/>
            </w:pPr>
            <w:r w:rsidDel="00000000" w:rsidR="00000000" w:rsidRPr="00000000">
              <w:rPr>
                <w:rtl w:val="0"/>
              </w:rPr>
              <w:t xml:space="preserve">10 March 2026</w:t>
            </w:r>
          </w:p>
        </w:tc>
        <w:tc>
          <w:tcPr>
            <w:vAlign w:val="center"/>
          </w:tcPr>
          <w:p w:rsidR="00000000" w:rsidDel="00000000" w:rsidP="00000000" w:rsidRDefault="00000000" w:rsidRPr="00000000" w14:paraId="000000EA">
            <w:pPr>
              <w:spacing w:after="0" w:line="240" w:lineRule="auto"/>
              <w:jc w:val="left"/>
              <w:rPr/>
            </w:pPr>
            <w:r w:rsidDel="00000000" w:rsidR="00000000" w:rsidRPr="00000000">
              <w:rPr>
                <w:rtl w:val="0"/>
              </w:rPr>
              <w:t xml:space="preserve">Emma initiates contact with Joe</w:t>
            </w:r>
          </w:p>
        </w:tc>
      </w:tr>
      <w:tr>
        <w:trPr>
          <w:cantSplit w:val="0"/>
          <w:tblHeader w:val="0"/>
        </w:trPr>
        <w:tc>
          <w:tcPr>
            <w:vAlign w:val="center"/>
          </w:tcPr>
          <w:p w:rsidR="00000000" w:rsidDel="00000000" w:rsidP="00000000" w:rsidRDefault="00000000" w:rsidRPr="00000000" w14:paraId="000000EB">
            <w:pPr>
              <w:spacing w:after="0" w:line="240" w:lineRule="auto"/>
              <w:jc w:val="left"/>
              <w:rPr/>
            </w:pPr>
            <w:r w:rsidDel="00000000" w:rsidR="00000000" w:rsidRPr="00000000">
              <w:rPr>
                <w:rtl w:val="0"/>
              </w:rPr>
              <w:t xml:space="preserve">12 March 2026</w:t>
            </w:r>
          </w:p>
        </w:tc>
        <w:tc>
          <w:tcPr>
            <w:vAlign w:val="center"/>
          </w:tcPr>
          <w:p w:rsidR="00000000" w:rsidDel="00000000" w:rsidP="00000000" w:rsidRDefault="00000000" w:rsidRPr="00000000" w14:paraId="000000EC">
            <w:pPr>
              <w:spacing w:after="0" w:line="240" w:lineRule="auto"/>
              <w:jc w:val="left"/>
              <w:rPr/>
            </w:pPr>
            <w:r w:rsidDel="00000000" w:rsidR="00000000" w:rsidRPr="00000000">
              <w:rPr>
                <w:rtl w:val="0"/>
              </w:rPr>
              <w:t xml:space="preserve">File transfer discussed</w:t>
            </w:r>
          </w:p>
        </w:tc>
      </w:tr>
      <w:tr>
        <w:trPr>
          <w:cantSplit w:val="0"/>
          <w:tblHeader w:val="0"/>
        </w:trPr>
        <w:tc>
          <w:tcPr>
            <w:vAlign w:val="center"/>
          </w:tcPr>
          <w:p w:rsidR="00000000" w:rsidDel="00000000" w:rsidP="00000000" w:rsidRDefault="00000000" w:rsidRPr="00000000" w14:paraId="000000ED">
            <w:pPr>
              <w:spacing w:after="0" w:line="240" w:lineRule="auto"/>
              <w:jc w:val="left"/>
              <w:rPr/>
            </w:pPr>
            <w:r w:rsidDel="00000000" w:rsidR="00000000" w:rsidRPr="00000000">
              <w:rPr>
                <w:rtl w:val="0"/>
              </w:rPr>
              <w:t xml:space="preserve">14 March 2026</w:t>
            </w:r>
          </w:p>
        </w:tc>
        <w:tc>
          <w:tcPr>
            <w:vAlign w:val="center"/>
          </w:tcPr>
          <w:p w:rsidR="00000000" w:rsidDel="00000000" w:rsidP="00000000" w:rsidRDefault="00000000" w:rsidRPr="00000000" w14:paraId="000000EE">
            <w:pPr>
              <w:spacing w:after="0" w:line="240" w:lineRule="auto"/>
              <w:jc w:val="left"/>
              <w:rPr/>
            </w:pPr>
            <w:r w:rsidDel="00000000" w:rsidR="00000000" w:rsidRPr="00000000">
              <w:rPr>
                <w:rtl w:val="0"/>
              </w:rPr>
              <w:t xml:space="preserve">Email containing sample data sent</w:t>
            </w:r>
          </w:p>
        </w:tc>
      </w:tr>
      <w:tr>
        <w:trPr>
          <w:cantSplit w:val="0"/>
          <w:tblHeader w:val="0"/>
        </w:trPr>
        <w:tc>
          <w:tcPr>
            <w:vAlign w:val="center"/>
          </w:tcPr>
          <w:p w:rsidR="00000000" w:rsidDel="00000000" w:rsidP="00000000" w:rsidRDefault="00000000" w:rsidRPr="00000000" w14:paraId="000000EF">
            <w:pPr>
              <w:spacing w:after="0" w:line="240" w:lineRule="auto"/>
              <w:jc w:val="left"/>
              <w:rPr/>
            </w:pPr>
            <w:r w:rsidDel="00000000" w:rsidR="00000000" w:rsidRPr="00000000">
              <w:rPr>
                <w:rtl w:val="0"/>
              </w:rPr>
              <w:t xml:space="preserve">15 March 2026</w:t>
            </w:r>
          </w:p>
        </w:tc>
        <w:tc>
          <w:tcPr>
            <w:vAlign w:val="center"/>
          </w:tcPr>
          <w:p w:rsidR="00000000" w:rsidDel="00000000" w:rsidP="00000000" w:rsidRDefault="00000000" w:rsidRPr="00000000" w14:paraId="000000F0">
            <w:pPr>
              <w:spacing w:after="0" w:line="240" w:lineRule="auto"/>
              <w:jc w:val="left"/>
              <w:rPr/>
            </w:pPr>
            <w:r w:rsidDel="00000000" w:rsidR="00000000" w:rsidRPr="00000000">
              <w:rPr>
                <w:rtl w:val="0"/>
              </w:rPr>
              <w:t xml:space="preserve">Communication with Norman established</w:t>
            </w:r>
          </w:p>
        </w:tc>
      </w:tr>
      <w:tr>
        <w:trPr>
          <w:cantSplit w:val="0"/>
          <w:tblHeader w:val="0"/>
        </w:trPr>
        <w:tc>
          <w:tcPr>
            <w:vAlign w:val="center"/>
          </w:tcPr>
          <w:p w:rsidR="00000000" w:rsidDel="00000000" w:rsidP="00000000" w:rsidRDefault="00000000" w:rsidRPr="00000000" w14:paraId="000000F1">
            <w:pPr>
              <w:spacing w:after="0" w:line="240" w:lineRule="auto"/>
              <w:jc w:val="left"/>
              <w:rPr/>
            </w:pPr>
            <w:r w:rsidDel="00000000" w:rsidR="00000000" w:rsidRPr="00000000">
              <w:rPr>
                <w:rtl w:val="0"/>
              </w:rPr>
              <w:t xml:space="preserve">18 March 2026</w:t>
            </w:r>
          </w:p>
        </w:tc>
        <w:tc>
          <w:tcPr>
            <w:vAlign w:val="center"/>
          </w:tcPr>
          <w:p w:rsidR="00000000" w:rsidDel="00000000" w:rsidP="00000000" w:rsidRDefault="00000000" w:rsidRPr="00000000" w14:paraId="000000F2">
            <w:pPr>
              <w:spacing w:after="0" w:line="240" w:lineRule="auto"/>
              <w:jc w:val="left"/>
              <w:rPr/>
            </w:pPr>
            <w:r w:rsidDel="00000000" w:rsidR="00000000" w:rsidRPr="00000000">
              <w:rPr>
                <w:rtl w:val="0"/>
              </w:rPr>
              <w:t xml:space="preserve">Negotiation regarding payment</w:t>
            </w:r>
          </w:p>
        </w:tc>
      </w:tr>
    </w:tbl>
    <w:p w:rsidR="00000000" w:rsidDel="00000000" w:rsidP="00000000" w:rsidRDefault="00000000" w:rsidRPr="00000000" w14:paraId="000000F3">
      <w:pPr>
        <w:spacing w:line="480" w:lineRule="auto"/>
        <w:rPr/>
      </w:pPr>
      <w:r w:rsidDel="00000000" w:rsidR="00000000" w:rsidRPr="00000000">
        <w:rPr>
          <w:rtl w:val="0"/>
        </w:rPr>
        <w:t xml:space="preserve">The timeline clearly demonstrates a sequence of coordinated actions indicating planned data exfiltration.</w:t>
      </w:r>
    </w:p>
    <w:p w:rsidR="00000000" w:rsidDel="00000000" w:rsidP="00000000" w:rsidRDefault="00000000" w:rsidRPr="00000000" w14:paraId="000000F4">
      <w:pPr>
        <w:spacing w:after="280" w:before="280" w:line="480" w:lineRule="auto"/>
        <w:jc w:val="left"/>
        <w:rPr>
          <w:b w:val="1"/>
          <w:bCs w:val="1"/>
          <w:sz w:val="36"/>
          <w:szCs w:val="36"/>
        </w:rPr>
      </w:pPr>
      <w:bookmarkStart w:colFirst="0" w:colLast="0" w:name="_6058rbu4amns" w:id="28"/>
      <w:bookmarkEnd w:id="28"/>
      <w:r w:rsidDel="00000000" w:rsidR="00000000" w:rsidRPr="00000000">
        <w:rPr>
          <w:b w:val="1"/>
          <w:bCs w:val="1"/>
          <w:sz w:val="36"/>
          <w:szCs w:val="36"/>
          <w:rtl w:val="0"/>
        </w:rPr>
        <w:t xml:space="preserve">6. File Analysis (USB Drive)</w:t>
      </w:r>
    </w:p>
    <w:p w:rsidR="00000000" w:rsidDel="00000000" w:rsidP="00000000" w:rsidRDefault="00000000" w:rsidRPr="00000000" w14:paraId="000000F5">
      <w:pPr>
        <w:spacing w:after="280" w:before="280" w:line="480" w:lineRule="auto"/>
        <w:jc w:val="left"/>
        <w:rPr/>
      </w:pPr>
      <w:r w:rsidDel="00000000" w:rsidR="00000000" w:rsidRPr="00000000">
        <w:rPr>
          <w:rtl w:val="0"/>
        </w:rPr>
        <w:t xml:space="preserve">Examination of Emma’s USB flash drive revealed multiple files associated with the QT-AI-2025 patent. These included PDF documents, CAD design files, and technical specifications.</w:t>
      </w:r>
    </w:p>
    <w:p w:rsidR="00000000" w:rsidDel="00000000" w:rsidP="00000000" w:rsidRDefault="00000000" w:rsidRPr="00000000" w14:paraId="000000F6">
      <w:pPr>
        <w:spacing w:after="280" w:before="280" w:line="480" w:lineRule="auto"/>
        <w:jc w:val="left"/>
        <w:rPr/>
      </w:pPr>
      <w:r w:rsidDel="00000000" w:rsidR="00000000" w:rsidRPr="00000000">
        <w:rPr>
          <w:rtl w:val="0"/>
        </w:rPr>
        <w:t xml:space="preserve">Metadata analysis showed:</w:t>
      </w:r>
    </w:p>
    <w:p w:rsidR="00000000" w:rsidDel="00000000" w:rsidP="00000000" w:rsidRDefault="00000000" w:rsidRPr="00000000" w14:paraId="000000F7">
      <w:pPr>
        <w:numPr>
          <w:ilvl w:val="0"/>
          <w:numId w:val="4"/>
        </w:numPr>
        <w:spacing w:after="0" w:before="280" w:line="480" w:lineRule="auto"/>
        <w:ind w:left="720" w:hanging="360"/>
        <w:jc w:val="left"/>
        <w:rPr/>
      </w:pPr>
      <w:r w:rsidDel="00000000" w:rsidR="00000000" w:rsidRPr="00000000">
        <w:rPr>
          <w:rtl w:val="0"/>
        </w:rPr>
        <w:t xml:space="preserve">File creation dates aligned with Emma’s employment period. </w:t>
      </w:r>
    </w:p>
    <w:p w:rsidR="00000000" w:rsidDel="00000000" w:rsidP="00000000" w:rsidRDefault="00000000" w:rsidRPr="00000000" w14:paraId="000000F8">
      <w:pPr>
        <w:numPr>
          <w:ilvl w:val="0"/>
          <w:numId w:val="4"/>
        </w:numPr>
        <w:spacing w:after="0" w:before="0" w:line="480" w:lineRule="auto"/>
        <w:ind w:left="720" w:hanging="360"/>
        <w:jc w:val="left"/>
        <w:rPr/>
      </w:pPr>
      <w:r w:rsidDel="00000000" w:rsidR="00000000" w:rsidRPr="00000000">
        <w:rPr>
          <w:rtl w:val="0"/>
        </w:rPr>
        <w:t xml:space="preserve">Modification timestamps indicated recent access prior to the suspected incident. </w:t>
      </w:r>
    </w:p>
    <w:p w:rsidR="00000000" w:rsidDel="00000000" w:rsidP="00000000" w:rsidRDefault="00000000" w:rsidRPr="00000000" w14:paraId="000000F9">
      <w:pPr>
        <w:numPr>
          <w:ilvl w:val="0"/>
          <w:numId w:val="4"/>
        </w:numPr>
        <w:spacing w:after="280" w:before="0" w:line="480" w:lineRule="auto"/>
        <w:ind w:left="720" w:hanging="360"/>
        <w:jc w:val="left"/>
        <w:rPr/>
      </w:pPr>
      <w:r w:rsidDel="00000000" w:rsidR="00000000" w:rsidRPr="00000000">
        <w:rPr>
          <w:rtl w:val="0"/>
        </w:rPr>
        <w:t xml:space="preserve">Some files were copied shortly before communication with Joe. </w:t>
      </w:r>
    </w:p>
    <w:p w:rsidR="00000000" w:rsidDel="00000000" w:rsidP="00000000" w:rsidRDefault="00000000" w:rsidRPr="00000000" w14:paraId="000000FA">
      <w:pPr>
        <w:spacing w:after="280" w:before="280" w:line="480" w:lineRule="auto"/>
        <w:jc w:val="left"/>
        <w:rPr/>
      </w:pPr>
      <w:r w:rsidDel="00000000" w:rsidR="00000000" w:rsidRPr="00000000">
        <w:rPr>
          <w:rtl w:val="0"/>
        </w:rPr>
        <w:t xml:space="preserve">This strongly suggests that the files were intentionally extracted for unauthorised transfer.</w:t>
      </w:r>
    </w:p>
    <w:p w:rsidR="00000000" w:rsidDel="00000000" w:rsidP="00000000" w:rsidRDefault="00000000" w:rsidRPr="00000000" w14:paraId="000000FB">
      <w:pPr>
        <w:spacing w:after="280" w:before="280" w:line="480" w:lineRule="auto"/>
        <w:jc w:val="left"/>
        <w:rPr/>
      </w:pPr>
      <w:r w:rsidDel="00000000" w:rsidR="00000000" w:rsidRPr="00000000">
        <w:rPr>
          <w:rtl w:val="0"/>
        </w:rPr>
        <w:t xml:space="preserve">Additionally, deleted files were partially recovered, indicating attempts to conceal evidence.</w:t>
      </w:r>
    </w:p>
    <w:p w:rsidR="00000000" w:rsidDel="00000000" w:rsidP="00000000" w:rsidRDefault="00000000" w:rsidRPr="00000000" w14:paraId="000000FC">
      <w:pPr>
        <w:spacing w:after="280" w:before="280" w:line="480" w:lineRule="auto"/>
        <w:jc w:val="left"/>
        <w:rPr>
          <w:b w:val="1"/>
          <w:bCs w:val="1"/>
          <w:sz w:val="36"/>
          <w:szCs w:val="36"/>
        </w:rPr>
      </w:pPr>
      <w:bookmarkStart w:colFirst="0" w:colLast="0" w:name="_tmfkd97c4lj5" w:id="29"/>
      <w:bookmarkEnd w:id="29"/>
      <w:r w:rsidDel="00000000" w:rsidR="00000000" w:rsidRPr="00000000">
        <w:rPr>
          <w:b w:val="1"/>
          <w:bCs w:val="1"/>
          <w:sz w:val="36"/>
          <w:szCs w:val="36"/>
          <w:rtl w:val="0"/>
        </w:rPr>
        <w:t xml:space="preserve">7. Call Log and Email Correlation</w:t>
      </w:r>
    </w:p>
    <w:p w:rsidR="00000000" w:rsidDel="00000000" w:rsidP="00000000" w:rsidRDefault="00000000" w:rsidRPr="00000000" w14:paraId="000000FD">
      <w:pPr>
        <w:spacing w:after="280" w:before="280" w:line="480" w:lineRule="auto"/>
        <w:jc w:val="left"/>
        <w:rPr/>
      </w:pPr>
      <w:r w:rsidDel="00000000" w:rsidR="00000000" w:rsidRPr="00000000">
        <w:rPr>
          <w:rtl w:val="0"/>
        </w:rPr>
        <w:t xml:space="preserve">Cross-analysis of call logs confirmed frequent communication between Emma and Joe, followed by calls between Joe and Norman.</w:t>
      </w:r>
    </w:p>
    <w:p w:rsidR="00000000" w:rsidDel="00000000" w:rsidP="00000000" w:rsidRDefault="00000000" w:rsidRPr="00000000" w14:paraId="000000FE">
      <w:pPr>
        <w:spacing w:after="280" w:before="280" w:line="480" w:lineRule="auto"/>
        <w:jc w:val="left"/>
        <w:rPr/>
      </w:pPr>
      <w:r w:rsidDel="00000000" w:rsidR="00000000" w:rsidRPr="00000000">
        <w:rPr>
          <w:rtl w:val="0"/>
        </w:rPr>
        <w:t xml:space="preserve">A notable pattern was observed:</w:t>
      </w:r>
    </w:p>
    <w:p w:rsidR="00000000" w:rsidDel="00000000" w:rsidP="00000000" w:rsidRDefault="00000000" w:rsidRPr="00000000" w14:paraId="000000FF">
      <w:pPr>
        <w:numPr>
          <w:ilvl w:val="0"/>
          <w:numId w:val="5"/>
        </w:numPr>
        <w:spacing w:after="0" w:before="280" w:line="480" w:lineRule="auto"/>
        <w:ind w:left="720" w:hanging="360"/>
        <w:jc w:val="left"/>
        <w:rPr/>
      </w:pPr>
      <w:r w:rsidDel="00000000" w:rsidR="00000000" w:rsidRPr="00000000">
        <w:rPr>
          <w:rtl w:val="0"/>
        </w:rPr>
        <w:t xml:space="preserve">Emma contacted Joe shortly before sending files. </w:t>
      </w:r>
    </w:p>
    <w:p w:rsidR="00000000" w:rsidDel="00000000" w:rsidP="00000000" w:rsidRDefault="00000000" w:rsidRPr="00000000" w14:paraId="00000100">
      <w:pPr>
        <w:numPr>
          <w:ilvl w:val="0"/>
          <w:numId w:val="5"/>
        </w:numPr>
        <w:spacing w:after="280" w:before="0" w:line="480" w:lineRule="auto"/>
        <w:ind w:left="720" w:hanging="360"/>
        <w:jc w:val="left"/>
        <w:rPr/>
      </w:pPr>
      <w:r w:rsidDel="00000000" w:rsidR="00000000" w:rsidRPr="00000000">
        <w:rPr>
          <w:rtl w:val="0"/>
        </w:rPr>
        <w:t xml:space="preserve">Joe subsequently communicated with Norman, likely acting as a broker. </w:t>
      </w:r>
    </w:p>
    <w:p w:rsidR="00000000" w:rsidDel="00000000" w:rsidP="00000000" w:rsidRDefault="00000000" w:rsidRPr="00000000" w14:paraId="00000101">
      <w:pPr>
        <w:spacing w:after="280" w:before="280" w:line="480" w:lineRule="auto"/>
        <w:jc w:val="left"/>
        <w:rPr/>
      </w:pPr>
      <w:r w:rsidDel="00000000" w:rsidR="00000000" w:rsidRPr="00000000">
        <w:rPr>
          <w:rtl w:val="0"/>
        </w:rPr>
        <w:t xml:space="preserve">Email exchanges further supported this pattern, showing coordination between parties regarding file transfers and possible financial transactions.</w:t>
      </w:r>
    </w:p>
    <w:p w:rsidR="00000000" w:rsidDel="00000000" w:rsidP="00000000" w:rsidRDefault="00000000" w:rsidRPr="00000000" w14:paraId="00000102">
      <w:pPr>
        <w:spacing w:after="280" w:before="280" w:line="480" w:lineRule="auto"/>
        <w:jc w:val="left"/>
        <w:rPr/>
      </w:pPr>
      <w:r w:rsidDel="00000000" w:rsidR="00000000" w:rsidRPr="00000000">
        <w:rPr>
          <w:rtl w:val="0"/>
        </w:rPr>
        <w:t xml:space="preserve">This correlation strengthens the evidence of a structured communication chain linking all suspects.</w:t>
      </w:r>
    </w:p>
    <w:p w:rsidR="00000000" w:rsidDel="00000000" w:rsidP="00000000" w:rsidRDefault="00000000" w:rsidRPr="00000000" w14:paraId="00000103">
      <w:pPr>
        <w:spacing w:after="280" w:before="280" w:line="480" w:lineRule="auto"/>
        <w:jc w:val="left"/>
        <w:rPr>
          <w:b w:val="1"/>
          <w:bCs w:val="1"/>
          <w:sz w:val="36"/>
          <w:szCs w:val="36"/>
        </w:rPr>
      </w:pPr>
      <w:bookmarkStart w:colFirst="0" w:colLast="0" w:name="_dmfggp9polub" w:id="30"/>
      <w:bookmarkEnd w:id="30"/>
      <w:r w:rsidDel="00000000" w:rsidR="00000000" w:rsidRPr="00000000">
        <w:rPr>
          <w:b w:val="1"/>
          <w:bCs w:val="1"/>
          <w:sz w:val="36"/>
          <w:szCs w:val="36"/>
          <w:rtl w:val="0"/>
        </w:rPr>
        <w:t xml:space="preserve">8. Suspect Profiling</w:t>
      </w:r>
    </w:p>
    <w:p w:rsidR="00000000" w:rsidDel="00000000" w:rsidP="00000000" w:rsidRDefault="00000000" w:rsidRPr="00000000" w14:paraId="00000104">
      <w:pPr>
        <w:spacing w:after="280" w:before="280" w:line="480" w:lineRule="auto"/>
        <w:jc w:val="left"/>
        <w:rPr>
          <w:b w:val="1"/>
          <w:bCs w:val="1"/>
          <w:sz w:val="27"/>
          <w:szCs w:val="27"/>
        </w:rPr>
      </w:pPr>
      <w:bookmarkStart w:colFirst="0" w:colLast="0" w:name="_r2qniotk6vax" w:id="31"/>
      <w:bookmarkEnd w:id="31"/>
      <w:r w:rsidDel="00000000" w:rsidR="00000000" w:rsidRPr="00000000">
        <w:rPr>
          <w:b w:val="1"/>
          <w:bCs w:val="1"/>
          <w:sz w:val="27"/>
          <w:szCs w:val="27"/>
          <w:rtl w:val="0"/>
        </w:rPr>
        <w:t xml:space="preserve">Emma (Primary Perpetrator)</w:t>
      </w:r>
    </w:p>
    <w:p w:rsidR="00000000" w:rsidDel="00000000" w:rsidP="00000000" w:rsidRDefault="00000000" w:rsidRPr="00000000" w14:paraId="00000105">
      <w:pPr>
        <w:spacing w:after="280" w:before="280" w:line="480" w:lineRule="auto"/>
        <w:jc w:val="left"/>
        <w:rPr/>
      </w:pPr>
      <w:r w:rsidDel="00000000" w:rsidR="00000000" w:rsidRPr="00000000">
        <w:rPr>
          <w:rtl w:val="0"/>
        </w:rPr>
        <w:t xml:space="preserve">Emma is identified as the main individual responsible for accessing and extracting confidential data. Her actions indicate deliberate intent to misuse proprietary information for personal gain.</w:t>
      </w:r>
    </w:p>
    <w:p w:rsidR="00000000" w:rsidDel="00000000" w:rsidP="00000000" w:rsidRDefault="00000000" w:rsidRPr="00000000" w14:paraId="00000106">
      <w:pPr>
        <w:spacing w:after="280" w:before="280" w:line="480" w:lineRule="auto"/>
        <w:jc w:val="left"/>
        <w:rPr>
          <w:b w:val="1"/>
          <w:bCs w:val="1"/>
          <w:sz w:val="27"/>
          <w:szCs w:val="27"/>
        </w:rPr>
      </w:pPr>
      <w:bookmarkStart w:colFirst="0" w:colLast="0" w:name="_wa3dco4dj5yu" w:id="32"/>
      <w:bookmarkEnd w:id="32"/>
      <w:r w:rsidDel="00000000" w:rsidR="00000000" w:rsidRPr="00000000">
        <w:rPr>
          <w:b w:val="1"/>
          <w:bCs w:val="1"/>
          <w:sz w:val="27"/>
          <w:szCs w:val="27"/>
          <w:rtl w:val="0"/>
        </w:rPr>
        <w:t xml:space="preserve">Joe (Intermediary)</w:t>
      </w:r>
    </w:p>
    <w:p w:rsidR="00000000" w:rsidDel="00000000" w:rsidP="00000000" w:rsidRDefault="00000000" w:rsidRPr="00000000" w14:paraId="00000107">
      <w:pPr>
        <w:spacing w:after="280" w:before="280" w:line="480" w:lineRule="auto"/>
        <w:jc w:val="left"/>
        <w:rPr/>
      </w:pPr>
      <w:r w:rsidDel="00000000" w:rsidR="00000000" w:rsidRPr="00000000">
        <w:rPr>
          <w:rtl w:val="0"/>
        </w:rPr>
        <w:t xml:space="preserve">Joe acted as a facilitator, coordinating communication between Emma and Norman. His role appears to involve arranging the transfer and negotiation process.</w:t>
      </w:r>
    </w:p>
    <w:p w:rsidR="00000000" w:rsidDel="00000000" w:rsidP="00000000" w:rsidRDefault="00000000" w:rsidRPr="00000000" w14:paraId="00000108">
      <w:pPr>
        <w:spacing w:after="280" w:before="280" w:line="240" w:lineRule="auto"/>
        <w:jc w:val="left"/>
        <w:rPr>
          <w:b w:val="1"/>
          <w:bCs w:val="1"/>
          <w:sz w:val="27"/>
          <w:szCs w:val="27"/>
        </w:rPr>
      </w:pPr>
      <w:bookmarkStart w:colFirst="0" w:colLast="0" w:name="_t1npffd5p82i" w:id="33"/>
      <w:bookmarkEnd w:id="33"/>
      <w:r w:rsidDel="00000000" w:rsidR="00000000" w:rsidRPr="00000000">
        <w:rPr>
          <w:b w:val="1"/>
          <w:bCs w:val="1"/>
          <w:sz w:val="27"/>
          <w:szCs w:val="27"/>
          <w:rtl w:val="0"/>
        </w:rPr>
        <w:t xml:space="preserve">Norman (Buyer)</w:t>
      </w:r>
    </w:p>
    <w:p w:rsidR="00000000" w:rsidDel="00000000" w:rsidP="00000000" w:rsidRDefault="00000000" w:rsidRPr="00000000" w14:paraId="00000109">
      <w:pPr>
        <w:rPr/>
      </w:pPr>
      <w:r w:rsidDel="00000000" w:rsidR="00000000" w:rsidRPr="00000000">
        <w:rPr>
          <w:rtl w:val="0"/>
        </w:rPr>
        <w:t xml:space="preserve">Norman is identified as the intended recipient of the stolen data. Evidence suggests his involvement in discussions related to acquiring the patent information for competitive advantage.</w:t>
      </w:r>
    </w:p>
    <w:p w:rsidR="00000000" w:rsidDel="00000000" w:rsidP="00000000" w:rsidRDefault="00000000" w:rsidRPr="00000000" w14:paraId="0000010A">
      <w:pPr>
        <w:spacing w:after="280" w:before="280" w:line="480" w:lineRule="auto"/>
        <w:jc w:val="left"/>
        <w:rPr>
          <w:b w:val="1"/>
          <w:bCs w:val="1"/>
          <w:sz w:val="36"/>
          <w:szCs w:val="36"/>
        </w:rPr>
      </w:pPr>
      <w:bookmarkStart w:colFirst="0" w:colLast="0" w:name="_6qbwp23deh0u" w:id="34"/>
      <w:bookmarkEnd w:id="34"/>
      <w:r w:rsidDel="00000000" w:rsidR="00000000" w:rsidRPr="00000000">
        <w:rPr>
          <w:b w:val="1"/>
          <w:bCs w:val="1"/>
          <w:sz w:val="36"/>
          <w:szCs w:val="36"/>
          <w:rtl w:val="0"/>
        </w:rPr>
        <w:t xml:space="preserve">9. Key Findings</w:t>
      </w:r>
    </w:p>
    <w:p w:rsidR="00000000" w:rsidDel="00000000" w:rsidP="00000000" w:rsidRDefault="00000000" w:rsidRPr="00000000" w14:paraId="0000010B">
      <w:pPr>
        <w:spacing w:after="280" w:before="280" w:line="480" w:lineRule="auto"/>
        <w:jc w:val="left"/>
        <w:rPr/>
      </w:pPr>
      <w:r w:rsidDel="00000000" w:rsidR="00000000" w:rsidRPr="00000000">
        <w:rPr>
          <w:rtl w:val="0"/>
        </w:rPr>
        <w:t xml:space="preserve">The forensic investigation revealed the following:</w:t>
      </w:r>
    </w:p>
    <w:p w:rsidR="00000000" w:rsidDel="00000000" w:rsidP="00000000" w:rsidRDefault="00000000" w:rsidRPr="00000000" w14:paraId="0000010C">
      <w:pPr>
        <w:numPr>
          <w:ilvl w:val="0"/>
          <w:numId w:val="6"/>
        </w:numPr>
        <w:spacing w:after="0" w:before="280" w:line="480" w:lineRule="auto"/>
        <w:ind w:left="720" w:hanging="360"/>
        <w:jc w:val="left"/>
        <w:rPr/>
      </w:pPr>
      <w:r w:rsidDel="00000000" w:rsidR="00000000" w:rsidRPr="00000000">
        <w:rPr>
          <w:rtl w:val="0"/>
        </w:rPr>
        <w:t xml:space="preserve">Unauthorized access and extraction of proprietary patent data. </w:t>
      </w:r>
    </w:p>
    <w:p w:rsidR="00000000" w:rsidDel="00000000" w:rsidP="00000000" w:rsidRDefault="00000000" w:rsidRPr="00000000" w14:paraId="0000010D">
      <w:pPr>
        <w:numPr>
          <w:ilvl w:val="0"/>
          <w:numId w:val="6"/>
        </w:numPr>
        <w:spacing w:after="0" w:before="0" w:line="480" w:lineRule="auto"/>
        <w:ind w:left="720" w:hanging="360"/>
        <w:jc w:val="left"/>
        <w:rPr/>
      </w:pPr>
      <w:r w:rsidDel="00000000" w:rsidR="00000000" w:rsidRPr="00000000">
        <w:rPr>
          <w:rtl w:val="0"/>
        </w:rPr>
        <w:t xml:space="preserve">Clear communication between suspects indicating intent to sell confidential information. </w:t>
      </w:r>
    </w:p>
    <w:p w:rsidR="00000000" w:rsidDel="00000000" w:rsidP="00000000" w:rsidRDefault="00000000" w:rsidRPr="00000000" w14:paraId="0000010E">
      <w:pPr>
        <w:numPr>
          <w:ilvl w:val="0"/>
          <w:numId w:val="6"/>
        </w:numPr>
        <w:spacing w:after="0" w:before="0" w:line="480" w:lineRule="auto"/>
        <w:ind w:left="720" w:hanging="360"/>
        <w:jc w:val="left"/>
        <w:rPr/>
      </w:pPr>
      <w:r w:rsidDel="00000000" w:rsidR="00000000" w:rsidRPr="00000000">
        <w:rPr>
          <w:rtl w:val="0"/>
        </w:rPr>
        <w:t xml:space="preserve">Presence of sensitive files on external storage (USB drive). </w:t>
      </w:r>
    </w:p>
    <w:p w:rsidR="00000000" w:rsidDel="00000000" w:rsidP="00000000" w:rsidRDefault="00000000" w:rsidRPr="00000000" w14:paraId="0000010F">
      <w:pPr>
        <w:numPr>
          <w:ilvl w:val="0"/>
          <w:numId w:val="6"/>
        </w:numPr>
        <w:spacing w:after="0" w:before="0" w:line="480" w:lineRule="auto"/>
        <w:ind w:left="720" w:hanging="360"/>
        <w:jc w:val="left"/>
        <w:rPr/>
      </w:pPr>
      <w:r w:rsidDel="00000000" w:rsidR="00000000" w:rsidRPr="00000000">
        <w:rPr>
          <w:rtl w:val="0"/>
        </w:rPr>
        <w:t xml:space="preserve">Correlated call logs and messages confirming coordination. </w:t>
      </w:r>
    </w:p>
    <w:p w:rsidR="00000000" w:rsidDel="00000000" w:rsidP="00000000" w:rsidRDefault="00000000" w:rsidRPr="00000000" w14:paraId="00000110">
      <w:pPr>
        <w:numPr>
          <w:ilvl w:val="0"/>
          <w:numId w:val="6"/>
        </w:numPr>
        <w:spacing w:after="280" w:before="0" w:line="480" w:lineRule="auto"/>
        <w:ind w:left="720" w:hanging="360"/>
        <w:jc w:val="left"/>
        <w:rPr/>
      </w:pPr>
      <w:r w:rsidDel="00000000" w:rsidR="00000000" w:rsidRPr="00000000">
        <w:rPr>
          <w:rtl w:val="0"/>
        </w:rPr>
        <w:t xml:space="preserve">Evidence of attempted concealment through deletion of files. </w:t>
      </w:r>
    </w:p>
    <w:p w:rsidR="00000000" w:rsidDel="00000000" w:rsidP="00000000" w:rsidRDefault="00000000" w:rsidRPr="00000000" w14:paraId="00000111">
      <w:pPr>
        <w:spacing w:after="280" w:before="280" w:line="480" w:lineRule="auto"/>
        <w:jc w:val="left"/>
        <w:rPr>
          <w:b w:val="1"/>
          <w:bCs w:val="1"/>
          <w:sz w:val="36"/>
          <w:szCs w:val="36"/>
        </w:rPr>
      </w:pPr>
      <w:r w:rsidDel="00000000" w:rsidR="00000000" w:rsidRPr="00000000">
        <w:rPr>
          <w:rtl w:val="0"/>
        </w:rPr>
        <w:t xml:space="preserve">These findings collectively provide strong evidence of attempted corporate espionage.</w:t>
      </w:r>
      <w:r w:rsidDel="00000000" w:rsidR="00000000" w:rsidRPr="00000000">
        <w:rPr>
          <w:rtl w:val="0"/>
        </w:rPr>
      </w:r>
    </w:p>
    <w:p w:rsidR="00000000" w:rsidDel="00000000" w:rsidP="00000000" w:rsidRDefault="00000000" w:rsidRPr="00000000" w14:paraId="00000112">
      <w:pPr>
        <w:spacing w:after="280" w:before="280" w:line="240" w:lineRule="auto"/>
        <w:jc w:val="left"/>
        <w:rPr>
          <w:b w:val="1"/>
          <w:bCs w:val="1"/>
          <w:sz w:val="28"/>
          <w:szCs w:val="28"/>
        </w:rPr>
      </w:pPr>
      <w:bookmarkStart w:colFirst="0" w:colLast="0" w:name="_uo1436t2uxb1" w:id="35"/>
      <w:bookmarkEnd w:id="35"/>
      <w:r w:rsidDel="00000000" w:rsidR="00000000" w:rsidRPr="00000000">
        <w:rPr>
          <w:b w:val="1"/>
          <w:bCs w:val="1"/>
          <w:sz w:val="36"/>
          <w:szCs w:val="36"/>
          <w:rtl w:val="0"/>
        </w:rPr>
        <w:t xml:space="preserve">10. </w:t>
      </w:r>
      <w:r w:rsidDel="00000000" w:rsidR="00000000" w:rsidRPr="00000000">
        <w:rPr>
          <w:b w:val="1"/>
          <w:bCs w:val="1"/>
          <w:sz w:val="28"/>
          <w:szCs w:val="28"/>
          <w:rtl w:val="0"/>
        </w:rPr>
        <w:t xml:space="preserve">Forensic Collection Information</w:t>
      </w:r>
    </w:p>
    <w:p w:rsidR="00000000" w:rsidDel="00000000" w:rsidP="00000000" w:rsidRDefault="00000000" w:rsidRPr="00000000" w14:paraId="00000113">
      <w:pPr>
        <w:spacing w:after="280" w:before="280" w:line="240" w:lineRule="auto"/>
        <w:jc w:val="left"/>
        <w:rPr>
          <w:sz w:val="24"/>
          <w:szCs w:val="24"/>
        </w:rPr>
      </w:pPr>
      <w:bookmarkStart w:colFirst="0" w:colLast="0" w:name="_oncsdl90l0jr" w:id="36"/>
      <w:bookmarkEnd w:id="36"/>
      <w:r w:rsidDel="00000000" w:rsidR="00000000" w:rsidRPr="00000000">
        <w:rPr>
          <w:sz w:val="24"/>
          <w:szCs w:val="24"/>
          <w:rtl w:val="0"/>
        </w:rPr>
        <w:t xml:space="preserve">Device 1: Huawei POT-LX1 P Smart</w:t>
      </w:r>
    </w:p>
    <w:p w:rsidR="00000000" w:rsidDel="00000000" w:rsidP="00000000" w:rsidRDefault="00000000" w:rsidRPr="00000000" w14:paraId="00000114">
      <w:pPr>
        <w:spacing w:after="280" w:before="280" w:line="240" w:lineRule="auto"/>
        <w:jc w:val="center"/>
        <w:rPr>
          <w:b w:val="1"/>
          <w:bCs w:val="1"/>
          <w:sz w:val="36"/>
          <w:szCs w:val="36"/>
        </w:rPr>
      </w:pPr>
      <w:bookmarkStart w:colFirst="0" w:colLast="0" w:name="_5zi5hhhs8f3j" w:id="37"/>
      <w:bookmarkEnd w:id="37"/>
      <w:r w:rsidDel="00000000" w:rsidR="00000000" w:rsidRPr="00000000">
        <w:rPr>
          <w:b w:val="1"/>
          <w:bCs w:val="1"/>
          <w:sz w:val="36"/>
          <w:szCs w:val="36"/>
        </w:rPr>
        <w:drawing>
          <wp:inline distB="114300" distT="114300" distL="114300" distR="114300">
            <wp:extent cx="3188843" cy="1459570"/>
            <wp:effectExtent b="0" l="0" r="0" t="0"/>
            <wp:docPr id="15" name="image10.png"/>
            <a:graphic>
              <a:graphicData uri="http://schemas.openxmlformats.org/drawingml/2006/picture">
                <pic:pic>
                  <pic:nvPicPr>
                    <pic:cNvPr id="0" name="image10.png"/>
                    <pic:cNvPicPr preferRelativeResize="0"/>
                  </pic:nvPicPr>
                  <pic:blipFill>
                    <a:blip r:embed="rId25"/>
                    <a:srcRect b="0" l="0" r="0" t="0"/>
                    <a:stretch>
                      <a:fillRect/>
                    </a:stretch>
                  </pic:blipFill>
                  <pic:spPr>
                    <a:xfrm>
                      <a:off x="0" y="0"/>
                      <a:ext cx="3188843" cy="1459570"/>
                    </a:xfrm>
                    <a:prstGeom prst="rect"/>
                    <a:ln/>
                  </pic:spPr>
                </pic:pic>
              </a:graphicData>
            </a:graphic>
          </wp:inline>
        </w:drawing>
      </w:r>
      <w:r w:rsidDel="00000000" w:rsidR="00000000" w:rsidRPr="00000000">
        <w:rPr>
          <w:rtl w:val="0"/>
        </w:rPr>
      </w:r>
    </w:p>
    <w:p w:rsidR="00000000" w:rsidDel="00000000" w:rsidP="00000000" w:rsidRDefault="00000000" w:rsidRPr="00000000" w14:paraId="00000115">
      <w:pPr>
        <w:spacing w:after="280" w:before="280" w:line="240" w:lineRule="auto"/>
        <w:jc w:val="center"/>
        <w:rPr>
          <w:b w:val="1"/>
          <w:bCs w:val="1"/>
          <w:sz w:val="36"/>
          <w:szCs w:val="36"/>
        </w:rPr>
      </w:pPr>
      <w:bookmarkStart w:colFirst="0" w:colLast="0" w:name="_w0n93ftsyce5" w:id="38"/>
      <w:bookmarkEnd w:id="38"/>
      <w:r w:rsidDel="00000000" w:rsidR="00000000" w:rsidRPr="00000000">
        <w:rPr>
          <w:b w:val="1"/>
          <w:bCs w:val="1"/>
          <w:sz w:val="36"/>
          <w:szCs w:val="36"/>
        </w:rPr>
        <w:drawing>
          <wp:inline distB="114300" distT="114300" distL="114300" distR="114300">
            <wp:extent cx="4957763" cy="2171700"/>
            <wp:effectExtent b="0" l="0" r="0" t="0"/>
            <wp:docPr id="16" name="image17.png"/>
            <a:graphic>
              <a:graphicData uri="http://schemas.openxmlformats.org/drawingml/2006/picture">
                <pic:pic>
                  <pic:nvPicPr>
                    <pic:cNvPr id="0" name="image17.png"/>
                    <pic:cNvPicPr preferRelativeResize="0"/>
                  </pic:nvPicPr>
                  <pic:blipFill>
                    <a:blip r:embed="rId26"/>
                    <a:srcRect b="0" l="0" r="0" t="0"/>
                    <a:stretch>
                      <a:fillRect/>
                    </a:stretch>
                  </pic:blipFill>
                  <pic:spPr>
                    <a:xfrm>
                      <a:off x="0" y="0"/>
                      <a:ext cx="4957763" cy="2171700"/>
                    </a:xfrm>
                    <a:prstGeom prst="rect"/>
                    <a:ln/>
                  </pic:spPr>
                </pic:pic>
              </a:graphicData>
            </a:graphic>
          </wp:inline>
        </w:drawing>
      </w:r>
      <w:r w:rsidDel="00000000" w:rsidR="00000000" w:rsidRPr="00000000">
        <w:rPr>
          <w:rtl w:val="0"/>
        </w:rPr>
      </w:r>
    </w:p>
    <w:p w:rsidR="00000000" w:rsidDel="00000000" w:rsidP="00000000" w:rsidRDefault="00000000" w:rsidRPr="00000000" w14:paraId="00000116">
      <w:pPr>
        <w:spacing w:after="280" w:before="280" w:line="240" w:lineRule="auto"/>
        <w:jc w:val="left"/>
        <w:rPr>
          <w:b w:val="1"/>
          <w:bCs w:val="1"/>
          <w:sz w:val="36"/>
          <w:szCs w:val="36"/>
        </w:rPr>
      </w:pPr>
      <w:bookmarkStart w:colFirst="0" w:colLast="0" w:name="_22p9qh3cc0df" w:id="39"/>
      <w:bookmarkEnd w:id="39"/>
      <w:r w:rsidDel="00000000" w:rsidR="00000000" w:rsidRPr="00000000">
        <w:rPr>
          <w:rtl w:val="0"/>
        </w:rPr>
      </w:r>
    </w:p>
    <w:p w:rsidR="00000000" w:rsidDel="00000000" w:rsidP="00000000" w:rsidRDefault="00000000" w:rsidRPr="00000000" w14:paraId="00000117">
      <w:pPr>
        <w:spacing w:after="280" w:before="280" w:line="240" w:lineRule="auto"/>
        <w:jc w:val="center"/>
        <w:rPr>
          <w:b w:val="1"/>
          <w:bCs w:val="1"/>
          <w:sz w:val="36"/>
          <w:szCs w:val="36"/>
        </w:rPr>
      </w:pPr>
      <w:bookmarkStart w:colFirst="0" w:colLast="0" w:name="_syvuyngyf6je" w:id="40"/>
      <w:bookmarkEnd w:id="40"/>
      <w:r w:rsidDel="00000000" w:rsidR="00000000" w:rsidRPr="00000000">
        <w:rPr>
          <w:b w:val="1"/>
          <w:bCs w:val="1"/>
          <w:sz w:val="36"/>
          <w:szCs w:val="36"/>
        </w:rPr>
        <w:drawing>
          <wp:inline distB="114300" distT="114300" distL="114300" distR="114300">
            <wp:extent cx="4840125" cy="2305050"/>
            <wp:effectExtent b="0" l="0" r="0" t="0"/>
            <wp:docPr id="18" name="image5.png"/>
            <a:graphic>
              <a:graphicData uri="http://schemas.openxmlformats.org/drawingml/2006/picture">
                <pic:pic>
                  <pic:nvPicPr>
                    <pic:cNvPr id="0" name="image5.png"/>
                    <pic:cNvPicPr preferRelativeResize="0"/>
                  </pic:nvPicPr>
                  <pic:blipFill>
                    <a:blip r:embed="rId27"/>
                    <a:srcRect b="0" l="0" r="0" t="0"/>
                    <a:stretch>
                      <a:fillRect/>
                    </a:stretch>
                  </pic:blipFill>
                  <pic:spPr>
                    <a:xfrm>
                      <a:off x="0" y="0"/>
                      <a:ext cx="4840125" cy="2305050"/>
                    </a:xfrm>
                    <a:prstGeom prst="rect"/>
                    <a:ln/>
                  </pic:spPr>
                </pic:pic>
              </a:graphicData>
            </a:graphic>
          </wp:inline>
        </w:drawing>
      </w:r>
      <w:r w:rsidDel="00000000" w:rsidR="00000000" w:rsidRPr="00000000">
        <w:rPr>
          <w:rtl w:val="0"/>
        </w:rPr>
      </w:r>
    </w:p>
    <w:p w:rsidR="00000000" w:rsidDel="00000000" w:rsidP="00000000" w:rsidRDefault="00000000" w:rsidRPr="00000000" w14:paraId="00000118">
      <w:pPr>
        <w:pStyle w:val="Heading2"/>
        <w:spacing w:after="80" w:before="160" w:line="360" w:lineRule="auto"/>
        <w:rPr>
          <w:b w:val="1"/>
          <w:bCs w:val="1"/>
          <w:sz w:val="36"/>
          <w:szCs w:val="36"/>
        </w:rPr>
      </w:pPr>
      <w:bookmarkStart w:colFirst="0" w:colLast="0" w:name="_kd2ph6sfv121" w:id="41"/>
      <w:bookmarkEnd w:id="41"/>
      <w:r w:rsidDel="00000000" w:rsidR="00000000" w:rsidRPr="00000000">
        <w:rPr>
          <w:sz w:val="24"/>
          <w:szCs w:val="24"/>
          <w:rtl w:val="0"/>
        </w:rPr>
        <w:t xml:space="preserve">Device 2: Samsung GSM SM-A137F Galaxy A13</w:t>
      </w:r>
      <w:r w:rsidDel="00000000" w:rsidR="00000000" w:rsidRPr="00000000">
        <w:rPr>
          <w:rtl w:val="0"/>
        </w:rPr>
      </w:r>
    </w:p>
    <w:p w:rsidR="00000000" w:rsidDel="00000000" w:rsidP="00000000" w:rsidRDefault="00000000" w:rsidRPr="00000000" w14:paraId="00000119">
      <w:pPr>
        <w:pStyle w:val="Heading2"/>
        <w:spacing w:after="80" w:before="160" w:line="360" w:lineRule="auto"/>
        <w:jc w:val="center"/>
        <w:rPr>
          <w:sz w:val="24"/>
          <w:szCs w:val="24"/>
        </w:rPr>
      </w:pPr>
      <w:bookmarkStart w:colFirst="0" w:colLast="0" w:name="_va2869ygzhn4" w:id="42"/>
      <w:bookmarkEnd w:id="42"/>
      <w:r w:rsidDel="00000000" w:rsidR="00000000" w:rsidRPr="00000000">
        <w:rPr>
          <w:sz w:val="24"/>
          <w:szCs w:val="24"/>
        </w:rPr>
        <w:drawing>
          <wp:inline distB="114300" distT="114300" distL="114300" distR="114300">
            <wp:extent cx="4781550" cy="2428875"/>
            <wp:effectExtent b="0" l="0" r="0" t="0"/>
            <wp:docPr id="19" name="image7.png"/>
            <a:graphic>
              <a:graphicData uri="http://schemas.openxmlformats.org/drawingml/2006/picture">
                <pic:pic>
                  <pic:nvPicPr>
                    <pic:cNvPr id="0" name="image7.png"/>
                    <pic:cNvPicPr preferRelativeResize="0"/>
                  </pic:nvPicPr>
                  <pic:blipFill>
                    <a:blip r:embed="rId28"/>
                    <a:srcRect b="0" l="0" r="0" t="0"/>
                    <a:stretch>
                      <a:fillRect/>
                    </a:stretch>
                  </pic:blipFill>
                  <pic:spPr>
                    <a:xfrm>
                      <a:off x="0" y="0"/>
                      <a:ext cx="4781550" cy="2428875"/>
                    </a:xfrm>
                    <a:prstGeom prst="rect"/>
                    <a:ln/>
                  </pic:spPr>
                </pic:pic>
              </a:graphicData>
            </a:graphic>
          </wp:inline>
        </w:drawing>
      </w:r>
      <w:r w:rsidDel="00000000" w:rsidR="00000000" w:rsidRPr="00000000">
        <w:rPr>
          <w:rtl w:val="0"/>
        </w:rPr>
      </w:r>
    </w:p>
    <w:p w:rsidR="00000000" w:rsidDel="00000000" w:rsidP="00000000" w:rsidRDefault="00000000" w:rsidRPr="00000000" w14:paraId="0000011A">
      <w:pPr>
        <w:spacing w:after="280" w:before="280" w:line="240" w:lineRule="auto"/>
        <w:jc w:val="left"/>
        <w:rPr>
          <w:b w:val="1"/>
          <w:bCs w:val="1"/>
          <w:sz w:val="36"/>
          <w:szCs w:val="36"/>
        </w:rPr>
      </w:pPr>
      <w:bookmarkStart w:colFirst="0" w:colLast="0" w:name="_uwey55jk8zo2" w:id="43"/>
      <w:bookmarkEnd w:id="43"/>
      <w:r w:rsidDel="00000000" w:rsidR="00000000" w:rsidRPr="00000000">
        <w:rPr>
          <w:rtl w:val="0"/>
        </w:rPr>
      </w:r>
    </w:p>
    <w:p w:rsidR="00000000" w:rsidDel="00000000" w:rsidP="00000000" w:rsidRDefault="00000000" w:rsidRPr="00000000" w14:paraId="0000011B">
      <w:pPr>
        <w:spacing w:after="280" w:before="280" w:line="240" w:lineRule="auto"/>
        <w:jc w:val="center"/>
        <w:rPr>
          <w:b w:val="1"/>
          <w:bCs w:val="1"/>
          <w:sz w:val="36"/>
          <w:szCs w:val="36"/>
        </w:rPr>
      </w:pPr>
      <w:bookmarkStart w:colFirst="0" w:colLast="0" w:name="_ipezutwkds1h" w:id="44"/>
      <w:bookmarkEnd w:id="44"/>
      <w:r w:rsidDel="00000000" w:rsidR="00000000" w:rsidRPr="00000000">
        <w:rPr>
          <w:b w:val="1"/>
          <w:bCs w:val="1"/>
          <w:sz w:val="36"/>
          <w:szCs w:val="36"/>
        </w:rPr>
        <w:drawing>
          <wp:inline distB="114300" distT="114300" distL="114300" distR="114300">
            <wp:extent cx="4933591" cy="2777964"/>
            <wp:effectExtent b="0" l="0" r="0" t="0"/>
            <wp:docPr id="20" name="image11.png"/>
            <a:graphic>
              <a:graphicData uri="http://schemas.openxmlformats.org/drawingml/2006/picture">
                <pic:pic>
                  <pic:nvPicPr>
                    <pic:cNvPr id="0" name="image11.png"/>
                    <pic:cNvPicPr preferRelativeResize="0"/>
                  </pic:nvPicPr>
                  <pic:blipFill>
                    <a:blip r:embed="rId29"/>
                    <a:srcRect b="0" l="0" r="0" t="0"/>
                    <a:stretch>
                      <a:fillRect/>
                    </a:stretch>
                  </pic:blipFill>
                  <pic:spPr>
                    <a:xfrm>
                      <a:off x="0" y="0"/>
                      <a:ext cx="4933591" cy="2777964"/>
                    </a:xfrm>
                    <a:prstGeom prst="rect"/>
                    <a:ln/>
                  </pic:spPr>
                </pic:pic>
              </a:graphicData>
            </a:graphic>
          </wp:inline>
        </w:drawing>
      </w:r>
      <w:r w:rsidDel="00000000" w:rsidR="00000000" w:rsidRPr="00000000">
        <w:rPr>
          <w:rtl w:val="0"/>
        </w:rPr>
      </w:r>
    </w:p>
    <w:p w:rsidR="00000000" w:rsidDel="00000000" w:rsidP="00000000" w:rsidRDefault="00000000" w:rsidRPr="00000000" w14:paraId="0000011C">
      <w:pPr>
        <w:pStyle w:val="Heading2"/>
        <w:spacing w:after="80" w:before="160" w:line="360" w:lineRule="auto"/>
        <w:rPr>
          <w:sz w:val="24"/>
          <w:szCs w:val="24"/>
        </w:rPr>
      </w:pPr>
      <w:bookmarkStart w:colFirst="0" w:colLast="0" w:name="_tyyih191kp80" w:id="45"/>
      <w:bookmarkEnd w:id="45"/>
      <w:r w:rsidDel="00000000" w:rsidR="00000000" w:rsidRPr="00000000">
        <w:rPr>
          <w:rtl w:val="0"/>
        </w:rPr>
      </w:r>
    </w:p>
    <w:p w:rsidR="00000000" w:rsidDel="00000000" w:rsidP="00000000" w:rsidRDefault="00000000" w:rsidRPr="00000000" w14:paraId="0000011D">
      <w:pPr>
        <w:pStyle w:val="Heading2"/>
        <w:spacing w:after="80" w:before="160" w:line="360" w:lineRule="auto"/>
        <w:rPr>
          <w:sz w:val="24"/>
          <w:szCs w:val="24"/>
        </w:rPr>
      </w:pPr>
      <w:bookmarkStart w:colFirst="0" w:colLast="0" w:name="_xwh9szpusyq1" w:id="46"/>
      <w:bookmarkEnd w:id="46"/>
      <w:r w:rsidDel="00000000" w:rsidR="00000000" w:rsidRPr="00000000">
        <w:rPr>
          <w:sz w:val="24"/>
          <w:szCs w:val="24"/>
          <w:rtl w:val="0"/>
        </w:rPr>
        <w:t xml:space="preserve">Device 3: Ulefone Note 14</w:t>
      </w:r>
    </w:p>
    <w:p w:rsidR="00000000" w:rsidDel="00000000" w:rsidP="00000000" w:rsidRDefault="00000000" w:rsidRPr="00000000" w14:paraId="0000011E">
      <w:pPr>
        <w:spacing w:after="280" w:before="280" w:line="240" w:lineRule="auto"/>
        <w:jc w:val="center"/>
        <w:rPr>
          <w:b w:val="1"/>
          <w:bCs w:val="1"/>
          <w:sz w:val="36"/>
          <w:szCs w:val="36"/>
        </w:rPr>
      </w:pPr>
      <w:bookmarkStart w:colFirst="0" w:colLast="0" w:name="_ppbahsfshrnu" w:id="47"/>
      <w:bookmarkEnd w:id="47"/>
      <w:r w:rsidDel="00000000" w:rsidR="00000000" w:rsidRPr="00000000">
        <w:rPr>
          <w:b w:val="1"/>
          <w:bCs w:val="1"/>
          <w:sz w:val="36"/>
          <w:szCs w:val="36"/>
        </w:rPr>
        <w:drawing>
          <wp:inline distB="114300" distT="114300" distL="114300" distR="114300">
            <wp:extent cx="4611706" cy="1896554"/>
            <wp:effectExtent b="0" l="0" r="0" t="0"/>
            <wp:docPr id="21" name="image18.png"/>
            <a:graphic>
              <a:graphicData uri="http://schemas.openxmlformats.org/drawingml/2006/picture">
                <pic:pic>
                  <pic:nvPicPr>
                    <pic:cNvPr id="0" name="image18.png"/>
                    <pic:cNvPicPr preferRelativeResize="0"/>
                  </pic:nvPicPr>
                  <pic:blipFill>
                    <a:blip r:embed="rId30"/>
                    <a:srcRect b="0" l="0" r="0" t="0"/>
                    <a:stretch>
                      <a:fillRect/>
                    </a:stretch>
                  </pic:blipFill>
                  <pic:spPr>
                    <a:xfrm>
                      <a:off x="0" y="0"/>
                      <a:ext cx="4611706" cy="1896554"/>
                    </a:xfrm>
                    <a:prstGeom prst="rect"/>
                    <a:ln/>
                  </pic:spPr>
                </pic:pic>
              </a:graphicData>
            </a:graphic>
          </wp:inline>
        </w:drawing>
      </w:r>
      <w:r w:rsidDel="00000000" w:rsidR="00000000" w:rsidRPr="00000000">
        <w:rPr>
          <w:rtl w:val="0"/>
        </w:rPr>
      </w:r>
    </w:p>
    <w:p w:rsidR="00000000" w:rsidDel="00000000" w:rsidP="00000000" w:rsidRDefault="00000000" w:rsidRPr="00000000" w14:paraId="0000011F">
      <w:pPr>
        <w:spacing w:after="280" w:before="280" w:line="240" w:lineRule="auto"/>
        <w:jc w:val="left"/>
        <w:rPr/>
      </w:pPr>
      <w:bookmarkStart w:colFirst="0" w:colLast="0" w:name="_6nns98salgab" w:id="48"/>
      <w:bookmarkEnd w:id="48"/>
      <w:r w:rsidDel="00000000" w:rsidR="00000000" w:rsidRPr="00000000">
        <w:rPr>
          <w:b w:val="1"/>
          <w:bCs w:val="1"/>
          <w:sz w:val="24"/>
          <w:szCs w:val="24"/>
          <w:rtl w:val="0"/>
        </w:rPr>
        <w:t xml:space="preserve">Device 4: Nokia C2 2nd Edition</w:t>
      </w:r>
      <w:r w:rsidDel="00000000" w:rsidR="00000000" w:rsidRPr="00000000">
        <w:rPr>
          <w:sz w:val="24"/>
          <w:szCs w:val="24"/>
        </w:rPr>
        <w:drawing>
          <wp:inline distB="114300" distT="114300" distL="114300" distR="114300">
            <wp:extent cx="5712150" cy="2400300"/>
            <wp:effectExtent b="0" l="0" r="0" t="0"/>
            <wp:docPr id="22" name="image23.png"/>
            <a:graphic>
              <a:graphicData uri="http://schemas.openxmlformats.org/drawingml/2006/picture">
                <pic:pic>
                  <pic:nvPicPr>
                    <pic:cNvPr id="0" name="image23.png"/>
                    <pic:cNvPicPr preferRelativeResize="0"/>
                  </pic:nvPicPr>
                  <pic:blipFill>
                    <a:blip r:embed="rId31"/>
                    <a:srcRect b="0" l="0" r="0" t="0"/>
                    <a:stretch>
                      <a:fillRect/>
                    </a:stretch>
                  </pic:blipFill>
                  <pic:spPr>
                    <a:xfrm>
                      <a:off x="0" y="0"/>
                      <a:ext cx="5712150" cy="2400300"/>
                    </a:xfrm>
                    <a:prstGeom prst="rect"/>
                    <a:ln/>
                  </pic:spPr>
                </pic:pic>
              </a:graphicData>
            </a:graphic>
          </wp:inline>
        </w:drawing>
      </w:r>
      <w:r w:rsidDel="00000000" w:rsidR="00000000" w:rsidRPr="00000000">
        <w:rPr>
          <w:rtl w:val="0"/>
        </w:rPr>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pStyle w:val="Heading2"/>
        <w:spacing w:after="80" w:before="160" w:line="360" w:lineRule="auto"/>
        <w:rPr>
          <w:sz w:val="24"/>
          <w:szCs w:val="24"/>
        </w:rPr>
      </w:pPr>
      <w:bookmarkStart w:colFirst="0" w:colLast="0" w:name="_6zqvgg5xx7ax" w:id="49"/>
      <w:bookmarkEnd w:id="49"/>
      <w:r w:rsidDel="00000000" w:rsidR="00000000" w:rsidRPr="00000000">
        <w:rPr>
          <w:sz w:val="24"/>
          <w:szCs w:val="24"/>
          <w:rtl w:val="0"/>
        </w:rPr>
        <w:t xml:space="preserve">Device 5: MY PHONE (Samsung A15)</w:t>
      </w:r>
    </w:p>
    <w:p w:rsidR="00000000" w:rsidDel="00000000" w:rsidP="00000000" w:rsidRDefault="00000000" w:rsidRPr="00000000" w14:paraId="00000122">
      <w:pPr>
        <w:spacing w:after="280" w:before="280" w:line="240" w:lineRule="auto"/>
        <w:jc w:val="center"/>
        <w:rPr>
          <w:b w:val="1"/>
          <w:bCs w:val="1"/>
          <w:sz w:val="36"/>
          <w:szCs w:val="36"/>
        </w:rPr>
      </w:pPr>
      <w:bookmarkStart w:colFirst="0" w:colLast="0" w:name="_uj8obex1qzcr" w:id="50"/>
      <w:bookmarkEnd w:id="50"/>
      <w:r w:rsidDel="00000000" w:rsidR="00000000" w:rsidRPr="00000000">
        <w:rPr>
          <w:b w:val="1"/>
          <w:bCs w:val="1"/>
          <w:sz w:val="36"/>
          <w:szCs w:val="36"/>
        </w:rPr>
        <w:drawing>
          <wp:inline distB="114300" distT="114300" distL="114300" distR="114300">
            <wp:extent cx="5715000" cy="1876425"/>
            <wp:effectExtent b="0" l="0" r="0" t="0"/>
            <wp:docPr id="23" name="image25.png"/>
            <a:graphic>
              <a:graphicData uri="http://schemas.openxmlformats.org/drawingml/2006/picture">
                <pic:pic>
                  <pic:nvPicPr>
                    <pic:cNvPr id="0" name="image25.png"/>
                    <pic:cNvPicPr preferRelativeResize="0"/>
                  </pic:nvPicPr>
                  <pic:blipFill>
                    <a:blip r:embed="rId32"/>
                    <a:srcRect b="0" l="0" r="0" t="0"/>
                    <a:stretch>
                      <a:fillRect/>
                    </a:stretch>
                  </pic:blipFill>
                  <pic:spPr>
                    <a:xfrm>
                      <a:off x="0" y="0"/>
                      <a:ext cx="5715000" cy="1876425"/>
                    </a:xfrm>
                    <a:prstGeom prst="rect"/>
                    <a:ln/>
                  </pic:spPr>
                </pic:pic>
              </a:graphicData>
            </a:graphic>
          </wp:inline>
        </w:drawing>
      </w:r>
      <w:r w:rsidDel="00000000" w:rsidR="00000000" w:rsidRPr="00000000">
        <w:rPr>
          <w:rtl w:val="0"/>
        </w:rPr>
      </w:r>
    </w:p>
    <w:p w:rsidR="00000000" w:rsidDel="00000000" w:rsidP="00000000" w:rsidRDefault="00000000" w:rsidRPr="00000000" w14:paraId="00000123">
      <w:pPr>
        <w:spacing w:after="280" w:before="280" w:line="240" w:lineRule="auto"/>
        <w:jc w:val="left"/>
        <w:rPr>
          <w:b w:val="1"/>
          <w:bCs w:val="1"/>
          <w:sz w:val="36"/>
          <w:szCs w:val="36"/>
        </w:rPr>
      </w:pPr>
      <w:bookmarkStart w:colFirst="0" w:colLast="0" w:name="_y28vpzhekyrb" w:id="51"/>
      <w:bookmarkEnd w:id="51"/>
      <w:r w:rsidDel="00000000" w:rsidR="00000000" w:rsidRPr="00000000">
        <w:rPr>
          <w:rtl w:val="0"/>
        </w:rPr>
      </w:r>
    </w:p>
    <w:p w:rsidR="00000000" w:rsidDel="00000000" w:rsidP="00000000" w:rsidRDefault="00000000" w:rsidRPr="00000000" w14:paraId="00000124">
      <w:pPr>
        <w:spacing w:after="280" w:before="280" w:line="240" w:lineRule="auto"/>
        <w:jc w:val="center"/>
        <w:rPr>
          <w:b w:val="1"/>
          <w:bCs w:val="1"/>
          <w:sz w:val="36"/>
          <w:szCs w:val="36"/>
        </w:rPr>
      </w:pPr>
      <w:bookmarkStart w:colFirst="0" w:colLast="0" w:name="_ontly2v5ei1k" w:id="52"/>
      <w:bookmarkEnd w:id="52"/>
      <w:r w:rsidDel="00000000" w:rsidR="00000000" w:rsidRPr="00000000">
        <w:rPr>
          <w:b w:val="1"/>
          <w:bCs w:val="1"/>
          <w:sz w:val="36"/>
          <w:szCs w:val="36"/>
        </w:rPr>
        <w:drawing>
          <wp:inline distB="114300" distT="114300" distL="114300" distR="114300">
            <wp:extent cx="5457825" cy="2184943"/>
            <wp:effectExtent b="0" l="0" r="0" t="0"/>
            <wp:docPr id="24" name="image24.png"/>
            <a:graphic>
              <a:graphicData uri="http://schemas.openxmlformats.org/drawingml/2006/picture">
                <pic:pic>
                  <pic:nvPicPr>
                    <pic:cNvPr id="0" name="image24.png"/>
                    <pic:cNvPicPr preferRelativeResize="0"/>
                  </pic:nvPicPr>
                  <pic:blipFill>
                    <a:blip r:embed="rId33"/>
                    <a:srcRect b="0" l="0" r="0" t="0"/>
                    <a:stretch>
                      <a:fillRect/>
                    </a:stretch>
                  </pic:blipFill>
                  <pic:spPr>
                    <a:xfrm>
                      <a:off x="0" y="0"/>
                      <a:ext cx="5457825" cy="2184943"/>
                    </a:xfrm>
                    <a:prstGeom prst="rect"/>
                    <a:ln/>
                  </pic:spPr>
                </pic:pic>
              </a:graphicData>
            </a:graphic>
          </wp:inline>
        </w:drawing>
      </w:r>
      <w:r w:rsidDel="00000000" w:rsidR="00000000" w:rsidRPr="00000000">
        <w:rPr>
          <w:rtl w:val="0"/>
        </w:rPr>
      </w:r>
    </w:p>
    <w:p w:rsidR="00000000" w:rsidDel="00000000" w:rsidP="00000000" w:rsidRDefault="00000000" w:rsidRPr="00000000" w14:paraId="00000125">
      <w:pPr>
        <w:spacing w:after="280" w:before="280" w:line="240" w:lineRule="auto"/>
        <w:jc w:val="center"/>
        <w:rPr>
          <w:b w:val="1"/>
          <w:bCs w:val="1"/>
          <w:sz w:val="36"/>
          <w:szCs w:val="36"/>
        </w:rPr>
      </w:pPr>
      <w:bookmarkStart w:colFirst="0" w:colLast="0" w:name="_g1boxzex6ddq" w:id="53"/>
      <w:bookmarkEnd w:id="53"/>
      <w:r w:rsidDel="00000000" w:rsidR="00000000" w:rsidRPr="00000000">
        <w:rPr>
          <w:b w:val="1"/>
          <w:bCs w:val="1"/>
          <w:sz w:val="36"/>
          <w:szCs w:val="36"/>
        </w:rPr>
        <w:drawing>
          <wp:inline distB="114300" distT="114300" distL="114300" distR="114300">
            <wp:extent cx="5353471" cy="2009775"/>
            <wp:effectExtent b="0" l="0" r="0" t="0"/>
            <wp:docPr id="25" name="image22.png"/>
            <a:graphic>
              <a:graphicData uri="http://schemas.openxmlformats.org/drawingml/2006/picture">
                <pic:pic>
                  <pic:nvPicPr>
                    <pic:cNvPr id="0" name="image22.png"/>
                    <pic:cNvPicPr preferRelativeResize="0"/>
                  </pic:nvPicPr>
                  <pic:blipFill>
                    <a:blip r:embed="rId34"/>
                    <a:srcRect b="0" l="0" r="0" t="0"/>
                    <a:stretch>
                      <a:fillRect/>
                    </a:stretch>
                  </pic:blipFill>
                  <pic:spPr>
                    <a:xfrm>
                      <a:off x="0" y="0"/>
                      <a:ext cx="5353471" cy="2009775"/>
                    </a:xfrm>
                    <a:prstGeom prst="rect"/>
                    <a:ln/>
                  </pic:spPr>
                </pic:pic>
              </a:graphicData>
            </a:graphic>
          </wp:inline>
        </w:drawing>
      </w:r>
      <w:r w:rsidDel="00000000" w:rsidR="00000000" w:rsidRPr="00000000">
        <w:rPr>
          <w:rtl w:val="0"/>
        </w:rPr>
      </w:r>
    </w:p>
    <w:p w:rsidR="00000000" w:rsidDel="00000000" w:rsidP="00000000" w:rsidRDefault="00000000" w:rsidRPr="00000000" w14:paraId="00000126">
      <w:pPr>
        <w:spacing w:after="280" w:before="280" w:line="240" w:lineRule="auto"/>
        <w:jc w:val="left"/>
        <w:rPr>
          <w:b w:val="1"/>
          <w:bCs w:val="1"/>
          <w:sz w:val="36"/>
          <w:szCs w:val="36"/>
        </w:rPr>
      </w:pPr>
      <w:bookmarkStart w:colFirst="0" w:colLast="0" w:name="_4he7ulofyhgx" w:id="54"/>
      <w:bookmarkEnd w:id="54"/>
      <w:r w:rsidDel="00000000" w:rsidR="00000000" w:rsidRPr="00000000">
        <w:rPr>
          <w:rtl w:val="0"/>
        </w:rPr>
      </w:r>
    </w:p>
    <w:p w:rsidR="00000000" w:rsidDel="00000000" w:rsidP="00000000" w:rsidRDefault="00000000" w:rsidRPr="00000000" w14:paraId="00000127">
      <w:pPr>
        <w:spacing w:after="280" w:before="280" w:line="240" w:lineRule="auto"/>
        <w:jc w:val="left"/>
        <w:rPr>
          <w:b w:val="1"/>
          <w:bCs w:val="1"/>
          <w:sz w:val="36"/>
          <w:szCs w:val="36"/>
        </w:rPr>
      </w:pPr>
      <w:bookmarkStart w:colFirst="0" w:colLast="0" w:name="_xo785h2c85tn" w:id="55"/>
      <w:bookmarkEnd w:id="55"/>
      <w:r w:rsidDel="00000000" w:rsidR="00000000" w:rsidRPr="00000000">
        <w:rPr>
          <w:rtl w:val="0"/>
        </w:rPr>
      </w:r>
    </w:p>
    <w:p w:rsidR="00000000" w:rsidDel="00000000" w:rsidP="00000000" w:rsidRDefault="00000000" w:rsidRPr="00000000" w14:paraId="00000128">
      <w:pPr>
        <w:spacing w:after="280" w:before="280" w:line="240" w:lineRule="auto"/>
        <w:jc w:val="center"/>
        <w:rPr>
          <w:b w:val="1"/>
          <w:bCs w:val="1"/>
          <w:sz w:val="36"/>
          <w:szCs w:val="36"/>
        </w:rPr>
      </w:pPr>
      <w:bookmarkStart w:colFirst="0" w:colLast="0" w:name="_2i640zngsi5o" w:id="56"/>
      <w:bookmarkEnd w:id="56"/>
      <w:r w:rsidDel="00000000" w:rsidR="00000000" w:rsidRPr="00000000">
        <w:rPr>
          <w:b w:val="1"/>
          <w:bCs w:val="1"/>
          <w:sz w:val="36"/>
          <w:szCs w:val="36"/>
        </w:rPr>
        <w:drawing>
          <wp:inline distB="114300" distT="114300" distL="114300" distR="114300">
            <wp:extent cx="5353471" cy="2009775"/>
            <wp:effectExtent b="0" l="0" r="0" t="0"/>
            <wp:docPr id="1" name="image13.png"/>
            <a:graphic>
              <a:graphicData uri="http://schemas.openxmlformats.org/drawingml/2006/picture">
                <pic:pic>
                  <pic:nvPicPr>
                    <pic:cNvPr id="0" name="image13.png"/>
                    <pic:cNvPicPr preferRelativeResize="0"/>
                  </pic:nvPicPr>
                  <pic:blipFill>
                    <a:blip r:embed="rId35"/>
                    <a:srcRect b="0" l="0" r="0" t="0"/>
                    <a:stretch>
                      <a:fillRect/>
                    </a:stretch>
                  </pic:blipFill>
                  <pic:spPr>
                    <a:xfrm>
                      <a:off x="0" y="0"/>
                      <a:ext cx="5353471" cy="2009775"/>
                    </a:xfrm>
                    <a:prstGeom prst="rect"/>
                    <a:ln/>
                  </pic:spPr>
                </pic:pic>
              </a:graphicData>
            </a:graphic>
          </wp:inline>
        </w:drawing>
      </w:r>
      <w:r w:rsidDel="00000000" w:rsidR="00000000" w:rsidRPr="00000000">
        <w:rPr>
          <w:rtl w:val="0"/>
        </w:rPr>
      </w:r>
    </w:p>
    <w:p w:rsidR="00000000" w:rsidDel="00000000" w:rsidP="00000000" w:rsidRDefault="00000000" w:rsidRPr="00000000" w14:paraId="00000129">
      <w:pPr>
        <w:spacing w:after="280" w:before="280" w:line="240" w:lineRule="auto"/>
        <w:jc w:val="center"/>
        <w:rPr>
          <w:b w:val="1"/>
          <w:bCs w:val="1"/>
          <w:sz w:val="36"/>
          <w:szCs w:val="36"/>
        </w:rPr>
      </w:pPr>
      <w:bookmarkStart w:colFirst="0" w:colLast="0" w:name="_304e4jiosb7c" w:id="57"/>
      <w:bookmarkEnd w:id="57"/>
      <w:r w:rsidDel="00000000" w:rsidR="00000000" w:rsidRPr="00000000">
        <w:rPr>
          <w:b w:val="1"/>
          <w:bCs w:val="1"/>
          <w:sz w:val="36"/>
          <w:szCs w:val="36"/>
        </w:rPr>
        <w:drawing>
          <wp:inline distB="114300" distT="114300" distL="114300" distR="114300">
            <wp:extent cx="5353050" cy="1876235"/>
            <wp:effectExtent b="0" l="0" r="0" t="0"/>
            <wp:docPr id="2" name="image16.png"/>
            <a:graphic>
              <a:graphicData uri="http://schemas.openxmlformats.org/drawingml/2006/picture">
                <pic:pic>
                  <pic:nvPicPr>
                    <pic:cNvPr id="0" name="image16.png"/>
                    <pic:cNvPicPr preferRelativeResize="0"/>
                  </pic:nvPicPr>
                  <pic:blipFill>
                    <a:blip r:embed="rId36"/>
                    <a:srcRect b="0" l="0" r="0" t="0"/>
                    <a:stretch>
                      <a:fillRect/>
                    </a:stretch>
                  </pic:blipFill>
                  <pic:spPr>
                    <a:xfrm>
                      <a:off x="0" y="0"/>
                      <a:ext cx="5353050" cy="1876235"/>
                    </a:xfrm>
                    <a:prstGeom prst="rect"/>
                    <a:ln/>
                  </pic:spPr>
                </pic:pic>
              </a:graphicData>
            </a:graphic>
          </wp:inline>
        </w:drawing>
      </w:r>
      <w:r w:rsidDel="00000000" w:rsidR="00000000" w:rsidRPr="00000000">
        <w:rPr>
          <w:rtl w:val="0"/>
        </w:rPr>
      </w:r>
    </w:p>
    <w:p w:rsidR="00000000" w:rsidDel="00000000" w:rsidP="00000000" w:rsidRDefault="00000000" w:rsidRPr="00000000" w14:paraId="0000012A">
      <w:pPr>
        <w:spacing w:after="280" w:before="280" w:line="240" w:lineRule="auto"/>
        <w:jc w:val="left"/>
        <w:rPr>
          <w:b w:val="1"/>
          <w:bCs w:val="1"/>
          <w:sz w:val="36"/>
          <w:szCs w:val="36"/>
        </w:rPr>
      </w:pPr>
      <w:bookmarkStart w:colFirst="0" w:colLast="0" w:name="_efc1c6hy1zb3" w:id="58"/>
      <w:bookmarkEnd w:id="58"/>
      <w:r w:rsidDel="00000000" w:rsidR="00000000" w:rsidRPr="00000000">
        <w:rPr>
          <w:rtl w:val="0"/>
        </w:rPr>
      </w:r>
    </w:p>
    <w:p w:rsidR="00000000" w:rsidDel="00000000" w:rsidP="00000000" w:rsidRDefault="00000000" w:rsidRPr="00000000" w14:paraId="0000012B">
      <w:pPr>
        <w:spacing w:after="280" w:before="280" w:line="240" w:lineRule="auto"/>
        <w:jc w:val="center"/>
        <w:rPr>
          <w:b w:val="1"/>
          <w:bCs w:val="1"/>
          <w:sz w:val="36"/>
          <w:szCs w:val="36"/>
        </w:rPr>
      </w:pPr>
      <w:bookmarkStart w:colFirst="0" w:colLast="0" w:name="_domugwurpi2p" w:id="59"/>
      <w:bookmarkEnd w:id="59"/>
      <w:r w:rsidDel="00000000" w:rsidR="00000000" w:rsidRPr="00000000">
        <w:rPr>
          <w:b w:val="1"/>
          <w:bCs w:val="1"/>
          <w:sz w:val="36"/>
          <w:szCs w:val="36"/>
        </w:rPr>
        <w:drawing>
          <wp:inline distB="114300" distT="114300" distL="114300" distR="114300">
            <wp:extent cx="5395913" cy="1828800"/>
            <wp:effectExtent b="0" l="0" r="0" t="0"/>
            <wp:docPr id="3" name="image19.png"/>
            <a:graphic>
              <a:graphicData uri="http://schemas.openxmlformats.org/drawingml/2006/picture">
                <pic:pic>
                  <pic:nvPicPr>
                    <pic:cNvPr id="0" name="image19.png"/>
                    <pic:cNvPicPr preferRelativeResize="0"/>
                  </pic:nvPicPr>
                  <pic:blipFill>
                    <a:blip r:embed="rId37"/>
                    <a:srcRect b="0" l="0" r="0" t="0"/>
                    <a:stretch>
                      <a:fillRect/>
                    </a:stretch>
                  </pic:blipFill>
                  <pic:spPr>
                    <a:xfrm>
                      <a:off x="0" y="0"/>
                      <a:ext cx="5395913" cy="1828800"/>
                    </a:xfrm>
                    <a:prstGeom prst="rect"/>
                    <a:ln/>
                  </pic:spPr>
                </pic:pic>
              </a:graphicData>
            </a:graphic>
          </wp:inline>
        </w:drawing>
      </w:r>
      <w:r w:rsidDel="00000000" w:rsidR="00000000" w:rsidRPr="00000000">
        <w:rPr>
          <w:rtl w:val="0"/>
        </w:rPr>
      </w:r>
    </w:p>
    <w:p w:rsidR="00000000" w:rsidDel="00000000" w:rsidP="00000000" w:rsidRDefault="00000000" w:rsidRPr="00000000" w14:paraId="0000012C">
      <w:pPr>
        <w:spacing w:after="280" w:before="280" w:line="240" w:lineRule="auto"/>
        <w:jc w:val="center"/>
        <w:rPr>
          <w:b w:val="1"/>
          <w:bCs w:val="1"/>
          <w:sz w:val="36"/>
          <w:szCs w:val="36"/>
        </w:rPr>
      </w:pPr>
      <w:bookmarkStart w:colFirst="0" w:colLast="0" w:name="_cap4ohwryh6h" w:id="60"/>
      <w:bookmarkEnd w:id="60"/>
      <w:r w:rsidDel="00000000" w:rsidR="00000000" w:rsidRPr="00000000">
        <w:rPr>
          <w:b w:val="1"/>
          <w:bCs w:val="1"/>
          <w:sz w:val="36"/>
          <w:szCs w:val="36"/>
        </w:rPr>
        <w:drawing>
          <wp:inline distB="114300" distT="114300" distL="114300" distR="114300">
            <wp:extent cx="5491163" cy="2105025"/>
            <wp:effectExtent b="0" l="0" r="0" t="0"/>
            <wp:docPr id="4" name="image2.png"/>
            <a:graphic>
              <a:graphicData uri="http://schemas.openxmlformats.org/drawingml/2006/picture">
                <pic:pic>
                  <pic:nvPicPr>
                    <pic:cNvPr id="0" name="image2.png"/>
                    <pic:cNvPicPr preferRelativeResize="0"/>
                  </pic:nvPicPr>
                  <pic:blipFill>
                    <a:blip r:embed="rId38"/>
                    <a:srcRect b="0" l="0" r="0" t="0"/>
                    <a:stretch>
                      <a:fillRect/>
                    </a:stretch>
                  </pic:blipFill>
                  <pic:spPr>
                    <a:xfrm>
                      <a:off x="0" y="0"/>
                      <a:ext cx="5491163" cy="2105025"/>
                    </a:xfrm>
                    <a:prstGeom prst="rect"/>
                    <a:ln/>
                  </pic:spPr>
                </pic:pic>
              </a:graphicData>
            </a:graphic>
          </wp:inline>
        </w:drawing>
      </w:r>
      <w:r w:rsidDel="00000000" w:rsidR="00000000" w:rsidRPr="00000000">
        <w:rPr>
          <w:rtl w:val="0"/>
        </w:rPr>
      </w:r>
    </w:p>
    <w:p w:rsidR="00000000" w:rsidDel="00000000" w:rsidP="00000000" w:rsidRDefault="00000000" w:rsidRPr="00000000" w14:paraId="0000012D">
      <w:pPr>
        <w:spacing w:after="280" w:before="280" w:line="240" w:lineRule="auto"/>
        <w:jc w:val="left"/>
        <w:rPr>
          <w:b w:val="1"/>
          <w:bCs w:val="1"/>
          <w:sz w:val="36"/>
          <w:szCs w:val="36"/>
        </w:rPr>
      </w:pPr>
      <w:bookmarkStart w:colFirst="0" w:colLast="0" w:name="_bw5wj1539p4" w:id="61"/>
      <w:bookmarkEnd w:id="61"/>
      <w:r w:rsidDel="00000000" w:rsidR="00000000" w:rsidRPr="00000000">
        <w:rPr>
          <w:rtl w:val="0"/>
        </w:rPr>
      </w:r>
    </w:p>
    <w:p w:rsidR="00000000" w:rsidDel="00000000" w:rsidP="00000000" w:rsidRDefault="00000000" w:rsidRPr="00000000" w14:paraId="0000012E">
      <w:pPr>
        <w:spacing w:after="280" w:before="280" w:line="240" w:lineRule="auto"/>
        <w:jc w:val="center"/>
        <w:rPr>
          <w:b w:val="1"/>
          <w:bCs w:val="1"/>
          <w:sz w:val="36"/>
          <w:szCs w:val="36"/>
        </w:rPr>
      </w:pPr>
      <w:bookmarkStart w:colFirst="0" w:colLast="0" w:name="_htf9p7fgzwef" w:id="62"/>
      <w:bookmarkEnd w:id="62"/>
      <w:r w:rsidDel="00000000" w:rsidR="00000000" w:rsidRPr="00000000">
        <w:rPr>
          <w:b w:val="1"/>
          <w:bCs w:val="1"/>
          <w:sz w:val="36"/>
          <w:szCs w:val="36"/>
        </w:rPr>
        <w:drawing>
          <wp:inline distB="114300" distT="114300" distL="114300" distR="114300">
            <wp:extent cx="5495925" cy="2514600"/>
            <wp:effectExtent b="0" l="0" r="0" t="0"/>
            <wp:docPr id="5" name="image8.png"/>
            <a:graphic>
              <a:graphicData uri="http://schemas.openxmlformats.org/drawingml/2006/picture">
                <pic:pic>
                  <pic:nvPicPr>
                    <pic:cNvPr id="0" name="image8.png"/>
                    <pic:cNvPicPr preferRelativeResize="0"/>
                  </pic:nvPicPr>
                  <pic:blipFill>
                    <a:blip r:embed="rId39"/>
                    <a:srcRect b="0" l="0" r="0" t="0"/>
                    <a:stretch>
                      <a:fillRect/>
                    </a:stretch>
                  </pic:blipFill>
                  <pic:spPr>
                    <a:xfrm>
                      <a:off x="0" y="0"/>
                      <a:ext cx="5495925" cy="2514600"/>
                    </a:xfrm>
                    <a:prstGeom prst="rect"/>
                    <a:ln/>
                  </pic:spPr>
                </pic:pic>
              </a:graphicData>
            </a:graphic>
          </wp:inline>
        </w:drawing>
      </w:r>
      <w:r w:rsidDel="00000000" w:rsidR="00000000" w:rsidRPr="00000000">
        <w:rPr>
          <w:rtl w:val="0"/>
        </w:rPr>
      </w:r>
    </w:p>
    <w:p w:rsidR="00000000" w:rsidDel="00000000" w:rsidP="00000000" w:rsidRDefault="00000000" w:rsidRPr="00000000" w14:paraId="0000012F">
      <w:pPr>
        <w:spacing w:after="280" w:before="280" w:line="240" w:lineRule="auto"/>
        <w:jc w:val="left"/>
        <w:rPr>
          <w:b w:val="1"/>
          <w:bCs w:val="1"/>
          <w:sz w:val="36"/>
          <w:szCs w:val="36"/>
        </w:rPr>
      </w:pPr>
      <w:bookmarkStart w:colFirst="0" w:colLast="0" w:name="_2dp6o022r0dq" w:id="63"/>
      <w:bookmarkEnd w:id="63"/>
      <w:r w:rsidDel="00000000" w:rsidR="00000000" w:rsidRPr="00000000">
        <w:rPr>
          <w:rtl w:val="0"/>
        </w:rPr>
      </w:r>
    </w:p>
    <w:p w:rsidR="00000000" w:rsidDel="00000000" w:rsidP="00000000" w:rsidRDefault="00000000" w:rsidRPr="00000000" w14:paraId="00000130">
      <w:pPr>
        <w:spacing w:after="280" w:before="280" w:line="240" w:lineRule="auto"/>
        <w:jc w:val="left"/>
        <w:rPr>
          <w:b w:val="1"/>
          <w:bCs w:val="1"/>
          <w:sz w:val="36"/>
          <w:szCs w:val="36"/>
        </w:rPr>
      </w:pPr>
      <w:bookmarkStart w:colFirst="0" w:colLast="0" w:name="_3wfqlokdbac5" w:id="64"/>
      <w:bookmarkEnd w:id="64"/>
      <w:r w:rsidDel="00000000" w:rsidR="00000000" w:rsidRPr="00000000">
        <w:rPr>
          <w:rtl w:val="0"/>
        </w:rPr>
      </w:r>
    </w:p>
    <w:p w:rsidR="00000000" w:rsidDel="00000000" w:rsidP="00000000" w:rsidRDefault="00000000" w:rsidRPr="00000000" w14:paraId="00000131">
      <w:pPr>
        <w:spacing w:after="280" w:before="280" w:line="240" w:lineRule="auto"/>
        <w:jc w:val="left"/>
        <w:rPr>
          <w:b w:val="1"/>
          <w:bCs w:val="1"/>
          <w:sz w:val="36"/>
          <w:szCs w:val="36"/>
        </w:rPr>
      </w:pPr>
      <w:bookmarkStart w:colFirst="0" w:colLast="0" w:name="_sdi5vwmgu7ly" w:id="65"/>
      <w:bookmarkEnd w:id="65"/>
      <w:r w:rsidDel="00000000" w:rsidR="00000000" w:rsidRPr="00000000">
        <w:rPr>
          <w:rtl w:val="0"/>
        </w:rPr>
      </w:r>
    </w:p>
    <w:p w:rsidR="00000000" w:rsidDel="00000000" w:rsidP="00000000" w:rsidRDefault="00000000" w:rsidRPr="00000000" w14:paraId="00000132">
      <w:pPr>
        <w:spacing w:after="280" w:before="280" w:line="240" w:lineRule="auto"/>
        <w:jc w:val="left"/>
        <w:rPr>
          <w:b w:val="1"/>
          <w:bCs w:val="1"/>
          <w:sz w:val="36"/>
          <w:szCs w:val="36"/>
        </w:rPr>
      </w:pPr>
      <w:bookmarkStart w:colFirst="0" w:colLast="0" w:name="_l4sphfrsod7" w:id="66"/>
      <w:bookmarkEnd w:id="66"/>
      <w:r w:rsidDel="00000000" w:rsidR="00000000" w:rsidRPr="00000000">
        <w:rPr>
          <w:rtl w:val="0"/>
        </w:rPr>
      </w:r>
    </w:p>
    <w:p w:rsidR="00000000" w:rsidDel="00000000" w:rsidP="00000000" w:rsidRDefault="00000000" w:rsidRPr="00000000" w14:paraId="00000133">
      <w:pPr>
        <w:spacing w:after="280" w:before="280" w:line="240" w:lineRule="auto"/>
        <w:jc w:val="left"/>
        <w:rPr>
          <w:b w:val="1"/>
          <w:bCs w:val="1"/>
          <w:sz w:val="36"/>
          <w:szCs w:val="36"/>
        </w:rPr>
      </w:pPr>
      <w:bookmarkStart w:colFirst="0" w:colLast="0" w:name="_pryxcpf3nj8o" w:id="67"/>
      <w:bookmarkEnd w:id="67"/>
      <w:r w:rsidDel="00000000" w:rsidR="00000000" w:rsidRPr="00000000">
        <w:rPr>
          <w:rtl w:val="0"/>
        </w:rPr>
      </w:r>
    </w:p>
    <w:p w:rsidR="00000000" w:rsidDel="00000000" w:rsidP="00000000" w:rsidRDefault="00000000" w:rsidRPr="00000000" w14:paraId="00000134">
      <w:pPr>
        <w:spacing w:after="280" w:before="280" w:line="240" w:lineRule="auto"/>
        <w:jc w:val="left"/>
        <w:rPr>
          <w:b w:val="1"/>
          <w:bCs w:val="1"/>
          <w:sz w:val="36"/>
          <w:szCs w:val="36"/>
        </w:rPr>
      </w:pPr>
      <w:bookmarkStart w:colFirst="0" w:colLast="0" w:name="_cnigqt27j1vq" w:id="68"/>
      <w:bookmarkEnd w:id="68"/>
      <w:r w:rsidDel="00000000" w:rsidR="00000000" w:rsidRPr="00000000">
        <w:rPr>
          <w:rtl w:val="0"/>
        </w:rPr>
      </w:r>
    </w:p>
    <w:p w:rsidR="00000000" w:rsidDel="00000000" w:rsidP="00000000" w:rsidRDefault="00000000" w:rsidRPr="00000000" w14:paraId="00000135">
      <w:pPr>
        <w:spacing w:after="280" w:before="280" w:line="240" w:lineRule="auto"/>
        <w:jc w:val="left"/>
        <w:rPr>
          <w:b w:val="1"/>
          <w:bCs w:val="1"/>
          <w:sz w:val="36"/>
          <w:szCs w:val="36"/>
        </w:rPr>
      </w:pPr>
      <w:bookmarkStart w:colFirst="0" w:colLast="0" w:name="_7edl7f20aksv" w:id="69"/>
      <w:bookmarkEnd w:id="69"/>
      <w:r w:rsidDel="00000000" w:rsidR="00000000" w:rsidRPr="00000000">
        <w:rPr>
          <w:rtl w:val="0"/>
        </w:rPr>
      </w:r>
    </w:p>
    <w:p w:rsidR="00000000" w:rsidDel="00000000" w:rsidP="00000000" w:rsidRDefault="00000000" w:rsidRPr="00000000" w14:paraId="00000136">
      <w:pPr>
        <w:spacing w:after="280" w:before="280" w:line="240" w:lineRule="auto"/>
        <w:jc w:val="left"/>
        <w:rPr>
          <w:b w:val="1"/>
          <w:bCs w:val="1"/>
          <w:sz w:val="36"/>
          <w:szCs w:val="36"/>
        </w:rPr>
      </w:pPr>
      <w:r w:rsidDel="00000000" w:rsidR="00000000" w:rsidRPr="00000000">
        <w:rPr>
          <w:b w:val="1"/>
          <w:bCs w:val="1"/>
          <w:sz w:val="36"/>
          <w:szCs w:val="36"/>
          <w:rtl w:val="0"/>
        </w:rPr>
        <w:t xml:space="preserve">11. Conclusion</w:t>
      </w:r>
    </w:p>
    <w:p w:rsidR="00000000" w:rsidDel="00000000" w:rsidP="00000000" w:rsidRDefault="00000000" w:rsidRPr="00000000" w14:paraId="00000137">
      <w:pPr>
        <w:rPr/>
      </w:pPr>
      <w:r w:rsidDel="00000000" w:rsidR="00000000" w:rsidRPr="00000000">
        <w:rPr>
          <w:rtl w:val="0"/>
        </w:rPr>
        <w:t xml:space="preserve">The analysis confirms that Emma intentionally extracted and attempted to transfer confidential intellectual property belonging to Quantum Tech. Joe facilitated the transaction, while Norman acted as the prospective buyer.</w:t>
      </w:r>
    </w:p>
    <w:p w:rsidR="00000000" w:rsidDel="00000000" w:rsidP="00000000" w:rsidRDefault="00000000" w:rsidRPr="00000000" w14:paraId="00000138">
      <w:pPr>
        <w:rPr/>
      </w:pPr>
      <w:r w:rsidDel="00000000" w:rsidR="00000000" w:rsidRPr="00000000">
        <w:rPr>
          <w:rtl w:val="0"/>
        </w:rPr>
        <w:t xml:space="preserve">The combination of communication records, file evidence, and metadata analysis provides substantial proof supporting allegations of data theft and corporate espionage. The evidence is consistent, verifiable, and suitable for legal proceedings.</w:t>
      </w:r>
    </w:p>
    <w:p w:rsidR="00000000" w:rsidDel="00000000" w:rsidP="00000000" w:rsidRDefault="00000000" w:rsidRPr="00000000" w14:paraId="00000139">
      <w:pPr>
        <w:spacing w:after="280" w:before="280" w:line="240" w:lineRule="auto"/>
        <w:jc w:val="left"/>
        <w:rPr>
          <w:b w:val="1"/>
          <w:bCs w:val="1"/>
          <w:sz w:val="36"/>
          <w:szCs w:val="36"/>
        </w:rPr>
      </w:pPr>
      <w:bookmarkStart w:colFirst="0" w:colLast="0" w:name="_fhbvkftekv6" w:id="70"/>
      <w:bookmarkEnd w:id="70"/>
      <w:r w:rsidDel="00000000" w:rsidR="00000000" w:rsidRPr="00000000">
        <w:rPr>
          <w:rtl w:val="0"/>
        </w:rPr>
      </w:r>
    </w:p>
    <w:p w:rsidR="00000000" w:rsidDel="00000000" w:rsidP="00000000" w:rsidRDefault="00000000" w:rsidRPr="00000000" w14:paraId="0000013A">
      <w:pPr>
        <w:spacing w:after="280" w:before="280" w:line="240" w:lineRule="auto"/>
        <w:jc w:val="left"/>
        <w:rPr>
          <w:b w:val="1"/>
          <w:bCs w:val="1"/>
          <w:sz w:val="36"/>
          <w:szCs w:val="36"/>
        </w:rPr>
      </w:pPr>
      <w:bookmarkStart w:colFirst="0" w:colLast="0" w:name="_q5i97nnd662j" w:id="71"/>
      <w:bookmarkEnd w:id="71"/>
      <w:r w:rsidDel="00000000" w:rsidR="00000000" w:rsidRPr="00000000">
        <w:rPr>
          <w:b w:val="1"/>
          <w:bCs w:val="1"/>
          <w:sz w:val="36"/>
          <w:szCs w:val="36"/>
          <w:rtl w:val="0"/>
        </w:rPr>
        <w:t xml:space="preserve">12. Recommendations</w:t>
      </w:r>
    </w:p>
    <w:p w:rsidR="00000000" w:rsidDel="00000000" w:rsidP="00000000" w:rsidRDefault="00000000" w:rsidRPr="00000000" w14:paraId="0000013B">
      <w:pPr>
        <w:spacing w:after="280" w:before="280" w:line="480" w:lineRule="auto"/>
        <w:jc w:val="left"/>
        <w:rPr/>
      </w:pPr>
      <w:r w:rsidDel="00000000" w:rsidR="00000000" w:rsidRPr="00000000">
        <w:rPr>
          <w:rtl w:val="0"/>
        </w:rPr>
        <w:t xml:space="preserve">Based on the findings, the following actions are recommended:</w:t>
      </w:r>
    </w:p>
    <w:p w:rsidR="00000000" w:rsidDel="00000000" w:rsidP="00000000" w:rsidRDefault="00000000" w:rsidRPr="00000000" w14:paraId="0000013C">
      <w:pPr>
        <w:numPr>
          <w:ilvl w:val="0"/>
          <w:numId w:val="7"/>
        </w:numPr>
        <w:spacing w:after="0" w:before="280" w:line="480" w:lineRule="auto"/>
        <w:ind w:left="720" w:hanging="360"/>
        <w:jc w:val="left"/>
        <w:rPr/>
      </w:pPr>
      <w:r w:rsidDel="00000000" w:rsidR="00000000" w:rsidRPr="00000000">
        <w:rPr>
          <w:rtl w:val="0"/>
        </w:rPr>
        <w:t xml:space="preserve">Initiate legal proceedings against the involved individuals for corporate espionage and data theft. </w:t>
      </w:r>
    </w:p>
    <w:p w:rsidR="00000000" w:rsidDel="00000000" w:rsidP="00000000" w:rsidRDefault="00000000" w:rsidRPr="00000000" w14:paraId="0000013D">
      <w:pPr>
        <w:numPr>
          <w:ilvl w:val="0"/>
          <w:numId w:val="7"/>
        </w:numPr>
        <w:spacing w:after="0" w:before="0" w:line="480" w:lineRule="auto"/>
        <w:ind w:left="720" w:hanging="360"/>
        <w:jc w:val="left"/>
        <w:rPr/>
      </w:pPr>
      <w:r w:rsidDel="00000000" w:rsidR="00000000" w:rsidRPr="00000000">
        <w:rPr>
          <w:rtl w:val="0"/>
        </w:rPr>
        <w:t xml:space="preserve">Strengthen internal cybersecurity controls, including access monitoring and data loss prevention systems. </w:t>
      </w:r>
    </w:p>
    <w:p w:rsidR="00000000" w:rsidDel="00000000" w:rsidP="00000000" w:rsidRDefault="00000000" w:rsidRPr="00000000" w14:paraId="0000013E">
      <w:pPr>
        <w:numPr>
          <w:ilvl w:val="0"/>
          <w:numId w:val="7"/>
        </w:numPr>
        <w:spacing w:after="0" w:before="0" w:line="480" w:lineRule="auto"/>
        <w:ind w:left="720" w:hanging="360"/>
        <w:jc w:val="left"/>
        <w:rPr/>
      </w:pPr>
      <w:r w:rsidDel="00000000" w:rsidR="00000000" w:rsidRPr="00000000">
        <w:rPr>
          <w:rtl w:val="0"/>
        </w:rPr>
        <w:t xml:space="preserve">Implement stricter employee access policies and audit mechanisms. </w:t>
      </w:r>
    </w:p>
    <w:p w:rsidR="00000000" w:rsidDel="00000000" w:rsidP="00000000" w:rsidRDefault="00000000" w:rsidRPr="00000000" w14:paraId="0000013F">
      <w:pPr>
        <w:numPr>
          <w:ilvl w:val="0"/>
          <w:numId w:val="7"/>
        </w:numPr>
        <w:spacing w:after="0" w:before="0" w:line="480" w:lineRule="auto"/>
        <w:ind w:left="720" w:hanging="360"/>
        <w:jc w:val="left"/>
        <w:rPr/>
      </w:pPr>
      <w:r w:rsidDel="00000000" w:rsidR="00000000" w:rsidRPr="00000000">
        <w:rPr>
          <w:rtl w:val="0"/>
        </w:rPr>
        <w:t xml:space="preserve">Conduct regular forensic audits to detect insider threats. </w:t>
      </w:r>
    </w:p>
    <w:p w:rsidR="00000000" w:rsidDel="00000000" w:rsidP="00000000" w:rsidRDefault="00000000" w:rsidRPr="00000000" w14:paraId="00000140">
      <w:pPr>
        <w:numPr>
          <w:ilvl w:val="0"/>
          <w:numId w:val="7"/>
        </w:numPr>
        <w:spacing w:after="280" w:before="0" w:line="480" w:lineRule="auto"/>
        <w:ind w:left="720" w:hanging="360"/>
        <w:jc w:val="left"/>
        <w:rPr/>
      </w:pPr>
      <w:r w:rsidDel="00000000" w:rsidR="00000000" w:rsidRPr="00000000">
        <w:rPr>
          <w:rtl w:val="0"/>
        </w:rPr>
        <w:t xml:space="preserve">Provide cybersecurity awareness training to employees.</w:t>
      </w:r>
    </w:p>
    <w:p w:rsidR="00000000" w:rsidDel="00000000" w:rsidP="00000000" w:rsidRDefault="00000000" w:rsidRPr="00000000" w14:paraId="00000141">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142">
      <w:pPr>
        <w:pStyle w:val="Heading2"/>
        <w:rPr>
          <w:sz w:val="36"/>
          <w:szCs w:val="36"/>
        </w:rPr>
      </w:pPr>
      <w:bookmarkStart w:colFirst="0" w:colLast="0" w:name="_i8cb1wkvx5px" w:id="72"/>
      <w:bookmarkEnd w:id="72"/>
      <w:r w:rsidDel="00000000" w:rsidR="00000000" w:rsidRPr="00000000">
        <w:rPr>
          <w:b w:val="1"/>
          <w:bCs w:val="1"/>
          <w:sz w:val="36"/>
          <w:szCs w:val="36"/>
          <w:rtl w:val="0"/>
        </w:rPr>
        <w:t xml:space="preserve">References</w:t>
      </w:r>
      <w:r w:rsidDel="00000000" w:rsidR="00000000" w:rsidRPr="00000000">
        <w:rPr>
          <w:rtl w:val="0"/>
        </w:rPr>
      </w:r>
    </w:p>
    <w:p w:rsidR="00000000" w:rsidDel="00000000" w:rsidP="00000000" w:rsidRDefault="00000000" w:rsidRPr="00000000" w14:paraId="0000014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National Institute of Standards and Technology,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Guide to Integrating Forensic Techniques into Incident Response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Gaithersburg, MD, USA, 2024.</w:t>
      </w:r>
    </w:p>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International Organization for Standardization,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ISO/IEC 27037: Guidelines for Identification, Collection, Acquisition and Preservation of Digital Evidence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Geneva, Switzerland, 2022.</w:t>
      </w:r>
    </w:p>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European Union Agency for Cybersecurity (ENISA),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Digital Forensics and Incident Response Best Practices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2023.</w:t>
      </w:r>
    </w:p>
    <w:p w:rsidR="00000000" w:rsidDel="00000000" w:rsidP="00000000" w:rsidRDefault="00000000" w:rsidRPr="00000000" w14:paraId="0000014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IBM Security,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Cost of a Data Breach Report 2024</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2024.</w:t>
      </w:r>
    </w:p>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 Cisco,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Cybersecurity Threat Trends Report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2023.</w:t>
      </w:r>
    </w:p>
    <w:p w:rsidR="00000000" w:rsidDel="00000000" w:rsidP="00000000" w:rsidRDefault="00000000" w:rsidRPr="00000000" w14:paraId="0000014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 SANS Institute,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Digital Forensics and Incident Response Survey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2023.</w:t>
      </w:r>
    </w:p>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 Interpol,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Global Cybercrime Report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2023.</w:t>
      </w:r>
    </w:p>
    <w:p w:rsidR="00000000" w:rsidDel="00000000" w:rsidP="00000000" w:rsidRDefault="00000000" w:rsidRPr="00000000" w14:paraId="0000014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[8] PwC,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Global Digital Trust Insights Survey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2024.</w:t>
      </w:r>
    </w:p>
    <w:p w:rsidR="00000000" w:rsidDel="00000000" w:rsidP="00000000" w:rsidRDefault="00000000" w:rsidRPr="00000000" w14:paraId="0000014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[9] Deloitte,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Cyber Threat Trends Report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2023.</w:t>
      </w:r>
    </w:p>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[10] KPMG,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Cyber Security Considerations Report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2024.</w:t>
      </w:r>
    </w:p>
    <w:p w:rsidR="00000000" w:rsidDel="00000000" w:rsidP="00000000" w:rsidRDefault="00000000" w:rsidRPr="00000000" w14:paraId="0000014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 ISACA,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State of Cybersecurity Report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2023.</w:t>
      </w:r>
    </w:p>
    <w:p w:rsidR="00000000" w:rsidDel="00000000" w:rsidP="00000000" w:rsidRDefault="00000000" w:rsidRPr="00000000" w14:paraId="0000014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[12] World Economic Forum,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Global Cybersecurity Outlook</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2024.</w:t>
      </w:r>
    </w:p>
    <w:p w:rsidR="00000000" w:rsidDel="00000000" w:rsidP="00000000" w:rsidRDefault="00000000" w:rsidRPr="00000000" w14:paraId="0000014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[13] A. P. Kavrestad, “Digital Forensics and Incident Response: Current Trends,”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Journal of Cybersecurity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8, no. 2, pp. 45–60, 2023.</w:t>
      </w:r>
    </w:p>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[14] S. Quick and K.-K. R. Choo, “Digital forensic intelligence: Data subsets and open source intelligence (OSINT),”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Future Generation Computer Systems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136, pp. 421–430, 2022.</w:t>
      </w:r>
    </w:p>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[15] B. Martini and K.-K. R. Choo, “Cloud storage forensics: ownCloud as a case study,”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Digital Investigation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42, 2022.</w:t>
      </w:r>
    </w:p>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[16] J. Casey,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Digital Evidence and Computer Crime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4th ed., Academic Press, 2023.</w:t>
      </w:r>
    </w:p>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[17] E. Casey, “Handbook of Digital Forensics and Investigation,” Academic Press, 2022.</w:t>
      </w:r>
    </w:p>
    <w:p w:rsidR="00000000" w:rsidDel="00000000" w:rsidP="00000000" w:rsidRDefault="00000000" w:rsidRPr="00000000" w14:paraId="0000015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[18] M. Kohn, M. Eloff, and J. Olivier, “Framework for a digital forensic investigation,”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Computers &amp; Security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125, 2023.</w:t>
      </w:r>
    </w:p>
    <w:p w:rsidR="00000000" w:rsidDel="00000000" w:rsidP="00000000" w:rsidRDefault="00000000" w:rsidRPr="00000000" w14:paraId="0000015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[19] R. Montasari,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Digital Forensic Investigation of Cybercrime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Springer, 2023.</w:t>
      </w:r>
    </w:p>
    <w:p w:rsidR="00000000" w:rsidDel="00000000" w:rsidP="00000000" w:rsidRDefault="00000000" w:rsidRPr="00000000" w14:paraId="0000015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[20] UK National Cyber Security Centre,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Incident Management Guidance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2023.</w:t>
      </w:r>
    </w:p>
    <w:p w:rsidR="00000000" w:rsidDel="00000000" w:rsidP="00000000" w:rsidRDefault="00000000" w:rsidRPr="00000000" w14:paraId="0000015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 Cloud Security Alliance,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Security Guidance for Critical Areas of Focus in Cloud Computing</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2023.</w:t>
      </w:r>
    </w:p>
    <w:p w:rsidR="00000000" w:rsidDel="00000000" w:rsidP="00000000" w:rsidRDefault="00000000" w:rsidRPr="00000000" w14:paraId="0000015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 MITRE,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ATT&amp;CK Framework for Enterprise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2024.</w:t>
      </w:r>
    </w:p>
    <w:p w:rsidR="00000000" w:rsidDel="00000000" w:rsidP="00000000" w:rsidRDefault="00000000" w:rsidRPr="00000000" w14:paraId="00000159">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Calibri"/>
  <w:font w:name="Times New Roman"/>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8">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9">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0">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IN"/>
      </w:rPr>
    </w:rPrDefault>
    <w:pPrDefault>
      <w:pPr>
        <w:spacing w:after="160" w:line="48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sz w:val="32"/>
      <w:szCs w:val="32"/>
    </w:rPr>
  </w:style>
  <w:style w:type="paragraph" w:styleId="Heading2">
    <w:name w:val="heading 2"/>
    <w:basedOn w:val="Normal"/>
    <w:next w:val="Normal"/>
    <w:pPr>
      <w:keepNext w:val="1"/>
      <w:keepLines w:val="1"/>
      <w:spacing w:after="0" w:before="40" w:lineRule="auto"/>
    </w:pPr>
    <w:rPr>
      <w:b w:val="1"/>
      <w:bCs w:val="1"/>
      <w:sz w:val="26"/>
      <w:szCs w:val="26"/>
    </w:rPr>
  </w:style>
  <w:style w:type="paragraph" w:styleId="Heading3">
    <w:name w:val="heading 3"/>
    <w:basedOn w:val="Normal"/>
    <w:next w:val="Normal"/>
    <w:pPr>
      <w:keepNext w:val="1"/>
      <w:keepLines w:val="1"/>
      <w:spacing w:after="0" w:before="40" w:lineRule="auto"/>
    </w:pPr>
    <w:rPr>
      <w:b w:val="1"/>
      <w:bCs w:val="1"/>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15.0" w:type="dxa"/>
        <w:left w:w="15.0" w:type="dxa"/>
        <w:bottom w:w="15.0" w:type="dxa"/>
        <w:right w:w="15.0" w:type="dxa"/>
      </w:tblCellMar>
    </w:tblPr>
  </w:style>
  <w:style w:type="table" w:styleId="Table2">
    <w:basedOn w:val="TableNormal"/>
    <w:tblPr>
      <w:tblStyleRowBandSize w:val="1"/>
      <w:tblStyleColBandSize w:val="1"/>
      <w:tblCellMar>
        <w:top w:w="15.0" w:type="dxa"/>
        <w:left w:w="15.0" w:type="dxa"/>
        <w:bottom w:w="15.0" w:type="dxa"/>
        <w:right w:w="15.0" w:type="dxa"/>
      </w:tblCellMar>
    </w:tblPr>
  </w:style>
  <w:style w:type="table" w:styleId="Table3">
    <w:basedOn w:val="TableNormal"/>
    <w:tblPr>
      <w:tblStyleRowBandSize w:val="1"/>
      <w:tblStyleColBandSize w:val="1"/>
      <w:tblCellMar>
        <w:top w:w="15.0" w:type="dxa"/>
        <w:left w:w="15.0" w:type="dxa"/>
        <w:bottom w:w="15.0" w:type="dxa"/>
        <w:right w:w="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grandviewresearch.com/horizon/outlook/digital-forensics-market-size/global" TargetMode="External"/><Relationship Id="rId22" Type="http://schemas.openxmlformats.org/officeDocument/2006/relationships/image" Target="media/image21.jpg"/><Relationship Id="rId21" Type="http://schemas.openxmlformats.org/officeDocument/2006/relationships/image" Target="media/image3.jpg"/><Relationship Id="rId24" Type="http://schemas.openxmlformats.org/officeDocument/2006/relationships/image" Target="media/image14.jpg"/><Relationship Id="rId23" Type="http://schemas.openxmlformats.org/officeDocument/2006/relationships/image" Target="media/image9.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26" Type="http://schemas.openxmlformats.org/officeDocument/2006/relationships/image" Target="media/image17.png"/><Relationship Id="rId25" Type="http://schemas.openxmlformats.org/officeDocument/2006/relationships/image" Target="media/image10.png"/><Relationship Id="rId28" Type="http://schemas.openxmlformats.org/officeDocument/2006/relationships/image" Target="media/image7.png"/><Relationship Id="rId27" Type="http://schemas.openxmlformats.org/officeDocument/2006/relationships/image" Target="media/image5.png"/><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image" Target="media/image11.png"/><Relationship Id="rId7" Type="http://schemas.openxmlformats.org/officeDocument/2006/relationships/image" Target="media/image12.jpg"/><Relationship Id="rId8" Type="http://schemas.openxmlformats.org/officeDocument/2006/relationships/image" Target="media/image4.png"/><Relationship Id="rId31" Type="http://schemas.openxmlformats.org/officeDocument/2006/relationships/image" Target="media/image23.png"/><Relationship Id="rId30" Type="http://schemas.openxmlformats.org/officeDocument/2006/relationships/image" Target="media/image18.png"/><Relationship Id="rId11" Type="http://schemas.openxmlformats.org/officeDocument/2006/relationships/image" Target="media/image15.jpg"/><Relationship Id="rId33" Type="http://schemas.openxmlformats.org/officeDocument/2006/relationships/image" Target="media/image24.png"/><Relationship Id="rId10" Type="http://schemas.openxmlformats.org/officeDocument/2006/relationships/image" Target="media/image20.jpg"/><Relationship Id="rId32" Type="http://schemas.openxmlformats.org/officeDocument/2006/relationships/image" Target="media/image25.png"/><Relationship Id="rId13" Type="http://schemas.openxmlformats.org/officeDocument/2006/relationships/hyperlink" Target="https://www.cotocus.com/blog/top-10-digital-forensics-tools-in-2025-features-pros-cons-comparison/" TargetMode="External"/><Relationship Id="rId35" Type="http://schemas.openxmlformats.org/officeDocument/2006/relationships/image" Target="media/image13.png"/><Relationship Id="rId12" Type="http://schemas.openxmlformats.org/officeDocument/2006/relationships/hyperlink" Target="https://www.precedenceresearch.com/digital-forensics-market" TargetMode="External"/><Relationship Id="rId34" Type="http://schemas.openxmlformats.org/officeDocument/2006/relationships/image" Target="media/image22.png"/><Relationship Id="rId15" Type="http://schemas.openxmlformats.org/officeDocument/2006/relationships/hyperlink" Target="https://www.oxygenforensics.com/news/digital-forensics-trends-2025/" TargetMode="External"/><Relationship Id="rId37" Type="http://schemas.openxmlformats.org/officeDocument/2006/relationships/image" Target="media/image19.png"/><Relationship Id="rId14" Type="http://schemas.openxmlformats.org/officeDocument/2006/relationships/hyperlink" Target="https://belkasoft.com/dfir-trends-2025" TargetMode="External"/><Relationship Id="rId36" Type="http://schemas.openxmlformats.org/officeDocument/2006/relationships/image" Target="media/image16.png"/><Relationship Id="rId17" Type="http://schemas.openxmlformats.org/officeDocument/2006/relationships/hyperlink" Target="https://computerforensicslab.co.uk/digital-forensic-trends-2025/" TargetMode="External"/><Relationship Id="rId39" Type="http://schemas.openxmlformats.org/officeDocument/2006/relationships/image" Target="media/image8.png"/><Relationship Id="rId16" Type="http://schemas.openxmlformats.org/officeDocument/2006/relationships/hyperlink" Target="https://www.arcpointforensics.com/news-1/2025-digital-forensic-trends" TargetMode="External"/><Relationship Id="rId38" Type="http://schemas.openxmlformats.org/officeDocument/2006/relationships/image" Target="media/image2.png"/><Relationship Id="rId19" Type="http://schemas.openxmlformats.org/officeDocument/2006/relationships/hyperlink" Target="https://www.itjobswatch.co.uk/jobs/uk/digital%20forensics.do" TargetMode="External"/><Relationship Id="rId18" Type="http://schemas.openxmlformats.org/officeDocument/2006/relationships/hyperlink" Target="https://agt-technology.com/7-challenges-facing-digital-forensics-teams-in-2025/"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