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CD2E9" w14:textId="49A0DD26" w:rsidR="00E2296A" w:rsidRDefault="00E2296A">
      <w:pPr>
        <w:rPr>
          <w:rFonts w:ascii="Arial" w:hAnsi="Arial" w:cs="Arial"/>
          <w:b/>
          <w:bCs/>
          <w:sz w:val="22"/>
          <w:szCs w:val="22"/>
        </w:rPr>
      </w:pPr>
      <w:r>
        <w:rPr>
          <w:rFonts w:ascii="Arial" w:hAnsi="Arial" w:cs="Arial"/>
          <w:b/>
          <w:bCs/>
          <w:sz w:val="22"/>
          <w:szCs w:val="22"/>
        </w:rPr>
        <w:t>Name: Alexandru Alin Odobescu</w:t>
      </w:r>
    </w:p>
    <w:p w14:paraId="713DBB79" w14:textId="0C7C8C0B" w:rsidR="007E552D" w:rsidRDefault="007E552D">
      <w:pPr>
        <w:rPr>
          <w:rFonts w:ascii="Arial" w:hAnsi="Arial" w:cs="Arial"/>
          <w:b/>
          <w:bCs/>
          <w:sz w:val="22"/>
          <w:szCs w:val="22"/>
        </w:rPr>
      </w:pPr>
      <w:r>
        <w:rPr>
          <w:rFonts w:ascii="Arial" w:hAnsi="Arial" w:cs="Arial"/>
          <w:b/>
          <w:bCs/>
          <w:sz w:val="22"/>
          <w:szCs w:val="22"/>
        </w:rPr>
        <w:t xml:space="preserve">Student No: </w:t>
      </w:r>
      <w:r w:rsidR="002560E2">
        <w:rPr>
          <w:rFonts w:ascii="Arial" w:hAnsi="Arial" w:cs="Arial"/>
          <w:b/>
          <w:bCs/>
          <w:sz w:val="22"/>
          <w:szCs w:val="22"/>
        </w:rPr>
        <w:t>233</w:t>
      </w:r>
      <w:r w:rsidR="00114CD3">
        <w:rPr>
          <w:rFonts w:ascii="Arial" w:hAnsi="Arial" w:cs="Arial"/>
          <w:b/>
          <w:bCs/>
          <w:sz w:val="22"/>
          <w:szCs w:val="22"/>
        </w:rPr>
        <w:t>2549</w:t>
      </w:r>
    </w:p>
    <w:p w14:paraId="2861DF73" w14:textId="0E6CF654" w:rsidR="00E2296A" w:rsidRDefault="002406BF">
      <w:pPr>
        <w:rPr>
          <w:rFonts w:ascii="Arial" w:hAnsi="Arial" w:cs="Arial"/>
          <w:b/>
          <w:bCs/>
          <w:sz w:val="22"/>
          <w:szCs w:val="22"/>
        </w:rPr>
      </w:pPr>
      <w:r>
        <w:rPr>
          <w:rFonts w:ascii="Arial" w:hAnsi="Arial" w:cs="Arial"/>
          <w:b/>
          <w:bCs/>
          <w:sz w:val="22"/>
          <w:szCs w:val="22"/>
        </w:rPr>
        <w:t>Module code:</w:t>
      </w:r>
      <w:r w:rsidR="00A36D30">
        <w:rPr>
          <w:rFonts w:ascii="Arial" w:hAnsi="Arial" w:cs="Arial"/>
          <w:b/>
          <w:bCs/>
          <w:sz w:val="22"/>
          <w:szCs w:val="22"/>
        </w:rPr>
        <w:t xml:space="preserve"> LCBB</w:t>
      </w:r>
      <w:r w:rsidR="00577C02">
        <w:rPr>
          <w:rFonts w:ascii="Arial" w:hAnsi="Arial" w:cs="Arial"/>
          <w:b/>
          <w:bCs/>
          <w:sz w:val="22"/>
          <w:szCs w:val="22"/>
        </w:rPr>
        <w:t>4014</w:t>
      </w:r>
    </w:p>
    <w:p w14:paraId="384ADA05" w14:textId="47AFF7B1" w:rsidR="00E4647E" w:rsidRPr="00E2296A" w:rsidRDefault="00577C02">
      <w:pPr>
        <w:rPr>
          <w:rFonts w:ascii="Arial" w:hAnsi="Arial" w:cs="Arial"/>
          <w:b/>
          <w:bCs/>
          <w:sz w:val="22"/>
          <w:szCs w:val="22"/>
        </w:rPr>
      </w:pPr>
      <w:r>
        <w:rPr>
          <w:rFonts w:ascii="Arial" w:hAnsi="Arial" w:cs="Arial"/>
          <w:b/>
          <w:bCs/>
          <w:sz w:val="22"/>
          <w:szCs w:val="22"/>
        </w:rPr>
        <w:t xml:space="preserve">Lecturer: </w:t>
      </w:r>
      <w:proofErr w:type="spellStart"/>
      <w:r w:rsidR="00E04939">
        <w:rPr>
          <w:rFonts w:ascii="Arial" w:hAnsi="Arial" w:cs="Arial"/>
          <w:b/>
          <w:bCs/>
          <w:sz w:val="22"/>
          <w:szCs w:val="22"/>
        </w:rPr>
        <w:t>Prithwa</w:t>
      </w:r>
      <w:proofErr w:type="spellEnd"/>
      <w:r w:rsidR="00E04939">
        <w:rPr>
          <w:rFonts w:ascii="Arial" w:hAnsi="Arial" w:cs="Arial"/>
          <w:b/>
          <w:bCs/>
          <w:sz w:val="22"/>
          <w:szCs w:val="22"/>
        </w:rPr>
        <w:t xml:space="preserve"> </w:t>
      </w:r>
      <w:r w:rsidR="00E4647E">
        <w:rPr>
          <w:rFonts w:ascii="Arial" w:hAnsi="Arial" w:cs="Arial"/>
          <w:b/>
          <w:bCs/>
          <w:sz w:val="22"/>
          <w:szCs w:val="22"/>
        </w:rPr>
        <w:t>Bhattacharya</w:t>
      </w:r>
    </w:p>
    <w:p w14:paraId="086CE8E6" w14:textId="2242B51F" w:rsidR="00A80681" w:rsidRPr="00844859" w:rsidRDefault="00A80681" w:rsidP="00A80681">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844859">
        <w:rPr>
          <w:rFonts w:ascii="Arial" w:eastAsia="Times New Roman" w:hAnsi="Arial" w:cs="Arial"/>
          <w:b/>
          <w:bCs/>
          <w:kern w:val="0"/>
          <w:sz w:val="22"/>
          <w:szCs w:val="22"/>
          <w:lang w:eastAsia="en-GB"/>
          <w14:ligatures w14:val="none"/>
        </w:rPr>
        <w:t>Business Ethics and Corporate Social Responsibility in the Automotive Industry</w:t>
      </w:r>
      <w:r w:rsidR="00E67E83">
        <w:rPr>
          <w:rFonts w:ascii="Arial" w:eastAsia="Times New Roman" w:hAnsi="Arial" w:cs="Arial"/>
          <w:b/>
          <w:bCs/>
          <w:kern w:val="0"/>
          <w:sz w:val="22"/>
          <w:szCs w:val="22"/>
          <w:lang w:eastAsia="en-GB"/>
          <w14:ligatures w14:val="none"/>
        </w:rPr>
        <w:t xml:space="preserve"> Essay</w:t>
      </w:r>
    </w:p>
    <w:p w14:paraId="552F7D25" w14:textId="77777777" w:rsidR="00A80681" w:rsidRPr="00A80681" w:rsidRDefault="00A8068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Introduction</w:t>
      </w:r>
    </w:p>
    <w:p w14:paraId="621C9D65" w14:textId="342EB193"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kern w:val="0"/>
          <w:sz w:val="22"/>
          <w:szCs w:val="22"/>
          <w:lang w:eastAsia="en-GB"/>
          <w14:ligatures w14:val="none"/>
        </w:rPr>
        <w:t>In the evolving landscape of global commerce, business ethics and corporate social responsibility (CSR) have become foundational to strategic decision-making. As Porter and Kramer (2024) argue, these principles guide organisations to act transparently, sustainably, and with accountability to all stakeholders—including society and the environment. This essay explores the concepts of business ethics and CSR within the automotive industry, focusing on Tesla, Toyota, and BMW. These companies are navigating complex challenges such as the transition to electric vehicles (EVs). By applying Carroll’s CSR Pyramid and the Triple Bottom Line framework, this essay evaluates how these firms integrate ethical and responsible practices into their operations, demonstrating that profitability and purpose can coexist in modern business strategy.</w:t>
      </w:r>
    </w:p>
    <w:p w14:paraId="7ECF0620" w14:textId="77777777" w:rsidR="00A80681" w:rsidRPr="00A80681" w:rsidRDefault="00A8068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Defining Business Ethics and CSR</w:t>
      </w:r>
    </w:p>
    <w:p w14:paraId="672B030B"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kern w:val="0"/>
          <w:sz w:val="22"/>
          <w:szCs w:val="22"/>
          <w:lang w:eastAsia="en-GB"/>
          <w14:ligatures w14:val="none"/>
        </w:rPr>
        <w:t>Business ethics refers to the moral principles and standards that guide behaviour in the business context. Crane and Matten (2016) define it as the application of ethical values to business behaviour, encompassing issues such as honesty, fairness, transparency, and respect for stakeholders. Ethical businesses consider the impact of their decisions on employees, customers, communities, and the environment.</w:t>
      </w:r>
    </w:p>
    <w:p w14:paraId="78209BED"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kern w:val="0"/>
          <w:sz w:val="22"/>
          <w:szCs w:val="22"/>
          <w:lang w:eastAsia="en-GB"/>
          <w14:ligatures w14:val="none"/>
        </w:rPr>
        <w:t>Corporate social responsibility (CSR), meanwhile, is a broader concept that involves a company’s commitment to operate in ways that enhance society and the environment beyond legal requirements. According to Carroll and Shabana (2010), CSR includes economic, legal, ethical, and philanthropic responsibilities. It is not limited to charitable donations but includes sustainable operations, ethical sourcing, and stakeholder engagement.</w:t>
      </w:r>
    </w:p>
    <w:p w14:paraId="160AD89F" w14:textId="54A07652" w:rsidR="00A80681" w:rsidRPr="00A80681" w:rsidRDefault="00A80681" w:rsidP="00A80681">
      <w:pPr>
        <w:spacing w:after="0" w:line="240" w:lineRule="auto"/>
        <w:rPr>
          <w:rFonts w:ascii="Arial" w:eastAsia="Times New Roman" w:hAnsi="Arial" w:cs="Arial"/>
          <w:kern w:val="0"/>
          <w:lang w:eastAsia="en-GB"/>
          <w14:ligatures w14:val="none"/>
        </w:rPr>
      </w:pPr>
    </w:p>
    <w:p w14:paraId="3925199D" w14:textId="77777777" w:rsidR="00A80681" w:rsidRPr="00A80681" w:rsidRDefault="00A8068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Carroll’s CSR Pyramid</w:t>
      </w:r>
    </w:p>
    <w:p w14:paraId="5F546B4F"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kern w:val="0"/>
          <w:sz w:val="22"/>
          <w:szCs w:val="22"/>
          <w:lang w:eastAsia="en-GB"/>
          <w14:ligatures w14:val="none"/>
        </w:rPr>
        <w:t>Carroll’s CSR Pyramid (1991) provides a structured framework for understanding CSR. It comprises four layers:</w:t>
      </w:r>
    </w:p>
    <w:p w14:paraId="44A59648" w14:textId="77777777" w:rsidR="00A80681" w:rsidRPr="00A80681" w:rsidRDefault="00A80681" w:rsidP="00A80681">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Economic Responsibility</w:t>
      </w:r>
      <w:r w:rsidRPr="00A80681">
        <w:rPr>
          <w:rFonts w:ascii="Arial" w:eastAsia="Times New Roman" w:hAnsi="Arial" w:cs="Arial"/>
          <w:kern w:val="0"/>
          <w:sz w:val="22"/>
          <w:szCs w:val="22"/>
          <w:lang w:eastAsia="en-GB"/>
          <w14:ligatures w14:val="none"/>
        </w:rPr>
        <w:t xml:space="preserve"> – The foundation of the pyramid, requiring businesses to be profitable.</w:t>
      </w:r>
    </w:p>
    <w:p w14:paraId="1F83272B" w14:textId="77777777" w:rsidR="00A80681" w:rsidRPr="00A80681" w:rsidRDefault="00A80681" w:rsidP="00A80681">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Legal Responsibility</w:t>
      </w:r>
      <w:r w:rsidRPr="00A80681">
        <w:rPr>
          <w:rFonts w:ascii="Arial" w:eastAsia="Times New Roman" w:hAnsi="Arial" w:cs="Arial"/>
          <w:kern w:val="0"/>
          <w:sz w:val="22"/>
          <w:szCs w:val="22"/>
          <w:lang w:eastAsia="en-GB"/>
          <w14:ligatures w14:val="none"/>
        </w:rPr>
        <w:t xml:space="preserve"> – Compliance with laws and regulations.</w:t>
      </w:r>
    </w:p>
    <w:p w14:paraId="05825C64" w14:textId="77777777" w:rsidR="00A80681" w:rsidRPr="00A80681" w:rsidRDefault="00A80681" w:rsidP="00A80681">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Ethical Responsibility</w:t>
      </w:r>
      <w:r w:rsidRPr="00A80681">
        <w:rPr>
          <w:rFonts w:ascii="Arial" w:eastAsia="Times New Roman" w:hAnsi="Arial" w:cs="Arial"/>
          <w:kern w:val="0"/>
          <w:sz w:val="22"/>
          <w:szCs w:val="22"/>
          <w:lang w:eastAsia="en-GB"/>
          <w14:ligatures w14:val="none"/>
        </w:rPr>
        <w:t xml:space="preserve"> – Doing what is right, fair, and just beyond legal obligations.</w:t>
      </w:r>
    </w:p>
    <w:p w14:paraId="751F0B8B" w14:textId="77777777" w:rsidR="00A80681" w:rsidRPr="00A80681" w:rsidRDefault="00A80681" w:rsidP="00A80681">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Philanthropic Responsibility</w:t>
      </w:r>
      <w:r w:rsidRPr="00A80681">
        <w:rPr>
          <w:rFonts w:ascii="Arial" w:eastAsia="Times New Roman" w:hAnsi="Arial" w:cs="Arial"/>
          <w:kern w:val="0"/>
          <w:sz w:val="22"/>
          <w:szCs w:val="22"/>
          <w:lang w:eastAsia="en-GB"/>
          <w14:ligatures w14:val="none"/>
        </w:rPr>
        <w:t xml:space="preserve"> – Voluntary contributions to society.</w:t>
      </w:r>
    </w:p>
    <w:p w14:paraId="430ABB92" w14:textId="77777777" w:rsidR="00A80681" w:rsidRPr="00A80681" w:rsidRDefault="00A80681" w:rsidP="00A80681">
      <w:pPr>
        <w:spacing w:before="100" w:beforeAutospacing="1" w:after="100" w:afterAutospacing="1" w:line="240" w:lineRule="auto"/>
        <w:rPr>
          <w:rFonts w:ascii="Arial" w:eastAsia="Times New Roman" w:hAnsi="Arial" w:cs="Arial"/>
          <w:kern w:val="0"/>
          <w:lang w:eastAsia="en-GB"/>
          <w14:ligatures w14:val="none"/>
        </w:rPr>
      </w:pPr>
      <w:r w:rsidRPr="00A80681">
        <w:rPr>
          <w:rFonts w:ascii="Arial" w:eastAsia="Times New Roman" w:hAnsi="Arial" w:cs="Arial"/>
          <w:b/>
          <w:bCs/>
          <w:kern w:val="0"/>
          <w:sz w:val="22"/>
          <w:szCs w:val="22"/>
          <w:lang w:eastAsia="en-GB"/>
          <w14:ligatures w14:val="none"/>
        </w:rPr>
        <w:t>Tesla</w:t>
      </w:r>
      <w:r w:rsidRPr="00A80681">
        <w:rPr>
          <w:rFonts w:ascii="Arial" w:eastAsia="Times New Roman" w:hAnsi="Arial" w:cs="Arial"/>
          <w:kern w:val="0"/>
          <w:sz w:val="22"/>
          <w:szCs w:val="22"/>
          <w:lang w:eastAsia="en-GB"/>
          <w14:ligatures w14:val="none"/>
        </w:rPr>
        <w:t xml:space="preserve"> exemplifies this model. Economically, it has disrupted the automotive market with high-demand EVs and strong financial performance. Legally, Tesla complies with emissions </w:t>
      </w:r>
      <w:r w:rsidRPr="00A80681">
        <w:rPr>
          <w:rFonts w:ascii="Arial" w:eastAsia="Times New Roman" w:hAnsi="Arial" w:cs="Arial"/>
          <w:kern w:val="0"/>
          <w:sz w:val="22"/>
          <w:szCs w:val="22"/>
          <w:lang w:eastAsia="en-GB"/>
          <w14:ligatures w14:val="none"/>
        </w:rPr>
        <w:lastRenderedPageBreak/>
        <w:t>and safety regulations, although it has faced scrutiny over autopilot safety and workplace conditions. Ethically, Tesla invests in renewable energy and</w:t>
      </w:r>
      <w:r w:rsidRPr="00A80681">
        <w:rPr>
          <w:rFonts w:ascii="Arial" w:eastAsia="Times New Roman" w:hAnsi="Arial" w:cs="Arial"/>
          <w:kern w:val="0"/>
          <w:lang w:eastAsia="en-GB"/>
          <w14:ligatures w14:val="none"/>
        </w:rPr>
        <w:t xml:space="preserve"> </w:t>
      </w:r>
      <w:r w:rsidRPr="00A20961">
        <w:rPr>
          <w:rFonts w:ascii="Arial" w:eastAsia="Times New Roman" w:hAnsi="Arial" w:cs="Arial"/>
          <w:kern w:val="0"/>
          <w:sz w:val="22"/>
          <w:szCs w:val="22"/>
          <w:lang w:eastAsia="en-GB"/>
          <w14:ligatures w14:val="none"/>
        </w:rPr>
        <w:t>battery recycling.</w:t>
      </w:r>
      <w:r w:rsidRPr="00A80681">
        <w:rPr>
          <w:rFonts w:ascii="Arial" w:eastAsia="Times New Roman" w:hAnsi="Arial" w:cs="Arial"/>
          <w:kern w:val="0"/>
          <w:lang w:eastAsia="en-GB"/>
          <w14:ligatures w14:val="none"/>
        </w:rPr>
        <w:t xml:space="preserve"> </w:t>
      </w:r>
      <w:r w:rsidRPr="00A20961">
        <w:rPr>
          <w:rFonts w:ascii="Arial" w:eastAsia="Times New Roman" w:hAnsi="Arial" w:cs="Arial"/>
          <w:kern w:val="0"/>
          <w:sz w:val="22"/>
          <w:szCs w:val="22"/>
          <w:lang w:eastAsia="en-GB"/>
          <w14:ligatures w14:val="none"/>
        </w:rPr>
        <w:t>Philanthropically, it supports STEM education and disaster relief initiatives.</w:t>
      </w:r>
    </w:p>
    <w:p w14:paraId="0DCAB56C"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Toyota</w:t>
      </w:r>
      <w:r w:rsidRPr="00A80681">
        <w:rPr>
          <w:rFonts w:ascii="Arial" w:eastAsia="Times New Roman" w:hAnsi="Arial" w:cs="Arial"/>
          <w:kern w:val="0"/>
          <w:sz w:val="22"/>
          <w:szCs w:val="22"/>
          <w:lang w:eastAsia="en-GB"/>
          <w14:ligatures w14:val="none"/>
        </w:rPr>
        <w:t xml:space="preserve"> demonstrates a balanced approach. Economically, it remains one of the most profitable automakers globally. Legally, it adheres to global safety and emissions standards. Ethically, Toyota’s Environmental Challenge 2050 aims for zero CO</w:t>
      </w:r>
      <w:r w:rsidRPr="00A80681">
        <w:rPr>
          <w:rFonts w:ascii="Cambria Math" w:eastAsia="Times New Roman" w:hAnsi="Cambria Math" w:cs="Cambria Math"/>
          <w:kern w:val="0"/>
          <w:sz w:val="22"/>
          <w:szCs w:val="22"/>
          <w:lang w:eastAsia="en-GB"/>
          <w14:ligatures w14:val="none"/>
        </w:rPr>
        <w:t>₂</w:t>
      </w:r>
      <w:r w:rsidRPr="00A80681">
        <w:rPr>
          <w:rFonts w:ascii="Arial" w:eastAsia="Times New Roman" w:hAnsi="Arial" w:cs="Arial"/>
          <w:kern w:val="0"/>
          <w:sz w:val="22"/>
          <w:szCs w:val="22"/>
          <w:lang w:eastAsia="en-GB"/>
          <w14:ligatures w14:val="none"/>
        </w:rPr>
        <w:t xml:space="preserve"> emissions and water conservation. Philanthropically, it engages in community development and educational programs.</w:t>
      </w:r>
    </w:p>
    <w:p w14:paraId="349E9A7F"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BMW</w:t>
      </w:r>
      <w:r w:rsidRPr="00A80681">
        <w:rPr>
          <w:rFonts w:ascii="Arial" w:eastAsia="Times New Roman" w:hAnsi="Arial" w:cs="Arial"/>
          <w:kern w:val="0"/>
          <w:sz w:val="22"/>
          <w:szCs w:val="22"/>
          <w:lang w:eastAsia="en-GB"/>
          <w14:ligatures w14:val="none"/>
        </w:rPr>
        <w:t xml:space="preserve"> integrates CSR across its operations. Economically, it maintains strong market performance through premium EVs. Legally, it complies with EU regulations and global safety standards. Ethically, BMW promotes responsible sourcing of cobalt and lithium for batteries. Philanthropically, it supports education, culture, and social inclusion initiatives.</w:t>
      </w:r>
    </w:p>
    <w:p w14:paraId="4399BEB2" w14:textId="73C41424" w:rsidR="00A80681" w:rsidRPr="00A80681" w:rsidRDefault="00A80681" w:rsidP="00A80681">
      <w:pPr>
        <w:spacing w:after="0" w:line="240" w:lineRule="auto"/>
        <w:rPr>
          <w:rFonts w:ascii="Arial" w:eastAsia="Times New Roman" w:hAnsi="Arial" w:cs="Arial"/>
          <w:kern w:val="0"/>
          <w:lang w:eastAsia="en-GB"/>
          <w14:ligatures w14:val="none"/>
        </w:rPr>
      </w:pPr>
    </w:p>
    <w:p w14:paraId="7C359438" w14:textId="77777777" w:rsidR="00A80681" w:rsidRPr="00A80681" w:rsidRDefault="00A8068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Triple Bottom Line Framework</w:t>
      </w:r>
    </w:p>
    <w:p w14:paraId="2E841537"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kern w:val="0"/>
          <w:sz w:val="22"/>
          <w:szCs w:val="22"/>
          <w:lang w:eastAsia="en-GB"/>
          <w14:ligatures w14:val="none"/>
        </w:rPr>
        <w:t>Elkington’s Triple Bottom Line (1997) expands the definition of business success beyond profit to include:</w:t>
      </w:r>
    </w:p>
    <w:p w14:paraId="1C2EB5FA" w14:textId="77777777" w:rsidR="00A80681" w:rsidRPr="00A80681" w:rsidRDefault="00A80681" w:rsidP="00A80681">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People</w:t>
      </w:r>
      <w:r w:rsidRPr="00A80681">
        <w:rPr>
          <w:rFonts w:ascii="Arial" w:eastAsia="Times New Roman" w:hAnsi="Arial" w:cs="Arial"/>
          <w:kern w:val="0"/>
          <w:sz w:val="22"/>
          <w:szCs w:val="22"/>
          <w:lang w:eastAsia="en-GB"/>
          <w14:ligatures w14:val="none"/>
        </w:rPr>
        <w:t xml:space="preserve"> – Social responsibility and stakeholder well-being.</w:t>
      </w:r>
    </w:p>
    <w:p w14:paraId="4707E6E0" w14:textId="77777777" w:rsidR="00A80681" w:rsidRPr="00A80681" w:rsidRDefault="00A80681" w:rsidP="00A80681">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Planet</w:t>
      </w:r>
      <w:r w:rsidRPr="00A80681">
        <w:rPr>
          <w:rFonts w:ascii="Arial" w:eastAsia="Times New Roman" w:hAnsi="Arial" w:cs="Arial"/>
          <w:kern w:val="0"/>
          <w:sz w:val="22"/>
          <w:szCs w:val="22"/>
          <w:lang w:eastAsia="en-GB"/>
          <w14:ligatures w14:val="none"/>
        </w:rPr>
        <w:t xml:space="preserve"> – Environmental sustainability.</w:t>
      </w:r>
    </w:p>
    <w:p w14:paraId="1530FBEA" w14:textId="77777777" w:rsidR="00A80681" w:rsidRPr="00A80681" w:rsidRDefault="00A80681" w:rsidP="00A80681">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Profit</w:t>
      </w:r>
      <w:r w:rsidRPr="00A80681">
        <w:rPr>
          <w:rFonts w:ascii="Arial" w:eastAsia="Times New Roman" w:hAnsi="Arial" w:cs="Arial"/>
          <w:kern w:val="0"/>
          <w:sz w:val="22"/>
          <w:szCs w:val="22"/>
          <w:lang w:eastAsia="en-GB"/>
          <w14:ligatures w14:val="none"/>
        </w:rPr>
        <w:t xml:space="preserve"> – Economic viability.</w:t>
      </w:r>
    </w:p>
    <w:p w14:paraId="133D0000"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Tesla</w:t>
      </w:r>
      <w:r w:rsidRPr="00A80681">
        <w:rPr>
          <w:rFonts w:ascii="Arial" w:eastAsia="Times New Roman" w:hAnsi="Arial" w:cs="Arial"/>
          <w:kern w:val="0"/>
          <w:sz w:val="22"/>
          <w:szCs w:val="22"/>
          <w:lang w:eastAsia="en-GB"/>
          <w14:ligatures w14:val="none"/>
        </w:rPr>
        <w:t xml:space="preserve"> prioritises the</w:t>
      </w:r>
      <w:r w:rsidRPr="00B105BD">
        <w:rPr>
          <w:rFonts w:ascii="Arial" w:eastAsia="Times New Roman" w:hAnsi="Arial" w:cs="Arial"/>
          <w:kern w:val="0"/>
          <w:sz w:val="22"/>
          <w:szCs w:val="22"/>
          <w:lang w:eastAsia="en-GB"/>
          <w14:ligatures w14:val="none"/>
        </w:rPr>
        <w:t xml:space="preserve"> Planet</w:t>
      </w:r>
      <w:r w:rsidRPr="00A80681">
        <w:rPr>
          <w:rFonts w:ascii="Arial" w:eastAsia="Times New Roman" w:hAnsi="Arial" w:cs="Arial"/>
          <w:kern w:val="0"/>
          <w:sz w:val="22"/>
          <w:szCs w:val="22"/>
          <w:lang w:eastAsia="en-GB"/>
          <w14:ligatures w14:val="none"/>
        </w:rPr>
        <w:t xml:space="preserve"> through its mission to accelerate sustainable energy. Its Gigafactories aim for carbon neutrality, and it innovates in solar energy and battery technology. For </w:t>
      </w:r>
      <w:r w:rsidRPr="003139FD">
        <w:rPr>
          <w:rFonts w:ascii="Arial" w:eastAsia="Times New Roman" w:hAnsi="Arial" w:cs="Arial"/>
          <w:kern w:val="0"/>
          <w:sz w:val="22"/>
          <w:szCs w:val="22"/>
          <w:lang w:eastAsia="en-GB"/>
          <w14:ligatures w14:val="none"/>
        </w:rPr>
        <w:t>People</w:t>
      </w:r>
      <w:r w:rsidRPr="00A80681">
        <w:rPr>
          <w:rFonts w:ascii="Arial" w:eastAsia="Times New Roman" w:hAnsi="Arial" w:cs="Arial"/>
          <w:kern w:val="0"/>
          <w:sz w:val="22"/>
          <w:szCs w:val="22"/>
          <w:lang w:eastAsia="en-GB"/>
          <w14:ligatures w14:val="none"/>
        </w:rPr>
        <w:t xml:space="preserve">, Tesla enforces safety training and diversity initiatives, although it has faced criticism over labour conditions. </w:t>
      </w:r>
      <w:r w:rsidRPr="003139FD">
        <w:rPr>
          <w:rFonts w:ascii="Arial" w:eastAsia="Times New Roman" w:hAnsi="Arial" w:cs="Arial"/>
          <w:kern w:val="0"/>
          <w:sz w:val="22"/>
          <w:szCs w:val="22"/>
          <w:lang w:eastAsia="en-GB"/>
          <w14:ligatures w14:val="none"/>
        </w:rPr>
        <w:t xml:space="preserve">Profit </w:t>
      </w:r>
      <w:r w:rsidRPr="00A80681">
        <w:rPr>
          <w:rFonts w:ascii="Arial" w:eastAsia="Times New Roman" w:hAnsi="Arial" w:cs="Arial"/>
          <w:kern w:val="0"/>
          <w:sz w:val="22"/>
          <w:szCs w:val="22"/>
          <w:lang w:eastAsia="en-GB"/>
          <w14:ligatures w14:val="none"/>
        </w:rPr>
        <w:t>is evident in its market leadership and valuation.</w:t>
      </w:r>
    </w:p>
    <w:p w14:paraId="2635B820"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Toyota</w:t>
      </w:r>
      <w:r w:rsidRPr="00A80681">
        <w:rPr>
          <w:rFonts w:ascii="Arial" w:eastAsia="Times New Roman" w:hAnsi="Arial" w:cs="Arial"/>
          <w:kern w:val="0"/>
          <w:sz w:val="22"/>
          <w:szCs w:val="22"/>
          <w:lang w:eastAsia="en-GB"/>
          <w14:ligatures w14:val="none"/>
        </w:rPr>
        <w:t xml:space="preserve"> balances all three pillars. It invests in hydrogen fuel cells and hybrid technology (</w:t>
      </w:r>
      <w:r w:rsidRPr="00A80681">
        <w:rPr>
          <w:rFonts w:ascii="Arial" w:eastAsia="Times New Roman" w:hAnsi="Arial" w:cs="Arial"/>
          <w:i/>
          <w:iCs/>
          <w:kern w:val="0"/>
          <w:sz w:val="22"/>
          <w:szCs w:val="22"/>
          <w:lang w:eastAsia="en-GB"/>
          <w14:ligatures w14:val="none"/>
        </w:rPr>
        <w:t>Planet</w:t>
      </w:r>
      <w:r w:rsidRPr="00A80681">
        <w:rPr>
          <w:rFonts w:ascii="Arial" w:eastAsia="Times New Roman" w:hAnsi="Arial" w:cs="Arial"/>
          <w:kern w:val="0"/>
          <w:sz w:val="22"/>
          <w:szCs w:val="22"/>
          <w:lang w:eastAsia="en-GB"/>
          <w14:ligatures w14:val="none"/>
        </w:rPr>
        <w:t>), supports employee development and community programs (</w:t>
      </w:r>
      <w:r w:rsidRPr="00A80681">
        <w:rPr>
          <w:rFonts w:ascii="Arial" w:eastAsia="Times New Roman" w:hAnsi="Arial" w:cs="Arial"/>
          <w:i/>
          <w:iCs/>
          <w:kern w:val="0"/>
          <w:sz w:val="22"/>
          <w:szCs w:val="22"/>
          <w:lang w:eastAsia="en-GB"/>
          <w14:ligatures w14:val="none"/>
        </w:rPr>
        <w:t>People</w:t>
      </w:r>
      <w:r w:rsidRPr="00A80681">
        <w:rPr>
          <w:rFonts w:ascii="Arial" w:eastAsia="Times New Roman" w:hAnsi="Arial" w:cs="Arial"/>
          <w:kern w:val="0"/>
          <w:sz w:val="22"/>
          <w:szCs w:val="22"/>
          <w:lang w:eastAsia="en-GB"/>
          <w14:ligatures w14:val="none"/>
        </w:rPr>
        <w:t>), and maintains strong financial performance (</w:t>
      </w:r>
      <w:r w:rsidRPr="00A80681">
        <w:rPr>
          <w:rFonts w:ascii="Arial" w:eastAsia="Times New Roman" w:hAnsi="Arial" w:cs="Arial"/>
          <w:i/>
          <w:iCs/>
          <w:kern w:val="0"/>
          <w:sz w:val="22"/>
          <w:szCs w:val="22"/>
          <w:lang w:eastAsia="en-GB"/>
          <w14:ligatures w14:val="none"/>
        </w:rPr>
        <w:t>Profit</w:t>
      </w:r>
      <w:r w:rsidRPr="00A80681">
        <w:rPr>
          <w:rFonts w:ascii="Arial" w:eastAsia="Times New Roman" w:hAnsi="Arial" w:cs="Arial"/>
          <w:kern w:val="0"/>
          <w:sz w:val="22"/>
          <w:szCs w:val="22"/>
          <w:lang w:eastAsia="en-GB"/>
          <w14:ligatures w14:val="none"/>
        </w:rPr>
        <w:t>). Toyota’s commitment to sustainability is reflected in its goal to achieve carbon neutrality by 2050.</w:t>
      </w:r>
    </w:p>
    <w:p w14:paraId="75E558F9" w14:textId="77777777" w:rsidR="00A80681" w:rsidRPr="00A80681"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BMW</w:t>
      </w:r>
      <w:r w:rsidRPr="00A80681">
        <w:rPr>
          <w:rFonts w:ascii="Arial" w:eastAsia="Times New Roman" w:hAnsi="Arial" w:cs="Arial"/>
          <w:kern w:val="0"/>
          <w:sz w:val="22"/>
          <w:szCs w:val="22"/>
          <w:lang w:eastAsia="en-GB"/>
          <w14:ligatures w14:val="none"/>
        </w:rPr>
        <w:t xml:space="preserve"> addresses </w:t>
      </w:r>
      <w:r w:rsidRPr="00A80681">
        <w:rPr>
          <w:rFonts w:ascii="Arial" w:eastAsia="Times New Roman" w:hAnsi="Arial" w:cs="Arial"/>
          <w:i/>
          <w:iCs/>
          <w:kern w:val="0"/>
          <w:sz w:val="22"/>
          <w:szCs w:val="22"/>
          <w:lang w:eastAsia="en-GB"/>
          <w14:ligatures w14:val="none"/>
        </w:rPr>
        <w:t>Planet</w:t>
      </w:r>
      <w:r w:rsidRPr="00A80681">
        <w:rPr>
          <w:rFonts w:ascii="Arial" w:eastAsia="Times New Roman" w:hAnsi="Arial" w:cs="Arial"/>
          <w:kern w:val="0"/>
          <w:sz w:val="22"/>
          <w:szCs w:val="22"/>
          <w:lang w:eastAsia="en-GB"/>
          <w14:ligatures w14:val="none"/>
        </w:rPr>
        <w:t xml:space="preserve"> through circular economy principles—recycling materials and reducing emissions. It supports </w:t>
      </w:r>
      <w:r w:rsidRPr="00A80681">
        <w:rPr>
          <w:rFonts w:ascii="Arial" w:eastAsia="Times New Roman" w:hAnsi="Arial" w:cs="Arial"/>
          <w:i/>
          <w:iCs/>
          <w:kern w:val="0"/>
          <w:sz w:val="22"/>
          <w:szCs w:val="22"/>
          <w:lang w:eastAsia="en-GB"/>
          <w14:ligatures w14:val="none"/>
        </w:rPr>
        <w:t>People</w:t>
      </w:r>
      <w:r w:rsidRPr="00A80681">
        <w:rPr>
          <w:rFonts w:ascii="Arial" w:eastAsia="Times New Roman" w:hAnsi="Arial" w:cs="Arial"/>
          <w:kern w:val="0"/>
          <w:sz w:val="22"/>
          <w:szCs w:val="22"/>
          <w:lang w:eastAsia="en-GB"/>
          <w14:ligatures w14:val="none"/>
        </w:rPr>
        <w:t xml:space="preserve"> via fair labour practices, employee engagement, and stakeholder dialogue. Its </w:t>
      </w:r>
      <w:r w:rsidRPr="00A80681">
        <w:rPr>
          <w:rFonts w:ascii="Arial" w:eastAsia="Times New Roman" w:hAnsi="Arial" w:cs="Arial"/>
          <w:i/>
          <w:iCs/>
          <w:kern w:val="0"/>
          <w:sz w:val="22"/>
          <w:szCs w:val="22"/>
          <w:lang w:eastAsia="en-GB"/>
          <w14:ligatures w14:val="none"/>
        </w:rPr>
        <w:t>Profit</w:t>
      </w:r>
      <w:r w:rsidRPr="00A80681">
        <w:rPr>
          <w:rFonts w:ascii="Arial" w:eastAsia="Times New Roman" w:hAnsi="Arial" w:cs="Arial"/>
          <w:kern w:val="0"/>
          <w:sz w:val="22"/>
          <w:szCs w:val="22"/>
          <w:lang w:eastAsia="en-GB"/>
          <w14:ligatures w14:val="none"/>
        </w:rPr>
        <w:t xml:space="preserve"> strategy includes expanding EV offerings and digital services, ensuring long-term competitiveness.</w:t>
      </w:r>
    </w:p>
    <w:p w14:paraId="7A932EE1" w14:textId="02E84073" w:rsidR="00A80681" w:rsidRPr="00A80681" w:rsidRDefault="00A80681" w:rsidP="00A80681">
      <w:pPr>
        <w:spacing w:after="0" w:line="240" w:lineRule="auto"/>
        <w:rPr>
          <w:rFonts w:ascii="Arial" w:eastAsia="Times New Roman" w:hAnsi="Arial" w:cs="Arial"/>
          <w:kern w:val="0"/>
          <w:sz w:val="22"/>
          <w:szCs w:val="22"/>
          <w:lang w:eastAsia="en-GB"/>
          <w14:ligatures w14:val="none"/>
        </w:rPr>
      </w:pPr>
    </w:p>
    <w:p w14:paraId="7B7A79A0" w14:textId="77777777" w:rsidR="00A80681" w:rsidRPr="00A80681" w:rsidRDefault="00A8068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Sustainability in Practice</w:t>
      </w:r>
    </w:p>
    <w:p w14:paraId="2498F420" w14:textId="77777777" w:rsidR="00A80681" w:rsidRPr="00045615" w:rsidRDefault="00A80681" w:rsidP="00A80681">
      <w:pPr>
        <w:spacing w:before="100" w:beforeAutospacing="1" w:after="100" w:afterAutospacing="1" w:line="240" w:lineRule="auto"/>
        <w:rPr>
          <w:rFonts w:ascii="Arial" w:eastAsia="Times New Roman" w:hAnsi="Arial" w:cs="Arial"/>
          <w:kern w:val="0"/>
          <w:sz w:val="22"/>
          <w:szCs w:val="22"/>
          <w:lang w:eastAsia="en-GB"/>
          <w14:ligatures w14:val="none"/>
        </w:rPr>
      </w:pPr>
      <w:r w:rsidRPr="00045615">
        <w:rPr>
          <w:rFonts w:ascii="Arial" w:eastAsia="Times New Roman" w:hAnsi="Arial" w:cs="Arial"/>
          <w:kern w:val="0"/>
          <w:sz w:val="22"/>
          <w:szCs w:val="22"/>
          <w:lang w:eastAsia="en-GB"/>
          <w14:ligatures w14:val="none"/>
        </w:rPr>
        <w:t>Sustainability has become a central concern in the automotive industry, particularly in the transition to EVs and ethical battery sourcing.</w:t>
      </w:r>
    </w:p>
    <w:p w14:paraId="1ADA32FD" w14:textId="77777777" w:rsidR="00A80681" w:rsidRPr="007F39F0" w:rsidRDefault="00A80681" w:rsidP="00A80681">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7F39F0">
        <w:rPr>
          <w:rFonts w:ascii="Arial" w:eastAsia="Times New Roman" w:hAnsi="Arial" w:cs="Arial"/>
          <w:b/>
          <w:bCs/>
          <w:kern w:val="0"/>
          <w:sz w:val="22"/>
          <w:szCs w:val="22"/>
          <w:lang w:eastAsia="en-GB"/>
          <w14:ligatures w14:val="none"/>
        </w:rPr>
        <w:t>Tesla</w:t>
      </w:r>
      <w:r w:rsidRPr="007F39F0">
        <w:rPr>
          <w:rFonts w:ascii="Arial" w:eastAsia="Times New Roman" w:hAnsi="Arial" w:cs="Arial"/>
          <w:kern w:val="0"/>
          <w:sz w:val="22"/>
          <w:szCs w:val="22"/>
          <w:lang w:eastAsia="en-GB"/>
          <w14:ligatures w14:val="none"/>
        </w:rPr>
        <w:t xml:space="preserve"> leads in EV innovation but faces ethical scrutiny over battery sourcing and workplace safety. It has improved transparency in its supply chain and committed to</w:t>
      </w:r>
      <w:r w:rsidRPr="007F39F0">
        <w:rPr>
          <w:rFonts w:ascii="Times New Roman" w:eastAsia="Times New Roman" w:hAnsi="Times New Roman" w:cs="Times New Roman"/>
          <w:kern w:val="0"/>
          <w:sz w:val="22"/>
          <w:szCs w:val="22"/>
          <w:lang w:eastAsia="en-GB"/>
          <w14:ligatures w14:val="none"/>
        </w:rPr>
        <w:t xml:space="preserve"> </w:t>
      </w:r>
      <w:r w:rsidRPr="007F39F0">
        <w:rPr>
          <w:rFonts w:ascii="Arial" w:eastAsia="Times New Roman" w:hAnsi="Arial" w:cs="Arial"/>
          <w:kern w:val="0"/>
          <w:sz w:val="22"/>
          <w:szCs w:val="22"/>
          <w:lang w:eastAsia="en-GB"/>
          <w14:ligatures w14:val="none"/>
        </w:rPr>
        <w:t xml:space="preserve">ethical sourcing of lithium and cobalt. Tesla’s Gigafactories are designed to operate </w:t>
      </w:r>
      <w:r w:rsidRPr="007F39F0">
        <w:rPr>
          <w:rFonts w:ascii="Arial" w:eastAsia="Times New Roman" w:hAnsi="Arial" w:cs="Arial"/>
          <w:kern w:val="0"/>
          <w:sz w:val="22"/>
          <w:szCs w:val="22"/>
          <w:lang w:eastAsia="en-GB"/>
          <w14:ligatures w14:val="none"/>
        </w:rPr>
        <w:lastRenderedPageBreak/>
        <w:t>with minimal environmental impact, and its energy products promote renewable energy adoption.</w:t>
      </w:r>
    </w:p>
    <w:p w14:paraId="3FE2D2B3" w14:textId="77777777" w:rsidR="00A80681" w:rsidRPr="00A80681" w:rsidRDefault="00A80681" w:rsidP="00A80681">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7F39F0">
        <w:rPr>
          <w:rFonts w:ascii="Arial" w:eastAsia="Times New Roman" w:hAnsi="Arial" w:cs="Arial"/>
          <w:b/>
          <w:bCs/>
          <w:kern w:val="0"/>
          <w:sz w:val="22"/>
          <w:szCs w:val="22"/>
          <w:lang w:eastAsia="en-GB"/>
          <w14:ligatures w14:val="none"/>
        </w:rPr>
        <w:t>Toyota</w:t>
      </w:r>
      <w:r w:rsidRPr="007F39F0">
        <w:rPr>
          <w:rFonts w:ascii="Arial" w:eastAsia="Times New Roman" w:hAnsi="Arial" w:cs="Arial"/>
          <w:kern w:val="0"/>
          <w:sz w:val="22"/>
          <w:szCs w:val="22"/>
          <w:lang w:eastAsia="en-GB"/>
          <w14:ligatures w14:val="none"/>
        </w:rPr>
        <w:t xml:space="preserve"> pioneered hybrid technology and continues to invest in hydrogen fuel cells and EVs. Its Environmental Challenge 2050 outlines ambitious goals for carbon</w:t>
      </w:r>
      <w:r w:rsidRPr="00A80681">
        <w:rPr>
          <w:rFonts w:ascii="Arial" w:eastAsia="Times New Roman" w:hAnsi="Arial" w:cs="Arial"/>
          <w:kern w:val="0"/>
          <w:sz w:val="22"/>
          <w:szCs w:val="22"/>
          <w:lang w:eastAsia="en-GB"/>
          <w14:ligatures w14:val="none"/>
        </w:rPr>
        <w:t xml:space="preserve"> neutrality, water conservation, and biodiversity. Toyota also ensures ethical labour practices and proactively recalls vehicles to maintain customer safety.</w:t>
      </w:r>
    </w:p>
    <w:p w14:paraId="7BB9FF1B" w14:textId="77777777" w:rsidR="00A80681" w:rsidRPr="00A80681" w:rsidRDefault="00A80681" w:rsidP="00A80681">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BMW</w:t>
      </w:r>
      <w:r w:rsidRPr="00A80681">
        <w:rPr>
          <w:rFonts w:ascii="Arial" w:eastAsia="Times New Roman" w:hAnsi="Arial" w:cs="Arial"/>
          <w:kern w:val="0"/>
          <w:sz w:val="22"/>
          <w:szCs w:val="22"/>
          <w:lang w:eastAsia="en-GB"/>
          <w14:ligatures w14:val="none"/>
        </w:rPr>
        <w:t xml:space="preserve"> has committed to using renewable energy in production and reducing lifecycle emissions of its vehicles. It promotes sustainable battery technology and ethical sourcing, working with suppliers to ensure compliance with human rights standards. BMW’s “Circular Economy” strategy focuses on designing vehicles for reuse and recycling.</w:t>
      </w:r>
    </w:p>
    <w:p w14:paraId="297CA619" w14:textId="407920BE" w:rsidR="00A80681" w:rsidRPr="00A80681" w:rsidRDefault="00A80681" w:rsidP="00A80681">
      <w:pPr>
        <w:spacing w:after="0" w:line="240" w:lineRule="auto"/>
        <w:rPr>
          <w:rFonts w:ascii="Times New Roman" w:eastAsia="Times New Roman" w:hAnsi="Times New Roman" w:cs="Times New Roman"/>
          <w:kern w:val="0"/>
          <w:lang w:eastAsia="en-GB"/>
          <w14:ligatures w14:val="none"/>
        </w:rPr>
      </w:pPr>
    </w:p>
    <w:p w14:paraId="5570F43D" w14:textId="4DCCF781" w:rsidR="00A80681" w:rsidRPr="00522B1B" w:rsidRDefault="00A80681" w:rsidP="00522B1B">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Business Ethics in Practice</w:t>
      </w:r>
    </w:p>
    <w:p w14:paraId="6956B687" w14:textId="77777777" w:rsidR="00A80681" w:rsidRPr="00A80681" w:rsidRDefault="00A80681" w:rsidP="00A80681">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Tesla</w:t>
      </w:r>
      <w:r w:rsidRPr="00A80681">
        <w:rPr>
          <w:rFonts w:ascii="Arial" w:eastAsia="Times New Roman" w:hAnsi="Arial" w:cs="Arial"/>
          <w:kern w:val="0"/>
          <w:sz w:val="22"/>
          <w:szCs w:val="22"/>
          <w:lang w:eastAsia="en-GB"/>
          <w14:ligatures w14:val="none"/>
        </w:rPr>
        <w:t xml:space="preserve"> has faced criticism over its autopilot system and workplace safety. However, it has taken steps to improve safety protocols and transparency. Tesla’s commitment to innovation must be balanced with ethical responsibility to consumers and employees.</w:t>
      </w:r>
    </w:p>
    <w:p w14:paraId="3EA5483D" w14:textId="77777777" w:rsidR="00A80681" w:rsidRPr="00A80681" w:rsidRDefault="00A80681" w:rsidP="00A80681">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Toyota</w:t>
      </w:r>
      <w:r w:rsidRPr="00A80681">
        <w:rPr>
          <w:rFonts w:ascii="Arial" w:eastAsia="Times New Roman" w:hAnsi="Arial" w:cs="Arial"/>
          <w:kern w:val="0"/>
          <w:sz w:val="22"/>
          <w:szCs w:val="22"/>
          <w:lang w:eastAsia="en-GB"/>
          <w14:ligatures w14:val="none"/>
        </w:rPr>
        <w:t xml:space="preserve"> has a strong reputation for ethical conduct, particularly in its proactive approach to recalls and safety. It maintains rigorous quality control and compliance with global regulations, reinforcing consumer trust.</w:t>
      </w:r>
    </w:p>
    <w:p w14:paraId="65D114EA" w14:textId="77777777" w:rsidR="00A80681" w:rsidRPr="00A80681" w:rsidRDefault="00A80681" w:rsidP="00A80681">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b/>
          <w:bCs/>
          <w:kern w:val="0"/>
          <w:sz w:val="22"/>
          <w:szCs w:val="22"/>
          <w:lang w:eastAsia="en-GB"/>
          <w14:ligatures w14:val="none"/>
        </w:rPr>
        <w:t>BMW</w:t>
      </w:r>
      <w:r w:rsidRPr="00A80681">
        <w:rPr>
          <w:rFonts w:ascii="Arial" w:eastAsia="Times New Roman" w:hAnsi="Arial" w:cs="Arial"/>
          <w:kern w:val="0"/>
          <w:sz w:val="22"/>
          <w:szCs w:val="22"/>
          <w:lang w:eastAsia="en-GB"/>
          <w14:ligatures w14:val="none"/>
        </w:rPr>
        <w:t xml:space="preserve"> ensures regulatory compliance and ethical labour practices in its global supply chain. It engages in stakeholder dialogue and publishes sustainability reports to maintain transparency. BMW’s ethical approach enhances its brand reputation and stakeholder relationships.</w:t>
      </w:r>
    </w:p>
    <w:p w14:paraId="211C3D29" w14:textId="5EACDDEA" w:rsidR="00A80681" w:rsidRPr="00A80681" w:rsidRDefault="00A80681" w:rsidP="00A80681">
      <w:pPr>
        <w:spacing w:after="0" w:line="240" w:lineRule="auto"/>
        <w:rPr>
          <w:rFonts w:ascii="Times New Roman" w:eastAsia="Times New Roman" w:hAnsi="Times New Roman" w:cs="Times New Roman"/>
          <w:kern w:val="0"/>
          <w:lang w:eastAsia="en-GB"/>
          <w14:ligatures w14:val="none"/>
        </w:rPr>
      </w:pPr>
    </w:p>
    <w:p w14:paraId="536313CD" w14:textId="77777777" w:rsidR="00A80681" w:rsidRPr="00A80681" w:rsidRDefault="00A8068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A80681">
        <w:rPr>
          <w:rFonts w:ascii="Arial" w:eastAsia="Times New Roman" w:hAnsi="Arial" w:cs="Arial"/>
          <w:b/>
          <w:bCs/>
          <w:kern w:val="0"/>
          <w:sz w:val="22"/>
          <w:szCs w:val="22"/>
          <w:lang w:eastAsia="en-GB"/>
          <w14:ligatures w14:val="none"/>
        </w:rPr>
        <w:t>Conclusion</w:t>
      </w:r>
    </w:p>
    <w:p w14:paraId="3F1E8491" w14:textId="2FA6F6A9" w:rsidR="00A80681" w:rsidRPr="00B63452" w:rsidRDefault="00A80681" w:rsidP="00B63452">
      <w:pPr>
        <w:spacing w:before="100" w:beforeAutospacing="1" w:after="100" w:afterAutospacing="1" w:line="240" w:lineRule="auto"/>
        <w:rPr>
          <w:rFonts w:ascii="Arial" w:eastAsia="Times New Roman" w:hAnsi="Arial" w:cs="Arial"/>
          <w:kern w:val="0"/>
          <w:sz w:val="22"/>
          <w:szCs w:val="22"/>
          <w:lang w:eastAsia="en-GB"/>
          <w14:ligatures w14:val="none"/>
        </w:rPr>
      </w:pPr>
      <w:r w:rsidRPr="00A80681">
        <w:rPr>
          <w:rFonts w:ascii="Arial" w:eastAsia="Times New Roman" w:hAnsi="Arial" w:cs="Arial"/>
          <w:kern w:val="0"/>
          <w:sz w:val="22"/>
          <w:szCs w:val="22"/>
          <w:lang w:eastAsia="en-GB"/>
          <w14:ligatures w14:val="none"/>
        </w:rPr>
        <w:t xml:space="preserve">This essay has defined business ethics and CSR, applying Carroll’s CSR Pyramid and the Triple Bottom Line to analyse Tesla, Toyota, and BMW. These companies demonstrate that ethical conduct and sustainability are not peripheral but central to modern automotive strategy. From EV innovation and carbon neutrality to ethical sourcing and safety compliance, their actions reflect a commitment to stakeholders and the environment. As the industry faces increasing scrutiny and environmental challenges, integrating CSR and ethics into core operations is vital. Ultimately, responsible business practices foster trust, resilience, and competitive advantage—reinforcing the idea that profitability and purpose can coexist. </w:t>
      </w:r>
    </w:p>
    <w:p w14:paraId="0A157215" w14:textId="33517BF3" w:rsidR="00F21592" w:rsidRDefault="00A80681" w:rsidP="00F21592">
      <w:pPr>
        <w:ind w:left="720"/>
        <w:rPr>
          <w:rFonts w:ascii="Times New Roman" w:eastAsia="Times New Roman" w:hAnsi="Times New Roman" w:cs="Times New Roman"/>
          <w:kern w:val="0"/>
          <w:lang w:eastAsia="en-GB"/>
          <w14:ligatures w14:val="none"/>
        </w:rPr>
      </w:pPr>
      <w:r w:rsidRPr="00B63452">
        <w:rPr>
          <w:rFonts w:ascii="Arial" w:eastAsia="Times New Roman" w:hAnsi="Arial" w:cs="Arial"/>
          <w:b/>
          <w:bCs/>
          <w:kern w:val="0"/>
          <w:sz w:val="22"/>
          <w:szCs w:val="22"/>
          <w:lang w:eastAsia="en-GB"/>
          <w14:ligatures w14:val="none"/>
        </w:rPr>
        <w:t>Referenc</w:t>
      </w:r>
      <w:r w:rsidR="00150C08">
        <w:rPr>
          <w:rFonts w:ascii="Arial" w:eastAsia="Times New Roman" w:hAnsi="Arial" w:cs="Arial"/>
          <w:b/>
          <w:bCs/>
          <w:kern w:val="0"/>
          <w:sz w:val="22"/>
          <w:szCs w:val="22"/>
          <w:lang w:eastAsia="en-GB"/>
          <w14:ligatures w14:val="none"/>
        </w:rPr>
        <w:t>es:</w:t>
      </w:r>
      <w:r w:rsidR="00F21592" w:rsidRPr="00F21592">
        <w:rPr>
          <w:rFonts w:ascii="Times New Roman" w:eastAsia="Times New Roman" w:hAnsi="Symbol" w:cs="Times New Roman"/>
          <w:kern w:val="0"/>
          <w:lang w:eastAsia="en-GB"/>
          <w14:ligatures w14:val="none"/>
        </w:rPr>
        <w:t xml:space="preserve"> </w:t>
      </w:r>
      <w:r w:rsidR="00F21592" w:rsidRPr="00F21592">
        <w:rPr>
          <w:rFonts w:ascii="Times New Roman" w:eastAsia="Times New Roman" w:hAnsi="Symbol" w:cs="Times New Roman"/>
          <w:kern w:val="0"/>
          <w:lang w:eastAsia="en-GB"/>
          <w14:ligatures w14:val="none"/>
        </w:rPr>
        <w:t></w:t>
      </w:r>
    </w:p>
    <w:p w14:paraId="46F8F732" w14:textId="5F603D1D" w:rsidR="00F21592" w:rsidRPr="00F21592" w:rsidRDefault="00F21592" w:rsidP="00F21592">
      <w:pPr>
        <w:ind w:left="720"/>
        <w:rPr>
          <w:rFonts w:ascii="Times New Roman" w:eastAsia="Times New Roman" w:hAnsi="Times New Roman" w:cs="Times New Roman"/>
          <w:kern w:val="0"/>
          <w:lang w:eastAsia="en-GB"/>
          <w14:ligatures w14:val="none"/>
        </w:rPr>
      </w:pPr>
      <w:r w:rsidRPr="00F21592">
        <w:rPr>
          <w:rFonts w:ascii="Times New Roman" w:eastAsia="Times New Roman" w:hAnsi="Times New Roman" w:cs="Times New Roman"/>
          <w:kern w:val="0"/>
          <w:lang w:eastAsia="en-GB"/>
          <w14:ligatures w14:val="none"/>
        </w:rPr>
        <w:t xml:space="preserve"> </w:t>
      </w:r>
      <w:r w:rsidRPr="00F21592">
        <w:rPr>
          <w:rFonts w:ascii="Times New Roman" w:eastAsia="Times New Roman" w:hAnsi="Times New Roman" w:cs="Times New Roman"/>
          <w:b/>
          <w:bCs/>
          <w:kern w:val="0"/>
          <w:lang w:eastAsia="en-GB"/>
          <w14:ligatures w14:val="none"/>
        </w:rPr>
        <w:t>Crane, A. &amp; Matten, D. (2016).</w:t>
      </w:r>
      <w:r w:rsidRPr="00F21592">
        <w:rPr>
          <w:rFonts w:ascii="Times New Roman" w:eastAsia="Times New Roman" w:hAnsi="Times New Roman" w:cs="Times New Roman"/>
          <w:kern w:val="0"/>
          <w:lang w:eastAsia="en-GB"/>
          <w14:ligatures w14:val="none"/>
        </w:rPr>
        <w:t xml:space="preserve"> </w:t>
      </w:r>
      <w:r w:rsidRPr="00F21592">
        <w:rPr>
          <w:rFonts w:ascii="Times New Roman" w:eastAsia="Times New Roman" w:hAnsi="Times New Roman" w:cs="Times New Roman"/>
          <w:i/>
          <w:iCs/>
          <w:kern w:val="0"/>
          <w:lang w:eastAsia="en-GB"/>
          <w14:ligatures w14:val="none"/>
        </w:rPr>
        <w:t>Business Ethics: Managing Corporate Citizenship and Sustainability in the Age of Globalization.</w:t>
      </w:r>
      <w:r w:rsidRPr="00F21592">
        <w:rPr>
          <w:rFonts w:ascii="Times New Roman" w:eastAsia="Times New Roman" w:hAnsi="Times New Roman" w:cs="Times New Roman"/>
          <w:kern w:val="0"/>
          <w:lang w:eastAsia="en-GB"/>
          <w14:ligatures w14:val="none"/>
        </w:rPr>
        <w:t xml:space="preserve"> 4th ed. Oxford: Oxford University Press.</w:t>
      </w:r>
    </w:p>
    <w:p w14:paraId="4ABE1D76" w14:textId="58302091" w:rsidR="006B5831" w:rsidRDefault="006B5831"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05ED58D5" w14:textId="77777777" w:rsidR="00F21592" w:rsidRDefault="00F21592" w:rsidP="00A8068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4FD2ADDF" w14:textId="77777777" w:rsidR="00221876" w:rsidRDefault="00221876" w:rsidP="006B2A11">
      <w:pPr>
        <w:spacing w:before="100" w:beforeAutospacing="1" w:after="100" w:afterAutospacing="1" w:line="240" w:lineRule="auto"/>
      </w:pPr>
      <w:r w:rsidRPr="00A80681">
        <w:rPr>
          <w:rFonts w:ascii="Times New Roman" w:eastAsia="Times New Roman" w:hAnsi="Times New Roman" w:cs="Times New Roman"/>
          <w:kern w:val="0"/>
          <w:lang w:eastAsia="en-GB"/>
          <w14:ligatures w14:val="none"/>
        </w:rPr>
        <w:lastRenderedPageBreak/>
        <w:t xml:space="preserve">Greenspan, R. (2024). </w:t>
      </w:r>
      <w:r w:rsidRPr="009A3E9F">
        <w:rPr>
          <w:rFonts w:ascii="Times New Roman" w:eastAsia="Times New Roman" w:hAnsi="Times New Roman" w:cs="Times New Roman"/>
          <w:i/>
          <w:iCs/>
          <w:kern w:val="0"/>
          <w:lang w:eastAsia="en-GB"/>
          <w14:ligatures w14:val="none"/>
        </w:rPr>
        <w:t>Tesla’s Stakeholders &amp; Corporate Social Responsibility Strategy.</w:t>
      </w:r>
      <w:r w:rsidRPr="00A80681">
        <w:rPr>
          <w:rFonts w:ascii="Times New Roman" w:eastAsia="Times New Roman" w:hAnsi="Times New Roman" w:cs="Times New Roman"/>
          <w:kern w:val="0"/>
          <w:lang w:eastAsia="en-GB"/>
          <w14:ligatures w14:val="none"/>
        </w:rPr>
        <w:t xml:space="preserve"> </w:t>
      </w:r>
      <w:proofErr w:type="spellStart"/>
      <w:r w:rsidRPr="00A80681">
        <w:rPr>
          <w:rFonts w:ascii="Times New Roman" w:eastAsia="Times New Roman" w:hAnsi="Times New Roman" w:cs="Times New Roman"/>
          <w:kern w:val="0"/>
          <w:lang w:eastAsia="en-GB"/>
          <w14:ligatures w14:val="none"/>
        </w:rPr>
        <w:t>Panmore</w:t>
      </w:r>
      <w:proofErr w:type="spellEnd"/>
      <w:r w:rsidRPr="00A80681">
        <w:rPr>
          <w:rFonts w:ascii="Times New Roman" w:eastAsia="Times New Roman" w:hAnsi="Times New Roman" w:cs="Times New Roman"/>
          <w:kern w:val="0"/>
          <w:lang w:eastAsia="en-GB"/>
          <w14:ligatures w14:val="none"/>
        </w:rPr>
        <w:t xml:space="preserve">. Available at: </w:t>
      </w:r>
      <w:hyperlink r:id="rId7" w:history="1">
        <w:r w:rsidRPr="00A80681">
          <w:rPr>
            <w:rFonts w:ascii="Times New Roman" w:eastAsia="Times New Roman" w:hAnsi="Times New Roman" w:cs="Times New Roman"/>
            <w:color w:val="0000FF"/>
            <w:kern w:val="0"/>
            <w:u w:val="single"/>
            <w:lang w:eastAsia="en-GB"/>
            <w14:ligatures w14:val="none"/>
          </w:rPr>
          <w:t>https://panmore.com/tesla-motors-inc-stakeholders-corporate-social-responsibility</w:t>
        </w:r>
      </w:hyperlink>
    </w:p>
    <w:p w14:paraId="65BB3342" w14:textId="77777777" w:rsidR="00E37455" w:rsidRPr="00A80681" w:rsidRDefault="00E37455" w:rsidP="00E374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681">
        <w:rPr>
          <w:rFonts w:ascii="Times New Roman" w:eastAsia="Times New Roman" w:hAnsi="Times New Roman" w:cs="Times New Roman"/>
          <w:kern w:val="0"/>
          <w:lang w:eastAsia="en-GB"/>
          <w14:ligatures w14:val="none"/>
        </w:rPr>
        <w:t xml:space="preserve">Hoffman, A. J. (2022). </w:t>
      </w:r>
      <w:r w:rsidRPr="00352893">
        <w:rPr>
          <w:rFonts w:ascii="Times New Roman" w:eastAsia="Times New Roman" w:hAnsi="Times New Roman" w:cs="Times New Roman"/>
          <w:i/>
          <w:iCs/>
          <w:kern w:val="0"/>
          <w:lang w:eastAsia="en-GB"/>
          <w14:ligatures w14:val="none"/>
        </w:rPr>
        <w:t>Tesla's Battery Supply Chain: A Growing Concern. Harvard Business School</w:t>
      </w:r>
      <w:r w:rsidRPr="00A80681">
        <w:rPr>
          <w:rFonts w:ascii="Times New Roman" w:eastAsia="Times New Roman" w:hAnsi="Times New Roman" w:cs="Times New Roman"/>
          <w:kern w:val="0"/>
          <w:lang w:eastAsia="en-GB"/>
          <w14:ligatures w14:val="none"/>
        </w:rPr>
        <w:t xml:space="preserve">. Available at: </w:t>
      </w:r>
      <w:hyperlink r:id="rId8" w:history="1">
        <w:r w:rsidRPr="00A80681">
          <w:rPr>
            <w:rFonts w:ascii="Times New Roman" w:eastAsia="Times New Roman" w:hAnsi="Times New Roman" w:cs="Times New Roman"/>
            <w:color w:val="0000FF"/>
            <w:kern w:val="0"/>
            <w:u w:val="single"/>
            <w:lang w:eastAsia="en-GB"/>
            <w14:ligatures w14:val="none"/>
          </w:rPr>
          <w:t>https://www.hbs.edu/faculty/Pages/item.aspx?num=64529</w:t>
        </w:r>
      </w:hyperlink>
    </w:p>
    <w:p w14:paraId="73DF4B19" w14:textId="77777777" w:rsidR="00E37455" w:rsidRPr="00A80681" w:rsidRDefault="00E37455" w:rsidP="006B2A1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0B3F564" w14:textId="77777777" w:rsidR="006B2A11" w:rsidRPr="00A80681" w:rsidRDefault="006B2A11" w:rsidP="006B2A11">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681">
        <w:rPr>
          <w:rFonts w:ascii="Times New Roman" w:eastAsia="Times New Roman" w:hAnsi="Times New Roman" w:cs="Times New Roman"/>
          <w:kern w:val="0"/>
          <w:lang w:eastAsia="en-GB"/>
          <w14:ligatures w14:val="none"/>
        </w:rPr>
        <w:t>Lu, S., Serafeim, G., &amp; Toffel, M. W. (2022</w:t>
      </w:r>
      <w:r w:rsidRPr="00352893">
        <w:rPr>
          <w:rFonts w:ascii="Times New Roman" w:eastAsia="Times New Roman" w:hAnsi="Times New Roman" w:cs="Times New Roman"/>
          <w:i/>
          <w:iCs/>
          <w:kern w:val="0"/>
          <w:lang w:eastAsia="en-GB"/>
          <w14:ligatures w14:val="none"/>
        </w:rPr>
        <w:t>). Driving Decarbonization at BMW. Harvard Business School</w:t>
      </w:r>
      <w:r w:rsidRPr="00A80681">
        <w:rPr>
          <w:rFonts w:ascii="Times New Roman" w:eastAsia="Times New Roman" w:hAnsi="Times New Roman" w:cs="Times New Roman"/>
          <w:kern w:val="0"/>
          <w:lang w:eastAsia="en-GB"/>
          <w14:ligatures w14:val="none"/>
        </w:rPr>
        <w:t xml:space="preserve">. Available at: </w:t>
      </w:r>
      <w:hyperlink r:id="rId9" w:history="1">
        <w:r w:rsidRPr="00A80681">
          <w:rPr>
            <w:rFonts w:ascii="Times New Roman" w:eastAsia="Times New Roman" w:hAnsi="Times New Roman" w:cs="Times New Roman"/>
            <w:color w:val="0000FF"/>
            <w:kern w:val="0"/>
            <w:u w:val="single"/>
            <w:lang w:eastAsia="en-GB"/>
            <w14:ligatures w14:val="none"/>
          </w:rPr>
          <w:t>https://www.hbs.edu/faculty/Pages/item.aspx?num=63073</w:t>
        </w:r>
      </w:hyperlink>
    </w:p>
    <w:p w14:paraId="64DC48F0" w14:textId="77777777" w:rsidR="00A80681" w:rsidRPr="00A80681" w:rsidRDefault="00A80681" w:rsidP="00E374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0681">
        <w:rPr>
          <w:rFonts w:ascii="Times New Roman" w:eastAsia="Times New Roman" w:hAnsi="Times New Roman" w:cs="Times New Roman"/>
          <w:kern w:val="0"/>
          <w:lang w:eastAsia="en-GB"/>
          <w14:ligatures w14:val="none"/>
        </w:rPr>
        <w:t xml:space="preserve">Rowland, C. (2025). Toyota Stakeholders, Corporate Social Responsibility (CSR) &amp; ESG. </w:t>
      </w:r>
      <w:proofErr w:type="spellStart"/>
      <w:r w:rsidRPr="00A80681">
        <w:rPr>
          <w:rFonts w:ascii="Times New Roman" w:eastAsia="Times New Roman" w:hAnsi="Times New Roman" w:cs="Times New Roman"/>
          <w:kern w:val="0"/>
          <w:lang w:eastAsia="en-GB"/>
          <w14:ligatures w14:val="none"/>
        </w:rPr>
        <w:t>Panmore</w:t>
      </w:r>
      <w:proofErr w:type="spellEnd"/>
      <w:r w:rsidRPr="00A80681">
        <w:rPr>
          <w:rFonts w:ascii="Times New Roman" w:eastAsia="Times New Roman" w:hAnsi="Times New Roman" w:cs="Times New Roman"/>
          <w:kern w:val="0"/>
          <w:lang w:eastAsia="en-GB"/>
          <w14:ligatures w14:val="none"/>
        </w:rPr>
        <w:t xml:space="preserve"> Institute. Available at: </w:t>
      </w:r>
      <w:hyperlink r:id="rId10" w:history="1">
        <w:r w:rsidRPr="00A80681">
          <w:rPr>
            <w:rFonts w:ascii="Times New Roman" w:eastAsia="Times New Roman" w:hAnsi="Times New Roman" w:cs="Times New Roman"/>
            <w:color w:val="0000FF"/>
            <w:kern w:val="0"/>
            <w:u w:val="single"/>
            <w:lang w:eastAsia="en-GB"/>
            <w14:ligatures w14:val="none"/>
          </w:rPr>
          <w:t>https://panmore.com/toyota-stakeholders-csr-analysis</w:t>
        </w:r>
      </w:hyperlink>
    </w:p>
    <w:p w14:paraId="3C593416" w14:textId="77777777" w:rsidR="00A80681" w:rsidRPr="00A80681" w:rsidRDefault="00A80681">
      <w:pPr>
        <w:rPr>
          <w:rFonts w:ascii="Arial" w:hAnsi="Arial" w:cs="Arial"/>
          <w:sz w:val="22"/>
          <w:szCs w:val="22"/>
        </w:rPr>
      </w:pPr>
    </w:p>
    <w:sectPr w:rsidR="00A80681" w:rsidRPr="00A8068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F979E" w14:textId="77777777" w:rsidR="001F3823" w:rsidRDefault="001F3823" w:rsidP="00A80681">
      <w:pPr>
        <w:spacing w:after="0" w:line="240" w:lineRule="auto"/>
      </w:pPr>
      <w:r>
        <w:separator/>
      </w:r>
    </w:p>
  </w:endnote>
  <w:endnote w:type="continuationSeparator" w:id="0">
    <w:p w14:paraId="25752809" w14:textId="77777777" w:rsidR="001F3823" w:rsidRDefault="001F3823" w:rsidP="00A80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97CBE" w14:textId="77777777" w:rsidR="001F3823" w:rsidRDefault="001F3823" w:rsidP="00A80681">
      <w:pPr>
        <w:spacing w:after="0" w:line="240" w:lineRule="auto"/>
      </w:pPr>
      <w:r>
        <w:separator/>
      </w:r>
    </w:p>
  </w:footnote>
  <w:footnote w:type="continuationSeparator" w:id="0">
    <w:p w14:paraId="6A2B0567" w14:textId="77777777" w:rsidR="001F3823" w:rsidRDefault="001F3823" w:rsidP="00A80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057423"/>
      <w:docPartObj>
        <w:docPartGallery w:val="Page Numbers (Top of Page)"/>
        <w:docPartUnique/>
      </w:docPartObj>
    </w:sdtPr>
    <w:sdtEndPr>
      <w:rPr>
        <w:noProof/>
      </w:rPr>
    </w:sdtEndPr>
    <w:sdtContent>
      <w:p w14:paraId="2D475DBA" w14:textId="5D2AA262" w:rsidR="00A80681" w:rsidRDefault="00A80681">
        <w:pPr>
          <w:pStyle w:val="Header"/>
        </w:pPr>
        <w:r>
          <w:fldChar w:fldCharType="begin"/>
        </w:r>
        <w:r>
          <w:instrText xml:space="preserve"> PAGE   \* MERGEFORMAT </w:instrText>
        </w:r>
        <w:r>
          <w:fldChar w:fldCharType="separate"/>
        </w:r>
        <w:r>
          <w:rPr>
            <w:noProof/>
          </w:rPr>
          <w:t>2</w:t>
        </w:r>
        <w:r>
          <w:rPr>
            <w:noProof/>
          </w:rPr>
          <w:fldChar w:fldCharType="end"/>
        </w:r>
      </w:p>
    </w:sdtContent>
  </w:sdt>
  <w:p w14:paraId="6712AF20" w14:textId="77777777" w:rsidR="00A80681" w:rsidRDefault="00A806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E2EAE"/>
    <w:multiLevelType w:val="multilevel"/>
    <w:tmpl w:val="2ECE1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911A5"/>
    <w:multiLevelType w:val="multilevel"/>
    <w:tmpl w:val="3758B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7475EC"/>
    <w:multiLevelType w:val="multilevel"/>
    <w:tmpl w:val="5B041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CA40ED"/>
    <w:multiLevelType w:val="multilevel"/>
    <w:tmpl w:val="0CEC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61604D"/>
    <w:multiLevelType w:val="multilevel"/>
    <w:tmpl w:val="603E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8287094">
    <w:abstractNumId w:val="1"/>
  </w:num>
  <w:num w:numId="2" w16cid:durableId="658928093">
    <w:abstractNumId w:val="4"/>
  </w:num>
  <w:num w:numId="3" w16cid:durableId="81532153">
    <w:abstractNumId w:val="0"/>
  </w:num>
  <w:num w:numId="4" w16cid:durableId="1627421835">
    <w:abstractNumId w:val="3"/>
  </w:num>
  <w:num w:numId="5" w16cid:durableId="1004552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681"/>
    <w:rsid w:val="00036F7D"/>
    <w:rsid w:val="00041A26"/>
    <w:rsid w:val="00045615"/>
    <w:rsid w:val="00056125"/>
    <w:rsid w:val="00114CD3"/>
    <w:rsid w:val="00150C08"/>
    <w:rsid w:val="001F3823"/>
    <w:rsid w:val="00221876"/>
    <w:rsid w:val="002406BF"/>
    <w:rsid w:val="002560E2"/>
    <w:rsid w:val="002E6FDD"/>
    <w:rsid w:val="003139FD"/>
    <w:rsid w:val="00352893"/>
    <w:rsid w:val="00380679"/>
    <w:rsid w:val="003A4B01"/>
    <w:rsid w:val="004270A6"/>
    <w:rsid w:val="00513EAE"/>
    <w:rsid w:val="00522B1B"/>
    <w:rsid w:val="00577C02"/>
    <w:rsid w:val="006B2A11"/>
    <w:rsid w:val="006B5831"/>
    <w:rsid w:val="007C2C94"/>
    <w:rsid w:val="007E552D"/>
    <w:rsid w:val="007E767F"/>
    <w:rsid w:val="007F39F0"/>
    <w:rsid w:val="00844859"/>
    <w:rsid w:val="009A3E9F"/>
    <w:rsid w:val="00A20961"/>
    <w:rsid w:val="00A36D30"/>
    <w:rsid w:val="00A80681"/>
    <w:rsid w:val="00B105BD"/>
    <w:rsid w:val="00B63452"/>
    <w:rsid w:val="00C9710D"/>
    <w:rsid w:val="00D21801"/>
    <w:rsid w:val="00E04939"/>
    <w:rsid w:val="00E2296A"/>
    <w:rsid w:val="00E37455"/>
    <w:rsid w:val="00E4647E"/>
    <w:rsid w:val="00E67E83"/>
    <w:rsid w:val="00F17D35"/>
    <w:rsid w:val="00F21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19C90D"/>
  <w15:chartTrackingRefBased/>
  <w15:docId w15:val="{2291D672-4BBA-4094-AD0B-6712BFB3C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681"/>
    <w:rPr>
      <w:rFonts w:eastAsiaTheme="majorEastAsia" w:cstheme="majorBidi"/>
      <w:color w:val="272727" w:themeColor="text1" w:themeTint="D8"/>
    </w:rPr>
  </w:style>
  <w:style w:type="paragraph" w:styleId="Title">
    <w:name w:val="Title"/>
    <w:basedOn w:val="Normal"/>
    <w:next w:val="Normal"/>
    <w:link w:val="TitleChar"/>
    <w:uiPriority w:val="10"/>
    <w:qFormat/>
    <w:rsid w:val="00A80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681"/>
    <w:pPr>
      <w:spacing w:before="160"/>
      <w:jc w:val="center"/>
    </w:pPr>
    <w:rPr>
      <w:i/>
      <w:iCs/>
      <w:color w:val="404040" w:themeColor="text1" w:themeTint="BF"/>
    </w:rPr>
  </w:style>
  <w:style w:type="character" w:customStyle="1" w:styleId="QuoteChar">
    <w:name w:val="Quote Char"/>
    <w:basedOn w:val="DefaultParagraphFont"/>
    <w:link w:val="Quote"/>
    <w:uiPriority w:val="29"/>
    <w:rsid w:val="00A80681"/>
    <w:rPr>
      <w:i/>
      <w:iCs/>
      <w:color w:val="404040" w:themeColor="text1" w:themeTint="BF"/>
    </w:rPr>
  </w:style>
  <w:style w:type="paragraph" w:styleId="ListParagraph">
    <w:name w:val="List Paragraph"/>
    <w:basedOn w:val="Normal"/>
    <w:uiPriority w:val="34"/>
    <w:qFormat/>
    <w:rsid w:val="00A80681"/>
    <w:pPr>
      <w:ind w:left="720"/>
      <w:contextualSpacing/>
    </w:pPr>
  </w:style>
  <w:style w:type="character" w:styleId="IntenseEmphasis">
    <w:name w:val="Intense Emphasis"/>
    <w:basedOn w:val="DefaultParagraphFont"/>
    <w:uiPriority w:val="21"/>
    <w:qFormat/>
    <w:rsid w:val="00A80681"/>
    <w:rPr>
      <w:i/>
      <w:iCs/>
      <w:color w:val="0F4761" w:themeColor="accent1" w:themeShade="BF"/>
    </w:rPr>
  </w:style>
  <w:style w:type="paragraph" w:styleId="IntenseQuote">
    <w:name w:val="Intense Quote"/>
    <w:basedOn w:val="Normal"/>
    <w:next w:val="Normal"/>
    <w:link w:val="IntenseQuoteChar"/>
    <w:uiPriority w:val="30"/>
    <w:qFormat/>
    <w:rsid w:val="00A80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681"/>
    <w:rPr>
      <w:i/>
      <w:iCs/>
      <w:color w:val="0F4761" w:themeColor="accent1" w:themeShade="BF"/>
    </w:rPr>
  </w:style>
  <w:style w:type="character" w:styleId="IntenseReference">
    <w:name w:val="Intense Reference"/>
    <w:basedOn w:val="DefaultParagraphFont"/>
    <w:uiPriority w:val="32"/>
    <w:qFormat/>
    <w:rsid w:val="00A80681"/>
    <w:rPr>
      <w:b/>
      <w:bCs/>
      <w:smallCaps/>
      <w:color w:val="0F4761" w:themeColor="accent1" w:themeShade="BF"/>
      <w:spacing w:val="5"/>
    </w:rPr>
  </w:style>
  <w:style w:type="paragraph" w:styleId="Header">
    <w:name w:val="header"/>
    <w:basedOn w:val="Normal"/>
    <w:link w:val="HeaderChar"/>
    <w:uiPriority w:val="99"/>
    <w:unhideWhenUsed/>
    <w:rsid w:val="00A80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681"/>
  </w:style>
  <w:style w:type="paragraph" w:styleId="Footer">
    <w:name w:val="footer"/>
    <w:basedOn w:val="Normal"/>
    <w:link w:val="FooterChar"/>
    <w:uiPriority w:val="99"/>
    <w:unhideWhenUsed/>
    <w:rsid w:val="00A80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681"/>
  </w:style>
  <w:style w:type="character" w:styleId="Hyperlink">
    <w:name w:val="Hyperlink"/>
    <w:basedOn w:val="DefaultParagraphFont"/>
    <w:uiPriority w:val="99"/>
    <w:unhideWhenUsed/>
    <w:rsid w:val="002E6FDD"/>
    <w:rPr>
      <w:color w:val="467886" w:themeColor="hyperlink"/>
      <w:u w:val="single"/>
    </w:rPr>
  </w:style>
  <w:style w:type="character" w:styleId="UnresolvedMention">
    <w:name w:val="Unresolved Mention"/>
    <w:basedOn w:val="DefaultParagraphFont"/>
    <w:uiPriority w:val="99"/>
    <w:semiHidden/>
    <w:unhideWhenUsed/>
    <w:rsid w:val="002E6F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bs.edu/faculty/Pages/item.aspx?num=6452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anmore.com/tesla-motors-inc-stakeholders-corporate-social-responsibi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panmore.com/toyota-stakeholders-csr-analysis" TargetMode="External"/><Relationship Id="rId4" Type="http://schemas.openxmlformats.org/officeDocument/2006/relationships/webSettings" Target="webSettings.xml"/><Relationship Id="rId9" Type="http://schemas.openxmlformats.org/officeDocument/2006/relationships/hyperlink" Target="https://www.hbs.edu/faculty/Pages/item.aspx?num=63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1934</TotalTime>
  <Pages>4</Pages>
  <Words>1286</Words>
  <Characters>7332</Characters>
  <Application>Microsoft Office Word</Application>
  <DocSecurity>0</DocSecurity>
  <Lines>61</Lines>
  <Paragraphs>17</Paragraphs>
  <ScaleCrop>false</ScaleCrop>
  <Company/>
  <LinksUpToDate>false</LinksUpToDate>
  <CharactersWithSpaces>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Alexandru-Alin Odobescu</dc:creator>
  <cp:keywords/>
  <dc:description/>
  <cp:lastModifiedBy>Alexandru-Alin Odobescu</cp:lastModifiedBy>
  <cp:revision>37</cp:revision>
  <dcterms:created xsi:type="dcterms:W3CDTF">2025-11-16T23:38:00Z</dcterms:created>
  <dcterms:modified xsi:type="dcterms:W3CDTF">2025-11-18T19:16:00Z</dcterms:modified>
</cp:coreProperties>
</file>