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CF44B7" w14:textId="77777777" w:rsidR="00D02B8C" w:rsidRDefault="0092565E" w:rsidP="00D02B8C">
      <w:pPr>
        <w:spacing w:before="100" w:beforeAutospacing="1" w:after="100" w:afterAutospacing="1" w:line="240" w:lineRule="auto"/>
        <w:textAlignment w:val="baseline"/>
        <w:outlineLvl w:val="0"/>
        <w:rPr>
          <w:rFonts w:ascii="Times New Roman" w:eastAsia="Times New Roman" w:hAnsi="Times New Roman" w:cs="Times New Roman"/>
          <w:b/>
          <w:bCs/>
          <w:kern w:val="36"/>
          <w:sz w:val="48"/>
          <w:szCs w:val="48"/>
          <w:lang w:eastAsia="en-GB"/>
          <w14:ligatures w14:val="none"/>
        </w:rPr>
      </w:pPr>
      <w:r w:rsidRPr="0092565E">
        <w:rPr>
          <w:rFonts w:ascii="Times New Roman" w:eastAsia="Times New Roman" w:hAnsi="Times New Roman" w:cs="Times New Roman"/>
          <w:b/>
          <w:bCs/>
          <w:kern w:val="36"/>
          <w:sz w:val="48"/>
          <w:szCs w:val="48"/>
          <w:lang w:eastAsia="en-GB"/>
          <w14:ligatures w14:val="none"/>
        </w:rPr>
        <w:t>UNIVERSITY OF WALES TRINITY SAINT DAVID</w:t>
      </w:r>
    </w:p>
    <w:p w14:paraId="378C0E07" w14:textId="77777777" w:rsidR="0092565E" w:rsidRPr="00D02B8C" w:rsidRDefault="0092565E" w:rsidP="00D02B8C">
      <w:pPr>
        <w:spacing w:before="100" w:beforeAutospacing="1" w:after="100" w:afterAutospacing="1" w:line="240" w:lineRule="auto"/>
        <w:textAlignment w:val="baseline"/>
        <w:outlineLvl w:val="0"/>
        <w:rPr>
          <w:rFonts w:ascii="Times New Roman" w:eastAsia="Times New Roman" w:hAnsi="Times New Roman" w:cs="Times New Roman"/>
          <w:b/>
          <w:bCs/>
          <w:kern w:val="36"/>
          <w:sz w:val="48"/>
          <w:szCs w:val="48"/>
          <w:lang w:eastAsia="en-GB"/>
          <w14:ligatures w14:val="none"/>
        </w:rPr>
      </w:pPr>
      <w:r w:rsidRPr="0092565E">
        <w:rPr>
          <w:rFonts w:ascii="Times New Roman" w:eastAsia="Times New Roman" w:hAnsi="Times New Roman" w:cs="Times New Roman"/>
          <w:b/>
          <w:bCs/>
          <w:kern w:val="0"/>
          <w:sz w:val="36"/>
          <w:szCs w:val="36"/>
          <w:lang w:eastAsia="en-GB"/>
          <w14:ligatures w14:val="none"/>
        </w:rPr>
        <w:t>Individual Report</w:t>
      </w:r>
    </w:p>
    <w:p w14:paraId="1302EB9A"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Assignment Title:</w:t>
      </w:r>
      <w:r w:rsidRPr="0092565E">
        <w:rPr>
          <w:rFonts w:ascii="Times New Roman" w:eastAsia="Times New Roman" w:hAnsi="Times New Roman" w:cs="Times New Roman"/>
          <w:kern w:val="0"/>
          <w:lang w:eastAsia="en-GB"/>
          <w14:ligatures w14:val="none"/>
        </w:rPr>
        <w:t xml:space="preserve"> Stakeholder Engagement for the Successful Launch of the Green Path 360 Sustainable Retail and Circular Economy Initiative</w:t>
      </w:r>
    </w:p>
    <w:p w14:paraId="72152A3D"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Programme:</w:t>
      </w:r>
      <w:r w:rsidRPr="0092565E">
        <w:rPr>
          <w:rFonts w:ascii="Times New Roman" w:eastAsia="Times New Roman" w:hAnsi="Times New Roman" w:cs="Times New Roman"/>
          <w:kern w:val="0"/>
          <w:lang w:eastAsia="en-GB"/>
          <w14:ligatures w14:val="none"/>
        </w:rPr>
        <w:t xml:space="preserve"> BA (Hons) Leadership and Management Skills for the Workplace</w:t>
      </w:r>
    </w:p>
    <w:p w14:paraId="31026850"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Module:</w:t>
      </w:r>
      <w:r w:rsidRPr="0092565E">
        <w:rPr>
          <w:rFonts w:ascii="Times New Roman" w:eastAsia="Times New Roman" w:hAnsi="Times New Roman" w:cs="Times New Roman"/>
          <w:kern w:val="0"/>
          <w:lang w:eastAsia="en-GB"/>
          <w14:ligatures w14:val="none"/>
        </w:rPr>
        <w:t xml:space="preserve"> Understanding and Engaging Stakeholders</w:t>
      </w:r>
    </w:p>
    <w:p w14:paraId="44688C2B"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Module Code:</w:t>
      </w:r>
      <w:r w:rsidRPr="0092565E">
        <w:rPr>
          <w:rFonts w:ascii="Times New Roman" w:eastAsia="Times New Roman" w:hAnsi="Times New Roman" w:cs="Times New Roman"/>
          <w:kern w:val="0"/>
          <w:lang w:eastAsia="en-GB"/>
          <w14:ligatures w14:val="none"/>
        </w:rPr>
        <w:t xml:space="preserve"> LCLM5001</w:t>
      </w:r>
    </w:p>
    <w:p w14:paraId="79D635EB"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Lecturers:</w:t>
      </w:r>
      <w:r w:rsidRPr="0092565E">
        <w:rPr>
          <w:rFonts w:ascii="Times New Roman" w:eastAsia="Times New Roman" w:hAnsi="Times New Roman" w:cs="Times New Roman"/>
          <w:kern w:val="0"/>
          <w:lang w:eastAsia="en-GB"/>
          <w14:ligatures w14:val="none"/>
        </w:rPr>
        <w:t xml:space="preserve"> Nadeem Mirza and Aso Abdullah</w:t>
      </w:r>
    </w:p>
    <w:p w14:paraId="29DF7295"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val="pl-PL" w:eastAsia="en-GB"/>
          <w14:ligatures w14:val="none"/>
        </w:rPr>
      </w:pPr>
      <w:r w:rsidRPr="0092565E">
        <w:rPr>
          <w:rFonts w:ascii="Times New Roman" w:eastAsia="Times New Roman" w:hAnsi="Times New Roman" w:cs="Times New Roman"/>
          <w:b/>
          <w:bCs/>
          <w:kern w:val="0"/>
          <w:lang w:val="pl-PL" w:eastAsia="en-GB"/>
          <w14:ligatures w14:val="none"/>
        </w:rPr>
        <w:t>Student Name:</w:t>
      </w:r>
      <w:r w:rsidRPr="0092565E">
        <w:rPr>
          <w:rFonts w:ascii="Times New Roman" w:eastAsia="Times New Roman" w:hAnsi="Times New Roman" w:cs="Times New Roman"/>
          <w:kern w:val="0"/>
          <w:lang w:val="pl-PL" w:eastAsia="en-GB"/>
          <w14:ligatures w14:val="none"/>
        </w:rPr>
        <w:t xml:space="preserve"> Agnieszka Pacerowska</w:t>
      </w:r>
    </w:p>
    <w:p w14:paraId="7C3B7B7E"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Student ID:</w:t>
      </w:r>
      <w:r w:rsidRPr="0092565E">
        <w:rPr>
          <w:rFonts w:ascii="Times New Roman" w:eastAsia="Times New Roman" w:hAnsi="Times New Roman" w:cs="Times New Roman"/>
          <w:kern w:val="0"/>
          <w:lang w:eastAsia="en-GB"/>
          <w14:ligatures w14:val="none"/>
        </w:rPr>
        <w:t xml:space="preserve"> 244</w:t>
      </w:r>
      <w:r>
        <w:rPr>
          <w:rFonts w:ascii="Times New Roman" w:eastAsia="Times New Roman" w:hAnsi="Times New Roman" w:cs="Times New Roman"/>
          <w:kern w:val="0"/>
          <w:lang w:eastAsia="en-GB"/>
          <w14:ligatures w14:val="none"/>
        </w:rPr>
        <w:t>0095</w:t>
      </w:r>
    </w:p>
    <w:p w14:paraId="10FD87EA"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Submission Deadline:</w:t>
      </w:r>
      <w:r w:rsidRPr="0092565E">
        <w:rPr>
          <w:rFonts w:ascii="Times New Roman" w:eastAsia="Times New Roman" w:hAnsi="Times New Roman" w:cs="Times New Roman"/>
          <w:kern w:val="0"/>
          <w:lang w:eastAsia="en-GB"/>
          <w14:ligatures w14:val="none"/>
        </w:rPr>
        <w:t xml:space="preserve"> 24 November 2026</w:t>
      </w:r>
    </w:p>
    <w:p w14:paraId="6953C84A" w14:textId="77777777" w:rsidR="00D02B8C" w:rsidRDefault="00D4404C" w:rsidP="00D02B8C">
      <w:pPr>
        <w:spacing w:after="0" w:line="240" w:lineRule="auto"/>
        <w:textAlignment w:val="baseline"/>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12E9DC18">
          <v:rect id="_x0000_i1025" style="width:0;height:1.5pt" o:hralign="center" o:hrstd="t" o:hr="t" fillcolor="#a0a0a0" stroked="f"/>
        </w:pict>
      </w:r>
    </w:p>
    <w:p w14:paraId="4E37A622" w14:textId="77777777" w:rsidR="00D02B8C" w:rsidRDefault="00D02B8C" w:rsidP="00D02B8C">
      <w:pPr>
        <w:spacing w:after="0" w:line="240" w:lineRule="auto"/>
        <w:textAlignment w:val="baseline"/>
        <w:rPr>
          <w:rFonts w:ascii="Times New Roman" w:eastAsia="Times New Roman" w:hAnsi="Times New Roman" w:cs="Times New Roman"/>
          <w:b/>
          <w:bCs/>
          <w:kern w:val="36"/>
          <w:sz w:val="48"/>
          <w:szCs w:val="48"/>
          <w:lang w:eastAsia="en-GB"/>
          <w14:ligatures w14:val="none"/>
        </w:rPr>
      </w:pPr>
    </w:p>
    <w:p w14:paraId="47ED4BBB" w14:textId="77777777" w:rsidR="0092565E" w:rsidRPr="00D02B8C" w:rsidRDefault="0092565E" w:rsidP="00D02B8C">
      <w:pPr>
        <w:spacing w:after="0"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36"/>
          <w:sz w:val="48"/>
          <w:szCs w:val="48"/>
          <w:lang w:eastAsia="en-GB"/>
          <w14:ligatures w14:val="none"/>
        </w:rPr>
        <w:t>Executive Summary</w:t>
      </w:r>
    </w:p>
    <w:p w14:paraId="757F158E"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This report examines how Tesco PLC could plan and launch Green Path 360, a proposed sustainability-focused stakeholder engagement initiative. The programme would use a digital platform and operational partnerships to support responsible purchasing, product repair, reuse, recycling, supplier transparency and community participation. The planned launch would take place in selected markets within six months.</w:t>
      </w:r>
    </w:p>
    <w:p w14:paraId="276AD383"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report identifies key internal and external stakeholders and examines their interests, responsibilities, influence and possible concerns. Stakeholder theory, Mendelow’s Power–Interest Matrix and the Stakeholder Salience Model are applied to understand how different groups should be involved. Practical project management tools, including SMART objectives, a RACI matrix, a communication plan and a six-month implementation schedule, are also proposed.</w:t>
      </w:r>
    </w:p>
    <w:p w14:paraId="484103D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analysis suggests that effective stakeholder engagement could improve customer trust, supplier cooperation, innovation, environmental performance and long-term reputation. However, the programme may face financial pressures, resistance to change, different international requirements, digital exclusion, data protection risks and concerns about greenwashing.</w:t>
      </w:r>
    </w:p>
    <w:p w14:paraId="013DDC67" w14:textId="77777777" w:rsidR="00D02B8C" w:rsidRDefault="0092565E" w:rsidP="00D02B8C">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The report recommends early consultation, clear responsibilities, support for smaller suppliers, local adaptation and transparent reporting. Green Path 360 should be evaluated through measurable environmental and social outcomes, not only customer registrations or marketing results. Overall, the programme should be managed as a long-term business strategy that creates value for the organisation, its stakeholders and the environment.</w:t>
      </w:r>
    </w:p>
    <w:p w14:paraId="3D3D07DA" w14:textId="77777777" w:rsidR="00D02B8C" w:rsidRDefault="00D02B8C" w:rsidP="00D02B8C">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p>
    <w:p w14:paraId="69630505" w14:textId="77777777" w:rsidR="0092565E" w:rsidRPr="00D02B8C" w:rsidRDefault="0092565E" w:rsidP="00D02B8C">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36"/>
          <w:sz w:val="48"/>
          <w:szCs w:val="48"/>
          <w:lang w:eastAsia="en-GB"/>
          <w14:ligatures w14:val="none"/>
        </w:rPr>
        <w:t>1. Introduction</w:t>
      </w:r>
    </w:p>
    <w:p w14:paraId="16C4796B" w14:textId="77777777" w:rsidR="0092565E" w:rsidRPr="0092565E" w:rsidRDefault="0092565E" w:rsidP="0092565E">
      <w:pPr>
        <w:spacing w:before="100" w:beforeAutospacing="1" w:after="100" w:afterAutospacing="1" w:line="240" w:lineRule="auto"/>
        <w:textAlignment w:val="baseline"/>
        <w:outlineLvl w:val="1"/>
        <w:rPr>
          <w:rFonts w:ascii="Times New Roman" w:eastAsia="Times New Roman" w:hAnsi="Times New Roman" w:cs="Times New Roman"/>
          <w:b/>
          <w:bCs/>
          <w:kern w:val="0"/>
          <w:sz w:val="36"/>
          <w:szCs w:val="36"/>
          <w:lang w:eastAsia="en-GB"/>
          <w14:ligatures w14:val="none"/>
        </w:rPr>
      </w:pPr>
      <w:r w:rsidRPr="0092565E">
        <w:rPr>
          <w:rFonts w:ascii="Times New Roman" w:eastAsia="Times New Roman" w:hAnsi="Times New Roman" w:cs="Times New Roman"/>
          <w:b/>
          <w:bCs/>
          <w:kern w:val="0"/>
          <w:sz w:val="36"/>
          <w:szCs w:val="36"/>
          <w:lang w:eastAsia="en-GB"/>
          <w14:ligatures w14:val="none"/>
        </w:rPr>
        <w:t>1.1 Company background</w:t>
      </w:r>
    </w:p>
    <w:p w14:paraId="0A72C73B"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Tesco PLC is a major UK-based retail organisation that operates physical stores and online shopping services. Its activities connect customers, employees, suppliers, manufacturers, logistics companies, investors, regulators and local communities. These relationships are important because retail businesses influence how products are sourced, transported, packaged, sold, used and disposed of.</w:t>
      </w:r>
    </w:p>
    <w:p w14:paraId="7051CF3D"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Sustainability has become an important strategic issue for retail organisations. Businesses face increasing expectations to reduce waste, improve supply chain transparency, treat workers fairly and provide customers with reliable information about their products. Retailers must also consider how their decisions affect the environment and the communities in which they operate.</w:t>
      </w:r>
    </w:p>
    <w:p w14:paraId="0D8848D4"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Tesco is a suitable organisation for this report because its scale and supply chain relationships provide a relevant context for examining stakeholder engagement. Its public sustainability reporting provides industry context for discussing environmental performance, waste and responsible business practices. However, Green Path 360 is a proposed initiative created for this assignment and is not presented as an existing Tesco programme.</w:t>
      </w:r>
    </w:p>
    <w:p w14:paraId="405EB59F"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1.2 The Green Path 360 initiative</w:t>
      </w:r>
    </w:p>
    <w:p w14:paraId="0C6A6EFB"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Green Path 360 is a proposed sustainability initiative designed to encourage responsible consumption and support a circular economy. It would combine a digital platform with practical services and partnerships.</w:t>
      </w:r>
    </w:p>
    <w:p w14:paraId="6A303AF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platform would provide customers with information about responsible purchasing, product repair, reuse and recycling. It would also help improve supplier transparency and create opportunities for retailers, repair businesses, recycling partners and community organisations to work together.</w:t>
      </w:r>
    </w:p>
    <w:p w14:paraId="5753273D"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 circular economy aims to keep products and materials in use for longer, reduce unnecessary waste and make better use of resources (Ellen MacArthur Foundation, 2013). This approach differs from the traditional linear model, where products are manufactured, used and then discarded.</w:t>
      </w:r>
    </w:p>
    <w:p w14:paraId="2C1545A0"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However, introducing a digital platform alone would not guarantee environmental improvements. The programme would also require suitable collection facilities, trained employees, reliable supplier information, repair services and customer participation.</w:t>
      </w:r>
    </w:p>
    <w:p w14:paraId="471CC545"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1.3 Aim of the report</w:t>
      </w:r>
    </w:p>
    <w:p w14:paraId="35C8C01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aim of this report is to develop a practical stakeholder engagement strategy for the successful launch of Green Path 360 within six months. It identifies and categorises stakeholders, evaluates their responsibilities and challenges, and recommends suitable engagement and conflict management methods.</w:t>
      </w:r>
    </w:p>
    <w:p w14:paraId="717EB60E"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report also critically evaluates the potential business, environmental, social and ethical impacts of the initiative. Academic theories and project management tools are applied to the scenario, supported by relevant industry evidence.</w:t>
      </w:r>
    </w:p>
    <w:p w14:paraId="251B26A8" w14:textId="77777777" w:rsidR="00D02B8C" w:rsidRDefault="00D02B8C" w:rsidP="0092565E">
      <w:pPr>
        <w:spacing w:before="100" w:beforeAutospacing="1" w:after="100" w:afterAutospacing="1" w:line="240" w:lineRule="auto"/>
        <w:textAlignment w:val="baseline"/>
        <w:rPr>
          <w:rFonts w:ascii="Times New Roman" w:eastAsia="Times New Roman" w:hAnsi="Times New Roman" w:cs="Times New Roman"/>
          <w:b/>
          <w:bCs/>
          <w:kern w:val="36"/>
          <w:sz w:val="48"/>
          <w:szCs w:val="48"/>
          <w:lang w:eastAsia="en-GB"/>
          <w14:ligatures w14:val="none"/>
        </w:rPr>
      </w:pPr>
    </w:p>
    <w:p w14:paraId="1DA6C05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36"/>
          <w:sz w:val="48"/>
          <w:szCs w:val="48"/>
          <w:lang w:eastAsia="en-GB"/>
          <w14:ligatures w14:val="none"/>
        </w:rPr>
        <w:t>2. SMART Objectives</w:t>
      </w:r>
    </w:p>
    <w:p w14:paraId="212DA41F"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following SMART objectives are proposed for Green Path 360:</w:t>
      </w:r>
    </w:p>
    <w:p w14:paraId="6EFDFCEB" w14:textId="77777777" w:rsidR="0092565E" w:rsidRPr="0092565E" w:rsidRDefault="0092565E" w:rsidP="0092565E">
      <w:pPr>
        <w:numPr>
          <w:ilvl w:val="0"/>
          <w:numId w:val="1"/>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Stakeholder identification:</w:t>
      </w:r>
      <w:r w:rsidRPr="0092565E">
        <w:rPr>
          <w:rFonts w:ascii="Times New Roman" w:eastAsia="Times New Roman" w:hAnsi="Times New Roman" w:cs="Times New Roman"/>
          <w:kern w:val="0"/>
          <w:lang w:eastAsia="en-GB"/>
          <w14:ligatures w14:val="none"/>
        </w:rPr>
        <w:t xml:space="preserve"> By the end of month one, identify the main internal and external stakeholders and assign an engagement owner to each high-priority group.</w:t>
      </w:r>
    </w:p>
    <w:p w14:paraId="20DCC466" w14:textId="77777777" w:rsidR="0092565E" w:rsidRPr="0092565E" w:rsidRDefault="0092565E" w:rsidP="0092565E">
      <w:pPr>
        <w:numPr>
          <w:ilvl w:val="0"/>
          <w:numId w:val="1"/>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Consultation:</w:t>
      </w:r>
      <w:r w:rsidRPr="0092565E">
        <w:rPr>
          <w:rFonts w:ascii="Times New Roman" w:eastAsia="Times New Roman" w:hAnsi="Times New Roman" w:cs="Times New Roman"/>
          <w:kern w:val="0"/>
          <w:lang w:eastAsia="en-GB"/>
          <w14:ligatures w14:val="none"/>
        </w:rPr>
        <w:t xml:space="preserve"> By the end of month three, consult at least 80% of identified high-priority stakeholder representatives and document their main concerns.</w:t>
      </w:r>
    </w:p>
    <w:p w14:paraId="50674ECD" w14:textId="77777777" w:rsidR="0092565E" w:rsidRPr="0092565E" w:rsidRDefault="0092565E" w:rsidP="0092565E">
      <w:pPr>
        <w:numPr>
          <w:ilvl w:val="0"/>
          <w:numId w:val="1"/>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Employee training:</w:t>
      </w:r>
      <w:r w:rsidRPr="0092565E">
        <w:rPr>
          <w:rFonts w:ascii="Times New Roman" w:eastAsia="Times New Roman" w:hAnsi="Times New Roman" w:cs="Times New Roman"/>
          <w:kern w:val="0"/>
          <w:lang w:eastAsia="en-GB"/>
          <w14:ligatures w14:val="none"/>
        </w:rPr>
        <w:t xml:space="preserve"> Before launch, train at least 90% of employees working in participating locations.</w:t>
      </w:r>
    </w:p>
    <w:p w14:paraId="2646EED5" w14:textId="77777777" w:rsidR="0092565E" w:rsidRPr="0092565E" w:rsidRDefault="0092565E" w:rsidP="0092565E">
      <w:pPr>
        <w:numPr>
          <w:ilvl w:val="0"/>
          <w:numId w:val="1"/>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Supplier participation:</w:t>
      </w:r>
      <w:r w:rsidRPr="0092565E">
        <w:rPr>
          <w:rFonts w:ascii="Times New Roman" w:eastAsia="Times New Roman" w:hAnsi="Times New Roman" w:cs="Times New Roman"/>
          <w:kern w:val="0"/>
          <w:lang w:eastAsia="en-GB"/>
          <w14:ligatures w14:val="none"/>
        </w:rPr>
        <w:t xml:space="preserve"> By the end of month four, obtain participation commitments from at least 80% of invited priority suppliers in the pilot.</w:t>
      </w:r>
    </w:p>
    <w:p w14:paraId="0A452B7D" w14:textId="77777777" w:rsidR="0092565E" w:rsidRPr="0092565E" w:rsidRDefault="0092565E" w:rsidP="0092565E">
      <w:pPr>
        <w:numPr>
          <w:ilvl w:val="0"/>
          <w:numId w:val="1"/>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Customer adoption:</w:t>
      </w:r>
      <w:r w:rsidRPr="0092565E">
        <w:rPr>
          <w:rFonts w:ascii="Times New Roman" w:eastAsia="Times New Roman" w:hAnsi="Times New Roman" w:cs="Times New Roman"/>
          <w:kern w:val="0"/>
          <w:lang w:eastAsia="en-GB"/>
          <w14:ligatures w14:val="none"/>
        </w:rPr>
        <w:t xml:space="preserve"> Within three months after launch, aim for 50,000 registered users across the selected pilot markets, subject to the approved business case.</w:t>
      </w:r>
    </w:p>
    <w:p w14:paraId="1AA2002D" w14:textId="77777777" w:rsidR="0092565E" w:rsidRPr="0092565E" w:rsidRDefault="0092565E" w:rsidP="0092565E">
      <w:pPr>
        <w:numPr>
          <w:ilvl w:val="0"/>
          <w:numId w:val="1"/>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Evaluation:</w:t>
      </w:r>
      <w:r w:rsidRPr="0092565E">
        <w:rPr>
          <w:rFonts w:ascii="Times New Roman" w:eastAsia="Times New Roman" w:hAnsi="Times New Roman" w:cs="Times New Roman"/>
          <w:kern w:val="0"/>
          <w:lang w:eastAsia="en-GB"/>
          <w14:ligatures w14:val="none"/>
        </w:rPr>
        <w:t xml:space="preserve"> Within three months after launch, publish a review of participation, stakeholder feedback, operational performance and environmental indicators.</w:t>
      </w:r>
    </w:p>
    <w:p w14:paraId="53ED86CD"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These targets are proposed planning assumptions. They should be reviewed against the available budget, the size of the pilot and the results of initial research. The project team should also avoid setting targets that encourage inaccurate reporting or place unreasonable pressure on employees and suppliers.</w:t>
      </w:r>
    </w:p>
    <w:p w14:paraId="5A59591D" w14:textId="77777777" w:rsidR="00D02B8C" w:rsidRDefault="00D02B8C" w:rsidP="0092565E">
      <w:pPr>
        <w:spacing w:before="100" w:beforeAutospacing="1" w:after="100" w:afterAutospacing="1" w:line="240" w:lineRule="auto"/>
        <w:textAlignment w:val="baseline"/>
        <w:rPr>
          <w:rFonts w:ascii="Times New Roman" w:eastAsia="Times New Roman" w:hAnsi="Times New Roman" w:cs="Times New Roman"/>
          <w:b/>
          <w:bCs/>
          <w:kern w:val="36"/>
          <w:sz w:val="48"/>
          <w:szCs w:val="48"/>
          <w:lang w:eastAsia="en-GB"/>
          <w14:ligatures w14:val="none"/>
        </w:rPr>
      </w:pPr>
    </w:p>
    <w:p w14:paraId="30BC83EE"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36"/>
          <w:sz w:val="48"/>
          <w:szCs w:val="48"/>
          <w:lang w:eastAsia="en-GB"/>
          <w14:ligatures w14:val="none"/>
        </w:rPr>
        <w:t>3. Stakeholder Identification and Mapping</w:t>
      </w:r>
    </w:p>
    <w:p w14:paraId="4B1E057F"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3.1 Stakeholder theory</w:t>
      </w:r>
    </w:p>
    <w:p w14:paraId="59C5B04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Freeman (1984) explains that stakeholders include individuals and groups who can affect, or are affected by, an organisation’s objectives. Stakeholder theory suggests that businesses should consider more than shareholders when making strategic decisions.</w:t>
      </w:r>
    </w:p>
    <w:p w14:paraId="1008772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For Green Path 360, this approach is important because the programme depends on cooperation between several groups. Senior management may approve the budget, but suppliers must provide information, employees must follow new procedures, and customers must choose to participate. Repair and recycling partners must also have the capacity to deliver the promised services.</w:t>
      </w:r>
    </w:p>
    <w:p w14:paraId="2FCFC11A"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 narrow approach that focuses only on senior management and technology could overlook important operational and social issues. For example, the platform might work technically but fail because customers cannot easily access repair services or employees do not understand the procedures.</w:t>
      </w:r>
    </w:p>
    <w:p w14:paraId="502FC32F"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Stakeholder theory therefore provides a broader view of project success. However, it does not mean that every stakeholder can make every decision. The project manager must balance competing interests, respect legal obligations and explain decisions transparently.</w:t>
      </w:r>
    </w:p>
    <w:p w14:paraId="535FB984"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3.2 Internal stakeholders</w:t>
      </w:r>
    </w:p>
    <w:p w14:paraId="1A5CD5D2"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Senior management and the Board of Directors</w:t>
      </w:r>
    </w:p>
    <w:p w14:paraId="76839D19"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Senior management provides strategic direction, approves funding and determines the organisation’s priorities. It is responsible for ensuring that Green Path 360 supports wider business objectives. The Board also needs reliable information about financial risks, legal compliance, sustainability performance and reputation.</w:t>
      </w:r>
    </w:p>
    <w:p w14:paraId="322EB0AF"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main challenge is balancing short-term financial performance with long-term sustainability goals. Senior managers may support the initiative in principle but question its cost if benefits are difficult to measure.</w:t>
      </w:r>
    </w:p>
    <w:p w14:paraId="443CF2EE"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Project manager and project team</w:t>
      </w:r>
    </w:p>
    <w:p w14:paraId="714067A1"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manager coordinates the schedule, budget, resources, communication, risks and stakeholder relationships. The project team ensures that different departments work towards agreed objectives.</w:t>
      </w:r>
    </w:p>
    <w:p w14:paraId="4ED47D2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main challenge is managing conflicting priorities while meeting the six-month deadline. Strong coordination and clear decision-making are essential.</w:t>
      </w:r>
    </w:p>
    <w:p w14:paraId="48D23023"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Sustainability team</w:t>
      </w:r>
    </w:p>
    <w:p w14:paraId="428D88EE"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sustainability team defines environmental objectives and develops suitable performance indicators. It checks whether environmental claims are supported by evidence and helps identify opportunities to reduce waste.</w:t>
      </w:r>
    </w:p>
    <w:p w14:paraId="4ACAE09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However, sustainability targets must be realistic and connected to daily operations. A target that looks positive in a report may not produce meaningful environmental benefits if the necessary infrastructure is missing.</w:t>
      </w:r>
    </w:p>
    <w:p w14:paraId="6417ABD1"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Procurement and supplier management</w:t>
      </w:r>
    </w:p>
    <w:p w14:paraId="7B276762"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Procurement teams communicate requirements to suppliers, assess supplier risks and support the collection of product and sourcing information. They can encourage responsible practices through purchasing decisions and supplier relationships.</w:t>
      </w:r>
    </w:p>
    <w:p w14:paraId="31B62179"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However, complex reporting requirements may increase costs for smaller suppliers. Procurement must therefore balance high standards with proportionate support.</w:t>
      </w:r>
    </w:p>
    <w:p w14:paraId="332EF700"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Operations and logistics</w:t>
      </w:r>
    </w:p>
    <w:p w14:paraId="2BC67EE3"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Store managers, warehouse employees and logistics teams implement collection, storage, transport and customer service procedures. They understand practical issues such as available space, workload and delivery schedules.</w:t>
      </w:r>
    </w:p>
    <w:p w14:paraId="78FE93AB"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Their main challenge may be additional responsibilities without sufficient time, staff or equipment. Early consultation can help identify operational problems before launch.</w:t>
      </w:r>
    </w:p>
    <w:p w14:paraId="5973F2B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IT, digital and data protection teams</w:t>
      </w:r>
    </w:p>
    <w:p w14:paraId="50335063"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IT team develops and maintains the platform. Its responsibilities include functionality, cybersecurity, accessibility, data quality and integration with existing systems.</w:t>
      </w:r>
    </w:p>
    <w:p w14:paraId="5B9FD41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Poor usability or technical failure could reduce customer confidence. Data protection specialists must also ensure that personal information is handled lawfully and securely.</w:t>
      </w:r>
    </w:p>
    <w:p w14:paraId="1D99107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Marketing, sales, customer service and human resources</w:t>
      </w:r>
    </w:p>
    <w:p w14:paraId="141953FD"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Marketing teams communicate the initiative and explain its benefits. Customer service employees answer questions and record complaints. Human resources support employee training and change management.</w:t>
      </w:r>
    </w:p>
    <w:p w14:paraId="2AB7D193"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These teams must avoid making environmental claims that cannot be verified. They also need consistent information, so customers receive the same message across different locations.</w:t>
      </w:r>
    </w:p>
    <w:p w14:paraId="68EFC4E0"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3.3 External stakeholders</w:t>
      </w:r>
    </w:p>
    <w:p w14:paraId="5160A25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Customers</w:t>
      </w:r>
    </w:p>
    <w:p w14:paraId="03418D3A"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Customers are essential because their participation affects the programme’s adoption. They may benefit from clearer information, convenient repair options and accessible recycling services.</w:t>
      </w:r>
    </w:p>
    <w:p w14:paraId="04D3897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However, customers may be unwilling to participate if the process is expensive, time-consuming or difficult to understand. Some may also have limited internet access or prefer not to use an application. The programme should therefore provide accessible alternatives.</w:t>
      </w:r>
    </w:p>
    <w:p w14:paraId="424D7831"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Suppliers and manufacturers</w:t>
      </w:r>
    </w:p>
    <w:p w14:paraId="3108D81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Suppliers provide information about product materials, packaging, sourcing and production. They can help identify opportunities for repair, reuse and waste reduction.</w:t>
      </w:r>
    </w:p>
    <w:p w14:paraId="3B56D54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Large suppliers may already have the systems needed to provide data, while smaller businesses may require training and technical support. Requirements should be clear, proportionate and introduced with reasonable deadlines.</w:t>
      </w:r>
    </w:p>
    <w:p w14:paraId="0D40E65A"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Logistics, repair and recycling partners</w:t>
      </w:r>
    </w:p>
    <w:p w14:paraId="0DD1D135"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These organisations provide the practical services needed to support circular activities. Repair partners may extend product life, while recycling partners can help recover materials.</w:t>
      </w:r>
    </w:p>
    <w:p w14:paraId="45538ECF"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must check their capacity, service quality and environmental standards. Collecting materials does not automatically mean they will be recycled successfully.</w:t>
      </w:r>
    </w:p>
    <w:p w14:paraId="319A69A6"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Regulators and public authorities</w:t>
      </w:r>
    </w:p>
    <w:p w14:paraId="0BD3E5F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Regulators influence environmental claims, consumer protection, product safety, waste management and data protection. International expansion creates additional complexity because legal requirements may differ between markets.</w:t>
      </w:r>
    </w:p>
    <w:p w14:paraId="5B29F45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should obtain appropriate compliance advice before launching in each selected market.</w:t>
      </w:r>
    </w:p>
    <w:p w14:paraId="738FB5F9"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Local communities, NGOs and charities</w:t>
      </w:r>
    </w:p>
    <w:p w14:paraId="6B4501C6"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Community groups and non-governmental organisations can provide local knowledge and help reach people who may not be well served by digital communication.</w:t>
      </w:r>
    </w:p>
    <w:p w14:paraId="5161ED8F"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They can also challenge the organisation if its actions do not match its claims. Their involvement should be genuine, and they should be free to raise concerns.</w:t>
      </w:r>
    </w:p>
    <w:p w14:paraId="34E35EB1"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Investors and shareholders</w:t>
      </w:r>
    </w:p>
    <w:p w14:paraId="11B47AAE"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Investors are interested in financial performance, risk management, reputation and long-term business resilience. They need credible evidence that the initiative supports organisational objectives without creating unacceptable costs or risks.</w:t>
      </w:r>
    </w:p>
    <w:p w14:paraId="53D31889"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Other possible stakeholders include independent repair businesses, educational organisations and universities, which could support skills development, research and public awareness.</w:t>
      </w:r>
    </w:p>
    <w:p w14:paraId="646129DE" w14:textId="77777777" w:rsidR="00485AE6" w:rsidRDefault="00485AE6" w:rsidP="0092565E">
      <w:pPr>
        <w:spacing w:before="100" w:beforeAutospacing="1" w:after="100" w:afterAutospacing="1" w:line="240" w:lineRule="auto"/>
        <w:textAlignment w:val="baseline"/>
        <w:rPr>
          <w:rFonts w:ascii="Times New Roman" w:eastAsia="Times New Roman" w:hAnsi="Times New Roman" w:cs="Times New Roman"/>
          <w:b/>
          <w:bCs/>
          <w:kern w:val="0"/>
          <w:sz w:val="36"/>
          <w:szCs w:val="36"/>
          <w:lang w:eastAsia="en-GB"/>
          <w14:ligatures w14:val="none"/>
        </w:rPr>
      </w:pPr>
    </w:p>
    <w:p w14:paraId="7E900B4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lastRenderedPageBreak/>
        <w:t>3.4 Mendelow’s Power–Interest Matrix</w:t>
      </w:r>
    </w:p>
    <w:p w14:paraId="770D96A1"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Mendelow’s matrix groups stakeholders according to their power to influence a project and their level of interest in it (Mendelow, 1981). It helps the project manager decide how much engagement each group requires.</w:t>
      </w:r>
    </w:p>
    <w:p w14:paraId="5F5897CC" w14:textId="77777777" w:rsidR="0092565E" w:rsidRPr="0092565E" w:rsidRDefault="0092565E" w:rsidP="0092565E">
      <w:pPr>
        <w:spacing w:after="0" w:line="240" w:lineRule="auto"/>
        <w:textAlignment w:val="baseline"/>
        <w:rPr>
          <w:rFonts w:ascii="Times New Roman" w:eastAsia="Times New Roman" w:hAnsi="Times New Roman" w:cs="Times New Roman"/>
          <w:kern w:val="0"/>
          <w:lang w:eastAsia="en-GB"/>
          <w14:ligatures w14:val="none"/>
        </w:rPr>
      </w:pPr>
      <w:r w:rsidRPr="0092565E">
        <w:rPr>
          <w:rFonts w:ascii="FluentSystemIcons" w:eastAsia="Times New Roman" w:hAnsi="FluentSystemIcons" w:cs="Times New Roman"/>
          <w:kern w:val="0"/>
          <w:sz w:val="30"/>
          <w:szCs w:val="30"/>
          <w:bdr w:val="none" w:sz="0" w:space="0" w:color="auto" w:frame="1"/>
          <w:lang w:eastAsia="en-GB"/>
          <w14:ligatures w14:val="none"/>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7"/>
        <w:gridCol w:w="3663"/>
        <w:gridCol w:w="3326"/>
      </w:tblGrid>
      <w:tr w:rsidR="0092565E" w:rsidRPr="0092565E" w14:paraId="07A5FE76" w14:textId="77777777">
        <w:trPr>
          <w:tblHeader/>
          <w:tblCellSpacing w:w="15" w:type="dxa"/>
        </w:trPr>
        <w:tc>
          <w:tcPr>
            <w:tcW w:w="0" w:type="auto"/>
            <w:vAlign w:val="center"/>
            <w:hideMark/>
          </w:tcPr>
          <w:p w14:paraId="64C449F2"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Stakeholder category</w:t>
            </w:r>
          </w:p>
        </w:tc>
        <w:tc>
          <w:tcPr>
            <w:tcW w:w="0" w:type="auto"/>
            <w:vAlign w:val="center"/>
            <w:hideMark/>
          </w:tcPr>
          <w:p w14:paraId="5955A4C6"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GreenPath 360 examples</w:t>
            </w:r>
          </w:p>
        </w:tc>
        <w:tc>
          <w:tcPr>
            <w:tcW w:w="0" w:type="auto"/>
            <w:vAlign w:val="center"/>
            <w:hideMark/>
          </w:tcPr>
          <w:p w14:paraId="459F344B"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Engagement approach</w:t>
            </w:r>
          </w:p>
        </w:tc>
      </w:tr>
      <w:tr w:rsidR="0092565E" w:rsidRPr="0092565E" w14:paraId="4EE20143" w14:textId="77777777">
        <w:trPr>
          <w:tblCellSpacing w:w="15" w:type="dxa"/>
        </w:trPr>
        <w:tc>
          <w:tcPr>
            <w:tcW w:w="0" w:type="auto"/>
            <w:vAlign w:val="center"/>
            <w:hideMark/>
          </w:tcPr>
          <w:p w14:paraId="061FA6D9"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High power, high interest</w:t>
            </w:r>
          </w:p>
        </w:tc>
        <w:tc>
          <w:tcPr>
            <w:tcW w:w="0" w:type="auto"/>
            <w:vAlign w:val="center"/>
            <w:hideMark/>
          </w:tcPr>
          <w:p w14:paraId="07508C3B"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Board sponsor, project manager, IT lead, sustainability and procurement leads, major suppliers</w:t>
            </w:r>
          </w:p>
        </w:tc>
        <w:tc>
          <w:tcPr>
            <w:tcW w:w="0" w:type="auto"/>
            <w:vAlign w:val="center"/>
            <w:hideMark/>
          </w:tcPr>
          <w:p w14:paraId="38206C28"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Manage closely and involve in important decisions.</w:t>
            </w:r>
          </w:p>
        </w:tc>
      </w:tr>
      <w:tr w:rsidR="0092565E" w:rsidRPr="0092565E" w14:paraId="0642A22B" w14:textId="77777777">
        <w:trPr>
          <w:tblCellSpacing w:w="15" w:type="dxa"/>
        </w:trPr>
        <w:tc>
          <w:tcPr>
            <w:tcW w:w="0" w:type="auto"/>
            <w:vAlign w:val="center"/>
            <w:hideMark/>
          </w:tcPr>
          <w:p w14:paraId="4F575329"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High power, lower day-to-day interest</w:t>
            </w:r>
          </w:p>
        </w:tc>
        <w:tc>
          <w:tcPr>
            <w:tcW w:w="0" w:type="auto"/>
            <w:vAlign w:val="center"/>
            <w:hideMark/>
          </w:tcPr>
          <w:p w14:paraId="641E3458"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Some investors, senior leaders outside the project, relevant regulatory contacts</w:t>
            </w:r>
          </w:p>
        </w:tc>
        <w:tc>
          <w:tcPr>
            <w:tcW w:w="0" w:type="auto"/>
            <w:vAlign w:val="center"/>
            <w:hideMark/>
          </w:tcPr>
          <w:p w14:paraId="75CAF5BF"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Keep satisfied through clear updates and early escalation of significant risks.</w:t>
            </w:r>
          </w:p>
        </w:tc>
      </w:tr>
      <w:tr w:rsidR="0092565E" w:rsidRPr="0092565E" w14:paraId="1CE7D5BA" w14:textId="77777777">
        <w:trPr>
          <w:tblCellSpacing w:w="15" w:type="dxa"/>
        </w:trPr>
        <w:tc>
          <w:tcPr>
            <w:tcW w:w="0" w:type="auto"/>
            <w:vAlign w:val="center"/>
            <w:hideMark/>
          </w:tcPr>
          <w:p w14:paraId="4553EFD0"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Lower formal power, high interest</w:t>
            </w:r>
          </w:p>
        </w:tc>
        <w:tc>
          <w:tcPr>
            <w:tcW w:w="0" w:type="auto"/>
            <w:vAlign w:val="center"/>
            <w:hideMark/>
          </w:tcPr>
          <w:p w14:paraId="4023CE23"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Customers, employees, community groups, NGOs and smaller suppliers</w:t>
            </w:r>
          </w:p>
        </w:tc>
        <w:tc>
          <w:tcPr>
            <w:tcW w:w="0" w:type="auto"/>
            <w:vAlign w:val="center"/>
            <w:hideMark/>
          </w:tcPr>
          <w:p w14:paraId="38A7EACF"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Keep informed, consult regularly and provide opportunities to influence decisions.</w:t>
            </w:r>
          </w:p>
        </w:tc>
      </w:tr>
      <w:tr w:rsidR="0092565E" w:rsidRPr="0092565E" w14:paraId="328F0525" w14:textId="77777777">
        <w:trPr>
          <w:tblCellSpacing w:w="15" w:type="dxa"/>
        </w:trPr>
        <w:tc>
          <w:tcPr>
            <w:tcW w:w="0" w:type="auto"/>
            <w:vAlign w:val="center"/>
            <w:hideMark/>
          </w:tcPr>
          <w:p w14:paraId="04FF01D6"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Lower power, lower interest</w:t>
            </w:r>
          </w:p>
        </w:tc>
        <w:tc>
          <w:tcPr>
            <w:tcW w:w="0" w:type="auto"/>
            <w:vAlign w:val="center"/>
            <w:hideMark/>
          </w:tcPr>
          <w:p w14:paraId="45F62A3C"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Members of the public with no immediate involvement</w:t>
            </w:r>
          </w:p>
        </w:tc>
        <w:tc>
          <w:tcPr>
            <w:tcW w:w="0" w:type="auto"/>
            <w:vAlign w:val="center"/>
            <w:hideMark/>
          </w:tcPr>
          <w:p w14:paraId="0FBF222E"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Provide accessible information and monitor emerging concerns.</w:t>
            </w:r>
          </w:p>
        </w:tc>
      </w:tr>
    </w:tbl>
    <w:p w14:paraId="33C52C64"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This matrix is useful because it supports the efficient use of time and resources. However, stakeholder power and interest can change. A small supplier may become critical if it provides an essential product, while a customer complaint may gain influence through social media.</w:t>
      </w:r>
    </w:p>
    <w:p w14:paraId="2E44CAE7"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matrix can also underestimate groups with little formal power. The project manager should therefore provide basic opportunities for consultation to all groups that may experience significant effects, even when they have limited influence.</w:t>
      </w:r>
    </w:p>
    <w:p w14:paraId="2028B9D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3.5 The Stakeholder Salience Model</w:t>
      </w:r>
    </w:p>
    <w:p w14:paraId="556E303E"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Mitchell, Agle and Wood (1997) propose that stakeholder importance can be assessed through three attributes: power, legitimacy and urgency.</w:t>
      </w:r>
    </w:p>
    <w:p w14:paraId="7F3D8AC5"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Power refers to the ability to influence decisions. Legitimacy concerns whether a stakeholder’s claim is appropriate. Urgency relates to the need for a timely response.</w:t>
      </w:r>
    </w:p>
    <w:p w14:paraId="77019602"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For example, the Board has power over the project budget. Customers have legitimate interests in accurate information and the protection of their personal data. A regulator’s warning or a confirmed data breach may require immediate action because of its urgency.</w:t>
      </w:r>
    </w:p>
    <w:p w14:paraId="12E4C10B"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model helps the project manager identify claims that need particular attention. However, managers must be careful not to treat powerful stakeholders as automatically more deserving of consideration. A community group may have limited power but may raise a serious and legitimate safety concern.</w:t>
      </w:r>
    </w:p>
    <w:p w14:paraId="6CCE6F47"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Green Path 360 should therefore combine the Salience Model with Mendelow’s matrix and a commitment to fair treatment. The mapping should be reviewed throughout the project rather than completed only at the beginning.</w:t>
      </w:r>
    </w:p>
    <w:p w14:paraId="468FDE0B"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p>
    <w:p w14:paraId="1846318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36"/>
          <w:sz w:val="48"/>
          <w:szCs w:val="48"/>
          <w:lang w:eastAsia="en-GB"/>
          <w14:ligatures w14:val="none"/>
        </w:rPr>
        <w:t>4. Stakeholder Roles, Responsibilities and Challenges</w:t>
      </w:r>
    </w:p>
    <w:p w14:paraId="57E6C03D"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Stakeholders bring different knowledge, resources and expectations to Green Path 360. Their responsibilities should be agreed before implementation.</w:t>
      </w:r>
    </w:p>
    <w:p w14:paraId="4A69C6D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Senior management provides funding, strategic direction and final approval. The project manager coordinates activities, monitors risks and maintains communication. The sustainability team develops environmental measures, while procurement works with suppliers to obtain reliable information. IT specialists develop the platform, and operational teams ensure that the programme can work in stores and through logistics networks.</w:t>
      </w:r>
    </w:p>
    <w:p w14:paraId="56FE0869"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External stakeholders are equally important. Suppliers provide product information and may need to change reporting practices. Repair and recycling partners deliver services that make circular activities possible. Customers decide whether to participate, while community organisations can help identify local needs and barriers.</w:t>
      </w:r>
    </w:p>
    <w:p w14:paraId="6A9589F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These relationships create dependencies. If suppliers provide incomplete data, customer information may be unreliable. If employees receive insufficient training, customers may receive inconsistent advice. If recycling partners lack capacity, collected materials may not be processed as expected.</w:t>
      </w:r>
    </w:p>
    <w:p w14:paraId="05DAE98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programme may also create additional costs and workloads. Employees may resist changes if they believe the initiative adds responsibilities without adequate support. Smaller suppliers may worry about expensive reporting systems. Customers may support sustainability but choose convenience when participation requires extra effort.</w:t>
      </w:r>
    </w:p>
    <w:p w14:paraId="3A3DB23D"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manager should address these challenges through early consultation, clear responsibilities, realistic deadlines and practical training. Stakeholders should understand which decisions they can influence and which requirements are fixed by law, safety or the approved project scope.</w:t>
      </w:r>
    </w:p>
    <w:p w14:paraId="6BEBB1F6"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 record of concerns, decisions and follow-up actions should be maintained. This demonstrates that engagement is meaningful rather than a formal exercise with little influence over the final programme.</w:t>
      </w:r>
    </w:p>
    <w:p w14:paraId="4C172879"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p>
    <w:p w14:paraId="2F787869"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p>
    <w:p w14:paraId="3BB00E70"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36"/>
          <w:sz w:val="48"/>
          <w:szCs w:val="48"/>
          <w:lang w:eastAsia="en-GB"/>
          <w14:ligatures w14:val="none"/>
        </w:rPr>
        <w:lastRenderedPageBreak/>
        <w:t>5. Stakeholder Engagement Strategy and Conflict Management</w:t>
      </w:r>
    </w:p>
    <w:p w14:paraId="6C26C4AA" w14:textId="77777777" w:rsidR="0092565E" w:rsidRPr="0092565E" w:rsidRDefault="0092565E" w:rsidP="0092565E">
      <w:pPr>
        <w:spacing w:before="100" w:beforeAutospacing="1" w:after="100" w:afterAutospacing="1" w:line="240" w:lineRule="auto"/>
        <w:textAlignment w:val="baseline"/>
        <w:outlineLvl w:val="1"/>
        <w:rPr>
          <w:rFonts w:ascii="Times New Roman" w:eastAsia="Times New Roman" w:hAnsi="Times New Roman" w:cs="Times New Roman"/>
          <w:b/>
          <w:bCs/>
          <w:kern w:val="0"/>
          <w:sz w:val="36"/>
          <w:szCs w:val="36"/>
          <w:lang w:eastAsia="en-GB"/>
          <w14:ligatures w14:val="none"/>
        </w:rPr>
      </w:pPr>
      <w:r w:rsidRPr="0092565E">
        <w:rPr>
          <w:rFonts w:ascii="Times New Roman" w:eastAsia="Times New Roman" w:hAnsi="Times New Roman" w:cs="Times New Roman"/>
          <w:b/>
          <w:bCs/>
          <w:kern w:val="0"/>
          <w:sz w:val="36"/>
          <w:szCs w:val="36"/>
          <w:lang w:eastAsia="en-GB"/>
          <w14:ligatures w14:val="none"/>
        </w:rPr>
        <w:t>5.1 Overall engagement approach</w:t>
      </w:r>
    </w:p>
    <w:p w14:paraId="26538FC4"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Stakeholder engagement should begin during planning and continue through design, implementation, launch and post-launch evaluation. It should not be treated as a single communication event.</w:t>
      </w:r>
    </w:p>
    <w:p w14:paraId="6EBF1C2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Freeman (1984) provides the strategic reason for involving stakeholders in organisational decisions. Accountability (2015) also emphasises the importance of inclusive and responsive stakeholder engagement. These principles are relevant to GreenPath 360 because the programme affects groups with different interests and depends on their cooperation.</w:t>
      </w:r>
    </w:p>
    <w:p w14:paraId="34A80F16"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manager should follow five main steps:</w:t>
      </w:r>
    </w:p>
    <w:p w14:paraId="2E578FD7" w14:textId="77777777" w:rsidR="0092565E" w:rsidRPr="0092565E" w:rsidRDefault="0092565E" w:rsidP="0092565E">
      <w:pPr>
        <w:numPr>
          <w:ilvl w:val="0"/>
          <w:numId w:val="2"/>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Identify the stakeholders and understand their interests.</w:t>
      </w:r>
    </w:p>
    <w:p w14:paraId="70360491" w14:textId="77777777" w:rsidR="0092565E" w:rsidRPr="0092565E" w:rsidRDefault="0092565E" w:rsidP="0092565E">
      <w:pPr>
        <w:numPr>
          <w:ilvl w:val="0"/>
          <w:numId w:val="2"/>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Assess their influence, needs, risks and likely concerns.</w:t>
      </w:r>
    </w:p>
    <w:p w14:paraId="635A2A3B" w14:textId="77777777" w:rsidR="0092565E" w:rsidRPr="0092565E" w:rsidRDefault="0092565E" w:rsidP="0092565E">
      <w:pPr>
        <w:numPr>
          <w:ilvl w:val="0"/>
          <w:numId w:val="2"/>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Select suitable engagement methods for each group.</w:t>
      </w:r>
    </w:p>
    <w:p w14:paraId="15130782" w14:textId="77777777" w:rsidR="0092565E" w:rsidRPr="0092565E" w:rsidRDefault="0092565E" w:rsidP="0092565E">
      <w:pPr>
        <w:numPr>
          <w:ilvl w:val="0"/>
          <w:numId w:val="2"/>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Record feedback and use it to improve project decisions.</w:t>
      </w:r>
    </w:p>
    <w:p w14:paraId="1613B330" w14:textId="77777777" w:rsidR="0092565E" w:rsidRPr="0092565E" w:rsidRDefault="0092565E" w:rsidP="0092565E">
      <w:pPr>
        <w:numPr>
          <w:ilvl w:val="0"/>
          <w:numId w:val="2"/>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Evaluate engagement and communicate the results.</w:t>
      </w:r>
    </w:p>
    <w:p w14:paraId="0CCDEB51"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This approach creates a continuous feedback process. It also allows the project team to respond when circumstances change.</w:t>
      </w:r>
    </w:p>
    <w:p w14:paraId="52C942B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5.2 Communication</w:t>
      </w:r>
    </w:p>
    <w:p w14:paraId="0E113A7A"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Communication means providing stakeholders with clear, timely and relevant information. Different groups need different types of communication.</w:t>
      </w:r>
    </w:p>
    <w:p w14:paraId="45FD258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Board needs concise reports about the budget, risks, progress and expected outcomes. Suppliers need detailed guidance about data requirements, deadlines and reporting methods. Employees need practical instructions and training, while customers need simple explanations of how to access repair and recycling services.</w:t>
      </w:r>
    </w:p>
    <w:p w14:paraId="1B9653CA"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manager should use several communication channels, including emails, meetings, training sessions, the company website, the digital platform and store information. Important messages should be available in accessible formats and translated where necessary.</w:t>
      </w:r>
    </w:p>
    <w:p w14:paraId="71191D62"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International communication requires particular care. A message that is clear in one market may be confusing or inappropriate in another. Local employees and community partners can help test messages before publication.</w:t>
      </w:r>
    </w:p>
    <w:p w14:paraId="6B8930D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Communication must also be two-way. Stakeholders should have opportunities to ask questions, report problems and receive responses. Feedback forms, supplier help channels and employee meetings can support this process.</w:t>
      </w:r>
    </w:p>
    <w:p w14:paraId="0924564C"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However, communication alone does not guarantee trust. Stakeholders may receive information but still feel that their views are ignored. Communication must therefore be connected to consultation and decision-making.</w:t>
      </w:r>
    </w:p>
    <w:p w14:paraId="520F442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5.3 Collaboration</w:t>
      </w:r>
    </w:p>
    <w:p w14:paraId="2EB65BE5"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Collaboration means working with stakeholders to develop solutions. Green Path 360 should establish a cross-functional working group involving sustainability, procurement, operations, IT, marketing, suppliers, repair partners and community representatives.</w:t>
      </w:r>
    </w:p>
    <w:p w14:paraId="24F01DD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group should meet at important project stages to review progress, identify risks and agree actions. Decisions should be recorded, with responsibilities and deadlines clearly assigned.</w:t>
      </w:r>
    </w:p>
    <w:p w14:paraId="2AB64735"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For example, manufacturers may understand product materials, repair businesses may know which components can be replaced, and customers may explain why existing repair services are inconvenient. Store managers can assess whether collection facilities are practical and safe.</w:t>
      </w:r>
    </w:p>
    <w:p w14:paraId="2DD67E44"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Combining this knowledge can improve the design of Green Path 360 and prevent problems before launch.</w:t>
      </w:r>
    </w:p>
    <w:p w14:paraId="18B6D185"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However, collaboration can be difficult when organisations have different commercial interests. Suppliers may be unwilling to share sensitive information, while partners may disagree about costs. The project should establish clear rules for confidentiality, data sharing, decision-making and responsibility.</w:t>
      </w:r>
    </w:p>
    <w:p w14:paraId="3890947D"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Collaboration does not require complete agreement. It requires stakeholders to contribute relevant knowledge and participate in a fair process.</w:t>
      </w:r>
    </w:p>
    <w:p w14:paraId="1D9D4997" w14:textId="77777777" w:rsidR="00D02B8C" w:rsidRDefault="00D02B8C" w:rsidP="0092565E">
      <w:pPr>
        <w:spacing w:before="100" w:beforeAutospacing="1" w:after="100" w:afterAutospacing="1" w:line="240" w:lineRule="auto"/>
        <w:textAlignment w:val="baseline"/>
        <w:rPr>
          <w:rFonts w:ascii="Times New Roman" w:eastAsia="Times New Roman" w:hAnsi="Times New Roman" w:cs="Times New Roman"/>
          <w:b/>
          <w:bCs/>
          <w:kern w:val="0"/>
          <w:sz w:val="36"/>
          <w:szCs w:val="36"/>
          <w:lang w:eastAsia="en-GB"/>
          <w14:ligatures w14:val="none"/>
        </w:rPr>
      </w:pPr>
    </w:p>
    <w:p w14:paraId="361CF8F4"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5.4 Consultation</w:t>
      </w:r>
    </w:p>
    <w:p w14:paraId="10876CFA"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Consultation allows stakeholders to express concerns and influence decisions. Green Path 360 should use customer surveys, employee focus groups, supplier workshops, community meetings and interviews with relevant specialists.</w:t>
      </w:r>
    </w:p>
    <w:p w14:paraId="366C7F79"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Each method has advantages and limitations. Online surveys can collect information from many customers quickly, but they may exclude people with limited digital access. Face-to-face meetings allow detailed discussion but require more time and may involve fewer participants.</w:t>
      </w:r>
    </w:p>
    <w:p w14:paraId="7B6317D3"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Consultation should take place before the platform design and operating procedures are finalised. Asking for feedback after all major decisions have been made risks creating the appearance of participation without giving stakeholders meaningful influence.</w:t>
      </w:r>
    </w:p>
    <w:p w14:paraId="2395F5D0"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team should prepare a feedback report explaining the main concerns raised, the changes made and the reasons some suggestions were not adopted.</w:t>
      </w:r>
    </w:p>
    <w:p w14:paraId="4B03DF4A"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This is important because stakeholders need to see that their contributions are taken seriously. It also helps the project manager demonstrate accountability.</w:t>
      </w:r>
    </w:p>
    <w:p w14:paraId="6E99F298" w14:textId="77777777" w:rsidR="001E360A" w:rsidRDefault="001E360A" w:rsidP="0092565E">
      <w:pPr>
        <w:spacing w:before="100" w:beforeAutospacing="1" w:after="100" w:afterAutospacing="1" w:line="240" w:lineRule="auto"/>
        <w:textAlignment w:val="baseline"/>
        <w:rPr>
          <w:rFonts w:ascii="Times New Roman" w:eastAsia="Times New Roman" w:hAnsi="Times New Roman" w:cs="Times New Roman"/>
          <w:b/>
          <w:bCs/>
          <w:kern w:val="0"/>
          <w:sz w:val="36"/>
          <w:szCs w:val="36"/>
          <w:lang w:eastAsia="en-GB"/>
          <w14:ligatures w14:val="none"/>
        </w:rPr>
      </w:pPr>
    </w:p>
    <w:p w14:paraId="22FCB3D2"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5.5 Commitment</w:t>
      </w:r>
    </w:p>
    <w:p w14:paraId="538B49D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Commitment means that stakeholders are willing to support the initiative over time.</w:t>
      </w:r>
    </w:p>
    <w:p w14:paraId="219CB30B"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Senior managers can demonstrate commitment through funding, clear priorities and regular reviews. Employees can show commitment by completing training and following agreed procedures. Suppliers can commit to providing reliable information, while customers can participate in repair, reuse and recycling activities.</w:t>
      </w:r>
    </w:p>
    <w:p w14:paraId="138D831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Commitment is more likely when stakeholders understand the purpose of the initiative and believe that the process is fair. They also need to see practical benefits from their participation.</w:t>
      </w:r>
    </w:p>
    <w:p w14:paraId="36EAD7E2"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For example, suppliers may be more willing to provide information if requirements are clear and the retailer offers guidance. Employees may be more supportive if they receive sufficient training and time to carry out additional tasks.</w:t>
      </w:r>
    </w:p>
    <w:p w14:paraId="6A68BA5D"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Commitment should not be measured only through statements of support. Practical measures include training completion, supplier data quality, repeat customer participation and the percentage of stakeholder concerns resolved.</w:t>
      </w:r>
    </w:p>
    <w:p w14:paraId="4EC263A4" w14:textId="77777777" w:rsidR="001E360A" w:rsidRDefault="001E360A" w:rsidP="0092565E">
      <w:pPr>
        <w:spacing w:before="100" w:beforeAutospacing="1" w:after="100" w:afterAutospacing="1" w:line="240" w:lineRule="auto"/>
        <w:textAlignment w:val="baseline"/>
        <w:rPr>
          <w:rFonts w:ascii="Times New Roman" w:eastAsia="Times New Roman" w:hAnsi="Times New Roman" w:cs="Times New Roman"/>
          <w:b/>
          <w:bCs/>
          <w:kern w:val="0"/>
          <w:sz w:val="36"/>
          <w:szCs w:val="36"/>
          <w:lang w:eastAsia="en-GB"/>
          <w14:ligatures w14:val="none"/>
        </w:rPr>
      </w:pPr>
    </w:p>
    <w:p w14:paraId="12756CF6"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5.6 RACI matrix</w:t>
      </w:r>
    </w:p>
    <w:p w14:paraId="3DE1DFCD"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 RACI matrix clarifies who is Responsible, Accountable, Consulted and Informed for each activity. It can reduce confusion and improve coordination.</w:t>
      </w:r>
    </w:p>
    <w:p w14:paraId="1D538B6C" w14:textId="77777777" w:rsidR="0092565E" w:rsidRPr="0092565E" w:rsidRDefault="0092565E" w:rsidP="0092565E">
      <w:pPr>
        <w:spacing w:after="0" w:line="240" w:lineRule="auto"/>
        <w:textAlignment w:val="baseline"/>
        <w:rPr>
          <w:rFonts w:ascii="Times New Roman" w:eastAsia="Times New Roman" w:hAnsi="Times New Roman" w:cs="Times New Roman"/>
          <w:kern w:val="0"/>
          <w:lang w:eastAsia="en-GB"/>
          <w14:ligatures w14:val="none"/>
        </w:rPr>
      </w:pPr>
      <w:r w:rsidRPr="0092565E">
        <w:rPr>
          <w:rFonts w:ascii="FluentSystemIcons" w:eastAsia="Times New Roman" w:hAnsi="FluentSystemIcons" w:cs="Times New Roman"/>
          <w:kern w:val="0"/>
          <w:sz w:val="30"/>
          <w:szCs w:val="30"/>
          <w:bdr w:val="none" w:sz="0" w:space="0" w:color="auto" w:frame="1"/>
          <w:lang w:eastAsia="en-GB"/>
          <w14:ligatures w14:val="none"/>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5"/>
        <w:gridCol w:w="1193"/>
        <w:gridCol w:w="1064"/>
        <w:gridCol w:w="1900"/>
        <w:gridCol w:w="1381"/>
        <w:gridCol w:w="1573"/>
      </w:tblGrid>
      <w:tr w:rsidR="0092565E" w:rsidRPr="0092565E" w14:paraId="50C9F31E" w14:textId="77777777">
        <w:trPr>
          <w:tblHeader/>
          <w:tblCellSpacing w:w="15" w:type="dxa"/>
        </w:trPr>
        <w:tc>
          <w:tcPr>
            <w:tcW w:w="0" w:type="auto"/>
            <w:vAlign w:val="center"/>
            <w:hideMark/>
          </w:tcPr>
          <w:p w14:paraId="291880CF"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Activity</w:t>
            </w:r>
          </w:p>
        </w:tc>
        <w:tc>
          <w:tcPr>
            <w:tcW w:w="0" w:type="auto"/>
            <w:vAlign w:val="center"/>
            <w:hideMark/>
          </w:tcPr>
          <w:p w14:paraId="2C123F1F"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Project manager</w:t>
            </w:r>
          </w:p>
        </w:tc>
        <w:tc>
          <w:tcPr>
            <w:tcW w:w="0" w:type="auto"/>
            <w:vAlign w:val="center"/>
            <w:hideMark/>
          </w:tcPr>
          <w:p w14:paraId="530C4B66"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Senior sponsor</w:t>
            </w:r>
          </w:p>
        </w:tc>
        <w:tc>
          <w:tcPr>
            <w:tcW w:w="0" w:type="auto"/>
            <w:vAlign w:val="center"/>
            <w:hideMark/>
          </w:tcPr>
          <w:p w14:paraId="19B5584E"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Sustainability / procurement</w:t>
            </w:r>
          </w:p>
        </w:tc>
        <w:tc>
          <w:tcPr>
            <w:tcW w:w="0" w:type="auto"/>
            <w:vAlign w:val="center"/>
            <w:hideMark/>
          </w:tcPr>
          <w:p w14:paraId="5D09706A"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IT / data protection</w:t>
            </w:r>
          </w:p>
        </w:tc>
        <w:tc>
          <w:tcPr>
            <w:tcW w:w="0" w:type="auto"/>
            <w:vAlign w:val="center"/>
            <w:hideMark/>
          </w:tcPr>
          <w:p w14:paraId="4E2A88AB"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Operations / marketing</w:t>
            </w:r>
          </w:p>
        </w:tc>
      </w:tr>
      <w:tr w:rsidR="0092565E" w:rsidRPr="0092565E" w14:paraId="5A81FEB6" w14:textId="77777777">
        <w:trPr>
          <w:tblCellSpacing w:w="15" w:type="dxa"/>
        </w:trPr>
        <w:tc>
          <w:tcPr>
            <w:tcW w:w="0" w:type="auto"/>
            <w:vAlign w:val="center"/>
            <w:hideMark/>
          </w:tcPr>
          <w:p w14:paraId="6E80AE6C"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Confirm project scope</w:t>
            </w:r>
          </w:p>
        </w:tc>
        <w:tc>
          <w:tcPr>
            <w:tcW w:w="0" w:type="auto"/>
            <w:vAlign w:val="center"/>
            <w:hideMark/>
          </w:tcPr>
          <w:p w14:paraId="59B04DFC"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R</w:t>
            </w:r>
          </w:p>
        </w:tc>
        <w:tc>
          <w:tcPr>
            <w:tcW w:w="0" w:type="auto"/>
            <w:vAlign w:val="center"/>
            <w:hideMark/>
          </w:tcPr>
          <w:p w14:paraId="5BAC93FD"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w:t>
            </w:r>
          </w:p>
        </w:tc>
        <w:tc>
          <w:tcPr>
            <w:tcW w:w="0" w:type="auto"/>
            <w:vAlign w:val="center"/>
            <w:hideMark/>
          </w:tcPr>
          <w:p w14:paraId="06B629C7"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c>
          <w:tcPr>
            <w:tcW w:w="0" w:type="auto"/>
            <w:vAlign w:val="center"/>
            <w:hideMark/>
          </w:tcPr>
          <w:p w14:paraId="156D7B1B"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c>
          <w:tcPr>
            <w:tcW w:w="0" w:type="auto"/>
            <w:vAlign w:val="center"/>
            <w:hideMark/>
          </w:tcPr>
          <w:p w14:paraId="24187D0C"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r>
      <w:tr w:rsidR="0092565E" w:rsidRPr="0092565E" w14:paraId="2C594E40" w14:textId="77777777">
        <w:trPr>
          <w:tblCellSpacing w:w="15" w:type="dxa"/>
        </w:trPr>
        <w:tc>
          <w:tcPr>
            <w:tcW w:w="0" w:type="auto"/>
            <w:vAlign w:val="center"/>
            <w:hideMark/>
          </w:tcPr>
          <w:p w14:paraId="481585A7"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Map stakeholders and risks</w:t>
            </w:r>
          </w:p>
        </w:tc>
        <w:tc>
          <w:tcPr>
            <w:tcW w:w="0" w:type="auto"/>
            <w:vAlign w:val="center"/>
            <w:hideMark/>
          </w:tcPr>
          <w:p w14:paraId="7CB522F8"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A/R</w:t>
            </w:r>
          </w:p>
        </w:tc>
        <w:tc>
          <w:tcPr>
            <w:tcW w:w="0" w:type="auto"/>
            <w:vAlign w:val="center"/>
            <w:hideMark/>
          </w:tcPr>
          <w:p w14:paraId="4C0B72FD"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w:t>
            </w:r>
          </w:p>
        </w:tc>
        <w:tc>
          <w:tcPr>
            <w:tcW w:w="0" w:type="auto"/>
            <w:vAlign w:val="center"/>
            <w:hideMark/>
          </w:tcPr>
          <w:p w14:paraId="6E472727"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c>
          <w:tcPr>
            <w:tcW w:w="0" w:type="auto"/>
            <w:vAlign w:val="center"/>
            <w:hideMark/>
          </w:tcPr>
          <w:p w14:paraId="3AB5FBCE"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c>
          <w:tcPr>
            <w:tcW w:w="0" w:type="auto"/>
            <w:vAlign w:val="center"/>
            <w:hideMark/>
          </w:tcPr>
          <w:p w14:paraId="7289D264"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r>
      <w:tr w:rsidR="0092565E" w:rsidRPr="0092565E" w14:paraId="4CC0B0B0" w14:textId="77777777">
        <w:trPr>
          <w:tblCellSpacing w:w="15" w:type="dxa"/>
        </w:trPr>
        <w:tc>
          <w:tcPr>
            <w:tcW w:w="0" w:type="auto"/>
            <w:vAlign w:val="center"/>
            <w:hideMark/>
          </w:tcPr>
          <w:p w14:paraId="791BB3E7"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Set sustainability indicators</w:t>
            </w:r>
          </w:p>
        </w:tc>
        <w:tc>
          <w:tcPr>
            <w:tcW w:w="0" w:type="auto"/>
            <w:vAlign w:val="center"/>
            <w:hideMark/>
          </w:tcPr>
          <w:p w14:paraId="36D1B023"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c>
          <w:tcPr>
            <w:tcW w:w="0" w:type="auto"/>
            <w:vAlign w:val="center"/>
            <w:hideMark/>
          </w:tcPr>
          <w:p w14:paraId="255EF513"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w:t>
            </w:r>
          </w:p>
        </w:tc>
        <w:tc>
          <w:tcPr>
            <w:tcW w:w="0" w:type="auto"/>
            <w:vAlign w:val="center"/>
            <w:hideMark/>
          </w:tcPr>
          <w:p w14:paraId="46ECA2E2"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R</w:t>
            </w:r>
          </w:p>
        </w:tc>
        <w:tc>
          <w:tcPr>
            <w:tcW w:w="0" w:type="auto"/>
            <w:vAlign w:val="center"/>
            <w:hideMark/>
          </w:tcPr>
          <w:p w14:paraId="7F318ECA"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w:t>
            </w:r>
          </w:p>
        </w:tc>
        <w:tc>
          <w:tcPr>
            <w:tcW w:w="0" w:type="auto"/>
            <w:vAlign w:val="center"/>
            <w:hideMark/>
          </w:tcPr>
          <w:p w14:paraId="2B3FE1A8"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r>
      <w:tr w:rsidR="0092565E" w:rsidRPr="0092565E" w14:paraId="39052363" w14:textId="77777777">
        <w:trPr>
          <w:tblCellSpacing w:w="15" w:type="dxa"/>
        </w:trPr>
        <w:tc>
          <w:tcPr>
            <w:tcW w:w="0" w:type="auto"/>
            <w:vAlign w:val="center"/>
            <w:hideMark/>
          </w:tcPr>
          <w:p w14:paraId="174734CB"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Develop and test platform</w:t>
            </w:r>
          </w:p>
        </w:tc>
        <w:tc>
          <w:tcPr>
            <w:tcW w:w="0" w:type="auto"/>
            <w:vAlign w:val="center"/>
            <w:hideMark/>
          </w:tcPr>
          <w:p w14:paraId="21C115F5"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w:t>
            </w:r>
          </w:p>
        </w:tc>
        <w:tc>
          <w:tcPr>
            <w:tcW w:w="0" w:type="auto"/>
            <w:vAlign w:val="center"/>
            <w:hideMark/>
          </w:tcPr>
          <w:p w14:paraId="0774130D"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w:t>
            </w:r>
          </w:p>
        </w:tc>
        <w:tc>
          <w:tcPr>
            <w:tcW w:w="0" w:type="auto"/>
            <w:vAlign w:val="center"/>
            <w:hideMark/>
          </w:tcPr>
          <w:p w14:paraId="0B0B924C"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c>
          <w:tcPr>
            <w:tcW w:w="0" w:type="auto"/>
            <w:vAlign w:val="center"/>
            <w:hideMark/>
          </w:tcPr>
          <w:p w14:paraId="55F82667"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R</w:t>
            </w:r>
          </w:p>
        </w:tc>
        <w:tc>
          <w:tcPr>
            <w:tcW w:w="0" w:type="auto"/>
            <w:vAlign w:val="center"/>
            <w:hideMark/>
          </w:tcPr>
          <w:p w14:paraId="2BE6317C"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r>
      <w:tr w:rsidR="0092565E" w:rsidRPr="0092565E" w14:paraId="1053422D" w14:textId="77777777">
        <w:trPr>
          <w:tblCellSpacing w:w="15" w:type="dxa"/>
        </w:trPr>
        <w:tc>
          <w:tcPr>
            <w:tcW w:w="0" w:type="auto"/>
            <w:vAlign w:val="center"/>
            <w:hideMark/>
          </w:tcPr>
          <w:p w14:paraId="152B4F6E"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Agree supplier requirements</w:t>
            </w:r>
          </w:p>
        </w:tc>
        <w:tc>
          <w:tcPr>
            <w:tcW w:w="0" w:type="auto"/>
            <w:vAlign w:val="center"/>
            <w:hideMark/>
          </w:tcPr>
          <w:p w14:paraId="3992E6DC"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c>
          <w:tcPr>
            <w:tcW w:w="0" w:type="auto"/>
            <w:vAlign w:val="center"/>
            <w:hideMark/>
          </w:tcPr>
          <w:p w14:paraId="53AF4CBA"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w:t>
            </w:r>
          </w:p>
        </w:tc>
        <w:tc>
          <w:tcPr>
            <w:tcW w:w="0" w:type="auto"/>
            <w:vAlign w:val="center"/>
            <w:hideMark/>
          </w:tcPr>
          <w:p w14:paraId="071F6E5D"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R</w:t>
            </w:r>
          </w:p>
        </w:tc>
        <w:tc>
          <w:tcPr>
            <w:tcW w:w="0" w:type="auto"/>
            <w:vAlign w:val="center"/>
            <w:hideMark/>
          </w:tcPr>
          <w:p w14:paraId="5BD9A3C0"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w:t>
            </w:r>
          </w:p>
        </w:tc>
        <w:tc>
          <w:tcPr>
            <w:tcW w:w="0" w:type="auto"/>
            <w:vAlign w:val="center"/>
            <w:hideMark/>
          </w:tcPr>
          <w:p w14:paraId="476BDEE8"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r>
      <w:tr w:rsidR="0092565E" w:rsidRPr="0092565E" w14:paraId="37F92ED7" w14:textId="77777777">
        <w:trPr>
          <w:tblCellSpacing w:w="15" w:type="dxa"/>
        </w:trPr>
        <w:tc>
          <w:tcPr>
            <w:tcW w:w="0" w:type="auto"/>
            <w:vAlign w:val="center"/>
            <w:hideMark/>
          </w:tcPr>
          <w:p w14:paraId="651E6E4B"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Train employees</w:t>
            </w:r>
          </w:p>
        </w:tc>
        <w:tc>
          <w:tcPr>
            <w:tcW w:w="0" w:type="auto"/>
            <w:vAlign w:val="center"/>
            <w:hideMark/>
          </w:tcPr>
          <w:p w14:paraId="5B7A2B0E"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w:t>
            </w:r>
          </w:p>
        </w:tc>
        <w:tc>
          <w:tcPr>
            <w:tcW w:w="0" w:type="auto"/>
            <w:vAlign w:val="center"/>
            <w:hideMark/>
          </w:tcPr>
          <w:p w14:paraId="78D2A2EE"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w:t>
            </w:r>
          </w:p>
        </w:tc>
        <w:tc>
          <w:tcPr>
            <w:tcW w:w="0" w:type="auto"/>
            <w:vAlign w:val="center"/>
            <w:hideMark/>
          </w:tcPr>
          <w:p w14:paraId="43C1856A"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c>
          <w:tcPr>
            <w:tcW w:w="0" w:type="auto"/>
            <w:vAlign w:val="center"/>
            <w:hideMark/>
          </w:tcPr>
          <w:p w14:paraId="7227FE35"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c>
          <w:tcPr>
            <w:tcW w:w="0" w:type="auto"/>
            <w:vAlign w:val="center"/>
            <w:hideMark/>
          </w:tcPr>
          <w:p w14:paraId="03503B22"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R</w:t>
            </w:r>
          </w:p>
        </w:tc>
      </w:tr>
      <w:tr w:rsidR="0092565E" w:rsidRPr="0092565E" w14:paraId="215F9561" w14:textId="77777777">
        <w:trPr>
          <w:tblCellSpacing w:w="15" w:type="dxa"/>
        </w:trPr>
        <w:tc>
          <w:tcPr>
            <w:tcW w:w="0" w:type="auto"/>
            <w:vAlign w:val="center"/>
            <w:hideMark/>
          </w:tcPr>
          <w:p w14:paraId="6D86BD61"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Launch communication</w:t>
            </w:r>
          </w:p>
        </w:tc>
        <w:tc>
          <w:tcPr>
            <w:tcW w:w="0" w:type="auto"/>
            <w:vAlign w:val="center"/>
            <w:hideMark/>
          </w:tcPr>
          <w:p w14:paraId="651C29D2"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w:t>
            </w:r>
          </w:p>
        </w:tc>
        <w:tc>
          <w:tcPr>
            <w:tcW w:w="0" w:type="auto"/>
            <w:vAlign w:val="center"/>
            <w:hideMark/>
          </w:tcPr>
          <w:p w14:paraId="047D5999"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w:t>
            </w:r>
          </w:p>
        </w:tc>
        <w:tc>
          <w:tcPr>
            <w:tcW w:w="0" w:type="auto"/>
            <w:vAlign w:val="center"/>
            <w:hideMark/>
          </w:tcPr>
          <w:p w14:paraId="57E3032B"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c>
          <w:tcPr>
            <w:tcW w:w="0" w:type="auto"/>
            <w:vAlign w:val="center"/>
            <w:hideMark/>
          </w:tcPr>
          <w:p w14:paraId="3AFD787D"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c>
          <w:tcPr>
            <w:tcW w:w="0" w:type="auto"/>
            <w:vAlign w:val="center"/>
            <w:hideMark/>
          </w:tcPr>
          <w:p w14:paraId="29043485"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R</w:t>
            </w:r>
          </w:p>
        </w:tc>
      </w:tr>
      <w:tr w:rsidR="0092565E" w:rsidRPr="0092565E" w14:paraId="003973A4" w14:textId="77777777">
        <w:trPr>
          <w:tblCellSpacing w:w="15" w:type="dxa"/>
        </w:trPr>
        <w:tc>
          <w:tcPr>
            <w:tcW w:w="0" w:type="auto"/>
            <w:vAlign w:val="center"/>
            <w:hideMark/>
          </w:tcPr>
          <w:p w14:paraId="6AF27384"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Monitor results</w:t>
            </w:r>
          </w:p>
        </w:tc>
        <w:tc>
          <w:tcPr>
            <w:tcW w:w="0" w:type="auto"/>
            <w:vAlign w:val="center"/>
            <w:hideMark/>
          </w:tcPr>
          <w:p w14:paraId="72468184"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A/R</w:t>
            </w:r>
          </w:p>
        </w:tc>
        <w:tc>
          <w:tcPr>
            <w:tcW w:w="0" w:type="auto"/>
            <w:vAlign w:val="center"/>
            <w:hideMark/>
          </w:tcPr>
          <w:p w14:paraId="15E39AD1"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w:t>
            </w:r>
          </w:p>
        </w:tc>
        <w:tc>
          <w:tcPr>
            <w:tcW w:w="0" w:type="auto"/>
            <w:vAlign w:val="center"/>
            <w:hideMark/>
          </w:tcPr>
          <w:p w14:paraId="57B71320"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R</w:t>
            </w:r>
          </w:p>
        </w:tc>
        <w:tc>
          <w:tcPr>
            <w:tcW w:w="0" w:type="auto"/>
            <w:vAlign w:val="center"/>
            <w:hideMark/>
          </w:tcPr>
          <w:p w14:paraId="25658C3E"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c>
          <w:tcPr>
            <w:tcW w:w="0" w:type="auto"/>
            <w:vAlign w:val="center"/>
            <w:hideMark/>
          </w:tcPr>
          <w:p w14:paraId="43C1E34A"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w:t>
            </w:r>
          </w:p>
        </w:tc>
      </w:tr>
    </w:tbl>
    <w:p w14:paraId="37160151"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b/>
          <w:bCs/>
          <w:kern w:val="0"/>
          <w:lang w:eastAsia="en-GB"/>
          <w14:ligatures w14:val="none"/>
        </w:rPr>
      </w:pPr>
    </w:p>
    <w:p w14:paraId="623D56BE"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b/>
          <w:bCs/>
          <w:kern w:val="0"/>
          <w:lang w:eastAsia="en-GB"/>
          <w14:ligatures w14:val="none"/>
        </w:rPr>
      </w:pPr>
    </w:p>
    <w:p w14:paraId="6635A8D6"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Key:</w:t>
      </w:r>
      <w:r w:rsidRPr="0092565E">
        <w:rPr>
          <w:rFonts w:ascii="Times New Roman" w:eastAsia="Times New Roman" w:hAnsi="Times New Roman" w:cs="Times New Roman"/>
          <w:kern w:val="0"/>
          <w:lang w:eastAsia="en-GB"/>
          <w14:ligatures w14:val="none"/>
        </w:rPr>
        <w:t xml:space="preserve"> R = Responsible; A = Accountable; C = Consulted; I = Informed.</w:t>
      </w:r>
    </w:p>
    <w:p w14:paraId="339B1693"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accountable person owns the final outcome, while the responsible person carries out the work. Other stakeholders are consulted or informed as appropriate.</w:t>
      </w:r>
    </w:p>
    <w:p w14:paraId="5FBDD06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RACI is useful for defining responsibilities, but it cannot replace effective leadership. The project manager should review the matrix whenever responsibilities change and ensure that staff have sufficient resources to complete their tasks.</w:t>
      </w:r>
    </w:p>
    <w:p w14:paraId="0FF0F8CE" w14:textId="77777777" w:rsidR="001E360A" w:rsidRDefault="001E360A" w:rsidP="0092565E">
      <w:pPr>
        <w:spacing w:before="100" w:beforeAutospacing="1" w:after="100" w:afterAutospacing="1" w:line="240" w:lineRule="auto"/>
        <w:textAlignment w:val="baseline"/>
        <w:outlineLvl w:val="1"/>
        <w:rPr>
          <w:rFonts w:ascii="Times New Roman" w:eastAsia="Times New Roman" w:hAnsi="Times New Roman" w:cs="Times New Roman"/>
          <w:b/>
          <w:bCs/>
          <w:kern w:val="0"/>
          <w:sz w:val="36"/>
          <w:szCs w:val="36"/>
          <w:lang w:eastAsia="en-GB"/>
          <w14:ligatures w14:val="none"/>
        </w:rPr>
      </w:pPr>
    </w:p>
    <w:p w14:paraId="2A85B434" w14:textId="77777777" w:rsidR="0092565E" w:rsidRPr="0092565E" w:rsidRDefault="0092565E" w:rsidP="0092565E">
      <w:pPr>
        <w:spacing w:before="100" w:beforeAutospacing="1" w:after="100" w:afterAutospacing="1" w:line="240" w:lineRule="auto"/>
        <w:textAlignment w:val="baseline"/>
        <w:outlineLvl w:val="1"/>
        <w:rPr>
          <w:rFonts w:ascii="Times New Roman" w:eastAsia="Times New Roman" w:hAnsi="Times New Roman" w:cs="Times New Roman"/>
          <w:b/>
          <w:bCs/>
          <w:kern w:val="0"/>
          <w:sz w:val="36"/>
          <w:szCs w:val="36"/>
          <w:lang w:eastAsia="en-GB"/>
          <w14:ligatures w14:val="none"/>
        </w:rPr>
      </w:pPr>
      <w:r w:rsidRPr="0092565E">
        <w:rPr>
          <w:rFonts w:ascii="Times New Roman" w:eastAsia="Times New Roman" w:hAnsi="Times New Roman" w:cs="Times New Roman"/>
          <w:b/>
          <w:bCs/>
          <w:kern w:val="0"/>
          <w:sz w:val="36"/>
          <w:szCs w:val="36"/>
          <w:lang w:eastAsia="en-GB"/>
          <w14:ligatures w14:val="none"/>
        </w:rPr>
        <w:t>5.7 Communication plan</w:t>
      </w:r>
    </w:p>
    <w:p w14:paraId="665EFFA9"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following plan links engagement methods to the needs of each stakeholder group.</w:t>
      </w:r>
    </w:p>
    <w:p w14:paraId="6582EF40" w14:textId="77777777" w:rsidR="0092565E" w:rsidRPr="0092565E" w:rsidRDefault="0092565E" w:rsidP="0092565E">
      <w:pPr>
        <w:spacing w:after="0" w:line="240" w:lineRule="auto"/>
        <w:textAlignment w:val="baseline"/>
        <w:rPr>
          <w:rFonts w:ascii="Times New Roman" w:eastAsia="Times New Roman" w:hAnsi="Times New Roman" w:cs="Times New Roman"/>
          <w:kern w:val="0"/>
          <w:lang w:eastAsia="en-GB"/>
          <w14:ligatures w14:val="none"/>
        </w:rPr>
      </w:pPr>
      <w:r w:rsidRPr="0092565E">
        <w:rPr>
          <w:rFonts w:ascii="FluentSystemIcons" w:eastAsia="Times New Roman" w:hAnsi="FluentSystemIcons" w:cs="Times New Roman"/>
          <w:kern w:val="0"/>
          <w:sz w:val="30"/>
          <w:szCs w:val="30"/>
          <w:bdr w:val="none" w:sz="0" w:space="0" w:color="auto" w:frame="1"/>
          <w:lang w:eastAsia="en-GB"/>
          <w14:ligatures w14:val="none"/>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16"/>
        <w:gridCol w:w="2726"/>
        <w:gridCol w:w="1826"/>
        <w:gridCol w:w="2758"/>
      </w:tblGrid>
      <w:tr w:rsidR="0092565E" w:rsidRPr="0092565E" w14:paraId="30D44995" w14:textId="77777777">
        <w:trPr>
          <w:tblHeader/>
          <w:tblCellSpacing w:w="15" w:type="dxa"/>
        </w:trPr>
        <w:tc>
          <w:tcPr>
            <w:tcW w:w="0" w:type="auto"/>
            <w:vAlign w:val="center"/>
            <w:hideMark/>
          </w:tcPr>
          <w:p w14:paraId="6B2169ED"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Stakeholder</w:t>
            </w:r>
          </w:p>
        </w:tc>
        <w:tc>
          <w:tcPr>
            <w:tcW w:w="0" w:type="auto"/>
            <w:vAlign w:val="center"/>
            <w:hideMark/>
          </w:tcPr>
          <w:p w14:paraId="7BE996B7"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Communication method</w:t>
            </w:r>
          </w:p>
        </w:tc>
        <w:tc>
          <w:tcPr>
            <w:tcW w:w="0" w:type="auto"/>
            <w:vAlign w:val="center"/>
            <w:hideMark/>
          </w:tcPr>
          <w:p w14:paraId="4B47E0CB"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Frequency</w:t>
            </w:r>
          </w:p>
        </w:tc>
        <w:tc>
          <w:tcPr>
            <w:tcW w:w="0" w:type="auto"/>
            <w:vAlign w:val="center"/>
            <w:hideMark/>
          </w:tcPr>
          <w:p w14:paraId="1F879E65" w14:textId="77777777" w:rsidR="0092565E" w:rsidRPr="0092565E" w:rsidRDefault="0092565E" w:rsidP="0092565E">
            <w:pPr>
              <w:spacing w:after="0" w:line="240" w:lineRule="auto"/>
              <w:jc w:val="center"/>
              <w:rPr>
                <w:rFonts w:ascii="Times New Roman" w:eastAsia="Times New Roman" w:hAnsi="Times New Roman" w:cs="Times New Roman"/>
                <w:b/>
                <w:bCs/>
                <w:kern w:val="0"/>
                <w:lang w:eastAsia="en-GB"/>
                <w14:ligatures w14:val="none"/>
              </w:rPr>
            </w:pPr>
            <w:r w:rsidRPr="0092565E">
              <w:rPr>
                <w:rFonts w:ascii="Times New Roman" w:eastAsia="Times New Roman" w:hAnsi="Times New Roman" w:cs="Times New Roman"/>
                <w:b/>
                <w:bCs/>
                <w:kern w:val="0"/>
                <w:lang w:eastAsia="en-GB"/>
                <w14:ligatures w14:val="none"/>
              </w:rPr>
              <w:t>Main purpose</w:t>
            </w:r>
          </w:p>
        </w:tc>
      </w:tr>
      <w:tr w:rsidR="0092565E" w:rsidRPr="0092565E" w14:paraId="5DC20511" w14:textId="77777777">
        <w:trPr>
          <w:tblCellSpacing w:w="15" w:type="dxa"/>
        </w:trPr>
        <w:tc>
          <w:tcPr>
            <w:tcW w:w="0" w:type="auto"/>
            <w:vAlign w:val="center"/>
            <w:hideMark/>
          </w:tcPr>
          <w:p w14:paraId="5B179824"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Board and senior sponsor</w:t>
            </w:r>
          </w:p>
        </w:tc>
        <w:tc>
          <w:tcPr>
            <w:tcW w:w="0" w:type="auto"/>
            <w:vAlign w:val="center"/>
            <w:hideMark/>
          </w:tcPr>
          <w:p w14:paraId="33349411"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Progress dashboard and meetings</w:t>
            </w:r>
          </w:p>
        </w:tc>
        <w:tc>
          <w:tcPr>
            <w:tcW w:w="0" w:type="auto"/>
            <w:vAlign w:val="center"/>
            <w:hideMark/>
          </w:tcPr>
          <w:p w14:paraId="032114BD"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Monthly</w:t>
            </w:r>
          </w:p>
        </w:tc>
        <w:tc>
          <w:tcPr>
            <w:tcW w:w="0" w:type="auto"/>
            <w:vAlign w:val="center"/>
            <w:hideMark/>
          </w:tcPr>
          <w:p w14:paraId="272551DB"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Review progress, costs and risks.</w:t>
            </w:r>
          </w:p>
        </w:tc>
      </w:tr>
      <w:tr w:rsidR="0092565E" w:rsidRPr="0092565E" w14:paraId="07AB1FA4" w14:textId="77777777">
        <w:trPr>
          <w:tblCellSpacing w:w="15" w:type="dxa"/>
        </w:trPr>
        <w:tc>
          <w:tcPr>
            <w:tcW w:w="0" w:type="auto"/>
            <w:vAlign w:val="center"/>
            <w:hideMark/>
          </w:tcPr>
          <w:p w14:paraId="77494B18"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Project team</w:t>
            </w:r>
          </w:p>
        </w:tc>
        <w:tc>
          <w:tcPr>
            <w:tcW w:w="0" w:type="auto"/>
            <w:vAlign w:val="center"/>
            <w:hideMark/>
          </w:tcPr>
          <w:p w14:paraId="51D2C377"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Team meetings and action log</w:t>
            </w:r>
          </w:p>
        </w:tc>
        <w:tc>
          <w:tcPr>
            <w:tcW w:w="0" w:type="auto"/>
            <w:vAlign w:val="center"/>
            <w:hideMark/>
          </w:tcPr>
          <w:p w14:paraId="1DA18DDD"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Weekly</w:t>
            </w:r>
          </w:p>
        </w:tc>
        <w:tc>
          <w:tcPr>
            <w:tcW w:w="0" w:type="auto"/>
            <w:vAlign w:val="center"/>
            <w:hideMark/>
          </w:tcPr>
          <w:p w14:paraId="59CC24C2"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Coordinate tasks and resolve problems.</w:t>
            </w:r>
          </w:p>
        </w:tc>
      </w:tr>
      <w:tr w:rsidR="0092565E" w:rsidRPr="0092565E" w14:paraId="09F3BAA1" w14:textId="77777777">
        <w:trPr>
          <w:tblCellSpacing w:w="15" w:type="dxa"/>
        </w:trPr>
        <w:tc>
          <w:tcPr>
            <w:tcW w:w="0" w:type="auto"/>
            <w:vAlign w:val="center"/>
            <w:hideMark/>
          </w:tcPr>
          <w:p w14:paraId="4AE97F0A"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Suppliers</w:t>
            </w:r>
          </w:p>
        </w:tc>
        <w:tc>
          <w:tcPr>
            <w:tcW w:w="0" w:type="auto"/>
            <w:vAlign w:val="center"/>
            <w:hideMark/>
          </w:tcPr>
          <w:p w14:paraId="7ABB7FC4"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Workshops, written guidance and help channel</w:t>
            </w:r>
          </w:p>
        </w:tc>
        <w:tc>
          <w:tcPr>
            <w:tcW w:w="0" w:type="auto"/>
            <w:vAlign w:val="center"/>
            <w:hideMark/>
          </w:tcPr>
          <w:p w14:paraId="062179F1"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Monthly during preparation</w:t>
            </w:r>
          </w:p>
        </w:tc>
        <w:tc>
          <w:tcPr>
            <w:tcW w:w="0" w:type="auto"/>
            <w:vAlign w:val="center"/>
            <w:hideMark/>
          </w:tcPr>
          <w:p w14:paraId="4D4FD037"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Explain requirements and improve data quality.</w:t>
            </w:r>
          </w:p>
        </w:tc>
      </w:tr>
      <w:tr w:rsidR="0092565E" w:rsidRPr="0092565E" w14:paraId="622F03CE" w14:textId="77777777">
        <w:trPr>
          <w:tblCellSpacing w:w="15" w:type="dxa"/>
        </w:trPr>
        <w:tc>
          <w:tcPr>
            <w:tcW w:w="0" w:type="auto"/>
            <w:vAlign w:val="center"/>
            <w:hideMark/>
          </w:tcPr>
          <w:p w14:paraId="664B7480"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Employees</w:t>
            </w:r>
          </w:p>
        </w:tc>
        <w:tc>
          <w:tcPr>
            <w:tcW w:w="0" w:type="auto"/>
            <w:vAlign w:val="center"/>
            <w:hideMark/>
          </w:tcPr>
          <w:p w14:paraId="77C12D4F"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Briefings, training and FAQs</w:t>
            </w:r>
          </w:p>
        </w:tc>
        <w:tc>
          <w:tcPr>
            <w:tcW w:w="0" w:type="auto"/>
            <w:vAlign w:val="center"/>
            <w:hideMark/>
          </w:tcPr>
          <w:p w14:paraId="48F43599"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During months 3–6</w:t>
            </w:r>
          </w:p>
        </w:tc>
        <w:tc>
          <w:tcPr>
            <w:tcW w:w="0" w:type="auto"/>
            <w:vAlign w:val="center"/>
            <w:hideMark/>
          </w:tcPr>
          <w:p w14:paraId="5BB8F8D6"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Support consistent implementation.</w:t>
            </w:r>
          </w:p>
        </w:tc>
      </w:tr>
      <w:tr w:rsidR="0092565E" w:rsidRPr="0092565E" w14:paraId="66FC91BE" w14:textId="77777777">
        <w:trPr>
          <w:tblCellSpacing w:w="15" w:type="dxa"/>
        </w:trPr>
        <w:tc>
          <w:tcPr>
            <w:tcW w:w="0" w:type="auto"/>
            <w:vAlign w:val="center"/>
            <w:hideMark/>
          </w:tcPr>
          <w:p w14:paraId="40B1DC6A"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Customers</w:t>
            </w:r>
          </w:p>
        </w:tc>
        <w:tc>
          <w:tcPr>
            <w:tcW w:w="0" w:type="auto"/>
            <w:vAlign w:val="center"/>
            <w:hideMark/>
          </w:tcPr>
          <w:p w14:paraId="02619B8A"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Website, platform, store information and surveys</w:t>
            </w:r>
          </w:p>
        </w:tc>
        <w:tc>
          <w:tcPr>
            <w:tcW w:w="0" w:type="auto"/>
            <w:vAlign w:val="center"/>
            <w:hideMark/>
          </w:tcPr>
          <w:p w14:paraId="7598A61E"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Ongoing</w:t>
            </w:r>
          </w:p>
        </w:tc>
        <w:tc>
          <w:tcPr>
            <w:tcW w:w="0" w:type="auto"/>
            <w:vAlign w:val="center"/>
            <w:hideMark/>
          </w:tcPr>
          <w:p w14:paraId="7C29B473"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Explain services and collect feedback.</w:t>
            </w:r>
          </w:p>
        </w:tc>
      </w:tr>
      <w:tr w:rsidR="0092565E" w:rsidRPr="0092565E" w14:paraId="00800BD2" w14:textId="77777777">
        <w:trPr>
          <w:tblCellSpacing w:w="15" w:type="dxa"/>
        </w:trPr>
        <w:tc>
          <w:tcPr>
            <w:tcW w:w="0" w:type="auto"/>
            <w:vAlign w:val="center"/>
            <w:hideMark/>
          </w:tcPr>
          <w:p w14:paraId="02700A82"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NGOs and communities</w:t>
            </w:r>
          </w:p>
        </w:tc>
        <w:tc>
          <w:tcPr>
            <w:tcW w:w="0" w:type="auto"/>
            <w:vAlign w:val="center"/>
            <w:hideMark/>
          </w:tcPr>
          <w:p w14:paraId="1F4FC098"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Consultation meetings</w:t>
            </w:r>
          </w:p>
        </w:tc>
        <w:tc>
          <w:tcPr>
            <w:tcW w:w="0" w:type="auto"/>
            <w:vAlign w:val="center"/>
            <w:hideMark/>
          </w:tcPr>
          <w:p w14:paraId="519C56DE"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During design and after the pilot</w:t>
            </w:r>
          </w:p>
        </w:tc>
        <w:tc>
          <w:tcPr>
            <w:tcW w:w="0" w:type="auto"/>
            <w:vAlign w:val="center"/>
            <w:hideMark/>
          </w:tcPr>
          <w:p w14:paraId="75BD76B6"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Identify local impacts and improve the programme.</w:t>
            </w:r>
          </w:p>
        </w:tc>
      </w:tr>
      <w:tr w:rsidR="0092565E" w:rsidRPr="0092565E" w14:paraId="5DDB9FC8" w14:textId="77777777">
        <w:trPr>
          <w:tblCellSpacing w:w="15" w:type="dxa"/>
        </w:trPr>
        <w:tc>
          <w:tcPr>
            <w:tcW w:w="0" w:type="auto"/>
            <w:vAlign w:val="center"/>
            <w:hideMark/>
          </w:tcPr>
          <w:p w14:paraId="4B5239C0"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Regulators</w:t>
            </w:r>
          </w:p>
        </w:tc>
        <w:tc>
          <w:tcPr>
            <w:tcW w:w="0" w:type="auto"/>
            <w:vAlign w:val="center"/>
            <w:hideMark/>
          </w:tcPr>
          <w:p w14:paraId="2C7E5903"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Formal communication and compliance reviews</w:t>
            </w:r>
          </w:p>
        </w:tc>
        <w:tc>
          <w:tcPr>
            <w:tcW w:w="0" w:type="auto"/>
            <w:vAlign w:val="center"/>
            <w:hideMark/>
          </w:tcPr>
          <w:p w14:paraId="06299A5D"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At relevant milestones</w:t>
            </w:r>
          </w:p>
        </w:tc>
        <w:tc>
          <w:tcPr>
            <w:tcW w:w="0" w:type="auto"/>
            <w:vAlign w:val="center"/>
            <w:hideMark/>
          </w:tcPr>
          <w:p w14:paraId="0513A633"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Check applicable requirements.</w:t>
            </w:r>
          </w:p>
        </w:tc>
      </w:tr>
      <w:tr w:rsidR="0092565E" w:rsidRPr="0092565E" w14:paraId="2C23AEB3" w14:textId="77777777">
        <w:trPr>
          <w:tblCellSpacing w:w="15" w:type="dxa"/>
        </w:trPr>
        <w:tc>
          <w:tcPr>
            <w:tcW w:w="0" w:type="auto"/>
            <w:vAlign w:val="center"/>
            <w:hideMark/>
          </w:tcPr>
          <w:p w14:paraId="4D8DB0C5"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Investors</w:t>
            </w:r>
          </w:p>
        </w:tc>
        <w:tc>
          <w:tcPr>
            <w:tcW w:w="0" w:type="auto"/>
            <w:vAlign w:val="center"/>
            <w:hideMark/>
          </w:tcPr>
          <w:p w14:paraId="4FC34BBC"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Existing corporate reporting channels</w:t>
            </w:r>
          </w:p>
        </w:tc>
        <w:tc>
          <w:tcPr>
            <w:tcW w:w="0" w:type="auto"/>
            <w:vAlign w:val="center"/>
            <w:hideMark/>
          </w:tcPr>
          <w:p w14:paraId="123D40CB"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At agreed reporting points</w:t>
            </w:r>
          </w:p>
        </w:tc>
        <w:tc>
          <w:tcPr>
            <w:tcW w:w="0" w:type="auto"/>
            <w:vAlign w:val="center"/>
            <w:hideMark/>
          </w:tcPr>
          <w:p w14:paraId="52EB68E3" w14:textId="77777777" w:rsidR="0092565E" w:rsidRPr="0092565E" w:rsidRDefault="0092565E" w:rsidP="0092565E">
            <w:pPr>
              <w:spacing w:after="0" w:line="240" w:lineRule="auto"/>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Explain material risks and performance.</w:t>
            </w:r>
          </w:p>
        </w:tc>
      </w:tr>
    </w:tbl>
    <w:p w14:paraId="6FF1C185"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Each communication should have a named owner. Urgent legal, safety or data protection concerns must be escalated immediately rather than waiting for the next scheduled meeting.</w:t>
      </w:r>
    </w:p>
    <w:p w14:paraId="289A09DF" w14:textId="77777777" w:rsidR="00EF40F6" w:rsidRDefault="0092565E" w:rsidP="00EF40F6">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communication plan should also be reviewed regularly. If a method is not reaching the intended group, the project manager should select a more appropriate channel.</w:t>
      </w:r>
    </w:p>
    <w:p w14:paraId="387981E9" w14:textId="77777777" w:rsidR="0092565E" w:rsidRPr="00EF40F6" w:rsidRDefault="0092565E" w:rsidP="00EF40F6">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5.8 Six-month implementation roadmap</w:t>
      </w:r>
    </w:p>
    <w:p w14:paraId="28798F94"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 structured roadmap can help the project meet its launch deadline without ignoring important risks.</w:t>
      </w:r>
    </w:p>
    <w:p w14:paraId="5A85E2A0"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Month 1 – Planning and stakeholder mapping</w:t>
      </w:r>
    </w:p>
    <w:p w14:paraId="5D54075D"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Confirm the scope, budget, governance and SMART objectives. Identify the main stakeholders, assess their influence and interests, and establish a risk register. Assign an owner to each high-priority relationship.</w:t>
      </w:r>
    </w:p>
    <w:p w14:paraId="7BAB628F"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Month 2 – Consultation and design</w:t>
      </w:r>
    </w:p>
    <w:p w14:paraId="78F0F7BD"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Conduct customer surveys, employee discussions, supplier workshops and community consultations. Use the findings to improve the platform, service design and communication materials.</w:t>
      </w:r>
    </w:p>
    <w:p w14:paraId="4F5D0E29"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Month 3 – Development and partnerships</w:t>
      </w:r>
    </w:p>
    <w:p w14:paraId="3FF52884"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Develop the platform, agree supplier data requirements and select suitable repair, recycling and community partners. Confirm responsibilities, data-sharing arrangements and local compliance requirements.</w:t>
      </w:r>
    </w:p>
    <w:p w14:paraId="3B201FD4"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Month 4 – Testing and training</w:t>
      </w:r>
    </w:p>
    <w:p w14:paraId="5A71D39E"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Test the platform for usability, accessibility, security and reliability. Train employees and test supplier reporting processes. Resolve significant technical and operational problems.</w:t>
      </w:r>
    </w:p>
    <w:p w14:paraId="5BD038CD"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Month 5 – Pilot readiness</w:t>
      </w:r>
    </w:p>
    <w:p w14:paraId="5E1FF99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Test </w:t>
      </w:r>
      <w:r w:rsidR="003E6968" w:rsidRPr="0092565E">
        <w:rPr>
          <w:rFonts w:ascii="Times New Roman" w:eastAsia="Times New Roman" w:hAnsi="Times New Roman" w:cs="Times New Roman"/>
          <w:kern w:val="0"/>
          <w:lang w:eastAsia="en-GB"/>
          <w14:ligatures w14:val="none"/>
        </w:rPr>
        <w:t>Green Path</w:t>
      </w:r>
      <w:r w:rsidRPr="0092565E">
        <w:rPr>
          <w:rFonts w:ascii="Times New Roman" w:eastAsia="Times New Roman" w:hAnsi="Times New Roman" w:cs="Times New Roman"/>
          <w:kern w:val="0"/>
          <w:lang w:eastAsia="en-GB"/>
          <w14:ligatures w14:val="none"/>
        </w:rPr>
        <w:t xml:space="preserve"> 360 in a limited number of selected locations. Review customer response, supplier readiness, collection capacity and service quality. Make improvements based on evidence.</w:t>
      </w:r>
    </w:p>
    <w:p w14:paraId="0BB7365B"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Month 6 – Launch decision</w:t>
      </w:r>
    </w:p>
    <w:p w14:paraId="0EACF763"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sponsor should review the evidence and decide whether the programme is ready to launch. Essential legal, safety, data protection, technical and operational requirements must be satisfied.</w:t>
      </w:r>
    </w:p>
    <w:p w14:paraId="1C9B388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If serious problems remain unresolved, the launch should be delayed or reduced in scope. Meeting a deadline should not take priority over customer safety, compliance or credible environmental performance.</w:t>
      </w:r>
    </w:p>
    <w:p w14:paraId="09D4694A" w14:textId="77777777" w:rsid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After launch, the team should monitor the programme and complete an initial review within three months.</w:t>
      </w:r>
    </w:p>
    <w:p w14:paraId="34D7F1FB" w14:textId="77777777" w:rsidR="0092565E" w:rsidRP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5.9 Conflict management</w:t>
      </w:r>
    </w:p>
    <w:p w14:paraId="5B6B0991"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Conflict is likely because stakeholders have different priorities. Suppliers may be concerned about costs, employees about workload, customers about convenience and senior managers about financial performance.</w:t>
      </w:r>
    </w:p>
    <w:p w14:paraId="345AE24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manager should first identify the cause of a disagreement. It may result from competing interests, unclear responsibilities, missing information, limited resources or different ethical expectations.</w:t>
      </w:r>
    </w:p>
    <w:p w14:paraId="1DA7BF7F"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Thomas and Kilmann (1974) identify five conflict-handling approaches: competing, accommodating, avoiding, compromising and collaborating.</w:t>
      </w:r>
    </w:p>
    <w:p w14:paraId="476A2EB9"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Collaboration</w:t>
      </w:r>
      <w:r w:rsidRPr="0092565E">
        <w:rPr>
          <w:rFonts w:ascii="Times New Roman" w:eastAsia="Times New Roman" w:hAnsi="Times New Roman" w:cs="Times New Roman"/>
          <w:kern w:val="0"/>
          <w:lang w:eastAsia="en-GB"/>
          <w14:ligatures w14:val="none"/>
        </w:rPr>
        <w:t xml:space="preserve"> is useful when the relationship is important and there is time to find a solution. For example, a smaller supplier may struggle to provide detailed environmental data immediately. Rather than excluding the supplier, Tesco could introduce phased reporting and provide technical guidance.</w:t>
      </w:r>
    </w:p>
    <w:p w14:paraId="4F8F42E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Compromise</w:t>
      </w:r>
      <w:r w:rsidRPr="0092565E">
        <w:rPr>
          <w:rFonts w:ascii="Times New Roman" w:eastAsia="Times New Roman" w:hAnsi="Times New Roman" w:cs="Times New Roman"/>
          <w:kern w:val="0"/>
          <w:lang w:eastAsia="en-GB"/>
          <w14:ligatures w14:val="none"/>
        </w:rPr>
        <w:t xml:space="preserve"> may be appropriate when both parties have legitimate interests. The project team could agree to collect the most important data during the pilot and introduce additional requirements later.</w:t>
      </w:r>
    </w:p>
    <w:p w14:paraId="46066DA3"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Accommodation</w:t>
      </w:r>
      <w:r w:rsidRPr="0092565E">
        <w:rPr>
          <w:rFonts w:ascii="Times New Roman" w:eastAsia="Times New Roman" w:hAnsi="Times New Roman" w:cs="Times New Roman"/>
          <w:kern w:val="0"/>
          <w:lang w:eastAsia="en-GB"/>
          <w14:ligatures w14:val="none"/>
        </w:rPr>
        <w:t xml:space="preserve"> may be suitable when a minor issue matters much more to one stakeholder than to another, provided that accommodating the request does not create a serious risk.</w:t>
      </w:r>
    </w:p>
    <w:p w14:paraId="7FA8D842"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Avoidance</w:t>
      </w:r>
      <w:r w:rsidRPr="0092565E">
        <w:rPr>
          <w:rFonts w:ascii="Times New Roman" w:eastAsia="Times New Roman" w:hAnsi="Times New Roman" w:cs="Times New Roman"/>
          <w:kern w:val="0"/>
          <w:lang w:eastAsia="en-GB"/>
          <w14:ligatures w14:val="none"/>
        </w:rPr>
        <w:t xml:space="preserve"> may provide temporary time to gather information, but it should not be used to ignore important concerns.</w:t>
      </w:r>
    </w:p>
    <w:p w14:paraId="0B7D5836"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Competition or a firm decision</w:t>
      </w:r>
      <w:r w:rsidRPr="0092565E">
        <w:rPr>
          <w:rFonts w:ascii="Times New Roman" w:eastAsia="Times New Roman" w:hAnsi="Times New Roman" w:cs="Times New Roman"/>
          <w:kern w:val="0"/>
          <w:lang w:eastAsia="en-GB"/>
          <w14:ligatures w14:val="none"/>
        </w:rPr>
        <w:t xml:space="preserve"> may be necessary when there is an urgent safety risk, a legal breach or suspected fraud. Legal and ethical obligations should not be abandoned simply to maintain agreement.</w:t>
      </w:r>
    </w:p>
    <w:p w14:paraId="62ADC963"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manager should document the issue, evidence, options, decision and follow-up actions. Serious disputes should be escalated to the project sponsor or relevant compliance specialist.</w:t>
      </w:r>
    </w:p>
    <w:p w14:paraId="4013B687" w14:textId="77777777" w:rsid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A fair process is especially important when one party has greater power than another. Smaller suppliers, employees and community groups should have a safe route to raise concerns.</w:t>
      </w:r>
    </w:p>
    <w:p w14:paraId="4F4E3188" w14:textId="77777777" w:rsidR="0092565E" w:rsidRP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5.10 International and ethical engagement</w:t>
      </w:r>
    </w:p>
    <w:p w14:paraId="05CF1C1B" w14:textId="77777777" w:rsidR="0092565E" w:rsidRPr="0092565E" w:rsidRDefault="003E6968"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Green Path</w:t>
      </w:r>
      <w:r w:rsidR="0092565E" w:rsidRPr="0092565E">
        <w:rPr>
          <w:rFonts w:ascii="Times New Roman" w:eastAsia="Times New Roman" w:hAnsi="Times New Roman" w:cs="Times New Roman"/>
          <w:kern w:val="0"/>
          <w:lang w:eastAsia="en-GB"/>
          <w14:ligatures w14:val="none"/>
        </w:rPr>
        <w:t xml:space="preserve"> 360 is intended for selected markets worldwide. The project should therefore maintain consistent ethical principles while adapting implementation to local circumstances.</w:t>
      </w:r>
    </w:p>
    <w:p w14:paraId="7575E849"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Core principles should include truthful environmental claims, respect for personal data, safe material handling, accessibility and fair supplier treatment. However, language, collection systems, customer expectations and legal requirements may differ between markets.</w:t>
      </w:r>
    </w:p>
    <w:p w14:paraId="475D265D"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For example, a market with established repair networks may support a different service model from one with limited repair infrastructure. Local teams should help determine which methods are realistic.</w:t>
      </w:r>
    </w:p>
    <w:p w14:paraId="5B95A2B6"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should also avoid assuming that customers in every market have the same access to digital technology. A digital platform should be supported by alternative ways to obtain information and participate.</w:t>
      </w:r>
    </w:p>
    <w:p w14:paraId="169013A9" w14:textId="77777777" w:rsid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Local adaptation should not be used to justify lower ethical standards. Instead, it should help the organisation achieve common sustainability objectives through methods that work in each market.</w:t>
      </w:r>
    </w:p>
    <w:p w14:paraId="304EF151" w14:textId="77777777" w:rsidR="00485AE6" w:rsidRDefault="00485AE6" w:rsidP="003E6968">
      <w:pPr>
        <w:spacing w:before="100" w:beforeAutospacing="1" w:after="100" w:afterAutospacing="1" w:line="240" w:lineRule="auto"/>
        <w:textAlignment w:val="baseline"/>
        <w:rPr>
          <w:rFonts w:ascii="Times New Roman" w:eastAsia="Times New Roman" w:hAnsi="Times New Roman" w:cs="Times New Roman"/>
          <w:b/>
          <w:bCs/>
          <w:kern w:val="36"/>
          <w:sz w:val="48"/>
          <w:szCs w:val="48"/>
          <w:lang w:eastAsia="en-GB"/>
          <w14:ligatures w14:val="none"/>
        </w:rPr>
      </w:pPr>
    </w:p>
    <w:p w14:paraId="5F8C8FBC" w14:textId="77777777" w:rsid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36"/>
          <w:sz w:val="48"/>
          <w:szCs w:val="48"/>
          <w:lang w:eastAsia="en-GB"/>
          <w14:ligatures w14:val="none"/>
        </w:rPr>
        <w:t>6. Impact, Benefits, Risks and Ethical Considerations</w:t>
      </w:r>
    </w:p>
    <w:p w14:paraId="2E72FAF0" w14:textId="77777777" w:rsidR="0092565E" w:rsidRP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6.1 Business performance and customer trust</w:t>
      </w:r>
    </w:p>
    <w:p w14:paraId="0C118249"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Effective stakeholder engagement may improve business performance by helping the organisation understand customer needs, identify operational problems and develop more useful services.</w:t>
      </w:r>
    </w:p>
    <w:p w14:paraId="16BFEDBC" w14:textId="77777777" w:rsidR="0092565E" w:rsidRPr="0092565E" w:rsidRDefault="003E6968"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Green Path</w:t>
      </w:r>
      <w:r w:rsidR="0092565E" w:rsidRPr="0092565E">
        <w:rPr>
          <w:rFonts w:ascii="Times New Roman" w:eastAsia="Times New Roman" w:hAnsi="Times New Roman" w:cs="Times New Roman"/>
          <w:kern w:val="0"/>
          <w:lang w:eastAsia="en-GB"/>
          <w14:ligatures w14:val="none"/>
        </w:rPr>
        <w:t xml:space="preserve"> 360 could strengthen customer trust by making product information clearer and providing convenient repair or recycling options. Christopher, Payne and Ballantyne (2013) explain the importance of relationships and stakeholder value in relationship marketing. This supports the idea that long-term relationships can be strategically important.</w:t>
      </w:r>
    </w:p>
    <w:p w14:paraId="5C0FF626"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However, better engagement does not automatically guarantee higher sales or lower costs. Software, training, collection facilities and supplier support require investment. Customers may also choose not to participate.</w:t>
      </w:r>
    </w:p>
    <w:p w14:paraId="6B62FA20" w14:textId="77777777" w:rsid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Tesco should therefore evaluate customer satisfaction and repeat participation alongside costs, operational performance and environmental outcomes. Financial benefits should be reported only when supported by evidence.</w:t>
      </w:r>
    </w:p>
    <w:p w14:paraId="4F229429" w14:textId="77777777" w:rsidR="0092565E" w:rsidRP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6.2 Circular economy and environmental outcomes</w:t>
      </w:r>
    </w:p>
    <w:p w14:paraId="7C9AD084" w14:textId="77777777" w:rsidR="0092565E" w:rsidRPr="0092565E" w:rsidRDefault="003E6968"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Green Path</w:t>
      </w:r>
      <w:r w:rsidR="0092565E" w:rsidRPr="0092565E">
        <w:rPr>
          <w:rFonts w:ascii="Times New Roman" w:eastAsia="Times New Roman" w:hAnsi="Times New Roman" w:cs="Times New Roman"/>
          <w:kern w:val="0"/>
          <w:lang w:eastAsia="en-GB"/>
          <w14:ligatures w14:val="none"/>
        </w:rPr>
        <w:t xml:space="preserve"> 360 could support the circular economy by extending product life, encouraging reuse and improving the collection of suitable materials.</w:t>
      </w:r>
    </w:p>
    <w:p w14:paraId="5A3E602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The Ellen MacArthur Foundation (2013) explains that circular economy approaches aim to keep products and materials in use and reduce waste. This provides a relevant theoretical basis for the initiative.</w:t>
      </w:r>
    </w:p>
    <w:p w14:paraId="25FC5A84"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However, the project must distinguish between activities and outcomes. The number of customers registering or items collected does not prove that environmental impact has improved.</w:t>
      </w:r>
    </w:p>
    <w:p w14:paraId="5D294E52"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Useful indicators could include:</w:t>
      </w:r>
    </w:p>
    <w:p w14:paraId="14AE8DDD" w14:textId="77777777" w:rsidR="0092565E" w:rsidRPr="0092565E" w:rsidRDefault="0092565E" w:rsidP="0092565E">
      <w:pPr>
        <w:numPr>
          <w:ilvl w:val="0"/>
          <w:numId w:val="3"/>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quantity of products repaired or reused.</w:t>
      </w:r>
    </w:p>
    <w:p w14:paraId="0785043F" w14:textId="77777777" w:rsidR="0092565E" w:rsidRPr="0092565E" w:rsidRDefault="0092565E" w:rsidP="0092565E">
      <w:pPr>
        <w:numPr>
          <w:ilvl w:val="0"/>
          <w:numId w:val="3"/>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weight and type of materials collected.</w:t>
      </w:r>
    </w:p>
    <w:p w14:paraId="150097C4" w14:textId="77777777" w:rsidR="0092565E" w:rsidRPr="0092565E" w:rsidRDefault="0092565E" w:rsidP="0092565E">
      <w:pPr>
        <w:numPr>
          <w:ilvl w:val="0"/>
          <w:numId w:val="3"/>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proportion of collected materials successfully processed.</w:t>
      </w:r>
    </w:p>
    <w:p w14:paraId="52CAFA7E" w14:textId="77777777" w:rsidR="0092565E" w:rsidRPr="0092565E" w:rsidRDefault="0092565E" w:rsidP="0092565E">
      <w:pPr>
        <w:numPr>
          <w:ilvl w:val="0"/>
          <w:numId w:val="3"/>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amount of waste avoided, where it can be reliably measured.</w:t>
      </w:r>
    </w:p>
    <w:p w14:paraId="4FF887C4" w14:textId="77777777" w:rsidR="0092565E" w:rsidRPr="0092565E" w:rsidRDefault="0092565E" w:rsidP="0092565E">
      <w:pPr>
        <w:numPr>
          <w:ilvl w:val="0"/>
          <w:numId w:val="3"/>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Transport and processing impacts.</w:t>
      </w:r>
    </w:p>
    <w:p w14:paraId="0C7D5BCC" w14:textId="77777777" w:rsidR="0092565E" w:rsidRPr="0092565E" w:rsidRDefault="0092565E" w:rsidP="0092565E">
      <w:pPr>
        <w:numPr>
          <w:ilvl w:val="0"/>
          <w:numId w:val="3"/>
        </w:num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Customer participation and satisfaction.</w:t>
      </w:r>
    </w:p>
    <w:p w14:paraId="403762AC" w14:textId="77777777" w:rsid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initiative should prioritise waste prevention and product life extension where practical. Recycling remains important, but it should not be presented as a complete solution to unnecessary consumption.</w:t>
      </w:r>
    </w:p>
    <w:p w14:paraId="27D137DA" w14:textId="77777777" w:rsidR="0092565E" w:rsidRP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6.3 Responsible supply chains</w:t>
      </w:r>
    </w:p>
    <w:p w14:paraId="2058781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Supplier transparency can help identify environmental and social risks. The OECD (2018) recommends risk-based due diligence for responsible business conduct.</w:t>
      </w:r>
    </w:p>
    <w:p w14:paraId="7D03F8A6" w14:textId="77777777" w:rsidR="0092565E" w:rsidRPr="0092565E" w:rsidRDefault="003E6968"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Green Path</w:t>
      </w:r>
      <w:r w:rsidR="0092565E" w:rsidRPr="0092565E">
        <w:rPr>
          <w:rFonts w:ascii="Times New Roman" w:eastAsia="Times New Roman" w:hAnsi="Times New Roman" w:cs="Times New Roman"/>
          <w:kern w:val="0"/>
          <w:lang w:eastAsia="en-GB"/>
          <w14:ligatures w14:val="none"/>
        </w:rPr>
        <w:t xml:space="preserve"> 360 could help improve product information and encourage suppliers to address weaknesses in their practices. Procurement teams could prioritise higher-risk suppliers and products and agree corrective actions when problems are identified.</w:t>
      </w:r>
    </w:p>
    <w:p w14:paraId="1C66E08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However, reporting requirements may create disproportionate costs for smaller suppliers. Complex requirements could lead to exclusion and reduce supplier diversity.</w:t>
      </w:r>
    </w:p>
    <w:p w14:paraId="31C08E5C" w14:textId="77777777" w:rsid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should provide clear templates, practical training, reasonable deadlines and a phased approach. Serious misconduct must still be investigated and addressed. Support should help suppliers improve rather than excuse harmful practices.</w:t>
      </w:r>
    </w:p>
    <w:p w14:paraId="432227CE" w14:textId="77777777" w:rsidR="0092565E" w:rsidRP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6.4 Innovation and social value</w:t>
      </w:r>
    </w:p>
    <w:p w14:paraId="105DCF26"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Collaboration can encourage innovation by bringing together manufacturers, repair businesses, customers, logistics providers and community organisations.</w:t>
      </w:r>
    </w:p>
    <w:p w14:paraId="79E098F4"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For example, repair partners may identify products that are difficult to maintain, while customer feedback may reveal barriers to using existing services. These insights could lead to better product information and more accessible repair options.</w:t>
      </w:r>
    </w:p>
    <w:p w14:paraId="3858B2AA"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Community partnerships may also support education, local employment and reuse activities. However, these partnerships must be genuine. NGOs should remain free to criticise the programme and should not be expected to endorse the company in exchange for support.</w:t>
      </w:r>
    </w:p>
    <w:p w14:paraId="3DCAFE7F" w14:textId="77777777" w:rsid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 xml:space="preserve">The initiative should also consider people who cannot or do not wish to use </w:t>
      </w:r>
      <w:r w:rsidR="003E6968" w:rsidRPr="0092565E">
        <w:rPr>
          <w:rFonts w:ascii="Times New Roman" w:eastAsia="Times New Roman" w:hAnsi="Times New Roman" w:cs="Times New Roman"/>
          <w:kern w:val="0"/>
          <w:lang w:eastAsia="en-GB"/>
          <w14:ligatures w14:val="none"/>
        </w:rPr>
        <w:t>app. Accessible alternatives</w:t>
      </w:r>
      <w:r w:rsidRPr="0092565E">
        <w:rPr>
          <w:rFonts w:ascii="Times New Roman" w:eastAsia="Times New Roman" w:hAnsi="Times New Roman" w:cs="Times New Roman"/>
          <w:kern w:val="0"/>
          <w:lang w:eastAsia="en-GB"/>
          <w14:ligatures w14:val="none"/>
        </w:rPr>
        <w:t xml:space="preserve"> are necessary to avoid excluding customers from the benefits.</w:t>
      </w:r>
    </w:p>
    <w:p w14:paraId="2F9226B4" w14:textId="77777777" w:rsidR="0092565E" w:rsidRP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6.5 Greenwashing, data protection and fairness</w:t>
      </w:r>
    </w:p>
    <w:p w14:paraId="14E395B2"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Greenwashing is a significant ethical and reputational risk. It occurs when environmental claims create a misleading impression of a product or organisation’s environmental performance.</w:t>
      </w:r>
    </w:p>
    <w:p w14:paraId="79F27A05"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UK Competition and Markets Authority’s Green Claims Code states that environmental claims should be clear, accurate and supported by evidence (CMA, 2021).</w:t>
      </w:r>
    </w:p>
    <w:p w14:paraId="66400009" w14:textId="77777777" w:rsidR="0092565E" w:rsidRPr="0092565E" w:rsidRDefault="003E6968"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Green Path</w:t>
      </w:r>
      <w:r w:rsidR="0092565E" w:rsidRPr="0092565E">
        <w:rPr>
          <w:rFonts w:ascii="Times New Roman" w:eastAsia="Times New Roman" w:hAnsi="Times New Roman" w:cs="Times New Roman"/>
          <w:kern w:val="0"/>
          <w:lang w:eastAsia="en-GB"/>
          <w14:ligatures w14:val="none"/>
        </w:rPr>
        <w:t xml:space="preserve"> 360 should distinguish between a product that is technically recyclable and one that can actually be collected and processed in a particular market. Claims should be checked before publication and updated when evidence changes.</w:t>
      </w:r>
    </w:p>
    <w:p w14:paraId="404E3A9A"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digital platform may also collect customer information. The organisation should collect only necessary data, explain how it will be used, restrict access and apply appropriate security and retention controls. Applicable data protection laws must be checked in each market.</w:t>
      </w:r>
    </w:p>
    <w:p w14:paraId="142AFDEA"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Fair treatment is equally important. Employees should not face unrealistic targets without adequate resources, and suppliers should understand their responsibilities before agreeing to participate.</w:t>
      </w:r>
    </w:p>
    <w:p w14:paraId="505BB6ED" w14:textId="77777777" w:rsid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Ethical engagement requires transparency about both success and failure. Reporting only positive results may damage trust if stakeholders later discover that the programme did not achieve its stated objectives.</w:t>
      </w:r>
    </w:p>
    <w:p w14:paraId="69856F6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6.6 Measuring the impact of stakeholder engagement</w:t>
      </w:r>
    </w:p>
    <w:p w14:paraId="3F106D75"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Evaluation should combine engagement measures, operational indicators and environmental outcomes.</w:t>
      </w:r>
    </w:p>
    <w:p w14:paraId="7443F891"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Engagement indicators could include stakeholder participation, response times, satisfaction and the percentage of important concerns addressed. Operational indicators could include employee training completion, supplier data quality and platform reliability. Environmental indicators should measure meaningful outcomes such as product reuse, recycling quality and waste avoided.</w:t>
      </w:r>
    </w:p>
    <w:p w14:paraId="6EA3D56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project team should record a baseline before the pilot. It should then compare performance over time and, where practical, against similar locations that have not yet introduced the initiative.</w:t>
      </w:r>
    </w:p>
    <w:p w14:paraId="1E3F8F1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Quantitative information should be combined with interviews and surveys. Numbers can show what happened, but qualitative feedback may explain why a service worked or failed.</w:t>
      </w:r>
    </w:p>
    <w:p w14:paraId="07612CC4"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Indicators should also be checked for unintended consequences. For example, a target based only on the weight of collected material could encourage the collection of materials that cannot be recycled effectively.</w:t>
      </w:r>
    </w:p>
    <w:p w14:paraId="35FF12A7" w14:textId="77777777" w:rsid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The project manager should publish an initial review within three months of launch. The review should identify successes, weaknesses and corrective actions, with named owners and deadlines.</w:t>
      </w:r>
    </w:p>
    <w:p w14:paraId="157B5408" w14:textId="77777777" w:rsidR="00DB7CA4" w:rsidRDefault="00DB7CA4" w:rsidP="003E6968">
      <w:pPr>
        <w:spacing w:before="100" w:beforeAutospacing="1" w:after="100" w:afterAutospacing="1" w:line="240" w:lineRule="auto"/>
        <w:textAlignment w:val="baseline"/>
        <w:rPr>
          <w:rFonts w:ascii="Times New Roman" w:eastAsia="Times New Roman" w:hAnsi="Times New Roman" w:cs="Times New Roman"/>
          <w:b/>
          <w:bCs/>
          <w:kern w:val="36"/>
          <w:sz w:val="48"/>
          <w:szCs w:val="48"/>
          <w:lang w:eastAsia="en-GB"/>
          <w14:ligatures w14:val="none"/>
        </w:rPr>
      </w:pPr>
    </w:p>
    <w:p w14:paraId="375375B2" w14:textId="77777777" w:rsid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36"/>
          <w:sz w:val="48"/>
          <w:szCs w:val="48"/>
          <w:lang w:eastAsia="en-GB"/>
          <w14:ligatures w14:val="none"/>
        </w:rPr>
        <w:t>7. Recommendations and Conclusion</w:t>
      </w:r>
    </w:p>
    <w:p w14:paraId="17D70FBF" w14:textId="77777777" w:rsidR="0092565E" w:rsidRP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7.1 Recommendations</w:t>
      </w:r>
    </w:p>
    <w:p w14:paraId="3083E34F"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The following recommendations are proposed for </w:t>
      </w:r>
      <w:r w:rsidR="003E6968" w:rsidRPr="0092565E">
        <w:rPr>
          <w:rFonts w:ascii="Times New Roman" w:eastAsia="Times New Roman" w:hAnsi="Times New Roman" w:cs="Times New Roman"/>
          <w:kern w:val="0"/>
          <w:lang w:eastAsia="en-GB"/>
          <w14:ligatures w14:val="none"/>
        </w:rPr>
        <w:t>Green Path</w:t>
      </w:r>
      <w:r w:rsidRPr="0092565E">
        <w:rPr>
          <w:rFonts w:ascii="Times New Roman" w:eastAsia="Times New Roman" w:hAnsi="Times New Roman" w:cs="Times New Roman"/>
          <w:kern w:val="0"/>
          <w:lang w:eastAsia="en-GB"/>
          <w14:ligatures w14:val="none"/>
        </w:rPr>
        <w:t xml:space="preserve"> 360:</w:t>
      </w:r>
    </w:p>
    <w:p w14:paraId="4EB42E22"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1. Establish clear governance.</w:t>
      </w:r>
      <w:r w:rsidRPr="0092565E">
        <w:rPr>
          <w:rFonts w:ascii="Times New Roman" w:eastAsia="Times New Roman" w:hAnsi="Times New Roman" w:cs="Times New Roman"/>
          <w:kern w:val="0"/>
          <w:lang w:eastAsia="en-GB"/>
          <w14:ligatures w14:val="none"/>
        </w:rPr>
        <w:t xml:space="preserve"> Appoint a senior sponsor, project manager and cross-functional steering group. Assign clear owners for stakeholder relationships, project activities and major risks.</w:t>
      </w:r>
    </w:p>
    <w:p w14:paraId="715A9F6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2. Engage stakeholders early.</w:t>
      </w:r>
      <w:r w:rsidRPr="0092565E">
        <w:rPr>
          <w:rFonts w:ascii="Times New Roman" w:eastAsia="Times New Roman" w:hAnsi="Times New Roman" w:cs="Times New Roman"/>
          <w:kern w:val="0"/>
          <w:lang w:eastAsia="en-GB"/>
          <w14:ligatures w14:val="none"/>
        </w:rPr>
        <w:t xml:space="preserve"> Consult customers, employees, suppliers, NGOs and community representatives before finalising the design. Explain how feedback has influenced decisions.</w:t>
      </w:r>
    </w:p>
    <w:p w14:paraId="3CA2E09B"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3. Review stakeholder mapping regularly.</w:t>
      </w:r>
      <w:r w:rsidRPr="0092565E">
        <w:rPr>
          <w:rFonts w:ascii="Times New Roman" w:eastAsia="Times New Roman" w:hAnsi="Times New Roman" w:cs="Times New Roman"/>
          <w:kern w:val="0"/>
          <w:lang w:eastAsia="en-GB"/>
          <w14:ligatures w14:val="none"/>
        </w:rPr>
        <w:t xml:space="preserve"> Use Mendelow’s matrix and the Stakeholder Salience Model throughout the project. Update the analysis when new risks or stakeholders emerge.</w:t>
      </w:r>
    </w:p>
    <w:p w14:paraId="4F8F633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4. Support smaller suppliers.</w:t>
      </w:r>
      <w:r w:rsidRPr="0092565E">
        <w:rPr>
          <w:rFonts w:ascii="Times New Roman" w:eastAsia="Times New Roman" w:hAnsi="Times New Roman" w:cs="Times New Roman"/>
          <w:kern w:val="0"/>
          <w:lang w:eastAsia="en-GB"/>
          <w14:ligatures w14:val="none"/>
        </w:rPr>
        <w:t xml:space="preserve"> Provide practical guidance, proportionate reporting requirements and realistic deadlines while maintaining clear ethical standards.</w:t>
      </w:r>
    </w:p>
    <w:p w14:paraId="4ADE04B4"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5. Use a controlled pilot.</w:t>
      </w:r>
      <w:r w:rsidRPr="0092565E">
        <w:rPr>
          <w:rFonts w:ascii="Times New Roman" w:eastAsia="Times New Roman" w:hAnsi="Times New Roman" w:cs="Times New Roman"/>
          <w:kern w:val="0"/>
          <w:lang w:eastAsia="en-GB"/>
          <w14:ligatures w14:val="none"/>
        </w:rPr>
        <w:t xml:space="preserve"> Test the platform, staff training, accessibility, service capacity and compliance before expanding. Delay or reduce the launch if serious risks remain.</w:t>
      </w:r>
    </w:p>
    <w:p w14:paraId="4267516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6. Protect trust.</w:t>
      </w:r>
      <w:r w:rsidRPr="0092565E">
        <w:rPr>
          <w:rFonts w:ascii="Times New Roman" w:eastAsia="Times New Roman" w:hAnsi="Times New Roman" w:cs="Times New Roman"/>
          <w:kern w:val="0"/>
          <w:lang w:eastAsia="en-GB"/>
          <w14:ligatures w14:val="none"/>
        </w:rPr>
        <w:t xml:space="preserve"> Check environmental claims, data protection, accessibility and local legal requirements before launching in each market.</w:t>
      </w:r>
    </w:p>
    <w:p w14:paraId="10AB6285"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7. Measure real outcomes.</w:t>
      </w:r>
      <w:r w:rsidRPr="0092565E">
        <w:rPr>
          <w:rFonts w:ascii="Times New Roman" w:eastAsia="Times New Roman" w:hAnsi="Times New Roman" w:cs="Times New Roman"/>
          <w:kern w:val="0"/>
          <w:lang w:eastAsia="en-GB"/>
          <w14:ligatures w14:val="none"/>
        </w:rPr>
        <w:t xml:space="preserve"> Monitor participation and satisfaction alongside verified environmental indicators, supplier improvements, operational performance and costs.</w:t>
      </w:r>
    </w:p>
    <w:p w14:paraId="19EF4A55" w14:textId="77777777" w:rsid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lang w:eastAsia="en-GB"/>
          <w14:ligatures w14:val="none"/>
        </w:rPr>
        <w:t>8. Adapt implementation locally.</w:t>
      </w:r>
      <w:r w:rsidRPr="0092565E">
        <w:rPr>
          <w:rFonts w:ascii="Times New Roman" w:eastAsia="Times New Roman" w:hAnsi="Times New Roman" w:cs="Times New Roman"/>
          <w:kern w:val="0"/>
          <w:lang w:eastAsia="en-GB"/>
          <w14:ligatures w14:val="none"/>
        </w:rPr>
        <w:t xml:space="preserve"> Maintain common ethical principles while adapting communication, partnerships and services to local culture and infrastructure.</w:t>
      </w:r>
    </w:p>
    <w:p w14:paraId="0C035355" w14:textId="77777777" w:rsidR="0092565E" w:rsidRP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0"/>
          <w:sz w:val="36"/>
          <w:szCs w:val="36"/>
          <w:lang w:eastAsia="en-GB"/>
          <w14:ligatures w14:val="none"/>
        </w:rPr>
        <w:t>7.2 Conclusion</w:t>
      </w:r>
    </w:p>
    <w:p w14:paraId="76A09D0C" w14:textId="77777777" w:rsidR="0092565E" w:rsidRPr="0092565E" w:rsidRDefault="003E6968"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Green Path</w:t>
      </w:r>
      <w:r w:rsidR="0092565E" w:rsidRPr="0092565E">
        <w:rPr>
          <w:rFonts w:ascii="Times New Roman" w:eastAsia="Times New Roman" w:hAnsi="Times New Roman" w:cs="Times New Roman"/>
          <w:kern w:val="0"/>
          <w:lang w:eastAsia="en-GB"/>
          <w14:ligatures w14:val="none"/>
        </w:rPr>
        <w:t xml:space="preserve"> 360 could help Tesco improve sustainability performance and strengthen relationships with customers, suppliers, employees and communities. However, success will depend on effective stakeholder engagement, practical infrastructure and credible evidence rather than a digital platform or marketing campaign alone.</w:t>
      </w:r>
    </w:p>
    <w:p w14:paraId="0AB5C5E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Stakeholder theory explains why organisations should consider groups that affect or experience their decisions. Mendelow’s matrix and the Stakeholder Salience Model help prioritise engagement, while RACI, communication planning and conflict management provide practical methods for delivering the project.</w:t>
      </w:r>
    </w:p>
    <w:p w14:paraId="7A760229"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 initiative could improve customer trust, supplier transparency, innovation and circular economy activities. Nevertheless, costs, international differences, supplier capacity, digital exclusion, data protection and greenwashing create important risks.</w:t>
      </w:r>
    </w:p>
    <w:p w14:paraId="1C3DD788"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These risks should be managed through early consultation, clear responsibilities, local adaptation and transparent reporting. The project should be evaluated through meaningful environmental and social outcomes as well as customer participation and business performance.</w:t>
      </w:r>
    </w:p>
    <w:p w14:paraId="0B8240F8" w14:textId="77777777" w:rsid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Overall, </w:t>
      </w:r>
      <w:r w:rsidR="003E6968" w:rsidRPr="0092565E">
        <w:rPr>
          <w:rFonts w:ascii="Times New Roman" w:eastAsia="Times New Roman" w:hAnsi="Times New Roman" w:cs="Times New Roman"/>
          <w:kern w:val="0"/>
          <w:lang w:eastAsia="en-GB"/>
          <w14:ligatures w14:val="none"/>
        </w:rPr>
        <w:t>Green Path</w:t>
      </w:r>
      <w:r w:rsidRPr="0092565E">
        <w:rPr>
          <w:rFonts w:ascii="Times New Roman" w:eastAsia="Times New Roman" w:hAnsi="Times New Roman" w:cs="Times New Roman"/>
          <w:kern w:val="0"/>
          <w:lang w:eastAsia="en-GB"/>
          <w14:ligatures w14:val="none"/>
        </w:rPr>
        <w:t xml:space="preserve"> 360 should be treated as a long-term strategic programme. Tesco should expand it only when evidence shows that it is safe, operationally feasible and producing meaningful results. By listening to stakeholders and responding openly to concerns, the organisation can improve the likelihood that the initiative creates lasting value for business, society and the environment.</w:t>
      </w:r>
    </w:p>
    <w:p w14:paraId="1F03254A" w14:textId="77777777" w:rsidR="00DB7CA4" w:rsidRDefault="00DB7CA4" w:rsidP="003E6968">
      <w:pPr>
        <w:spacing w:before="100" w:beforeAutospacing="1" w:after="100" w:afterAutospacing="1" w:line="240" w:lineRule="auto"/>
        <w:textAlignment w:val="baseline"/>
        <w:rPr>
          <w:rFonts w:ascii="Times New Roman" w:eastAsia="Times New Roman" w:hAnsi="Times New Roman" w:cs="Times New Roman"/>
          <w:b/>
          <w:bCs/>
          <w:kern w:val="36"/>
          <w:sz w:val="48"/>
          <w:szCs w:val="48"/>
          <w:lang w:eastAsia="en-GB"/>
          <w14:ligatures w14:val="none"/>
        </w:rPr>
      </w:pPr>
    </w:p>
    <w:p w14:paraId="56BA4E64" w14:textId="77777777" w:rsidR="0092565E" w:rsidRPr="003E6968" w:rsidRDefault="0092565E" w:rsidP="003E6968">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b/>
          <w:bCs/>
          <w:kern w:val="36"/>
          <w:sz w:val="48"/>
          <w:szCs w:val="48"/>
          <w:lang w:eastAsia="en-GB"/>
          <w14:ligatures w14:val="none"/>
        </w:rPr>
        <w:t>References</w:t>
      </w:r>
    </w:p>
    <w:p w14:paraId="445E293F" w14:textId="77777777" w:rsidR="0092565E" w:rsidRPr="0092565E" w:rsidRDefault="0092565E" w:rsidP="0092565E">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AccountAbility (2015) </w:t>
      </w:r>
      <w:r w:rsidRPr="0092565E">
        <w:rPr>
          <w:rFonts w:ascii="Times New Roman" w:eastAsia="Times New Roman" w:hAnsi="Times New Roman" w:cs="Times New Roman"/>
          <w:i/>
          <w:iCs/>
          <w:kern w:val="0"/>
          <w:lang w:eastAsia="en-GB"/>
          <w14:ligatures w14:val="none"/>
        </w:rPr>
        <w:t>AA1000 Stakeholder Engagement Standard (AA1000SES).</w:t>
      </w:r>
      <w:r w:rsidRPr="0092565E">
        <w:rPr>
          <w:rFonts w:ascii="Times New Roman" w:eastAsia="Times New Roman" w:hAnsi="Times New Roman" w:cs="Times New Roman"/>
          <w:kern w:val="0"/>
          <w:lang w:eastAsia="en-GB"/>
          <w14:ligatures w14:val="none"/>
        </w:rPr>
        <w:t xml:space="preserve"> London: AccountAbility. Available at: </w:t>
      </w:r>
      <w:hyperlink r:id="rId5" w:tgtFrame="_blank" w:history="1">
        <w:r w:rsidRPr="0092565E">
          <w:rPr>
            <w:rFonts w:ascii="Times New Roman" w:eastAsia="Times New Roman" w:hAnsi="Times New Roman" w:cs="Times New Roman"/>
            <w:color w:val="0000FF"/>
            <w:kern w:val="0"/>
            <w:u w:val="single"/>
            <w:bdr w:val="none" w:sz="0" w:space="0" w:color="auto" w:frame="1"/>
            <w:lang w:eastAsia="en-GB"/>
            <w14:ligatures w14:val="none"/>
          </w:rPr>
          <w:t>https://www.accountability.org/standards/</w:t>
        </w:r>
      </w:hyperlink>
      <w:r w:rsidRPr="0092565E">
        <w:rPr>
          <w:rFonts w:ascii="Times New Roman" w:eastAsia="Times New Roman" w:hAnsi="Times New Roman" w:cs="Times New Roman"/>
          <w:kern w:val="0"/>
          <w:lang w:eastAsia="en-GB"/>
          <w14:ligatures w14:val="none"/>
        </w:rPr>
        <w:t xml:space="preserve"> (Accessed: 14 October 2026).</w:t>
      </w:r>
    </w:p>
    <w:p w14:paraId="6B612456"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Bryson, J.M. (2004) ‘What to do when stakeholders matter: stakeholder identification and analysis techniques’, </w:t>
      </w:r>
      <w:r w:rsidRPr="0092565E">
        <w:rPr>
          <w:rFonts w:ascii="Times New Roman" w:eastAsia="Times New Roman" w:hAnsi="Times New Roman" w:cs="Times New Roman"/>
          <w:i/>
          <w:iCs/>
          <w:kern w:val="0"/>
          <w:lang w:eastAsia="en-GB"/>
          <w14:ligatures w14:val="none"/>
        </w:rPr>
        <w:t>Public Management Review</w:t>
      </w:r>
      <w:r w:rsidRPr="0092565E">
        <w:rPr>
          <w:rFonts w:ascii="Times New Roman" w:eastAsia="Times New Roman" w:hAnsi="Times New Roman" w:cs="Times New Roman"/>
          <w:kern w:val="0"/>
          <w:lang w:eastAsia="en-GB"/>
          <w14:ligatures w14:val="none"/>
        </w:rPr>
        <w:t>, 6(1), pp. 21–53. doi: 10.1080/14719030410001675722.</w:t>
      </w:r>
    </w:p>
    <w:p w14:paraId="08BBD7E7"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Christopher, M., Payne, A. and Ballantyne, D. (2013) </w:t>
      </w:r>
      <w:r w:rsidRPr="0092565E">
        <w:rPr>
          <w:rFonts w:ascii="Times New Roman" w:eastAsia="Times New Roman" w:hAnsi="Times New Roman" w:cs="Times New Roman"/>
          <w:i/>
          <w:iCs/>
          <w:kern w:val="0"/>
          <w:lang w:eastAsia="en-GB"/>
          <w14:ligatures w14:val="none"/>
        </w:rPr>
        <w:t>Relationship Marketing: Creating Stakeholder Value.</w:t>
      </w:r>
      <w:r w:rsidRPr="0092565E">
        <w:rPr>
          <w:rFonts w:ascii="Times New Roman" w:eastAsia="Times New Roman" w:hAnsi="Times New Roman" w:cs="Times New Roman"/>
          <w:kern w:val="0"/>
          <w:lang w:eastAsia="en-GB"/>
          <w14:ligatures w14:val="none"/>
        </w:rPr>
        <w:t xml:space="preserve"> London: Routledge.</w:t>
      </w:r>
    </w:p>
    <w:p w14:paraId="295678AF" w14:textId="77777777" w:rsidR="0092565E" w:rsidRPr="0092565E" w:rsidRDefault="0092565E" w:rsidP="0092565E">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Competition and Markets Authority (CMA) (2021) </w:t>
      </w:r>
      <w:r w:rsidRPr="0092565E">
        <w:rPr>
          <w:rFonts w:ascii="Times New Roman" w:eastAsia="Times New Roman" w:hAnsi="Times New Roman" w:cs="Times New Roman"/>
          <w:i/>
          <w:iCs/>
          <w:kern w:val="0"/>
          <w:lang w:eastAsia="en-GB"/>
          <w14:ligatures w14:val="none"/>
        </w:rPr>
        <w:t>Green Claims Code: Making Environmental Claims.</w:t>
      </w:r>
      <w:r w:rsidRPr="0092565E">
        <w:rPr>
          <w:rFonts w:ascii="Times New Roman" w:eastAsia="Times New Roman" w:hAnsi="Times New Roman" w:cs="Times New Roman"/>
          <w:kern w:val="0"/>
          <w:lang w:eastAsia="en-GB"/>
          <w14:ligatures w14:val="none"/>
        </w:rPr>
        <w:t xml:space="preserve"> Available at: </w:t>
      </w:r>
      <w:hyperlink r:id="rId6" w:tgtFrame="_blank" w:history="1">
        <w:r w:rsidRPr="0092565E">
          <w:rPr>
            <w:rFonts w:ascii="Times New Roman" w:eastAsia="Times New Roman" w:hAnsi="Times New Roman" w:cs="Times New Roman"/>
            <w:color w:val="0000FF"/>
            <w:kern w:val="0"/>
            <w:u w:val="single"/>
            <w:bdr w:val="none" w:sz="0" w:space="0" w:color="auto" w:frame="1"/>
            <w:lang w:eastAsia="en-GB"/>
            <w14:ligatures w14:val="none"/>
          </w:rPr>
          <w:t>https://www.gov.uk/government/publications/green-claims-code-making-environmental-claims</w:t>
        </w:r>
      </w:hyperlink>
      <w:r w:rsidRPr="0092565E">
        <w:rPr>
          <w:rFonts w:ascii="Times New Roman" w:eastAsia="Times New Roman" w:hAnsi="Times New Roman" w:cs="Times New Roman"/>
          <w:kern w:val="0"/>
          <w:lang w:eastAsia="en-GB"/>
          <w14:ligatures w14:val="none"/>
        </w:rPr>
        <w:t xml:space="preserve"> (Accessed: 14 October 2026).</w:t>
      </w:r>
    </w:p>
    <w:p w14:paraId="75609B27" w14:textId="77777777" w:rsidR="0092565E" w:rsidRPr="0092565E" w:rsidRDefault="0092565E" w:rsidP="0092565E">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Ellen MacArthur Foundation (2013) </w:t>
      </w:r>
      <w:r w:rsidRPr="0092565E">
        <w:rPr>
          <w:rFonts w:ascii="Times New Roman" w:eastAsia="Times New Roman" w:hAnsi="Times New Roman" w:cs="Times New Roman"/>
          <w:i/>
          <w:iCs/>
          <w:kern w:val="0"/>
          <w:lang w:eastAsia="en-GB"/>
          <w14:ligatures w14:val="none"/>
        </w:rPr>
        <w:t>Towards the Circular Economy: Economic and Business Rationale for an Accelerated Transition.</w:t>
      </w:r>
      <w:r w:rsidRPr="0092565E">
        <w:rPr>
          <w:rFonts w:ascii="Times New Roman" w:eastAsia="Times New Roman" w:hAnsi="Times New Roman" w:cs="Times New Roman"/>
          <w:kern w:val="0"/>
          <w:lang w:eastAsia="en-GB"/>
          <w14:ligatures w14:val="none"/>
        </w:rPr>
        <w:t xml:space="preserve"> Cowes: Ellen MacArthur Foundation. Available at: </w:t>
      </w:r>
      <w:hyperlink r:id="rId7" w:tgtFrame="_blank" w:history="1">
        <w:r w:rsidRPr="0092565E">
          <w:rPr>
            <w:rFonts w:ascii="Times New Roman" w:eastAsia="Times New Roman" w:hAnsi="Times New Roman" w:cs="Times New Roman"/>
            <w:color w:val="0000FF"/>
            <w:kern w:val="0"/>
            <w:u w:val="single"/>
            <w:bdr w:val="none" w:sz="0" w:space="0" w:color="auto" w:frame="1"/>
            <w:lang w:eastAsia="en-GB"/>
            <w14:ligatures w14:val="none"/>
          </w:rPr>
          <w:t>https://ellenmacarthurfoundation.org/</w:t>
        </w:r>
      </w:hyperlink>
      <w:r w:rsidRPr="0092565E">
        <w:rPr>
          <w:rFonts w:ascii="Times New Roman" w:eastAsia="Times New Roman" w:hAnsi="Times New Roman" w:cs="Times New Roman"/>
          <w:kern w:val="0"/>
          <w:lang w:eastAsia="en-GB"/>
          <w14:ligatures w14:val="none"/>
        </w:rPr>
        <w:t xml:space="preserve"> (Accessed: 14 October 2026).</w:t>
      </w:r>
    </w:p>
    <w:p w14:paraId="162D0F3F"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Freeman, R.E. (1984) </w:t>
      </w:r>
      <w:r w:rsidRPr="0092565E">
        <w:rPr>
          <w:rFonts w:ascii="Times New Roman" w:eastAsia="Times New Roman" w:hAnsi="Times New Roman" w:cs="Times New Roman"/>
          <w:i/>
          <w:iCs/>
          <w:kern w:val="0"/>
          <w:lang w:eastAsia="en-GB"/>
          <w14:ligatures w14:val="none"/>
        </w:rPr>
        <w:t>Strategic Management: A Stakeholder Approach.</w:t>
      </w:r>
      <w:r w:rsidRPr="0092565E">
        <w:rPr>
          <w:rFonts w:ascii="Times New Roman" w:eastAsia="Times New Roman" w:hAnsi="Times New Roman" w:cs="Times New Roman"/>
          <w:kern w:val="0"/>
          <w:lang w:eastAsia="en-GB"/>
          <w14:ligatures w14:val="none"/>
        </w:rPr>
        <w:t xml:space="preserve"> Boston: Pitman.</w:t>
      </w:r>
    </w:p>
    <w:p w14:paraId="59AEA2E6"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Freeman, R.E., Harrison, J.S., Wicks, A.C., Parmar, B.L. and de Colle, S. (2010) </w:t>
      </w:r>
      <w:r w:rsidRPr="0092565E">
        <w:rPr>
          <w:rFonts w:ascii="Times New Roman" w:eastAsia="Times New Roman" w:hAnsi="Times New Roman" w:cs="Times New Roman"/>
          <w:i/>
          <w:iCs/>
          <w:kern w:val="0"/>
          <w:lang w:eastAsia="en-GB"/>
          <w14:ligatures w14:val="none"/>
        </w:rPr>
        <w:t>Stakeholder Theory: The State of the Art.</w:t>
      </w:r>
      <w:r w:rsidRPr="0092565E">
        <w:rPr>
          <w:rFonts w:ascii="Times New Roman" w:eastAsia="Times New Roman" w:hAnsi="Times New Roman" w:cs="Times New Roman"/>
          <w:kern w:val="0"/>
          <w:lang w:eastAsia="en-GB"/>
          <w14:ligatures w14:val="none"/>
        </w:rPr>
        <w:t xml:space="preserve"> Cambridge: Cambridge University Press.</w:t>
      </w:r>
    </w:p>
    <w:p w14:paraId="1BAC488B" w14:textId="77777777" w:rsidR="0092565E" w:rsidRPr="0092565E" w:rsidRDefault="0092565E" w:rsidP="0092565E">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lastRenderedPageBreak/>
        <w:t xml:space="preserve">International Organization for Standardization (ISO) (2010) </w:t>
      </w:r>
      <w:r w:rsidRPr="0092565E">
        <w:rPr>
          <w:rFonts w:ascii="Times New Roman" w:eastAsia="Times New Roman" w:hAnsi="Times New Roman" w:cs="Times New Roman"/>
          <w:i/>
          <w:iCs/>
          <w:kern w:val="0"/>
          <w:lang w:eastAsia="en-GB"/>
          <w14:ligatures w14:val="none"/>
        </w:rPr>
        <w:t>ISO 26000: Guidance on Social Responsibility.</w:t>
      </w:r>
      <w:r w:rsidRPr="0092565E">
        <w:rPr>
          <w:rFonts w:ascii="Times New Roman" w:eastAsia="Times New Roman" w:hAnsi="Times New Roman" w:cs="Times New Roman"/>
          <w:kern w:val="0"/>
          <w:lang w:eastAsia="en-GB"/>
          <w14:ligatures w14:val="none"/>
        </w:rPr>
        <w:t xml:space="preserve"> Geneva: ISO. Available at: </w:t>
      </w:r>
      <w:hyperlink r:id="rId8" w:tgtFrame="_blank" w:history="1">
        <w:r w:rsidRPr="0092565E">
          <w:rPr>
            <w:rFonts w:ascii="Times New Roman" w:eastAsia="Times New Roman" w:hAnsi="Times New Roman" w:cs="Times New Roman"/>
            <w:color w:val="0000FF"/>
            <w:kern w:val="0"/>
            <w:u w:val="single"/>
            <w:bdr w:val="none" w:sz="0" w:space="0" w:color="auto" w:frame="1"/>
            <w:lang w:eastAsia="en-GB"/>
            <w14:ligatures w14:val="none"/>
          </w:rPr>
          <w:t>https://www.iso.org/iso-26000-social-responsibility.html</w:t>
        </w:r>
      </w:hyperlink>
      <w:r w:rsidRPr="0092565E">
        <w:rPr>
          <w:rFonts w:ascii="Times New Roman" w:eastAsia="Times New Roman" w:hAnsi="Times New Roman" w:cs="Times New Roman"/>
          <w:kern w:val="0"/>
          <w:lang w:eastAsia="en-GB"/>
          <w14:ligatures w14:val="none"/>
        </w:rPr>
        <w:t xml:space="preserve"> (Accessed: 14 October 2026).</w:t>
      </w:r>
    </w:p>
    <w:p w14:paraId="3B67C10E"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Jones, T.M. (1995) ‘Instrumental stakeholder theory: a synthesis of ethics and economics’, </w:t>
      </w:r>
      <w:r w:rsidRPr="0092565E">
        <w:rPr>
          <w:rFonts w:ascii="Times New Roman" w:eastAsia="Times New Roman" w:hAnsi="Times New Roman" w:cs="Times New Roman"/>
          <w:i/>
          <w:iCs/>
          <w:kern w:val="0"/>
          <w:lang w:eastAsia="en-GB"/>
          <w14:ligatures w14:val="none"/>
        </w:rPr>
        <w:t>Academy of Management Review</w:t>
      </w:r>
      <w:r w:rsidRPr="0092565E">
        <w:rPr>
          <w:rFonts w:ascii="Times New Roman" w:eastAsia="Times New Roman" w:hAnsi="Times New Roman" w:cs="Times New Roman"/>
          <w:kern w:val="0"/>
          <w:lang w:eastAsia="en-GB"/>
          <w14:ligatures w14:val="none"/>
        </w:rPr>
        <w:t>, 20(2), pp. 404–437. doi: 10.2307/258852.</w:t>
      </w:r>
    </w:p>
    <w:p w14:paraId="166617A5"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Mendelow, A.L. (1981) ‘Environmental scanning: the impact of the stakeholder concept’, in </w:t>
      </w:r>
      <w:r w:rsidRPr="0092565E">
        <w:rPr>
          <w:rFonts w:ascii="Times New Roman" w:eastAsia="Times New Roman" w:hAnsi="Times New Roman" w:cs="Times New Roman"/>
          <w:i/>
          <w:iCs/>
          <w:kern w:val="0"/>
          <w:lang w:eastAsia="en-GB"/>
          <w14:ligatures w14:val="none"/>
        </w:rPr>
        <w:t>Proceedings of the Second International Conference on Information Systems.</w:t>
      </w:r>
      <w:r w:rsidRPr="0092565E">
        <w:rPr>
          <w:rFonts w:ascii="Times New Roman" w:eastAsia="Times New Roman" w:hAnsi="Times New Roman" w:cs="Times New Roman"/>
          <w:kern w:val="0"/>
          <w:lang w:eastAsia="en-GB"/>
          <w14:ligatures w14:val="none"/>
        </w:rPr>
        <w:t xml:space="preserve"> Cambridge, MA: Harvard Business School, pp. 407–418.</w:t>
      </w:r>
    </w:p>
    <w:p w14:paraId="65A5DB72"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Mitchell, R.K., Agle, B.R. and Wood, D.J. (1997) ‘Toward a theory of stakeholder identification and salience: defining the principle of who and what really counts’, </w:t>
      </w:r>
      <w:r w:rsidRPr="0092565E">
        <w:rPr>
          <w:rFonts w:ascii="Times New Roman" w:eastAsia="Times New Roman" w:hAnsi="Times New Roman" w:cs="Times New Roman"/>
          <w:i/>
          <w:iCs/>
          <w:kern w:val="0"/>
          <w:lang w:eastAsia="en-GB"/>
          <w14:ligatures w14:val="none"/>
        </w:rPr>
        <w:t>Academy of Management Review</w:t>
      </w:r>
      <w:r w:rsidRPr="0092565E">
        <w:rPr>
          <w:rFonts w:ascii="Times New Roman" w:eastAsia="Times New Roman" w:hAnsi="Times New Roman" w:cs="Times New Roman"/>
          <w:kern w:val="0"/>
          <w:lang w:eastAsia="en-GB"/>
          <w14:ligatures w14:val="none"/>
        </w:rPr>
        <w:t>, 22(4), pp. 853–886. doi: 10.5465/amr.1997.9711022105.</w:t>
      </w:r>
    </w:p>
    <w:p w14:paraId="26E0A1B2" w14:textId="77777777" w:rsidR="0092565E" w:rsidRPr="0092565E" w:rsidRDefault="0092565E" w:rsidP="0092565E">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OECD (2018) </w:t>
      </w:r>
      <w:r w:rsidRPr="0092565E">
        <w:rPr>
          <w:rFonts w:ascii="Times New Roman" w:eastAsia="Times New Roman" w:hAnsi="Times New Roman" w:cs="Times New Roman"/>
          <w:i/>
          <w:iCs/>
          <w:kern w:val="0"/>
          <w:lang w:eastAsia="en-GB"/>
          <w14:ligatures w14:val="none"/>
        </w:rPr>
        <w:t>OECD Due Diligence Guidance for Responsible Business Conduct.</w:t>
      </w:r>
      <w:r w:rsidRPr="0092565E">
        <w:rPr>
          <w:rFonts w:ascii="Times New Roman" w:eastAsia="Times New Roman" w:hAnsi="Times New Roman" w:cs="Times New Roman"/>
          <w:kern w:val="0"/>
          <w:lang w:eastAsia="en-GB"/>
          <w14:ligatures w14:val="none"/>
        </w:rPr>
        <w:t xml:space="preserve"> Paris: OECD Publishing. Available at: </w:t>
      </w:r>
      <w:hyperlink r:id="rId9" w:tgtFrame="_blank" w:history="1">
        <w:r w:rsidRPr="0092565E">
          <w:rPr>
            <w:rFonts w:ascii="Times New Roman" w:eastAsia="Times New Roman" w:hAnsi="Times New Roman" w:cs="Times New Roman"/>
            <w:color w:val="0000FF"/>
            <w:kern w:val="0"/>
            <w:u w:val="single"/>
            <w:bdr w:val="none" w:sz="0" w:space="0" w:color="auto" w:frame="1"/>
            <w:lang w:eastAsia="en-GB"/>
            <w14:ligatures w14:val="none"/>
          </w:rPr>
          <w:t>https://mneguidelines.oecd.org/</w:t>
        </w:r>
      </w:hyperlink>
      <w:r w:rsidRPr="0092565E">
        <w:rPr>
          <w:rFonts w:ascii="Times New Roman" w:eastAsia="Times New Roman" w:hAnsi="Times New Roman" w:cs="Times New Roman"/>
          <w:kern w:val="0"/>
          <w:lang w:eastAsia="en-GB"/>
          <w14:ligatures w14:val="none"/>
        </w:rPr>
        <w:t xml:space="preserve"> (Accessed: 14 October 2026).</w:t>
      </w:r>
    </w:p>
    <w:p w14:paraId="12A7F81E"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Project Management Institute (PMI) (2021) </w:t>
      </w:r>
      <w:r w:rsidRPr="0092565E">
        <w:rPr>
          <w:rFonts w:ascii="Times New Roman" w:eastAsia="Times New Roman" w:hAnsi="Times New Roman" w:cs="Times New Roman"/>
          <w:i/>
          <w:iCs/>
          <w:kern w:val="0"/>
          <w:lang w:eastAsia="en-GB"/>
          <w14:ligatures w14:val="none"/>
        </w:rPr>
        <w:t>A Guide to the Project Management Body of Knowledge (PMBOK Guide).</w:t>
      </w:r>
      <w:r w:rsidRPr="0092565E">
        <w:rPr>
          <w:rFonts w:ascii="Times New Roman" w:eastAsia="Times New Roman" w:hAnsi="Times New Roman" w:cs="Times New Roman"/>
          <w:kern w:val="0"/>
          <w:lang w:eastAsia="en-GB"/>
          <w14:ligatures w14:val="none"/>
        </w:rPr>
        <w:t xml:space="preserve"> 7th edn. Newtown Square, PA: Project Management Institute.</w:t>
      </w:r>
    </w:p>
    <w:p w14:paraId="50E65131" w14:textId="77777777" w:rsidR="0092565E" w:rsidRPr="0092565E" w:rsidRDefault="0092565E" w:rsidP="0092565E">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Rawlins, B. (2006) </w:t>
      </w:r>
      <w:r w:rsidRPr="0092565E">
        <w:rPr>
          <w:rFonts w:ascii="Times New Roman" w:eastAsia="Times New Roman" w:hAnsi="Times New Roman" w:cs="Times New Roman"/>
          <w:i/>
          <w:iCs/>
          <w:kern w:val="0"/>
          <w:lang w:eastAsia="en-GB"/>
          <w14:ligatures w14:val="none"/>
        </w:rPr>
        <w:t>Prioritizing Stakeholders for Public Relations.</w:t>
      </w:r>
      <w:r w:rsidRPr="0092565E">
        <w:rPr>
          <w:rFonts w:ascii="Times New Roman" w:eastAsia="Times New Roman" w:hAnsi="Times New Roman" w:cs="Times New Roman"/>
          <w:kern w:val="0"/>
          <w:lang w:eastAsia="en-GB"/>
          <w14:ligatures w14:val="none"/>
        </w:rPr>
        <w:t xml:space="preserve"> Institute for Public Relations. Available at: </w:t>
      </w:r>
      <w:hyperlink r:id="rId10" w:tgtFrame="_blank" w:history="1">
        <w:r w:rsidRPr="0092565E">
          <w:rPr>
            <w:rFonts w:ascii="Times New Roman" w:eastAsia="Times New Roman" w:hAnsi="Times New Roman" w:cs="Times New Roman"/>
            <w:color w:val="0000FF"/>
            <w:kern w:val="0"/>
            <w:u w:val="single"/>
            <w:bdr w:val="none" w:sz="0" w:space="0" w:color="auto" w:frame="1"/>
            <w:lang w:eastAsia="en-GB"/>
            <w14:ligatures w14:val="none"/>
          </w:rPr>
          <w:t>https://instituteforpr.org/prioritizing-stakeholders-public-relations/</w:t>
        </w:r>
      </w:hyperlink>
      <w:r w:rsidRPr="0092565E">
        <w:rPr>
          <w:rFonts w:ascii="Times New Roman" w:eastAsia="Times New Roman" w:hAnsi="Times New Roman" w:cs="Times New Roman"/>
          <w:kern w:val="0"/>
          <w:lang w:eastAsia="en-GB"/>
          <w14:ligatures w14:val="none"/>
        </w:rPr>
        <w:t xml:space="preserve"> (Accessed: 14 October 2026).</w:t>
      </w:r>
    </w:p>
    <w:p w14:paraId="2EC5AAC8" w14:textId="77777777" w:rsidR="0092565E" w:rsidRPr="0092565E" w:rsidRDefault="0092565E" w:rsidP="0092565E">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Tesco PLC (2026) </w:t>
      </w:r>
      <w:r w:rsidRPr="0092565E">
        <w:rPr>
          <w:rFonts w:ascii="Times New Roman" w:eastAsia="Times New Roman" w:hAnsi="Times New Roman" w:cs="Times New Roman"/>
          <w:i/>
          <w:iCs/>
          <w:kern w:val="0"/>
          <w:lang w:eastAsia="en-GB"/>
          <w14:ligatures w14:val="none"/>
        </w:rPr>
        <w:t>Corporate Responsibility and Sustainability Information.</w:t>
      </w:r>
      <w:r w:rsidRPr="0092565E">
        <w:rPr>
          <w:rFonts w:ascii="Times New Roman" w:eastAsia="Times New Roman" w:hAnsi="Times New Roman" w:cs="Times New Roman"/>
          <w:kern w:val="0"/>
          <w:lang w:eastAsia="en-GB"/>
          <w14:ligatures w14:val="none"/>
        </w:rPr>
        <w:t xml:space="preserve"> Available at: </w:t>
      </w:r>
      <w:hyperlink r:id="rId11" w:tgtFrame="_blank" w:history="1">
        <w:r w:rsidRPr="0092565E">
          <w:rPr>
            <w:rFonts w:ascii="Times New Roman" w:eastAsia="Times New Roman" w:hAnsi="Times New Roman" w:cs="Times New Roman"/>
            <w:color w:val="0000FF"/>
            <w:kern w:val="0"/>
            <w:u w:val="single"/>
            <w:bdr w:val="none" w:sz="0" w:space="0" w:color="auto" w:frame="1"/>
            <w:lang w:eastAsia="en-GB"/>
            <w14:ligatures w14:val="none"/>
          </w:rPr>
          <w:t>https://www.tescoplc.com/</w:t>
        </w:r>
      </w:hyperlink>
      <w:r w:rsidRPr="0092565E">
        <w:rPr>
          <w:rFonts w:ascii="Times New Roman" w:eastAsia="Times New Roman" w:hAnsi="Times New Roman" w:cs="Times New Roman"/>
          <w:kern w:val="0"/>
          <w:lang w:eastAsia="en-GB"/>
          <w14:ligatures w14:val="none"/>
        </w:rPr>
        <w:t xml:space="preserve"> (Accessed: 14 October 2026).</w:t>
      </w:r>
    </w:p>
    <w:p w14:paraId="7035764C"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Thomas, K.W. and Kilmann, R.H. (1974) </w:t>
      </w:r>
      <w:r w:rsidRPr="0092565E">
        <w:rPr>
          <w:rFonts w:ascii="Times New Roman" w:eastAsia="Times New Roman" w:hAnsi="Times New Roman" w:cs="Times New Roman"/>
          <w:i/>
          <w:iCs/>
          <w:kern w:val="0"/>
          <w:lang w:eastAsia="en-GB"/>
          <w14:ligatures w14:val="none"/>
        </w:rPr>
        <w:t>Thomas-Kilmann Conflict Mode Instrument.</w:t>
      </w:r>
      <w:r w:rsidRPr="0092565E">
        <w:rPr>
          <w:rFonts w:ascii="Times New Roman" w:eastAsia="Times New Roman" w:hAnsi="Times New Roman" w:cs="Times New Roman"/>
          <w:kern w:val="0"/>
          <w:lang w:eastAsia="en-GB"/>
          <w14:ligatures w14:val="none"/>
        </w:rPr>
        <w:t xml:space="preserve"> Tuxedo, NY: </w:t>
      </w:r>
      <w:r w:rsidR="003E6968" w:rsidRPr="0092565E">
        <w:rPr>
          <w:rFonts w:ascii="Times New Roman" w:eastAsia="Times New Roman" w:hAnsi="Times New Roman" w:cs="Times New Roman"/>
          <w:kern w:val="0"/>
          <w:lang w:eastAsia="en-GB"/>
          <w14:ligatures w14:val="none"/>
        </w:rPr>
        <w:t>Xircom</w:t>
      </w:r>
      <w:r w:rsidRPr="0092565E">
        <w:rPr>
          <w:rFonts w:ascii="Times New Roman" w:eastAsia="Times New Roman" w:hAnsi="Times New Roman" w:cs="Times New Roman"/>
          <w:kern w:val="0"/>
          <w:lang w:eastAsia="en-GB"/>
          <w14:ligatures w14:val="none"/>
        </w:rPr>
        <w:t>.</w:t>
      </w:r>
    </w:p>
    <w:p w14:paraId="4E0831ED" w14:textId="77777777" w:rsidR="0092565E" w:rsidRPr="0092565E" w:rsidRDefault="0092565E" w:rsidP="0092565E">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United Nations (2015) </w:t>
      </w:r>
      <w:r w:rsidRPr="0092565E">
        <w:rPr>
          <w:rFonts w:ascii="Times New Roman" w:eastAsia="Times New Roman" w:hAnsi="Times New Roman" w:cs="Times New Roman"/>
          <w:i/>
          <w:iCs/>
          <w:kern w:val="0"/>
          <w:lang w:eastAsia="en-GB"/>
          <w14:ligatures w14:val="none"/>
        </w:rPr>
        <w:t>Transforming Our World: The 2030 Agenda for Sustainable Development.</w:t>
      </w:r>
      <w:r w:rsidRPr="0092565E">
        <w:rPr>
          <w:rFonts w:ascii="Times New Roman" w:eastAsia="Times New Roman" w:hAnsi="Times New Roman" w:cs="Times New Roman"/>
          <w:kern w:val="0"/>
          <w:lang w:eastAsia="en-GB"/>
          <w14:ligatures w14:val="none"/>
        </w:rPr>
        <w:t xml:space="preserve"> New York: United Nations. Available at: </w:t>
      </w:r>
      <w:hyperlink r:id="rId12" w:tgtFrame="_blank" w:history="1">
        <w:r w:rsidRPr="0092565E">
          <w:rPr>
            <w:rFonts w:ascii="Times New Roman" w:eastAsia="Times New Roman" w:hAnsi="Times New Roman" w:cs="Times New Roman"/>
            <w:color w:val="0000FF"/>
            <w:kern w:val="0"/>
            <w:u w:val="single"/>
            <w:bdr w:val="none" w:sz="0" w:space="0" w:color="auto" w:frame="1"/>
            <w:lang w:eastAsia="en-GB"/>
            <w14:ligatures w14:val="none"/>
          </w:rPr>
          <w:t>https://sdgs.un.org/2030agenda</w:t>
        </w:r>
      </w:hyperlink>
      <w:r w:rsidRPr="0092565E">
        <w:rPr>
          <w:rFonts w:ascii="Times New Roman" w:eastAsia="Times New Roman" w:hAnsi="Times New Roman" w:cs="Times New Roman"/>
          <w:kern w:val="0"/>
          <w:lang w:eastAsia="en-GB"/>
          <w14:ligatures w14:val="none"/>
        </w:rPr>
        <w:t xml:space="preserve"> (Accessed: 14 October 2026).</w:t>
      </w:r>
    </w:p>
    <w:p w14:paraId="2B7035BA"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World Commission on Environment and Development (1987) </w:t>
      </w:r>
      <w:r w:rsidRPr="0092565E">
        <w:rPr>
          <w:rFonts w:ascii="Times New Roman" w:eastAsia="Times New Roman" w:hAnsi="Times New Roman" w:cs="Times New Roman"/>
          <w:i/>
          <w:iCs/>
          <w:kern w:val="0"/>
          <w:lang w:eastAsia="en-GB"/>
          <w14:ligatures w14:val="none"/>
        </w:rPr>
        <w:t>Our Common Future.</w:t>
      </w:r>
      <w:r w:rsidRPr="0092565E">
        <w:rPr>
          <w:rFonts w:ascii="Times New Roman" w:eastAsia="Times New Roman" w:hAnsi="Times New Roman" w:cs="Times New Roman"/>
          <w:kern w:val="0"/>
          <w:lang w:eastAsia="en-GB"/>
          <w14:ligatures w14:val="none"/>
        </w:rPr>
        <w:t xml:space="preserve"> Oxford: Oxford University Press.</w:t>
      </w:r>
    </w:p>
    <w:p w14:paraId="0AC9F83D" w14:textId="77777777" w:rsidR="0092565E" w:rsidRPr="0092565E" w:rsidRDefault="0092565E" w:rsidP="0092565E">
      <w:pPr>
        <w:spacing w:before="100" w:beforeAutospacing="1" w:after="100" w:afterAutospacing="1" w:line="240" w:lineRule="auto"/>
        <w:textAlignment w:val="baseline"/>
        <w:rPr>
          <w:rFonts w:ascii="Times New Roman" w:eastAsia="Times New Roman" w:hAnsi="Times New Roman" w:cs="Times New Roman"/>
          <w:kern w:val="0"/>
          <w:lang w:eastAsia="en-GB"/>
          <w14:ligatures w14:val="none"/>
        </w:rPr>
      </w:pPr>
      <w:r w:rsidRPr="0092565E">
        <w:rPr>
          <w:rFonts w:ascii="Times New Roman" w:eastAsia="Times New Roman" w:hAnsi="Times New Roman" w:cs="Times New Roman"/>
          <w:kern w:val="0"/>
          <w:lang w:eastAsia="en-GB"/>
          <w14:ligatures w14:val="none"/>
        </w:rPr>
        <w:t xml:space="preserve">Wood, D.J., Mitchell, R.K., Agle, B.R. and Bryan, L.M. (2021) ‘Stakeholder identification and salience after 20 years: progress, problems, and prospects’, </w:t>
      </w:r>
      <w:r w:rsidRPr="0092565E">
        <w:rPr>
          <w:rFonts w:ascii="Times New Roman" w:eastAsia="Times New Roman" w:hAnsi="Times New Roman" w:cs="Times New Roman"/>
          <w:i/>
          <w:iCs/>
          <w:kern w:val="0"/>
          <w:lang w:eastAsia="en-GB"/>
          <w14:ligatures w14:val="none"/>
        </w:rPr>
        <w:t>Business &amp; Society</w:t>
      </w:r>
      <w:r w:rsidRPr="0092565E">
        <w:rPr>
          <w:rFonts w:ascii="Times New Roman" w:eastAsia="Times New Roman" w:hAnsi="Times New Roman" w:cs="Times New Roman"/>
          <w:kern w:val="0"/>
          <w:lang w:eastAsia="en-GB"/>
          <w14:ligatures w14:val="none"/>
        </w:rPr>
        <w:t xml:space="preserve">, 60(1), pp. 196–245. </w:t>
      </w:r>
      <w:r w:rsidR="00644E53">
        <w:rPr>
          <w:rFonts w:ascii="Times New Roman" w:eastAsia="Times New Roman" w:hAnsi="Times New Roman" w:cs="Times New Roman"/>
          <w:kern w:val="0"/>
          <w:lang w:eastAsia="en-GB"/>
          <w14:ligatures w14:val="none"/>
        </w:rPr>
        <w:t>d</w:t>
      </w:r>
      <w:r w:rsidR="003E6968" w:rsidRPr="0092565E">
        <w:rPr>
          <w:rFonts w:ascii="Times New Roman" w:eastAsia="Times New Roman" w:hAnsi="Times New Roman" w:cs="Times New Roman"/>
          <w:kern w:val="0"/>
          <w:lang w:eastAsia="en-GB"/>
          <w14:ligatures w14:val="none"/>
        </w:rPr>
        <w:t>oi</w:t>
      </w:r>
      <w:r w:rsidRPr="0092565E">
        <w:rPr>
          <w:rFonts w:ascii="Times New Roman" w:eastAsia="Times New Roman" w:hAnsi="Times New Roman" w:cs="Times New Roman"/>
          <w:kern w:val="0"/>
          <w:lang w:eastAsia="en-GB"/>
          <w14:ligatures w14:val="none"/>
        </w:rPr>
        <w:t>: 10.1177/0007650318816522.</w:t>
      </w:r>
    </w:p>
    <w:p w14:paraId="01450392" w14:textId="77777777" w:rsidR="00B937B0" w:rsidRDefault="00B937B0"/>
    <w:sectPr w:rsidR="00B937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FluentSystemIcon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280B05"/>
    <w:multiLevelType w:val="multilevel"/>
    <w:tmpl w:val="F432D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1B3275"/>
    <w:multiLevelType w:val="multilevel"/>
    <w:tmpl w:val="D6FE5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B26A82"/>
    <w:multiLevelType w:val="multilevel"/>
    <w:tmpl w:val="9184E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12510318">
    <w:abstractNumId w:val="2"/>
  </w:num>
  <w:num w:numId="2" w16cid:durableId="1830251146">
    <w:abstractNumId w:val="0"/>
  </w:num>
  <w:num w:numId="3" w16cid:durableId="2116249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65E"/>
    <w:rsid w:val="001E360A"/>
    <w:rsid w:val="003E6968"/>
    <w:rsid w:val="00485AE6"/>
    <w:rsid w:val="005B2B13"/>
    <w:rsid w:val="005D2E5D"/>
    <w:rsid w:val="00644E53"/>
    <w:rsid w:val="00863D88"/>
    <w:rsid w:val="0092565E"/>
    <w:rsid w:val="009B7A5D"/>
    <w:rsid w:val="00B937B0"/>
    <w:rsid w:val="00D02B8C"/>
    <w:rsid w:val="00DB7CA4"/>
    <w:rsid w:val="00ED1460"/>
    <w:rsid w:val="00EF40F6"/>
    <w:rsid w:val="00F50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D7747"/>
  <w15:chartTrackingRefBased/>
  <w15:docId w15:val="{2A4A8D38-C538-4218-8499-C45A71711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6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56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56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56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6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6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6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6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6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6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56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56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56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6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6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6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6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65E"/>
    <w:rPr>
      <w:rFonts w:eastAsiaTheme="majorEastAsia" w:cstheme="majorBidi"/>
      <w:color w:val="272727" w:themeColor="text1" w:themeTint="D8"/>
    </w:rPr>
  </w:style>
  <w:style w:type="paragraph" w:styleId="Title">
    <w:name w:val="Title"/>
    <w:basedOn w:val="Normal"/>
    <w:next w:val="Normal"/>
    <w:link w:val="TitleChar"/>
    <w:uiPriority w:val="10"/>
    <w:qFormat/>
    <w:rsid w:val="009256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6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6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6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65E"/>
    <w:pPr>
      <w:spacing w:before="160"/>
      <w:jc w:val="center"/>
    </w:pPr>
    <w:rPr>
      <w:i/>
      <w:iCs/>
      <w:color w:val="404040" w:themeColor="text1" w:themeTint="BF"/>
    </w:rPr>
  </w:style>
  <w:style w:type="character" w:customStyle="1" w:styleId="QuoteChar">
    <w:name w:val="Quote Char"/>
    <w:basedOn w:val="DefaultParagraphFont"/>
    <w:link w:val="Quote"/>
    <w:uiPriority w:val="29"/>
    <w:rsid w:val="0092565E"/>
    <w:rPr>
      <w:i/>
      <w:iCs/>
      <w:color w:val="404040" w:themeColor="text1" w:themeTint="BF"/>
    </w:rPr>
  </w:style>
  <w:style w:type="paragraph" w:styleId="ListParagraph">
    <w:name w:val="List Paragraph"/>
    <w:basedOn w:val="Normal"/>
    <w:uiPriority w:val="34"/>
    <w:qFormat/>
    <w:rsid w:val="0092565E"/>
    <w:pPr>
      <w:ind w:left="720"/>
      <w:contextualSpacing/>
    </w:pPr>
  </w:style>
  <w:style w:type="character" w:styleId="IntenseEmphasis">
    <w:name w:val="Intense Emphasis"/>
    <w:basedOn w:val="DefaultParagraphFont"/>
    <w:uiPriority w:val="21"/>
    <w:qFormat/>
    <w:rsid w:val="0092565E"/>
    <w:rPr>
      <w:i/>
      <w:iCs/>
      <w:color w:val="0F4761" w:themeColor="accent1" w:themeShade="BF"/>
    </w:rPr>
  </w:style>
  <w:style w:type="paragraph" w:styleId="IntenseQuote">
    <w:name w:val="Intense Quote"/>
    <w:basedOn w:val="Normal"/>
    <w:next w:val="Normal"/>
    <w:link w:val="IntenseQuoteChar"/>
    <w:uiPriority w:val="30"/>
    <w:qFormat/>
    <w:rsid w:val="009256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65E"/>
    <w:rPr>
      <w:i/>
      <w:iCs/>
      <w:color w:val="0F4761" w:themeColor="accent1" w:themeShade="BF"/>
    </w:rPr>
  </w:style>
  <w:style w:type="character" w:styleId="IntenseReference">
    <w:name w:val="Intense Reference"/>
    <w:basedOn w:val="DefaultParagraphFont"/>
    <w:uiPriority w:val="32"/>
    <w:qFormat/>
    <w:rsid w:val="0092565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so.org/iso-26000-social-responsibility.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llenmacarthurfoundation.org/" TargetMode="External"/><Relationship Id="rId12" Type="http://schemas.openxmlformats.org/officeDocument/2006/relationships/hyperlink" Target="https://sdgs.un.org/2030agend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green-claims-code-making-environmental-claims" TargetMode="External"/><Relationship Id="rId11" Type="http://schemas.openxmlformats.org/officeDocument/2006/relationships/hyperlink" Target="https://www.tescoplc.com/" TargetMode="External"/><Relationship Id="rId5" Type="http://schemas.openxmlformats.org/officeDocument/2006/relationships/hyperlink" Target="https://www.accountability.org/standards/" TargetMode="External"/><Relationship Id="rId10" Type="http://schemas.openxmlformats.org/officeDocument/2006/relationships/hyperlink" Target="https://instituteforpr.org/prioritizing-stakeholders-public-relations/" TargetMode="External"/><Relationship Id="rId4" Type="http://schemas.openxmlformats.org/officeDocument/2006/relationships/webSettings" Target="webSettings.xml"/><Relationship Id="rId9" Type="http://schemas.openxmlformats.org/officeDocument/2006/relationships/hyperlink" Target="https://mneguidelines.oecd.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6672</Words>
  <Characters>38031</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 Pacerowska</dc:creator>
  <cp:keywords/>
  <dc:description/>
  <cp:lastModifiedBy>Agnieszka Katarzyna Pacerowska (2440095)</cp:lastModifiedBy>
  <cp:revision>1</cp:revision>
  <dcterms:created xsi:type="dcterms:W3CDTF">2026-10-14T09:30:00Z</dcterms:created>
  <dcterms:modified xsi:type="dcterms:W3CDTF">2026-10-14T09:32:00Z</dcterms:modified>
</cp:coreProperties>
</file>