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53399" w14:textId="7FA6A292" w:rsidR="0057106D" w:rsidRDefault="0057106D" w:rsidP="00A43B1E">
      <w:pPr>
        <w:jc w:val="center"/>
        <w:rPr>
          <w:sz w:val="40"/>
          <w:szCs w:val="40"/>
        </w:rPr>
      </w:pPr>
      <w:r>
        <w:rPr>
          <w:noProof/>
        </w:rPr>
        <w:drawing>
          <wp:inline distT="0" distB="0" distL="0" distR="0" wp14:anchorId="36B7C6A2" wp14:editId="434BF79D">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officeArt object" descr="Discover University of Wales Trinity Saint David"/>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16414332" w14:textId="15B41521" w:rsidR="0057106D" w:rsidRDefault="0057106D" w:rsidP="00A43B1E">
      <w:pPr>
        <w:jc w:val="center"/>
        <w:rPr>
          <w:sz w:val="40"/>
          <w:szCs w:val="40"/>
        </w:rPr>
      </w:pPr>
    </w:p>
    <w:p w14:paraId="221CDCEE" w14:textId="7C2BB605" w:rsidR="0057106D" w:rsidRPr="0057106D" w:rsidRDefault="0057106D" w:rsidP="0057106D">
      <w:pPr>
        <w:jc w:val="center"/>
        <w:rPr>
          <w:sz w:val="40"/>
          <w:szCs w:val="40"/>
        </w:rPr>
      </w:pPr>
      <w:r w:rsidRPr="0057106D">
        <w:rPr>
          <w:sz w:val="40"/>
          <w:szCs w:val="40"/>
        </w:rPr>
        <w:t>Module:</w:t>
      </w:r>
      <w:r>
        <w:rPr>
          <w:sz w:val="40"/>
          <w:szCs w:val="40"/>
        </w:rPr>
        <w:t xml:space="preserve"> </w:t>
      </w:r>
      <w:r w:rsidRPr="0057106D">
        <w:rPr>
          <w:sz w:val="40"/>
          <w:szCs w:val="40"/>
        </w:rPr>
        <w:t>Global Business Challenges</w:t>
      </w:r>
    </w:p>
    <w:p w14:paraId="389B5C32" w14:textId="6606DDF3" w:rsidR="0057106D" w:rsidRDefault="0057106D" w:rsidP="0057106D">
      <w:pPr>
        <w:jc w:val="center"/>
        <w:rPr>
          <w:sz w:val="40"/>
          <w:szCs w:val="40"/>
        </w:rPr>
      </w:pPr>
      <w:r w:rsidRPr="0057106D">
        <w:rPr>
          <w:sz w:val="40"/>
          <w:szCs w:val="40"/>
        </w:rPr>
        <w:t>Module code: BMMB7006</w:t>
      </w:r>
    </w:p>
    <w:p w14:paraId="307DAADD" w14:textId="77777777" w:rsidR="0057106D" w:rsidRDefault="0057106D" w:rsidP="0057106D">
      <w:pPr>
        <w:jc w:val="center"/>
        <w:rPr>
          <w:sz w:val="40"/>
          <w:szCs w:val="40"/>
        </w:rPr>
      </w:pPr>
    </w:p>
    <w:p w14:paraId="6080AC15" w14:textId="57D50BAF" w:rsidR="00A43B1E" w:rsidRDefault="00A43B1E" w:rsidP="00A43B1E">
      <w:pPr>
        <w:jc w:val="center"/>
        <w:rPr>
          <w:sz w:val="40"/>
          <w:szCs w:val="40"/>
        </w:rPr>
      </w:pPr>
      <w:r w:rsidRPr="00A43B1E">
        <w:rPr>
          <w:sz w:val="40"/>
          <w:szCs w:val="40"/>
        </w:rPr>
        <w:t>AI, Surveillance, and Ethical Governance in Government Data Systems</w:t>
      </w:r>
      <w:r w:rsidR="0057106D">
        <w:rPr>
          <w:sz w:val="40"/>
          <w:szCs w:val="40"/>
        </w:rPr>
        <w:t xml:space="preserve"> </w:t>
      </w:r>
      <w:r w:rsidRPr="00A43B1E">
        <w:rPr>
          <w:sz w:val="40"/>
          <w:szCs w:val="40"/>
        </w:rPr>
        <w:t>Strategic Risk, Democratic Accountability, and the Palantir Governance Challenge</w:t>
      </w:r>
    </w:p>
    <w:p w14:paraId="232E2F0A" w14:textId="3DCF4CC7" w:rsidR="0057106D" w:rsidRDefault="0057106D" w:rsidP="00A43B1E">
      <w:pPr>
        <w:jc w:val="center"/>
        <w:rPr>
          <w:sz w:val="40"/>
          <w:szCs w:val="40"/>
        </w:rPr>
      </w:pPr>
    </w:p>
    <w:p w14:paraId="5A647D8A" w14:textId="216022ED" w:rsidR="0057106D" w:rsidRDefault="0057106D" w:rsidP="00A43B1E">
      <w:pPr>
        <w:jc w:val="center"/>
        <w:rPr>
          <w:sz w:val="40"/>
          <w:szCs w:val="40"/>
        </w:rPr>
      </w:pPr>
      <w:r>
        <w:rPr>
          <w:sz w:val="40"/>
          <w:szCs w:val="40"/>
        </w:rPr>
        <w:t xml:space="preserve">Student Name: </w:t>
      </w:r>
      <w:proofErr w:type="spellStart"/>
      <w:r w:rsidRPr="0057106D">
        <w:rPr>
          <w:sz w:val="40"/>
          <w:szCs w:val="40"/>
        </w:rPr>
        <w:t>Ahsanul</w:t>
      </w:r>
      <w:proofErr w:type="spellEnd"/>
      <w:r w:rsidRPr="0057106D">
        <w:rPr>
          <w:sz w:val="40"/>
          <w:szCs w:val="40"/>
        </w:rPr>
        <w:t xml:space="preserve"> Haque </w:t>
      </w:r>
    </w:p>
    <w:p w14:paraId="54C14655" w14:textId="604827B5" w:rsidR="0057106D" w:rsidRPr="00A43B1E" w:rsidRDefault="0057106D" w:rsidP="00A43B1E">
      <w:pPr>
        <w:jc w:val="center"/>
        <w:rPr>
          <w:sz w:val="40"/>
          <w:szCs w:val="40"/>
        </w:rPr>
      </w:pPr>
      <w:r w:rsidRPr="0057106D">
        <w:rPr>
          <w:sz w:val="40"/>
          <w:szCs w:val="40"/>
        </w:rPr>
        <w:t>ID: 2513203</w:t>
      </w:r>
    </w:p>
    <w:p w14:paraId="677AFFE2" w14:textId="37A65F56" w:rsidR="00A43B1E" w:rsidRPr="00A43B1E" w:rsidRDefault="00A43B1E" w:rsidP="00A43B1E">
      <w:pPr>
        <w:jc w:val="center"/>
        <w:rPr>
          <w:sz w:val="40"/>
          <w:szCs w:val="40"/>
        </w:rPr>
      </w:pPr>
    </w:p>
    <w:p w14:paraId="41320995" w14:textId="77777777" w:rsidR="00A43B1E" w:rsidRDefault="00A43B1E">
      <w:r>
        <w:br w:type="page"/>
      </w:r>
    </w:p>
    <w:p w14:paraId="74B78127" w14:textId="72FBCE9B" w:rsidR="00A43B1E" w:rsidRPr="00A43B1E" w:rsidRDefault="00A43B1E" w:rsidP="00A43B1E">
      <w:pPr>
        <w:pStyle w:val="Heading1"/>
        <w:numPr>
          <w:ilvl w:val="0"/>
          <w:numId w:val="0"/>
        </w:numPr>
        <w:ind w:left="432" w:hanging="432"/>
      </w:pPr>
      <w:bookmarkStart w:id="0" w:name="_Toc228012556"/>
      <w:r w:rsidRPr="00A43B1E">
        <w:lastRenderedPageBreak/>
        <w:t>Executive Summary</w:t>
      </w:r>
      <w:bookmarkEnd w:id="0"/>
    </w:p>
    <w:p w14:paraId="605C46F9" w14:textId="7A3A2CA3" w:rsidR="00CC24C7" w:rsidRDefault="00CC24C7" w:rsidP="00CC24C7">
      <w:pPr>
        <w:jc w:val="both"/>
      </w:pPr>
      <w:r>
        <w:t xml:space="preserve">Palantir Technologies Inc. is in a unique and competitive situation within the world of AI. With its status as the largest AI data analytics contractor to government defence, intelligence, and public health </w:t>
      </w:r>
      <w:r w:rsidR="00056F16">
        <w:t>organisations</w:t>
      </w:r>
      <w:r>
        <w:t xml:space="preserve"> in the United States, the United Kingdom, and allied jurisdictions, Palantir has a presence that includes some of the most ethically and politically significant AI implementations in history. This report was commissioned by RFD Global and addressed to senior Palantir leadership, and assesses both the strategic, governance and reputational risks based on the company’s government-facing AI portfolio, with a particular focus on the mass surveillance risk, the transparency/security trade-off, the dynamics of public trust, the data governance requirements, and </w:t>
      </w:r>
      <w:r w:rsidR="00056F16">
        <w:t xml:space="preserve">the </w:t>
      </w:r>
      <w:r>
        <w:t>political risk environment in which Palantir operates under its operating licence.</w:t>
      </w:r>
    </w:p>
    <w:p w14:paraId="1704D556" w14:textId="015F0422" w:rsidR="00A43B1E" w:rsidRPr="00A43B1E" w:rsidRDefault="00CC24C7" w:rsidP="00CC24C7">
      <w:pPr>
        <w:jc w:val="both"/>
      </w:pPr>
      <w:r>
        <w:t xml:space="preserve">The Porter Five Forces, the PESTLE, and the macroeconomic risk evaluation, as well as a proprietary Palantir Governance Legitimacy Matrix that incorporates the procedural justice theory and ISO 31000 risk types, are used in the analysis. It is determined that there are six main risk areas: the competitive position within the government AI market, the impact of the macro-environment on the sovereign AI procurement, the role of AI in defence and intelligence, the issue of mass surveillance and misuse, the trade-off between transparency and security, the issue of public trust and democratic legitimacy, the issue of regulatory compliance, and the issue of cross-border data governance. Among the main recommendations is the implementation of a Responsible AI Disclosure Framework, independent auditing of algorithms, </w:t>
      </w:r>
      <w:r w:rsidR="00056F16">
        <w:t>a</w:t>
      </w:r>
      <w:r>
        <w:t xml:space="preserve"> Palantir Civic Trust Framework, and an organised data governance programme that would embrace data minimisation, purpose limitation, and compliance with data flows based on jurisdiction.</w:t>
      </w:r>
    </w:p>
    <w:p w14:paraId="5FA80048" w14:textId="77777777" w:rsidR="00A43B1E" w:rsidRDefault="00A43B1E" w:rsidP="00A43B1E">
      <w:pPr>
        <w:jc w:val="both"/>
      </w:pPr>
      <w:r>
        <w:br w:type="page"/>
      </w:r>
    </w:p>
    <w:sdt>
      <w:sdtPr>
        <w:rPr>
          <w:rFonts w:ascii="Times New Roman" w:eastAsiaTheme="minorHAnsi" w:hAnsi="Times New Roman" w:cstheme="minorBidi"/>
          <w:color w:val="auto"/>
          <w:kern w:val="2"/>
          <w:sz w:val="24"/>
          <w:szCs w:val="24"/>
          <w:lang w:val="en-GB"/>
          <w14:ligatures w14:val="standardContextual"/>
        </w:rPr>
        <w:id w:val="399178979"/>
        <w:docPartObj>
          <w:docPartGallery w:val="Table of Contents"/>
          <w:docPartUnique/>
        </w:docPartObj>
      </w:sdtPr>
      <w:sdtEndPr>
        <w:rPr>
          <w:b/>
          <w:bCs/>
          <w:noProof/>
        </w:rPr>
      </w:sdtEndPr>
      <w:sdtContent>
        <w:p w14:paraId="0B0D05EF" w14:textId="6DFC8775" w:rsidR="00A43B1E" w:rsidRPr="00A43B1E" w:rsidRDefault="00A43B1E" w:rsidP="00A43B1E">
          <w:pPr>
            <w:pStyle w:val="TOCHeading"/>
            <w:jc w:val="center"/>
            <w:rPr>
              <w:rFonts w:ascii="Times New Roman" w:hAnsi="Times New Roman" w:cs="Times New Roman"/>
              <w:b/>
              <w:bCs/>
            </w:rPr>
          </w:pPr>
          <w:r w:rsidRPr="00A43B1E">
            <w:rPr>
              <w:rFonts w:ascii="Times New Roman" w:hAnsi="Times New Roman" w:cs="Times New Roman"/>
              <w:b/>
              <w:bCs/>
            </w:rPr>
            <w:t>Table of Contents</w:t>
          </w:r>
        </w:p>
        <w:p w14:paraId="7878396A" w14:textId="4E93A5E6" w:rsidR="00A43B1E" w:rsidRDefault="00A43B1E">
          <w:pPr>
            <w:pStyle w:val="TOC1"/>
            <w:tabs>
              <w:tab w:val="right" w:leader="dot" w:pos="9350"/>
            </w:tabs>
            <w:rPr>
              <w:noProof/>
            </w:rPr>
          </w:pPr>
          <w:r>
            <w:fldChar w:fldCharType="begin"/>
          </w:r>
          <w:r>
            <w:instrText xml:space="preserve"> TOC \o "1-3" \h \z \u </w:instrText>
          </w:r>
          <w:r>
            <w:fldChar w:fldCharType="separate"/>
          </w:r>
          <w:hyperlink w:anchor="_Toc228012556" w:history="1">
            <w:r w:rsidRPr="00203354">
              <w:rPr>
                <w:rStyle w:val="Hyperlink"/>
                <w:noProof/>
              </w:rPr>
              <w:t>Executive Summary</w:t>
            </w:r>
            <w:r>
              <w:rPr>
                <w:noProof/>
                <w:webHidden/>
              </w:rPr>
              <w:tab/>
            </w:r>
            <w:r>
              <w:rPr>
                <w:noProof/>
                <w:webHidden/>
              </w:rPr>
              <w:fldChar w:fldCharType="begin"/>
            </w:r>
            <w:r>
              <w:rPr>
                <w:noProof/>
                <w:webHidden/>
              </w:rPr>
              <w:instrText xml:space="preserve"> PAGEREF _Toc228012556 \h </w:instrText>
            </w:r>
            <w:r>
              <w:rPr>
                <w:noProof/>
                <w:webHidden/>
              </w:rPr>
            </w:r>
            <w:r>
              <w:rPr>
                <w:noProof/>
                <w:webHidden/>
              </w:rPr>
              <w:fldChar w:fldCharType="separate"/>
            </w:r>
            <w:r w:rsidR="00901127">
              <w:rPr>
                <w:noProof/>
                <w:webHidden/>
              </w:rPr>
              <w:t>2</w:t>
            </w:r>
            <w:r>
              <w:rPr>
                <w:noProof/>
                <w:webHidden/>
              </w:rPr>
              <w:fldChar w:fldCharType="end"/>
            </w:r>
          </w:hyperlink>
        </w:p>
        <w:p w14:paraId="373F9FFE" w14:textId="09F74AD5" w:rsidR="00A43B1E" w:rsidRDefault="00C95709">
          <w:pPr>
            <w:pStyle w:val="TOC1"/>
            <w:tabs>
              <w:tab w:val="left" w:pos="480"/>
              <w:tab w:val="right" w:leader="dot" w:pos="9350"/>
            </w:tabs>
            <w:rPr>
              <w:noProof/>
            </w:rPr>
          </w:pPr>
          <w:hyperlink w:anchor="_Toc228012557" w:history="1">
            <w:r w:rsidR="00A43B1E" w:rsidRPr="00203354">
              <w:rPr>
                <w:rStyle w:val="Hyperlink"/>
                <w:noProof/>
              </w:rPr>
              <w:t>1.</w:t>
            </w:r>
            <w:r w:rsidR="00A43B1E">
              <w:rPr>
                <w:noProof/>
              </w:rPr>
              <w:tab/>
            </w:r>
            <w:r w:rsidR="00A43B1E" w:rsidRPr="00203354">
              <w:rPr>
                <w:rStyle w:val="Hyperlink"/>
                <w:noProof/>
              </w:rPr>
              <w:t>Introduction</w:t>
            </w:r>
            <w:r w:rsidR="00A43B1E">
              <w:rPr>
                <w:noProof/>
                <w:webHidden/>
              </w:rPr>
              <w:tab/>
            </w:r>
            <w:r w:rsidR="00A43B1E">
              <w:rPr>
                <w:noProof/>
                <w:webHidden/>
              </w:rPr>
              <w:fldChar w:fldCharType="begin"/>
            </w:r>
            <w:r w:rsidR="00A43B1E">
              <w:rPr>
                <w:noProof/>
                <w:webHidden/>
              </w:rPr>
              <w:instrText xml:space="preserve"> PAGEREF _Toc228012557 \h </w:instrText>
            </w:r>
            <w:r w:rsidR="00A43B1E">
              <w:rPr>
                <w:noProof/>
                <w:webHidden/>
              </w:rPr>
            </w:r>
            <w:r w:rsidR="00A43B1E">
              <w:rPr>
                <w:noProof/>
                <w:webHidden/>
              </w:rPr>
              <w:fldChar w:fldCharType="separate"/>
            </w:r>
            <w:r w:rsidR="00901127">
              <w:rPr>
                <w:noProof/>
                <w:webHidden/>
              </w:rPr>
              <w:t>4</w:t>
            </w:r>
            <w:r w:rsidR="00A43B1E">
              <w:rPr>
                <w:noProof/>
                <w:webHidden/>
              </w:rPr>
              <w:fldChar w:fldCharType="end"/>
            </w:r>
          </w:hyperlink>
        </w:p>
        <w:p w14:paraId="1EE9948A" w14:textId="4F1B4D22" w:rsidR="00A43B1E" w:rsidRDefault="00C95709">
          <w:pPr>
            <w:pStyle w:val="TOC1"/>
            <w:tabs>
              <w:tab w:val="left" w:pos="480"/>
              <w:tab w:val="right" w:leader="dot" w:pos="9350"/>
            </w:tabs>
            <w:rPr>
              <w:noProof/>
            </w:rPr>
          </w:pPr>
          <w:hyperlink w:anchor="_Toc228012558" w:history="1">
            <w:r w:rsidR="00A43B1E" w:rsidRPr="00203354">
              <w:rPr>
                <w:rStyle w:val="Hyperlink"/>
                <w:noProof/>
              </w:rPr>
              <w:t>2.</w:t>
            </w:r>
            <w:r w:rsidR="00A43B1E">
              <w:rPr>
                <w:noProof/>
              </w:rPr>
              <w:tab/>
            </w:r>
            <w:r w:rsidR="00A43B1E" w:rsidRPr="00203354">
              <w:rPr>
                <w:rStyle w:val="Hyperlink"/>
                <w:noProof/>
              </w:rPr>
              <w:t>Main Findings</w:t>
            </w:r>
            <w:r w:rsidR="00A43B1E">
              <w:rPr>
                <w:noProof/>
                <w:webHidden/>
              </w:rPr>
              <w:tab/>
            </w:r>
            <w:r w:rsidR="00A43B1E">
              <w:rPr>
                <w:noProof/>
                <w:webHidden/>
              </w:rPr>
              <w:fldChar w:fldCharType="begin"/>
            </w:r>
            <w:r w:rsidR="00A43B1E">
              <w:rPr>
                <w:noProof/>
                <w:webHidden/>
              </w:rPr>
              <w:instrText xml:space="preserve"> PAGEREF _Toc228012558 \h </w:instrText>
            </w:r>
            <w:r w:rsidR="00A43B1E">
              <w:rPr>
                <w:noProof/>
                <w:webHidden/>
              </w:rPr>
            </w:r>
            <w:r w:rsidR="00A43B1E">
              <w:rPr>
                <w:noProof/>
                <w:webHidden/>
              </w:rPr>
              <w:fldChar w:fldCharType="separate"/>
            </w:r>
            <w:r w:rsidR="00901127">
              <w:rPr>
                <w:noProof/>
                <w:webHidden/>
              </w:rPr>
              <w:t>4</w:t>
            </w:r>
            <w:r w:rsidR="00A43B1E">
              <w:rPr>
                <w:noProof/>
                <w:webHidden/>
              </w:rPr>
              <w:fldChar w:fldCharType="end"/>
            </w:r>
          </w:hyperlink>
        </w:p>
        <w:p w14:paraId="01F42DA1" w14:textId="338C384D" w:rsidR="00A43B1E" w:rsidRDefault="00C95709">
          <w:pPr>
            <w:pStyle w:val="TOC2"/>
            <w:tabs>
              <w:tab w:val="left" w:pos="960"/>
              <w:tab w:val="right" w:leader="dot" w:pos="9350"/>
            </w:tabs>
            <w:rPr>
              <w:noProof/>
            </w:rPr>
          </w:pPr>
          <w:hyperlink w:anchor="_Toc228012559" w:history="1">
            <w:r w:rsidR="00A43B1E" w:rsidRPr="00203354">
              <w:rPr>
                <w:rStyle w:val="Hyperlink"/>
                <w:noProof/>
              </w:rPr>
              <w:t>2.1</w:t>
            </w:r>
            <w:r w:rsidR="00A43B1E">
              <w:rPr>
                <w:noProof/>
              </w:rPr>
              <w:tab/>
            </w:r>
            <w:r w:rsidR="00A43B1E" w:rsidRPr="00203354">
              <w:rPr>
                <w:rStyle w:val="Hyperlink"/>
                <w:noProof/>
              </w:rPr>
              <w:t>Porter's Five Forces: Competitive Dynamics in Government AI Markets</w:t>
            </w:r>
            <w:r w:rsidR="00A43B1E">
              <w:rPr>
                <w:noProof/>
                <w:webHidden/>
              </w:rPr>
              <w:tab/>
            </w:r>
            <w:r w:rsidR="00A43B1E">
              <w:rPr>
                <w:noProof/>
                <w:webHidden/>
              </w:rPr>
              <w:fldChar w:fldCharType="begin"/>
            </w:r>
            <w:r w:rsidR="00A43B1E">
              <w:rPr>
                <w:noProof/>
                <w:webHidden/>
              </w:rPr>
              <w:instrText xml:space="preserve"> PAGEREF _Toc228012559 \h </w:instrText>
            </w:r>
            <w:r w:rsidR="00A43B1E">
              <w:rPr>
                <w:noProof/>
                <w:webHidden/>
              </w:rPr>
            </w:r>
            <w:r w:rsidR="00A43B1E">
              <w:rPr>
                <w:noProof/>
                <w:webHidden/>
              </w:rPr>
              <w:fldChar w:fldCharType="separate"/>
            </w:r>
            <w:r w:rsidR="00901127">
              <w:rPr>
                <w:noProof/>
                <w:webHidden/>
              </w:rPr>
              <w:t>4</w:t>
            </w:r>
            <w:r w:rsidR="00A43B1E">
              <w:rPr>
                <w:noProof/>
                <w:webHidden/>
              </w:rPr>
              <w:fldChar w:fldCharType="end"/>
            </w:r>
          </w:hyperlink>
        </w:p>
        <w:p w14:paraId="0F873582" w14:textId="6F949EE4" w:rsidR="00A43B1E" w:rsidRDefault="00C95709">
          <w:pPr>
            <w:pStyle w:val="TOC2"/>
            <w:tabs>
              <w:tab w:val="left" w:pos="960"/>
              <w:tab w:val="right" w:leader="dot" w:pos="9350"/>
            </w:tabs>
            <w:rPr>
              <w:noProof/>
            </w:rPr>
          </w:pPr>
          <w:hyperlink w:anchor="_Toc228012560" w:history="1">
            <w:r w:rsidR="00A43B1E" w:rsidRPr="00203354">
              <w:rPr>
                <w:rStyle w:val="Hyperlink"/>
                <w:noProof/>
              </w:rPr>
              <w:t>2.2</w:t>
            </w:r>
            <w:r w:rsidR="00A43B1E">
              <w:rPr>
                <w:noProof/>
              </w:rPr>
              <w:tab/>
            </w:r>
            <w:r w:rsidR="00A43B1E" w:rsidRPr="00203354">
              <w:rPr>
                <w:rStyle w:val="Hyperlink"/>
                <w:noProof/>
              </w:rPr>
              <w:t>PESTLE Analysis: Macro-Environmental Risk in Sovereign AI Deployment</w:t>
            </w:r>
            <w:r w:rsidR="00A43B1E">
              <w:rPr>
                <w:noProof/>
                <w:webHidden/>
              </w:rPr>
              <w:tab/>
            </w:r>
            <w:r w:rsidR="00A43B1E">
              <w:rPr>
                <w:noProof/>
                <w:webHidden/>
              </w:rPr>
              <w:fldChar w:fldCharType="begin"/>
            </w:r>
            <w:r w:rsidR="00A43B1E">
              <w:rPr>
                <w:noProof/>
                <w:webHidden/>
              </w:rPr>
              <w:instrText xml:space="preserve"> PAGEREF _Toc228012560 \h </w:instrText>
            </w:r>
            <w:r w:rsidR="00A43B1E">
              <w:rPr>
                <w:noProof/>
                <w:webHidden/>
              </w:rPr>
            </w:r>
            <w:r w:rsidR="00A43B1E">
              <w:rPr>
                <w:noProof/>
                <w:webHidden/>
              </w:rPr>
              <w:fldChar w:fldCharType="separate"/>
            </w:r>
            <w:r w:rsidR="00901127">
              <w:rPr>
                <w:noProof/>
                <w:webHidden/>
              </w:rPr>
              <w:t>6</w:t>
            </w:r>
            <w:r w:rsidR="00A43B1E">
              <w:rPr>
                <w:noProof/>
                <w:webHidden/>
              </w:rPr>
              <w:fldChar w:fldCharType="end"/>
            </w:r>
          </w:hyperlink>
        </w:p>
        <w:p w14:paraId="511C82A9" w14:textId="0DFC8972" w:rsidR="00A43B1E" w:rsidRDefault="00C95709">
          <w:pPr>
            <w:pStyle w:val="TOC2"/>
            <w:tabs>
              <w:tab w:val="left" w:pos="960"/>
              <w:tab w:val="right" w:leader="dot" w:pos="9350"/>
            </w:tabs>
            <w:rPr>
              <w:noProof/>
            </w:rPr>
          </w:pPr>
          <w:hyperlink w:anchor="_Toc228012561" w:history="1">
            <w:r w:rsidR="00A43B1E" w:rsidRPr="00203354">
              <w:rPr>
                <w:rStyle w:val="Hyperlink"/>
                <w:noProof/>
              </w:rPr>
              <w:t>2.3</w:t>
            </w:r>
            <w:r w:rsidR="00A43B1E">
              <w:rPr>
                <w:noProof/>
              </w:rPr>
              <w:tab/>
            </w:r>
            <w:r w:rsidR="00A43B1E" w:rsidRPr="00203354">
              <w:rPr>
                <w:rStyle w:val="Hyperlink"/>
                <w:noProof/>
              </w:rPr>
              <w:t>Macroeconomic and Geopolitical Context</w:t>
            </w:r>
            <w:r w:rsidR="00A43B1E">
              <w:rPr>
                <w:noProof/>
                <w:webHidden/>
              </w:rPr>
              <w:tab/>
            </w:r>
            <w:r w:rsidR="00A43B1E">
              <w:rPr>
                <w:noProof/>
                <w:webHidden/>
              </w:rPr>
              <w:fldChar w:fldCharType="begin"/>
            </w:r>
            <w:r w:rsidR="00A43B1E">
              <w:rPr>
                <w:noProof/>
                <w:webHidden/>
              </w:rPr>
              <w:instrText xml:space="preserve"> PAGEREF _Toc228012561 \h </w:instrText>
            </w:r>
            <w:r w:rsidR="00A43B1E">
              <w:rPr>
                <w:noProof/>
                <w:webHidden/>
              </w:rPr>
            </w:r>
            <w:r w:rsidR="00A43B1E">
              <w:rPr>
                <w:noProof/>
                <w:webHidden/>
              </w:rPr>
              <w:fldChar w:fldCharType="separate"/>
            </w:r>
            <w:r w:rsidR="00901127">
              <w:rPr>
                <w:noProof/>
                <w:webHidden/>
              </w:rPr>
              <w:t>8</w:t>
            </w:r>
            <w:r w:rsidR="00A43B1E">
              <w:rPr>
                <w:noProof/>
                <w:webHidden/>
              </w:rPr>
              <w:fldChar w:fldCharType="end"/>
            </w:r>
          </w:hyperlink>
        </w:p>
        <w:p w14:paraId="4DCD7458" w14:textId="38A5BF9B" w:rsidR="00A43B1E" w:rsidRDefault="00C95709">
          <w:pPr>
            <w:pStyle w:val="TOC2"/>
            <w:tabs>
              <w:tab w:val="left" w:pos="960"/>
              <w:tab w:val="right" w:leader="dot" w:pos="9350"/>
            </w:tabs>
            <w:rPr>
              <w:noProof/>
            </w:rPr>
          </w:pPr>
          <w:hyperlink w:anchor="_Toc228012562" w:history="1">
            <w:r w:rsidR="00A43B1E" w:rsidRPr="00203354">
              <w:rPr>
                <w:rStyle w:val="Hyperlink"/>
                <w:noProof/>
              </w:rPr>
              <w:t>2.4</w:t>
            </w:r>
            <w:r w:rsidR="00A43B1E">
              <w:rPr>
                <w:noProof/>
              </w:rPr>
              <w:tab/>
            </w:r>
            <w:r w:rsidR="00A43B1E" w:rsidRPr="00203354">
              <w:rPr>
                <w:rStyle w:val="Hyperlink"/>
                <w:noProof/>
              </w:rPr>
              <w:t>AI in Defence and Intelligence: Capability, Risk, and Accountability</w:t>
            </w:r>
            <w:r w:rsidR="00A43B1E">
              <w:rPr>
                <w:noProof/>
                <w:webHidden/>
              </w:rPr>
              <w:tab/>
            </w:r>
            <w:r w:rsidR="00A43B1E">
              <w:rPr>
                <w:noProof/>
                <w:webHidden/>
              </w:rPr>
              <w:fldChar w:fldCharType="begin"/>
            </w:r>
            <w:r w:rsidR="00A43B1E">
              <w:rPr>
                <w:noProof/>
                <w:webHidden/>
              </w:rPr>
              <w:instrText xml:space="preserve"> PAGEREF _Toc228012562 \h </w:instrText>
            </w:r>
            <w:r w:rsidR="00A43B1E">
              <w:rPr>
                <w:noProof/>
                <w:webHidden/>
              </w:rPr>
            </w:r>
            <w:r w:rsidR="00A43B1E">
              <w:rPr>
                <w:noProof/>
                <w:webHidden/>
              </w:rPr>
              <w:fldChar w:fldCharType="separate"/>
            </w:r>
            <w:r w:rsidR="00901127">
              <w:rPr>
                <w:noProof/>
                <w:webHidden/>
              </w:rPr>
              <w:t>8</w:t>
            </w:r>
            <w:r w:rsidR="00A43B1E">
              <w:rPr>
                <w:noProof/>
                <w:webHidden/>
              </w:rPr>
              <w:fldChar w:fldCharType="end"/>
            </w:r>
          </w:hyperlink>
        </w:p>
        <w:p w14:paraId="5DF543D6" w14:textId="4CB49C8C" w:rsidR="00A43B1E" w:rsidRDefault="00C95709">
          <w:pPr>
            <w:pStyle w:val="TOC2"/>
            <w:tabs>
              <w:tab w:val="left" w:pos="960"/>
              <w:tab w:val="right" w:leader="dot" w:pos="9350"/>
            </w:tabs>
            <w:rPr>
              <w:noProof/>
            </w:rPr>
          </w:pPr>
          <w:hyperlink w:anchor="_Toc228012563" w:history="1">
            <w:r w:rsidR="00A43B1E" w:rsidRPr="00203354">
              <w:rPr>
                <w:rStyle w:val="Hyperlink"/>
                <w:noProof/>
              </w:rPr>
              <w:t>2.5</w:t>
            </w:r>
            <w:r w:rsidR="00A43B1E">
              <w:rPr>
                <w:noProof/>
              </w:rPr>
              <w:tab/>
            </w:r>
            <w:r w:rsidR="00A43B1E" w:rsidRPr="00203354">
              <w:rPr>
                <w:rStyle w:val="Hyperlink"/>
                <w:noProof/>
              </w:rPr>
              <w:t>Mass Surveillance, Misuse Risk, and Structural Harm</w:t>
            </w:r>
            <w:r w:rsidR="00A43B1E">
              <w:rPr>
                <w:noProof/>
                <w:webHidden/>
              </w:rPr>
              <w:tab/>
            </w:r>
            <w:r w:rsidR="00A43B1E">
              <w:rPr>
                <w:noProof/>
                <w:webHidden/>
              </w:rPr>
              <w:fldChar w:fldCharType="begin"/>
            </w:r>
            <w:r w:rsidR="00A43B1E">
              <w:rPr>
                <w:noProof/>
                <w:webHidden/>
              </w:rPr>
              <w:instrText xml:space="preserve"> PAGEREF _Toc228012563 \h </w:instrText>
            </w:r>
            <w:r w:rsidR="00A43B1E">
              <w:rPr>
                <w:noProof/>
                <w:webHidden/>
              </w:rPr>
            </w:r>
            <w:r w:rsidR="00A43B1E">
              <w:rPr>
                <w:noProof/>
                <w:webHidden/>
              </w:rPr>
              <w:fldChar w:fldCharType="separate"/>
            </w:r>
            <w:r w:rsidR="00901127">
              <w:rPr>
                <w:noProof/>
                <w:webHidden/>
              </w:rPr>
              <w:t>9</w:t>
            </w:r>
            <w:r w:rsidR="00A43B1E">
              <w:rPr>
                <w:noProof/>
                <w:webHidden/>
              </w:rPr>
              <w:fldChar w:fldCharType="end"/>
            </w:r>
          </w:hyperlink>
        </w:p>
        <w:p w14:paraId="253849DA" w14:textId="1883AEE9" w:rsidR="00A43B1E" w:rsidRDefault="00C95709">
          <w:pPr>
            <w:pStyle w:val="TOC2"/>
            <w:tabs>
              <w:tab w:val="left" w:pos="960"/>
              <w:tab w:val="right" w:leader="dot" w:pos="9350"/>
            </w:tabs>
            <w:rPr>
              <w:noProof/>
            </w:rPr>
          </w:pPr>
          <w:hyperlink w:anchor="_Toc228012564" w:history="1">
            <w:r w:rsidR="00A43B1E" w:rsidRPr="00203354">
              <w:rPr>
                <w:rStyle w:val="Hyperlink"/>
                <w:noProof/>
              </w:rPr>
              <w:t>2.6</w:t>
            </w:r>
            <w:r w:rsidR="00A43B1E">
              <w:rPr>
                <w:noProof/>
              </w:rPr>
              <w:tab/>
            </w:r>
            <w:r w:rsidR="00A43B1E" w:rsidRPr="00203354">
              <w:rPr>
                <w:rStyle w:val="Hyperlink"/>
                <w:noProof/>
              </w:rPr>
              <w:t>Transparency versus Security: Navigating the Foundational Trade-off</w:t>
            </w:r>
            <w:r w:rsidR="00A43B1E">
              <w:rPr>
                <w:noProof/>
                <w:webHidden/>
              </w:rPr>
              <w:tab/>
            </w:r>
            <w:r w:rsidR="00A43B1E">
              <w:rPr>
                <w:noProof/>
                <w:webHidden/>
              </w:rPr>
              <w:fldChar w:fldCharType="begin"/>
            </w:r>
            <w:r w:rsidR="00A43B1E">
              <w:rPr>
                <w:noProof/>
                <w:webHidden/>
              </w:rPr>
              <w:instrText xml:space="preserve"> PAGEREF _Toc228012564 \h </w:instrText>
            </w:r>
            <w:r w:rsidR="00A43B1E">
              <w:rPr>
                <w:noProof/>
                <w:webHidden/>
              </w:rPr>
            </w:r>
            <w:r w:rsidR="00A43B1E">
              <w:rPr>
                <w:noProof/>
                <w:webHidden/>
              </w:rPr>
              <w:fldChar w:fldCharType="separate"/>
            </w:r>
            <w:r w:rsidR="00901127">
              <w:rPr>
                <w:noProof/>
                <w:webHidden/>
              </w:rPr>
              <w:t>10</w:t>
            </w:r>
            <w:r w:rsidR="00A43B1E">
              <w:rPr>
                <w:noProof/>
                <w:webHidden/>
              </w:rPr>
              <w:fldChar w:fldCharType="end"/>
            </w:r>
          </w:hyperlink>
        </w:p>
        <w:p w14:paraId="7B75F341" w14:textId="6ED0BF9A" w:rsidR="00A43B1E" w:rsidRDefault="00C95709">
          <w:pPr>
            <w:pStyle w:val="TOC2"/>
            <w:tabs>
              <w:tab w:val="left" w:pos="960"/>
              <w:tab w:val="right" w:leader="dot" w:pos="9350"/>
            </w:tabs>
            <w:rPr>
              <w:noProof/>
            </w:rPr>
          </w:pPr>
          <w:hyperlink w:anchor="_Toc228012565" w:history="1">
            <w:r w:rsidR="00A43B1E" w:rsidRPr="00203354">
              <w:rPr>
                <w:rStyle w:val="Hyperlink"/>
                <w:noProof/>
              </w:rPr>
              <w:t>2.7</w:t>
            </w:r>
            <w:r w:rsidR="00A43B1E">
              <w:rPr>
                <w:noProof/>
              </w:rPr>
              <w:tab/>
            </w:r>
            <w:r w:rsidR="00A43B1E" w:rsidRPr="00203354">
              <w:rPr>
                <w:rStyle w:val="Hyperlink"/>
                <w:noProof/>
              </w:rPr>
              <w:t>Public Trust, Democratic Legitimacy, and Political Risk</w:t>
            </w:r>
            <w:r w:rsidR="00A43B1E">
              <w:rPr>
                <w:noProof/>
                <w:webHidden/>
              </w:rPr>
              <w:tab/>
            </w:r>
            <w:r w:rsidR="00A43B1E">
              <w:rPr>
                <w:noProof/>
                <w:webHidden/>
              </w:rPr>
              <w:fldChar w:fldCharType="begin"/>
            </w:r>
            <w:r w:rsidR="00A43B1E">
              <w:rPr>
                <w:noProof/>
                <w:webHidden/>
              </w:rPr>
              <w:instrText xml:space="preserve"> PAGEREF _Toc228012565 \h </w:instrText>
            </w:r>
            <w:r w:rsidR="00A43B1E">
              <w:rPr>
                <w:noProof/>
                <w:webHidden/>
              </w:rPr>
            </w:r>
            <w:r w:rsidR="00A43B1E">
              <w:rPr>
                <w:noProof/>
                <w:webHidden/>
              </w:rPr>
              <w:fldChar w:fldCharType="separate"/>
            </w:r>
            <w:r w:rsidR="00901127">
              <w:rPr>
                <w:noProof/>
                <w:webHidden/>
              </w:rPr>
              <w:t>11</w:t>
            </w:r>
            <w:r w:rsidR="00A43B1E">
              <w:rPr>
                <w:noProof/>
                <w:webHidden/>
              </w:rPr>
              <w:fldChar w:fldCharType="end"/>
            </w:r>
          </w:hyperlink>
        </w:p>
        <w:p w14:paraId="7701F441" w14:textId="03D8BB89" w:rsidR="00A43B1E" w:rsidRDefault="00C95709">
          <w:pPr>
            <w:pStyle w:val="TOC2"/>
            <w:tabs>
              <w:tab w:val="left" w:pos="960"/>
              <w:tab w:val="right" w:leader="dot" w:pos="9350"/>
            </w:tabs>
            <w:rPr>
              <w:noProof/>
            </w:rPr>
          </w:pPr>
          <w:hyperlink w:anchor="_Toc228012566" w:history="1">
            <w:r w:rsidR="00A43B1E" w:rsidRPr="00203354">
              <w:rPr>
                <w:rStyle w:val="Hyperlink"/>
                <w:noProof/>
              </w:rPr>
              <w:t>2.8</w:t>
            </w:r>
            <w:r w:rsidR="00A43B1E">
              <w:rPr>
                <w:noProof/>
              </w:rPr>
              <w:tab/>
            </w:r>
            <w:r w:rsidR="00A43B1E" w:rsidRPr="00203354">
              <w:rPr>
                <w:rStyle w:val="Hyperlink"/>
                <w:noProof/>
              </w:rPr>
              <w:t>Regulatory Compliance: UK and US Governance Frameworks</w:t>
            </w:r>
            <w:r w:rsidR="00A43B1E">
              <w:rPr>
                <w:noProof/>
                <w:webHidden/>
              </w:rPr>
              <w:tab/>
            </w:r>
            <w:r w:rsidR="00A43B1E">
              <w:rPr>
                <w:noProof/>
                <w:webHidden/>
              </w:rPr>
              <w:fldChar w:fldCharType="begin"/>
            </w:r>
            <w:r w:rsidR="00A43B1E">
              <w:rPr>
                <w:noProof/>
                <w:webHidden/>
              </w:rPr>
              <w:instrText xml:space="preserve"> PAGEREF _Toc228012566 \h </w:instrText>
            </w:r>
            <w:r w:rsidR="00A43B1E">
              <w:rPr>
                <w:noProof/>
                <w:webHidden/>
              </w:rPr>
            </w:r>
            <w:r w:rsidR="00A43B1E">
              <w:rPr>
                <w:noProof/>
                <w:webHidden/>
              </w:rPr>
              <w:fldChar w:fldCharType="separate"/>
            </w:r>
            <w:r w:rsidR="00901127">
              <w:rPr>
                <w:noProof/>
                <w:webHidden/>
              </w:rPr>
              <w:t>14</w:t>
            </w:r>
            <w:r w:rsidR="00A43B1E">
              <w:rPr>
                <w:noProof/>
                <w:webHidden/>
              </w:rPr>
              <w:fldChar w:fldCharType="end"/>
            </w:r>
          </w:hyperlink>
        </w:p>
        <w:p w14:paraId="21045455" w14:textId="40656537" w:rsidR="00A43B1E" w:rsidRDefault="00C95709">
          <w:pPr>
            <w:pStyle w:val="TOC2"/>
            <w:tabs>
              <w:tab w:val="left" w:pos="960"/>
              <w:tab w:val="right" w:leader="dot" w:pos="9350"/>
            </w:tabs>
            <w:rPr>
              <w:noProof/>
            </w:rPr>
          </w:pPr>
          <w:hyperlink w:anchor="_Toc228012567" w:history="1">
            <w:r w:rsidR="00A43B1E" w:rsidRPr="00203354">
              <w:rPr>
                <w:rStyle w:val="Hyperlink"/>
                <w:noProof/>
              </w:rPr>
              <w:t>2.9</w:t>
            </w:r>
            <w:r w:rsidR="00A43B1E">
              <w:rPr>
                <w:noProof/>
              </w:rPr>
              <w:tab/>
            </w:r>
            <w:r w:rsidR="00A43B1E" w:rsidRPr="00203354">
              <w:rPr>
                <w:rStyle w:val="Hyperlink"/>
                <w:noProof/>
              </w:rPr>
              <w:t>Data Governance: Minimisation, Purpose Limitation, and Cross-Border Flows</w:t>
            </w:r>
            <w:r w:rsidR="00A43B1E">
              <w:rPr>
                <w:noProof/>
                <w:webHidden/>
              </w:rPr>
              <w:tab/>
            </w:r>
            <w:r w:rsidR="00A43B1E">
              <w:rPr>
                <w:noProof/>
                <w:webHidden/>
              </w:rPr>
              <w:fldChar w:fldCharType="begin"/>
            </w:r>
            <w:r w:rsidR="00A43B1E">
              <w:rPr>
                <w:noProof/>
                <w:webHidden/>
              </w:rPr>
              <w:instrText xml:space="preserve"> PAGEREF _Toc228012567 \h </w:instrText>
            </w:r>
            <w:r w:rsidR="00A43B1E">
              <w:rPr>
                <w:noProof/>
                <w:webHidden/>
              </w:rPr>
            </w:r>
            <w:r w:rsidR="00A43B1E">
              <w:rPr>
                <w:noProof/>
                <w:webHidden/>
              </w:rPr>
              <w:fldChar w:fldCharType="separate"/>
            </w:r>
            <w:r w:rsidR="00901127">
              <w:rPr>
                <w:noProof/>
                <w:webHidden/>
              </w:rPr>
              <w:t>15</w:t>
            </w:r>
            <w:r w:rsidR="00A43B1E">
              <w:rPr>
                <w:noProof/>
                <w:webHidden/>
              </w:rPr>
              <w:fldChar w:fldCharType="end"/>
            </w:r>
          </w:hyperlink>
        </w:p>
        <w:p w14:paraId="3E23F7F4" w14:textId="0A3361FC" w:rsidR="00A43B1E" w:rsidRDefault="00C95709">
          <w:pPr>
            <w:pStyle w:val="TOC1"/>
            <w:tabs>
              <w:tab w:val="left" w:pos="480"/>
              <w:tab w:val="right" w:leader="dot" w:pos="9350"/>
            </w:tabs>
            <w:rPr>
              <w:noProof/>
            </w:rPr>
          </w:pPr>
          <w:hyperlink w:anchor="_Toc228012568" w:history="1">
            <w:r w:rsidR="00A43B1E" w:rsidRPr="00203354">
              <w:rPr>
                <w:rStyle w:val="Hyperlink"/>
                <w:noProof/>
              </w:rPr>
              <w:t>3.</w:t>
            </w:r>
            <w:r w:rsidR="00A43B1E">
              <w:rPr>
                <w:noProof/>
              </w:rPr>
              <w:tab/>
            </w:r>
            <w:r w:rsidR="00A43B1E" w:rsidRPr="00203354">
              <w:rPr>
                <w:rStyle w:val="Hyperlink"/>
                <w:noProof/>
              </w:rPr>
              <w:t>Implementation Plan</w:t>
            </w:r>
            <w:r w:rsidR="00A43B1E">
              <w:rPr>
                <w:noProof/>
                <w:webHidden/>
              </w:rPr>
              <w:tab/>
            </w:r>
            <w:r w:rsidR="00A43B1E">
              <w:rPr>
                <w:noProof/>
                <w:webHidden/>
              </w:rPr>
              <w:fldChar w:fldCharType="begin"/>
            </w:r>
            <w:r w:rsidR="00A43B1E">
              <w:rPr>
                <w:noProof/>
                <w:webHidden/>
              </w:rPr>
              <w:instrText xml:space="preserve"> PAGEREF _Toc228012568 \h </w:instrText>
            </w:r>
            <w:r w:rsidR="00A43B1E">
              <w:rPr>
                <w:noProof/>
                <w:webHidden/>
              </w:rPr>
            </w:r>
            <w:r w:rsidR="00A43B1E">
              <w:rPr>
                <w:noProof/>
                <w:webHidden/>
              </w:rPr>
              <w:fldChar w:fldCharType="separate"/>
            </w:r>
            <w:r w:rsidR="00901127">
              <w:rPr>
                <w:noProof/>
                <w:webHidden/>
              </w:rPr>
              <w:t>18</w:t>
            </w:r>
            <w:r w:rsidR="00A43B1E">
              <w:rPr>
                <w:noProof/>
                <w:webHidden/>
              </w:rPr>
              <w:fldChar w:fldCharType="end"/>
            </w:r>
          </w:hyperlink>
        </w:p>
        <w:p w14:paraId="04EC1287" w14:textId="376905B5" w:rsidR="00A43B1E" w:rsidRDefault="00C95709">
          <w:pPr>
            <w:pStyle w:val="TOC1"/>
            <w:tabs>
              <w:tab w:val="left" w:pos="480"/>
              <w:tab w:val="right" w:leader="dot" w:pos="9350"/>
            </w:tabs>
            <w:rPr>
              <w:noProof/>
            </w:rPr>
          </w:pPr>
          <w:hyperlink w:anchor="_Toc228012569" w:history="1">
            <w:r w:rsidR="00A43B1E" w:rsidRPr="00203354">
              <w:rPr>
                <w:rStyle w:val="Hyperlink"/>
                <w:noProof/>
              </w:rPr>
              <w:t>4.</w:t>
            </w:r>
            <w:r w:rsidR="00A43B1E">
              <w:rPr>
                <w:noProof/>
              </w:rPr>
              <w:tab/>
            </w:r>
            <w:r w:rsidR="00A43B1E" w:rsidRPr="00203354">
              <w:rPr>
                <w:rStyle w:val="Hyperlink"/>
                <w:noProof/>
              </w:rPr>
              <w:t>Conclusion</w:t>
            </w:r>
            <w:r w:rsidR="00A43B1E">
              <w:rPr>
                <w:noProof/>
                <w:webHidden/>
              </w:rPr>
              <w:tab/>
            </w:r>
            <w:r w:rsidR="00A43B1E">
              <w:rPr>
                <w:noProof/>
                <w:webHidden/>
              </w:rPr>
              <w:fldChar w:fldCharType="begin"/>
            </w:r>
            <w:r w:rsidR="00A43B1E">
              <w:rPr>
                <w:noProof/>
                <w:webHidden/>
              </w:rPr>
              <w:instrText xml:space="preserve"> PAGEREF _Toc228012569 \h </w:instrText>
            </w:r>
            <w:r w:rsidR="00A43B1E">
              <w:rPr>
                <w:noProof/>
                <w:webHidden/>
              </w:rPr>
            </w:r>
            <w:r w:rsidR="00A43B1E">
              <w:rPr>
                <w:noProof/>
                <w:webHidden/>
              </w:rPr>
              <w:fldChar w:fldCharType="separate"/>
            </w:r>
            <w:r w:rsidR="00901127">
              <w:rPr>
                <w:noProof/>
                <w:webHidden/>
              </w:rPr>
              <w:t>20</w:t>
            </w:r>
            <w:r w:rsidR="00A43B1E">
              <w:rPr>
                <w:noProof/>
                <w:webHidden/>
              </w:rPr>
              <w:fldChar w:fldCharType="end"/>
            </w:r>
          </w:hyperlink>
        </w:p>
        <w:p w14:paraId="6F8F7213" w14:textId="35E9AB3A" w:rsidR="00A43B1E" w:rsidRDefault="00C95709">
          <w:pPr>
            <w:pStyle w:val="TOC1"/>
            <w:tabs>
              <w:tab w:val="left" w:pos="480"/>
              <w:tab w:val="right" w:leader="dot" w:pos="9350"/>
            </w:tabs>
            <w:rPr>
              <w:noProof/>
            </w:rPr>
          </w:pPr>
          <w:hyperlink w:anchor="_Toc228012570" w:history="1">
            <w:r w:rsidR="00A43B1E" w:rsidRPr="00203354">
              <w:rPr>
                <w:rStyle w:val="Hyperlink"/>
                <w:noProof/>
              </w:rPr>
              <w:t>5.</w:t>
            </w:r>
            <w:r w:rsidR="00A43B1E">
              <w:rPr>
                <w:noProof/>
              </w:rPr>
              <w:tab/>
            </w:r>
            <w:r w:rsidR="00A43B1E" w:rsidRPr="00203354">
              <w:rPr>
                <w:rStyle w:val="Hyperlink"/>
                <w:noProof/>
              </w:rPr>
              <w:t>Bibliography</w:t>
            </w:r>
            <w:r w:rsidR="00A43B1E">
              <w:rPr>
                <w:noProof/>
                <w:webHidden/>
              </w:rPr>
              <w:tab/>
            </w:r>
            <w:r w:rsidR="00A43B1E">
              <w:rPr>
                <w:noProof/>
                <w:webHidden/>
              </w:rPr>
              <w:fldChar w:fldCharType="begin"/>
            </w:r>
            <w:r w:rsidR="00A43B1E">
              <w:rPr>
                <w:noProof/>
                <w:webHidden/>
              </w:rPr>
              <w:instrText xml:space="preserve"> PAGEREF _Toc228012570 \h </w:instrText>
            </w:r>
            <w:r w:rsidR="00A43B1E">
              <w:rPr>
                <w:noProof/>
                <w:webHidden/>
              </w:rPr>
            </w:r>
            <w:r w:rsidR="00A43B1E">
              <w:rPr>
                <w:noProof/>
                <w:webHidden/>
              </w:rPr>
              <w:fldChar w:fldCharType="separate"/>
            </w:r>
            <w:r w:rsidR="00901127">
              <w:rPr>
                <w:noProof/>
                <w:webHidden/>
              </w:rPr>
              <w:t>22</w:t>
            </w:r>
            <w:r w:rsidR="00A43B1E">
              <w:rPr>
                <w:noProof/>
                <w:webHidden/>
              </w:rPr>
              <w:fldChar w:fldCharType="end"/>
            </w:r>
          </w:hyperlink>
        </w:p>
        <w:p w14:paraId="0DA95DB2" w14:textId="0D1B5E47" w:rsidR="00A43B1E" w:rsidRDefault="00A43B1E">
          <w:r>
            <w:rPr>
              <w:b/>
              <w:bCs/>
              <w:noProof/>
            </w:rPr>
            <w:fldChar w:fldCharType="end"/>
          </w:r>
        </w:p>
      </w:sdtContent>
    </w:sdt>
    <w:p w14:paraId="1A76F1AB" w14:textId="77777777" w:rsidR="00A43B1E" w:rsidRDefault="00A43B1E" w:rsidP="00A43B1E">
      <w:pPr>
        <w:jc w:val="both"/>
      </w:pPr>
      <w:r>
        <w:br w:type="page"/>
      </w:r>
    </w:p>
    <w:p w14:paraId="22623970" w14:textId="4B1FB531" w:rsidR="00A43B1E" w:rsidRPr="00A43B1E" w:rsidRDefault="00A43B1E" w:rsidP="00A43B1E">
      <w:pPr>
        <w:pStyle w:val="Heading1"/>
      </w:pPr>
      <w:bookmarkStart w:id="1" w:name="_Toc228012557"/>
      <w:r w:rsidRPr="00A43B1E">
        <w:lastRenderedPageBreak/>
        <w:t>Introduction</w:t>
      </w:r>
      <w:bookmarkEnd w:id="1"/>
    </w:p>
    <w:p w14:paraId="05FE2B24" w14:textId="6ED5E474" w:rsidR="00A43B1E" w:rsidRPr="00A43B1E" w:rsidRDefault="00256623" w:rsidP="00A43B1E">
      <w:pPr>
        <w:jc w:val="both"/>
      </w:pPr>
      <w:r w:rsidRPr="00256623">
        <w:t xml:space="preserve">Founded in 2003 by the In-Q-Tel programme of the US Central Intelligence Agency, Palantir Technologies Inc. has since expanded to become the leading commercial provider of AI-based data integration and analytics </w:t>
      </w:r>
      <w:r w:rsidR="00056F16">
        <w:t>platforms</w:t>
      </w:r>
      <w:r w:rsidRPr="00256623">
        <w:t xml:space="preserve"> to government agencies in the defence, intelligence, law enforcement, and public health sectors. Its main offerings, Gotham to government intelligence operations and Foundry to enterprise data integration, and the new Artificial Intelligence Platform are in operation by its customers, such as the US Department of </w:t>
      </w:r>
      <w:r w:rsidR="00056F16">
        <w:t>Defence</w:t>
      </w:r>
      <w:r w:rsidRPr="00256623">
        <w:t>, UK Ministry of Defence, NHS England, and many others in the allied intelligence community. In 2023</w:t>
      </w:r>
      <w:r w:rsidR="00056F16">
        <w:t>,</w:t>
      </w:r>
      <w:r w:rsidRPr="00256623">
        <w:t xml:space="preserve"> Palantir was given a GBP 480 million award to run the NHS Federated Data Platform, a deployment that solidified popular debate over the growing roles of the company in civilian governmental data infrastructure. This report assesses the governance, ethical, and political </w:t>
      </w:r>
      <w:r w:rsidR="00056F16">
        <w:t>risk environment in which the capabilities of Palantir are working, and recommends to the top management the strategic steps required to maintain its license</w:t>
      </w:r>
      <w:r w:rsidRPr="00256623">
        <w:t xml:space="preserve"> to operate within its client bases across government. The analysis will be organised in terms of </w:t>
      </w:r>
      <w:r w:rsidR="00056F16">
        <w:t>Porter's</w:t>
      </w:r>
      <w:r w:rsidRPr="00256623">
        <w:t xml:space="preserve"> Five Forces, PEST, macroeconomic risk and six thematic areas into a dedicated data governance section that will cover the data minimisation, purpose limitation and cross-border flow requirements that are explicitly mandated by the brief. As a new governance tool, a proprietary Palantir Governance Legitimacy Matrix that incorporates procedural justice theory and ISO 31000 risk types is proposed.</w:t>
      </w:r>
    </w:p>
    <w:p w14:paraId="02C9C246" w14:textId="55C79B1F" w:rsidR="00A43B1E" w:rsidRPr="00A43B1E" w:rsidRDefault="00A43B1E" w:rsidP="00A43B1E">
      <w:pPr>
        <w:pStyle w:val="Heading1"/>
      </w:pPr>
      <w:bookmarkStart w:id="2" w:name="_Toc228012558"/>
      <w:r w:rsidRPr="00A43B1E">
        <w:t>Main Findings</w:t>
      </w:r>
      <w:bookmarkEnd w:id="2"/>
    </w:p>
    <w:p w14:paraId="112EA1C4" w14:textId="4F490A80" w:rsidR="00A43B1E" w:rsidRPr="00A43B1E" w:rsidRDefault="00A43B1E" w:rsidP="00A43B1E">
      <w:pPr>
        <w:pStyle w:val="Heading2"/>
      </w:pPr>
      <w:bookmarkStart w:id="3" w:name="_Toc228012559"/>
      <w:r w:rsidRPr="00A43B1E">
        <w:t>Porter's Five Forces: Competitive Dynamics in Government AI Markets</w:t>
      </w:r>
      <w:bookmarkEnd w:id="3"/>
    </w:p>
    <w:p w14:paraId="31F3AF6A" w14:textId="1040ED38" w:rsidR="000A4653" w:rsidRDefault="000A4653" w:rsidP="000A4653">
      <w:pPr>
        <w:jc w:val="both"/>
      </w:pPr>
      <w:r>
        <w:t xml:space="preserve">The government AI market, where Palantir is a player, is structurally different </w:t>
      </w:r>
      <w:r w:rsidR="00056F16">
        <w:t>from commercial AI markets in certain ways that Porter's</w:t>
      </w:r>
      <w:r>
        <w:t xml:space="preserve"> Five Forces sheds light on in a particularly clear manner. The threat of new entry is mitigated by the presence of strong barriers to the government AI industry in the form of security clearance, lengthy procurement processes, and operational credibility in classified settings. The introduction of </w:t>
      </w:r>
      <w:r w:rsidR="00056F16">
        <w:t>well-established defence and technology primes, such as Microsoft, Amazon Web Services, and Booz Allen Hamilton bidding on US Department of Defence</w:t>
      </w:r>
      <w:r>
        <w:t xml:space="preserve"> AI contracts, is, however, a viable and growing threat of entry by incumbents in related markets. According to Madan and Ashok (2022), the ability to manoeuvre through intricate public sector procurement structures is one of the key factors </w:t>
      </w:r>
      <w:r>
        <w:lastRenderedPageBreak/>
        <w:t>determining AI adoption success in government settings, which has taken decades of evolution by large defence contractors and is now redirected towards AI platform contests.</w:t>
      </w:r>
    </w:p>
    <w:p w14:paraId="17016273" w14:textId="77777777" w:rsidR="002B05D8" w:rsidRDefault="003F205C" w:rsidP="002B05D8">
      <w:pPr>
        <w:keepNext/>
        <w:jc w:val="center"/>
      </w:pPr>
      <w:r w:rsidRPr="003F205C">
        <w:rPr>
          <w:noProof/>
        </w:rPr>
        <w:drawing>
          <wp:inline distT="0" distB="0" distL="0" distR="0" wp14:anchorId="19F52C6A" wp14:editId="28D70471">
            <wp:extent cx="5314950" cy="5142328"/>
            <wp:effectExtent l="0" t="0" r="0" b="1270"/>
            <wp:docPr id="92582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22546" name=""/>
                    <pic:cNvPicPr/>
                  </pic:nvPicPr>
                  <pic:blipFill>
                    <a:blip r:embed="rId8"/>
                    <a:stretch>
                      <a:fillRect/>
                    </a:stretch>
                  </pic:blipFill>
                  <pic:spPr>
                    <a:xfrm>
                      <a:off x="0" y="0"/>
                      <a:ext cx="5319645" cy="5146870"/>
                    </a:xfrm>
                    <a:prstGeom prst="rect">
                      <a:avLst/>
                    </a:prstGeom>
                  </pic:spPr>
                </pic:pic>
              </a:graphicData>
            </a:graphic>
          </wp:inline>
        </w:drawing>
      </w:r>
    </w:p>
    <w:p w14:paraId="525D8F86" w14:textId="1FF8F02C" w:rsidR="003F205C" w:rsidRDefault="002B05D8" w:rsidP="002B05D8">
      <w:pPr>
        <w:pStyle w:val="Caption"/>
        <w:jc w:val="center"/>
      </w:pPr>
      <w:r>
        <w:t xml:space="preserve">Figure </w:t>
      </w:r>
      <w:r>
        <w:fldChar w:fldCharType="begin"/>
      </w:r>
      <w:r>
        <w:instrText xml:space="preserve"> SEQ Figure \* ARABIC </w:instrText>
      </w:r>
      <w:r>
        <w:fldChar w:fldCharType="separate"/>
      </w:r>
      <w:r w:rsidR="00DE3B22">
        <w:rPr>
          <w:noProof/>
        </w:rPr>
        <w:t>1</w:t>
      </w:r>
      <w:r>
        <w:fldChar w:fldCharType="end"/>
      </w:r>
      <w:r>
        <w:t xml:space="preserve">: </w:t>
      </w:r>
      <w:r w:rsidRPr="00AA799D">
        <w:t>Competitive forces shaping government AI platform markets</w:t>
      </w:r>
      <w:r>
        <w:t xml:space="preserve"> (Self)</w:t>
      </w:r>
    </w:p>
    <w:p w14:paraId="6C9D3C16" w14:textId="2CA2B5E5" w:rsidR="000A4653" w:rsidRDefault="000A4653" w:rsidP="000A4653">
      <w:pPr>
        <w:jc w:val="both"/>
      </w:pPr>
      <w:r>
        <w:t xml:space="preserve">The buyer power in the operating model of Palantir is very high. Government agencies are </w:t>
      </w:r>
      <w:proofErr w:type="spellStart"/>
      <w:r>
        <w:t>monopsonistic</w:t>
      </w:r>
      <w:proofErr w:type="spellEnd"/>
      <w:r>
        <w:t xml:space="preserve"> or </w:t>
      </w:r>
      <w:proofErr w:type="spellStart"/>
      <w:r>
        <w:t>oligopsonistic</w:t>
      </w:r>
      <w:proofErr w:type="spellEnd"/>
      <w:r>
        <w:t xml:space="preserve"> buyers who can enforce contractual conditions of transparency, auditability, data sovereignty, and ethical standards. According to </w:t>
      </w:r>
      <w:proofErr w:type="spellStart"/>
      <w:r>
        <w:t>Selten</w:t>
      </w:r>
      <w:proofErr w:type="spellEnd"/>
      <w:r>
        <w:t xml:space="preserve"> and </w:t>
      </w:r>
      <w:proofErr w:type="spellStart"/>
      <w:r>
        <w:t>Klievink</w:t>
      </w:r>
      <w:proofErr w:type="spellEnd"/>
      <w:r>
        <w:t xml:space="preserve"> (2024), structural tension between the integration logic of adopting AI platforms and the separation logic of government accountability is a hallmark issue faced by AI vendors working with governments, as they hold that companies that design AI platforms based on the needs of governmental accountability and not just commercial efficiency alone would, therefore, gain longer-lasting relations with </w:t>
      </w:r>
      <w:r w:rsidR="00056F16">
        <w:t xml:space="preserve">the </w:t>
      </w:r>
      <w:r>
        <w:t xml:space="preserve">government. The May 2025 contract awards by the US Department of </w:t>
      </w:r>
      <w:r w:rsidR="00056F16">
        <w:t>Defence reaffirm the strategic value of Palantir (U.S. Department of Defence</w:t>
      </w:r>
      <w:r>
        <w:t>, 2025a), yet the extension of the contracts will be based on performance in governance, which Palantir cannot entirely control.</w:t>
      </w:r>
    </w:p>
    <w:p w14:paraId="4FE811B1" w14:textId="177EC865" w:rsidR="00A43B1E" w:rsidRPr="00A43B1E" w:rsidRDefault="000A4653" w:rsidP="000A4653">
      <w:pPr>
        <w:jc w:val="both"/>
      </w:pPr>
      <w:r>
        <w:lastRenderedPageBreak/>
        <w:t xml:space="preserve">The risk of substitutes is mediated by the high switching costs of replacing </w:t>
      </w:r>
      <w:r w:rsidR="00056F16">
        <w:t xml:space="preserve">a </w:t>
      </w:r>
      <w:r>
        <w:t xml:space="preserve">deeply integrated government data platform, but </w:t>
      </w:r>
      <w:proofErr w:type="spellStart"/>
      <w:r>
        <w:t>Alhosani</w:t>
      </w:r>
      <w:proofErr w:type="spellEnd"/>
      <w:r>
        <w:t xml:space="preserve"> and </w:t>
      </w:r>
      <w:proofErr w:type="spellStart"/>
      <w:r>
        <w:t>Alhashmi</w:t>
      </w:r>
      <w:proofErr w:type="spellEnd"/>
      <w:r>
        <w:t xml:space="preserve"> (2024) record an increasing interest in open-source AI platforms in government, as well as the development of in-house capability, as an alternative to dependence on a commercial vendor, driven by the political risk of relying on one commercial platform to provide sovereign intelligence service. The level of competitive rivalry is high and geopolitically </w:t>
      </w:r>
      <w:r w:rsidR="00056F16">
        <w:t>organised</w:t>
      </w:r>
      <w:r>
        <w:t>. Sharma, Yadav and Chopra (2020) suggest that the AI governance capability is emerging as a key requirement in AI procurement in the public sector of developed democracies, and that the strategic significance of the Palantir AI governance investment is becoming a competitive advantage in government procurement in allied countries.</w:t>
      </w:r>
    </w:p>
    <w:p w14:paraId="14FB8786" w14:textId="77777777" w:rsidR="00A43B1E" w:rsidRPr="00303370" w:rsidRDefault="00A43B1E" w:rsidP="00A43B1E">
      <w:pPr>
        <w:jc w:val="both"/>
        <w:rPr>
          <w:b/>
          <w:bCs/>
        </w:rPr>
      </w:pPr>
      <w:r w:rsidRPr="00303370">
        <w:rPr>
          <w:b/>
          <w:bCs/>
        </w:rPr>
        <w:t>Table 1: Porter's Five Forces Assessment for Palantir in Government AI Markets</w:t>
      </w:r>
    </w:p>
    <w:tbl>
      <w:tblPr>
        <w:tblStyle w:val="GridTable3-Accent2"/>
        <w:tblW w:w="0" w:type="auto"/>
        <w:tblLook w:val="04A0" w:firstRow="1" w:lastRow="0" w:firstColumn="1" w:lastColumn="0" w:noHBand="0" w:noVBand="1"/>
      </w:tblPr>
      <w:tblGrid>
        <w:gridCol w:w="1665"/>
        <w:gridCol w:w="1274"/>
        <w:gridCol w:w="3095"/>
        <w:gridCol w:w="2992"/>
      </w:tblGrid>
      <w:tr w:rsidR="00A43B1E" w:rsidRPr="00A43B1E" w14:paraId="62667559" w14:textId="77777777" w:rsidTr="00A43B1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08AD974" w14:textId="77777777" w:rsidR="00A43B1E" w:rsidRPr="00A43B1E" w:rsidRDefault="00A43B1E" w:rsidP="00A43B1E">
            <w:pPr>
              <w:jc w:val="both"/>
            </w:pPr>
            <w:r w:rsidRPr="00A43B1E">
              <w:t>Force</w:t>
            </w:r>
          </w:p>
        </w:tc>
        <w:tc>
          <w:tcPr>
            <w:tcW w:w="0" w:type="auto"/>
            <w:hideMark/>
          </w:tcPr>
          <w:p w14:paraId="39C4EC57"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Intensity</w:t>
            </w:r>
          </w:p>
        </w:tc>
        <w:tc>
          <w:tcPr>
            <w:tcW w:w="0" w:type="auto"/>
            <w:hideMark/>
          </w:tcPr>
          <w:p w14:paraId="52AB9E18"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Key Driver</w:t>
            </w:r>
          </w:p>
        </w:tc>
        <w:tc>
          <w:tcPr>
            <w:tcW w:w="0" w:type="auto"/>
            <w:hideMark/>
          </w:tcPr>
          <w:p w14:paraId="1CDCEC6B"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Strategic Implication</w:t>
            </w:r>
          </w:p>
        </w:tc>
      </w:tr>
      <w:tr w:rsidR="00A43B1E" w:rsidRPr="00A43B1E" w14:paraId="4C1E4724"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0C52E" w14:textId="77777777" w:rsidR="00A43B1E" w:rsidRPr="00A43B1E" w:rsidRDefault="00A43B1E" w:rsidP="00A43B1E">
            <w:pPr>
              <w:jc w:val="both"/>
            </w:pPr>
            <w:r w:rsidRPr="00A43B1E">
              <w:t>Threat of New Entrants</w:t>
            </w:r>
          </w:p>
        </w:tc>
        <w:tc>
          <w:tcPr>
            <w:tcW w:w="0" w:type="auto"/>
            <w:hideMark/>
          </w:tcPr>
          <w:p w14:paraId="0B893421"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Moderate</w:t>
            </w:r>
          </w:p>
        </w:tc>
        <w:tc>
          <w:tcPr>
            <w:tcW w:w="0" w:type="auto"/>
            <w:hideMark/>
          </w:tcPr>
          <w:p w14:paraId="29A1953B" w14:textId="4975BA3F"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Defence prime entry into </w:t>
            </w:r>
            <w:r w:rsidR="00056F16">
              <w:t xml:space="preserve">the </w:t>
            </w:r>
            <w:r w:rsidRPr="00A43B1E">
              <w:t>AI platform competition</w:t>
            </w:r>
          </w:p>
        </w:tc>
        <w:tc>
          <w:tcPr>
            <w:tcW w:w="0" w:type="auto"/>
            <w:hideMark/>
          </w:tcPr>
          <w:p w14:paraId="36E6B799"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Deepen operational credibility before primes establish positions</w:t>
            </w:r>
          </w:p>
        </w:tc>
      </w:tr>
      <w:tr w:rsidR="00A43B1E" w:rsidRPr="00A43B1E" w14:paraId="70B93A18"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409C12C2" w14:textId="77777777" w:rsidR="00A43B1E" w:rsidRPr="00A43B1E" w:rsidRDefault="00A43B1E" w:rsidP="00A43B1E">
            <w:pPr>
              <w:jc w:val="both"/>
            </w:pPr>
            <w:r w:rsidRPr="00A43B1E">
              <w:t>Supplier Power</w:t>
            </w:r>
          </w:p>
        </w:tc>
        <w:tc>
          <w:tcPr>
            <w:tcW w:w="0" w:type="auto"/>
            <w:hideMark/>
          </w:tcPr>
          <w:p w14:paraId="3E887EC8"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Low</w:t>
            </w:r>
          </w:p>
        </w:tc>
        <w:tc>
          <w:tcPr>
            <w:tcW w:w="0" w:type="auto"/>
            <w:hideMark/>
          </w:tcPr>
          <w:p w14:paraId="1574A47D" w14:textId="04F8CAFE"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 xml:space="preserve">Palantir is </w:t>
            </w:r>
            <w:r w:rsidR="00056F16">
              <w:t xml:space="preserve">a </w:t>
            </w:r>
            <w:r w:rsidRPr="00A43B1E">
              <w:t>supplier to monopsonistic government buyers</w:t>
            </w:r>
          </w:p>
        </w:tc>
        <w:tc>
          <w:tcPr>
            <w:tcW w:w="0" w:type="auto"/>
            <w:hideMark/>
          </w:tcPr>
          <w:p w14:paraId="36D6FD1E"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Design platforms around accountability, not only efficiency</w:t>
            </w:r>
          </w:p>
        </w:tc>
      </w:tr>
      <w:tr w:rsidR="00A43B1E" w:rsidRPr="00A43B1E" w14:paraId="17DBF499"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F68E87" w14:textId="77777777" w:rsidR="00A43B1E" w:rsidRPr="00A43B1E" w:rsidRDefault="00A43B1E" w:rsidP="00A43B1E">
            <w:pPr>
              <w:jc w:val="both"/>
            </w:pPr>
            <w:r w:rsidRPr="00A43B1E">
              <w:t>Buyer Power</w:t>
            </w:r>
          </w:p>
        </w:tc>
        <w:tc>
          <w:tcPr>
            <w:tcW w:w="0" w:type="auto"/>
            <w:hideMark/>
          </w:tcPr>
          <w:p w14:paraId="69C6826B"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Very High</w:t>
            </w:r>
          </w:p>
        </w:tc>
        <w:tc>
          <w:tcPr>
            <w:tcW w:w="0" w:type="auto"/>
            <w:hideMark/>
          </w:tcPr>
          <w:p w14:paraId="7F86379B"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Government agencies impose transparency and audit conditions</w:t>
            </w:r>
          </w:p>
        </w:tc>
        <w:tc>
          <w:tcPr>
            <w:tcW w:w="0" w:type="auto"/>
            <w:hideMark/>
          </w:tcPr>
          <w:p w14:paraId="5B10355C" w14:textId="0C897755"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Proactive governance as </w:t>
            </w:r>
            <w:r w:rsidR="00056F16">
              <w:t xml:space="preserve">a </w:t>
            </w:r>
            <w:r w:rsidRPr="00A43B1E">
              <w:t>contract retention strategy</w:t>
            </w:r>
          </w:p>
        </w:tc>
      </w:tr>
      <w:tr w:rsidR="00A43B1E" w:rsidRPr="00A43B1E" w14:paraId="2D77BE66"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6C4353D1" w14:textId="77777777" w:rsidR="00A43B1E" w:rsidRPr="00A43B1E" w:rsidRDefault="00A43B1E" w:rsidP="00A43B1E">
            <w:pPr>
              <w:jc w:val="both"/>
            </w:pPr>
            <w:r w:rsidRPr="00A43B1E">
              <w:t>Threat of Substitutes</w:t>
            </w:r>
          </w:p>
        </w:tc>
        <w:tc>
          <w:tcPr>
            <w:tcW w:w="0" w:type="auto"/>
            <w:hideMark/>
          </w:tcPr>
          <w:p w14:paraId="6DF368A4"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Low-Moderate</w:t>
            </w:r>
          </w:p>
        </w:tc>
        <w:tc>
          <w:tcPr>
            <w:tcW w:w="0" w:type="auto"/>
            <w:hideMark/>
          </w:tcPr>
          <w:p w14:paraId="2E025530"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Open-source interest growing despite high switching costs</w:t>
            </w:r>
          </w:p>
        </w:tc>
        <w:tc>
          <w:tcPr>
            <w:tcW w:w="0" w:type="auto"/>
            <w:hideMark/>
          </w:tcPr>
          <w:p w14:paraId="2A8AE4C9"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Demonstrate value beyond lock-in through governance transparency</w:t>
            </w:r>
          </w:p>
        </w:tc>
      </w:tr>
      <w:tr w:rsidR="00A43B1E" w:rsidRPr="00A43B1E" w14:paraId="74289BAD"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D01E8D" w14:textId="77777777" w:rsidR="00A43B1E" w:rsidRPr="00A43B1E" w:rsidRDefault="00A43B1E" w:rsidP="00A43B1E">
            <w:pPr>
              <w:jc w:val="both"/>
            </w:pPr>
            <w:r w:rsidRPr="00A43B1E">
              <w:t>Competitive Rivalry</w:t>
            </w:r>
          </w:p>
        </w:tc>
        <w:tc>
          <w:tcPr>
            <w:tcW w:w="0" w:type="auto"/>
            <w:hideMark/>
          </w:tcPr>
          <w:p w14:paraId="7C30FCB5"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High</w:t>
            </w:r>
          </w:p>
        </w:tc>
        <w:tc>
          <w:tcPr>
            <w:tcW w:w="0" w:type="auto"/>
            <w:hideMark/>
          </w:tcPr>
          <w:p w14:paraId="7E5BA4C2" w14:textId="4EF62631"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Microsoft, AWS, </w:t>
            </w:r>
            <w:r w:rsidR="00056F16">
              <w:t xml:space="preserve">and </w:t>
            </w:r>
            <w:r w:rsidRPr="00A43B1E">
              <w:t xml:space="preserve">Booz Allen </w:t>
            </w:r>
            <w:r w:rsidR="00056F16">
              <w:t xml:space="preserve">are </w:t>
            </w:r>
            <w:r w:rsidRPr="00A43B1E">
              <w:t>competing for defence AI contracts</w:t>
            </w:r>
          </w:p>
        </w:tc>
        <w:tc>
          <w:tcPr>
            <w:tcW w:w="0" w:type="auto"/>
            <w:hideMark/>
          </w:tcPr>
          <w:p w14:paraId="1CCCB42B" w14:textId="559BCB36"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Governance credibility </w:t>
            </w:r>
            <w:r w:rsidR="003222E8">
              <w:t>is</w:t>
            </w:r>
            <w:r w:rsidRPr="00A43B1E">
              <w:t xml:space="preserve"> </w:t>
            </w:r>
            <w:r w:rsidR="00056F16">
              <w:t xml:space="preserve">the </w:t>
            </w:r>
            <w:r w:rsidRPr="00A43B1E">
              <w:t>primary differentiator in allied markets</w:t>
            </w:r>
          </w:p>
        </w:tc>
      </w:tr>
    </w:tbl>
    <w:p w14:paraId="11BD3B8A" w14:textId="1B09DD5D" w:rsidR="00A43B1E" w:rsidRPr="00A43B1E" w:rsidRDefault="00A43B1E" w:rsidP="00A43B1E">
      <w:pPr>
        <w:pStyle w:val="Heading2"/>
      </w:pPr>
      <w:bookmarkStart w:id="4" w:name="_Toc228012560"/>
      <w:r w:rsidRPr="00A43B1E">
        <w:t>PESTLE Analysis: Macro-Environmental Risk in Sovereign AI Deployment</w:t>
      </w:r>
      <w:bookmarkEnd w:id="4"/>
    </w:p>
    <w:p w14:paraId="40CDD737" w14:textId="77777777" w:rsidR="004D457B" w:rsidRDefault="004D457B" w:rsidP="004D457B">
      <w:pPr>
        <w:jc w:val="both"/>
      </w:pPr>
      <w:r>
        <w:t>Macro-environmental forces influencing the operating environment of Palantir are more politically provocative and less commercially exploitable than those affecting most companies in the private sector dealing with AI, due to the dual nature of Palantir as a commercial firm and an informal tool of state power.</w:t>
      </w:r>
    </w:p>
    <w:p w14:paraId="33C61D8A" w14:textId="5C2904B8" w:rsidR="004D457B" w:rsidRDefault="004D457B" w:rsidP="004D457B">
      <w:pPr>
        <w:jc w:val="both"/>
      </w:pPr>
      <w:r>
        <w:t xml:space="preserve">Politically, Emery-Xu, Jordan and Trager (2024) record the rise of international AI governance as a geopolitical battleground, with democratic allies trying to set up common standards of responsible AI </w:t>
      </w:r>
      <w:r w:rsidR="003222E8">
        <w:t>in</w:t>
      </w:r>
      <w:r>
        <w:t xml:space="preserve"> </w:t>
      </w:r>
      <w:r w:rsidR="003222E8">
        <w:t xml:space="preserve">the </w:t>
      </w:r>
      <w:r>
        <w:t xml:space="preserve">military but retaining the flexibility to operate without equivalent restraints by adversaries who operate under no similar restrictions. In the case of Palantir, each new area of its government AI growth into a new domain of surveillance or defence presents </w:t>
      </w:r>
      <w:r w:rsidR="003222E8">
        <w:t xml:space="preserve">a </w:t>
      </w:r>
      <w:r>
        <w:lastRenderedPageBreak/>
        <w:t xml:space="preserve">new political inquiry into the democratic publics whose governments are its clientele. Socially, Machado, Silva and Neiva (2023) discover that issues of surveillance, privacy, and loss of human agency are always the top-rated by people in their perceptions of AI ethics, and that these issues are magnified when AI is implemented by actors of the state since the former is accompanied by the coercive power that </w:t>
      </w:r>
      <w:r w:rsidR="003222E8">
        <w:t>characterises</w:t>
      </w:r>
      <w:r>
        <w:t xml:space="preserve"> state action as opposed to commercial service provision. </w:t>
      </w:r>
      <w:proofErr w:type="spellStart"/>
      <w:r>
        <w:t>Azzahro</w:t>
      </w:r>
      <w:proofErr w:type="spellEnd"/>
      <w:r>
        <w:t xml:space="preserve">, </w:t>
      </w:r>
      <w:proofErr w:type="spellStart"/>
      <w:r>
        <w:t>Hidayanto</w:t>
      </w:r>
      <w:proofErr w:type="spellEnd"/>
      <w:r>
        <w:t xml:space="preserve"> and Shihab (2025) determine transparency and fairness as the most prevalent aspects that influence the citizen acceptance of AI in government services</w:t>
      </w:r>
      <w:r w:rsidR="003222E8">
        <w:t>,</w:t>
      </w:r>
      <w:r>
        <w:t xml:space="preserve"> and the results have a direct implication on the implementation of Palantir in the NHS.</w:t>
      </w:r>
    </w:p>
    <w:p w14:paraId="5D38AE5A" w14:textId="526818B0" w:rsidR="00A43B1E" w:rsidRDefault="004D457B" w:rsidP="004D457B">
      <w:pPr>
        <w:jc w:val="both"/>
      </w:pPr>
      <w:r>
        <w:t>Pratyusha Ria Kalluri and colleagues (2025) report in Nature the degree of computer vision research being applied to surveillance despite not being originally intended to implement this technology in operational contexts, which directly relates to Palantir’s AIP platform, which incorporates computer vision features into the operational settings of governments (Palantir, 2025). The UK Algorithmic Transparency Recording Standard, a legal requirement, mandates the disclosure of algorithmic decision-support tool deployments by public sector bodies in the UK (UK Government, 2025), and the 2024 memorandum by the Office of Management and Budget, which imposes binding AI governance requirements on US federal agencies using commercial AI platforms (Office of Management and Budget, 2024). Federally, federal sustainability procurement requirements are narrowing around AI compute emissions, an additional compliance aspect to the operational risk profile at Palantir.</w:t>
      </w:r>
    </w:p>
    <w:p w14:paraId="2AC8FD89" w14:textId="77777777" w:rsidR="00D80C81" w:rsidRDefault="00D80C81" w:rsidP="00D80C81">
      <w:pPr>
        <w:keepNext/>
        <w:jc w:val="both"/>
      </w:pPr>
      <w:r w:rsidRPr="00D80C81">
        <w:rPr>
          <w:noProof/>
        </w:rPr>
        <w:drawing>
          <wp:inline distT="0" distB="0" distL="0" distR="0" wp14:anchorId="62E62C20" wp14:editId="5C301087">
            <wp:extent cx="5943600" cy="3613785"/>
            <wp:effectExtent l="0" t="0" r="0" b="5715"/>
            <wp:docPr id="1197302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02869" name=""/>
                    <pic:cNvPicPr/>
                  </pic:nvPicPr>
                  <pic:blipFill>
                    <a:blip r:embed="rId9"/>
                    <a:stretch>
                      <a:fillRect/>
                    </a:stretch>
                  </pic:blipFill>
                  <pic:spPr>
                    <a:xfrm>
                      <a:off x="0" y="0"/>
                      <a:ext cx="5943600" cy="3613785"/>
                    </a:xfrm>
                    <a:prstGeom prst="rect">
                      <a:avLst/>
                    </a:prstGeom>
                  </pic:spPr>
                </pic:pic>
              </a:graphicData>
            </a:graphic>
          </wp:inline>
        </w:drawing>
      </w:r>
    </w:p>
    <w:p w14:paraId="5535BF51" w14:textId="01F9EE09" w:rsidR="00D80C81" w:rsidRPr="00A43B1E" w:rsidRDefault="00D80C81" w:rsidP="00D80C81">
      <w:pPr>
        <w:pStyle w:val="Caption"/>
        <w:jc w:val="center"/>
      </w:pPr>
      <w:r>
        <w:t xml:space="preserve">Figure </w:t>
      </w:r>
      <w:r>
        <w:fldChar w:fldCharType="begin"/>
      </w:r>
      <w:r>
        <w:instrText xml:space="preserve"> SEQ Figure \* ARABIC </w:instrText>
      </w:r>
      <w:r>
        <w:fldChar w:fldCharType="separate"/>
      </w:r>
      <w:r w:rsidR="00DE3B22">
        <w:rPr>
          <w:noProof/>
        </w:rPr>
        <w:t>2</w:t>
      </w:r>
      <w:r>
        <w:fldChar w:fldCharType="end"/>
      </w:r>
      <w:r>
        <w:t xml:space="preserve">: </w:t>
      </w:r>
      <w:r w:rsidRPr="00F561C8">
        <w:t>PESTLE Analysis Summary for Palantir</w:t>
      </w:r>
      <w:r>
        <w:t xml:space="preserve"> (Self)</w:t>
      </w:r>
    </w:p>
    <w:p w14:paraId="179ED99D" w14:textId="5DF525CF" w:rsidR="00A43B1E" w:rsidRPr="00A43B1E" w:rsidRDefault="00A43B1E" w:rsidP="00A43B1E">
      <w:pPr>
        <w:pStyle w:val="Heading2"/>
      </w:pPr>
      <w:bookmarkStart w:id="5" w:name="_Toc228012561"/>
      <w:r w:rsidRPr="00A43B1E">
        <w:lastRenderedPageBreak/>
        <w:t>Macroeconomic and Geopolitical Context</w:t>
      </w:r>
      <w:bookmarkEnd w:id="5"/>
    </w:p>
    <w:p w14:paraId="42628A19" w14:textId="3DFCDD0F" w:rsidR="00A43B1E" w:rsidRPr="00A43B1E" w:rsidRDefault="004D457B" w:rsidP="00A43B1E">
      <w:pPr>
        <w:jc w:val="both"/>
      </w:pPr>
      <w:r w:rsidRPr="004D457B">
        <w:t xml:space="preserve">The revenue model of Palantir is more sensitive to macroeconomic and geopolitical instability than other commercial AI </w:t>
      </w:r>
      <w:r w:rsidR="003222E8">
        <w:t>organisations</w:t>
      </w:r>
      <w:r w:rsidRPr="004D457B">
        <w:t xml:space="preserve"> since its main source of income is directly linked to sovereign fiscal and strategic choices as opposed to market demand. The US defence budget, with most of the government revenues to Palantir, is also a </w:t>
      </w:r>
      <w:r w:rsidR="003222E8">
        <w:t>congressionally-appropriated</w:t>
      </w:r>
      <w:r w:rsidRPr="004D457B">
        <w:t xml:space="preserve"> cycle that is becoming more controversial with the high-debt, high-interest-rate climate recorded by the IMF in its April 2025 World Economic Outlook. Governments with advanced economies and structural fiscal limitations will have to trade off investment in AI modernisation with other spending priorities, and the political saliency of AI purchase prices exposes such line items to sequestration. The strategic reaction that Palantir should adopt is to diversify revenue among government clients, especially allies, in the UK, Australia, Canada, and NATO nations</w:t>
      </w:r>
      <w:r w:rsidR="003222E8">
        <w:t>,</w:t>
      </w:r>
      <w:r w:rsidRPr="004D457B">
        <w:t xml:space="preserve"> to avoid reliance on just one appropriation cycle. The geopolitical aspect is also decisive. The fact that the US Department of </w:t>
      </w:r>
      <w:proofErr w:type="spellStart"/>
      <w:r w:rsidRPr="004D457B">
        <w:t>Defense</w:t>
      </w:r>
      <w:proofErr w:type="spellEnd"/>
      <w:r w:rsidRPr="004D457B">
        <w:t xml:space="preserve"> explicitly prioritised AI as a tool to gain an operational advantage, as is reflected in the CDAO Responsible AI Toolkit and the Ethical Principles of Artificial Intelligence adopted by the DoD, presents a policy background where Palantir capabilities are framed as a national security requirement (U.S. Department of </w:t>
      </w:r>
      <w:proofErr w:type="spellStart"/>
      <w:r w:rsidRPr="004D457B">
        <w:t>Defense</w:t>
      </w:r>
      <w:proofErr w:type="spellEnd"/>
      <w:r w:rsidRPr="004D457B">
        <w:t xml:space="preserve">, 2025b; U.S. Department of </w:t>
      </w:r>
      <w:proofErr w:type="spellStart"/>
      <w:r w:rsidRPr="004D457B">
        <w:t>Defense</w:t>
      </w:r>
      <w:proofErr w:type="spellEnd"/>
      <w:r w:rsidRPr="004D457B">
        <w:t xml:space="preserve"> CDAO, The GBP 480 million NHS contract is reported by Armstrong (2023) as a commercial landmark and a focal point of public outcry in the UK context and a reminder that a political termination risk is possible regardless of performance standards in the context of contracts in the public sector (NHS England, 2023).</w:t>
      </w:r>
    </w:p>
    <w:p w14:paraId="5958C81B" w14:textId="36BED427" w:rsidR="00A43B1E" w:rsidRPr="00A43B1E" w:rsidRDefault="00A43B1E" w:rsidP="00A43B1E">
      <w:pPr>
        <w:pStyle w:val="Heading2"/>
      </w:pPr>
      <w:bookmarkStart w:id="6" w:name="_Toc228012562"/>
      <w:r w:rsidRPr="00A43B1E">
        <w:t xml:space="preserve">AI in </w:t>
      </w:r>
      <w:proofErr w:type="spellStart"/>
      <w:r w:rsidRPr="00A43B1E">
        <w:t>Defence</w:t>
      </w:r>
      <w:proofErr w:type="spellEnd"/>
      <w:r w:rsidRPr="00A43B1E">
        <w:t xml:space="preserve"> and Intelligence: Capability, Risk, and Accountability</w:t>
      </w:r>
      <w:bookmarkEnd w:id="6"/>
    </w:p>
    <w:p w14:paraId="13A56246" w14:textId="16DF2A86" w:rsidR="00136376" w:rsidRDefault="00136376" w:rsidP="00136376">
      <w:pPr>
        <w:jc w:val="both"/>
      </w:pPr>
      <w:r>
        <w:t>The application of AI to defence and intelligence</w:t>
      </w:r>
      <w:r w:rsidR="003222E8">
        <w:t xml:space="preserve"> is the most ethically consequential aspect of Palantir's</w:t>
      </w:r>
      <w:r>
        <w:t xml:space="preserve"> operational portfolio and the area where the </w:t>
      </w:r>
      <w:proofErr w:type="spellStart"/>
      <w:r>
        <w:t>disjunctures</w:t>
      </w:r>
      <w:proofErr w:type="spellEnd"/>
      <w:r>
        <w:t xml:space="preserve"> between technical capacity and governance adequacy are most structurally acute. Blanchard, Thomas and Taddeo (2024) carry out a normative exercise on ethical AI governance in defence, indicating a significant contradiction between ethical principle-level commitments to responsible military AI and the actualities of defence operations, in time-constrained, data-incomplete, adversarial conditions. They claim that the principle-to-practice translation needs not a set of abstract ethical utterances, but </w:t>
      </w:r>
      <w:r w:rsidR="003222E8">
        <w:t xml:space="preserve">a </w:t>
      </w:r>
      <w:r>
        <w:t>particular governance apparatus that binds AI system developers, integrates organisations, and end-user personnel to particular accountability relationships.</w:t>
      </w:r>
    </w:p>
    <w:p w14:paraId="4BEC65E5" w14:textId="3024A93B" w:rsidR="00A43B1E" w:rsidRPr="00A43B1E" w:rsidRDefault="00136376" w:rsidP="00136376">
      <w:pPr>
        <w:jc w:val="both"/>
      </w:pPr>
      <w:r>
        <w:t>Bode and colleagues (2025) suggest that the responsibility of AI-based military systems should be determined during the design and procurement phases and not afterwards</w:t>
      </w:r>
      <w:r w:rsidR="003222E8">
        <w:t xml:space="preserve">, when the </w:t>
      </w:r>
      <w:r w:rsidR="003222E8">
        <w:lastRenderedPageBreak/>
        <w:t xml:space="preserve">consequences prove to be negative, an argument that directly incriminates the decision of Palantir in the design of the </w:t>
      </w:r>
      <w:r>
        <w:t xml:space="preserve">Gotham platform architecture. Conn and Bode (2025) build on this as they state that human responsibility should be designed to be part of AI-based defence systems since the requirements specification phase, not just stated at the policy level. </w:t>
      </w:r>
      <w:proofErr w:type="spellStart"/>
      <w:r>
        <w:t>Meerveld</w:t>
      </w:r>
      <w:proofErr w:type="spellEnd"/>
      <w:r>
        <w:t xml:space="preserve"> and colleagues (2025) operationalise this argument by having a context-specific responsible AI assessment methodology in the military setting, where the governance needs of optimisation of logistics are contrasted with the governance needs that apply to lethal targeting support. In the article discussing the deployment of AI in the military, </w:t>
      </w:r>
      <w:proofErr w:type="spellStart"/>
      <w:r>
        <w:t>Meerveld</w:t>
      </w:r>
      <w:proofErr w:type="spellEnd"/>
      <w:r>
        <w:t xml:space="preserve">, </w:t>
      </w:r>
      <w:proofErr w:type="spellStart"/>
      <w:r>
        <w:t>Lindelauf</w:t>
      </w:r>
      <w:proofErr w:type="spellEnd"/>
      <w:r>
        <w:t>, Postma</w:t>
      </w:r>
      <w:r w:rsidR="003222E8">
        <w:t>,</w:t>
      </w:r>
      <w:r>
        <w:t xml:space="preserve"> and Postma (2023) present the counter-argument that not deploying AI in cases where adversaries do so is irresponsible in its own right. Although intellectually important, this argument confirms that governance should facilitate </w:t>
      </w:r>
      <w:r w:rsidR="003222E8">
        <w:t xml:space="preserve">the </w:t>
      </w:r>
      <w:r>
        <w:t xml:space="preserve">responsible deployment of AI instead of its deployment altogether, which should explicitly be internalised in the design philosophy of Palantir. Garcia (2025) goes further </w:t>
      </w:r>
      <w:r w:rsidR="003222E8">
        <w:t>into the diplomatic aspect and looks at how international diplomacy involving military AI is transforming the norms agenda, within which companies such as Palantir are forced to perform with multilateral standards of accountability, slowly being integrated into</w:t>
      </w:r>
      <w:r>
        <w:t xml:space="preserve"> the procurement procedures of the allied governments.</w:t>
      </w:r>
    </w:p>
    <w:p w14:paraId="470DEE50" w14:textId="36A5847A" w:rsidR="00A43B1E" w:rsidRPr="00A43B1E" w:rsidRDefault="00A43B1E" w:rsidP="00A43B1E">
      <w:pPr>
        <w:pStyle w:val="Heading2"/>
      </w:pPr>
      <w:bookmarkStart w:id="7" w:name="_Toc228012563"/>
      <w:r w:rsidRPr="00A43B1E">
        <w:t>Mass Surveillance, Misuse Risk, and Structural Harm</w:t>
      </w:r>
      <w:bookmarkEnd w:id="7"/>
    </w:p>
    <w:p w14:paraId="4649C345" w14:textId="46CC266D" w:rsidR="00136376" w:rsidRDefault="00136376" w:rsidP="00136376">
      <w:pPr>
        <w:jc w:val="both"/>
      </w:pPr>
      <w:r>
        <w:t>The surveillance risk aspect of Palantir activities is not limited to defence and intelligence</w:t>
      </w:r>
      <w:r w:rsidR="003222E8">
        <w:t>, but also includes</w:t>
      </w:r>
      <w:r>
        <w:t xml:space="preserve"> law enforcement, border control, and population health, where the subjects of the algorithms are civilians who have not agreed to be assessed by algorithms and who do not have any productive channels of redress. Andrew and Amelia (2025) offer a detailed overview of the architecture of the surveillance platform developed by Palantir, where data streams of criminal justice, financial, social, and location data are combined into integrated analytical systems to </w:t>
      </w:r>
      <w:r w:rsidR="003222E8">
        <w:t>analyse patterns of life</w:t>
      </w:r>
      <w:r>
        <w:t xml:space="preserve"> at the scale of populations. They posit that this combination of integration, which is the core commercial differentiator of Palantir, is at once the core governance liability of the same architecture, as the same architecture that allows legitimate counterterrorism analysis can be used to profile populations based on race, religion, political affiliation, or immigration status.</w:t>
      </w:r>
    </w:p>
    <w:p w14:paraId="483D247A" w14:textId="4635F139" w:rsidR="00A43B1E" w:rsidRPr="00A43B1E" w:rsidRDefault="00136376" w:rsidP="00136376">
      <w:pPr>
        <w:jc w:val="both"/>
      </w:pPr>
      <w:proofErr w:type="spellStart"/>
      <w:r>
        <w:t>Ardabili</w:t>
      </w:r>
      <w:proofErr w:type="spellEnd"/>
      <w:r>
        <w:t xml:space="preserve"> and co-authors (2023) find that there is a pattern whereby surveillance capabilities are implemented by government actors before there is a legal and ethical framework governing their implementation, which leaves governance voids that cannot be addressed by civil society organisations unless legally mandated to do so. Pratyusha Ria Kalluri and co-authors (2025) show that computer vision research has been systematically used as a source </w:t>
      </w:r>
      <w:r w:rsidR="003222E8">
        <w:t>for</w:t>
      </w:r>
      <w:r>
        <w:t xml:space="preserve"> surveillance </w:t>
      </w:r>
      <w:r>
        <w:lastRenderedPageBreak/>
        <w:t xml:space="preserve">applications far beyond the applications of the research, and the academic research community is often oblivious to the fact that their published research is the technical basis of mass surveillance implementations. </w:t>
      </w:r>
      <w:proofErr w:type="spellStart"/>
      <w:r>
        <w:t>Veltmeijer</w:t>
      </w:r>
      <w:proofErr w:type="spellEnd"/>
      <w:r>
        <w:t xml:space="preserve"> and Gerritsen (2025) </w:t>
      </w:r>
      <w:r w:rsidR="003222E8">
        <w:t>discovered that the categorisation</w:t>
      </w:r>
      <w:r>
        <w:t xml:space="preserve"> of real-time remote biometric identification in a public area by the EU AI Act as a high-risk application imposes compliance requirements not just on the operator of the government-operated system, but also on the vendors of platforms that support such functions. Hung and Yen (2023) use a fairness analysis </w:t>
      </w:r>
      <w:r w:rsidR="003222E8">
        <w:t>of</w:t>
      </w:r>
      <w:r>
        <w:t xml:space="preserve"> predictive policing and conclude that algorithmic fairness standards in policing have uniformly led to disparities between and among racial and socioeconomic groups due to the inability of technical solutions to address the root cause of discriminatory policing: historically encoded data biases. According to Sagana, Zhang and Sauerland (2025), worries regarding accuracy, discrimination, and lack of accountability measures are the leading factors influencing the attitudes of the population towards AI-powered facial recognition use by police, and not the general scepticism towards technology.</w:t>
      </w:r>
    </w:p>
    <w:p w14:paraId="6CAD394E" w14:textId="77777777" w:rsidR="00A43B1E" w:rsidRPr="00A43B1E" w:rsidRDefault="00A43B1E" w:rsidP="00A43B1E">
      <w:pPr>
        <w:jc w:val="both"/>
        <w:rPr>
          <w:b/>
          <w:bCs/>
        </w:rPr>
      </w:pPr>
      <w:r w:rsidRPr="00A43B1E">
        <w:rPr>
          <w:b/>
          <w:bCs/>
        </w:rPr>
        <w:t>Table 3: Surveillance Risk Typology for Palantir Government AI Deployments</w:t>
      </w:r>
    </w:p>
    <w:tbl>
      <w:tblPr>
        <w:tblStyle w:val="GridTable2-Accent2"/>
        <w:tblW w:w="0" w:type="auto"/>
        <w:tblLook w:val="04A0" w:firstRow="1" w:lastRow="0" w:firstColumn="1" w:lastColumn="0" w:noHBand="0" w:noVBand="1"/>
      </w:tblPr>
      <w:tblGrid>
        <w:gridCol w:w="1940"/>
        <w:gridCol w:w="2275"/>
        <w:gridCol w:w="2491"/>
        <w:gridCol w:w="2320"/>
      </w:tblGrid>
      <w:tr w:rsidR="00A43B1E" w:rsidRPr="00A43B1E" w14:paraId="47222F08" w14:textId="77777777" w:rsidTr="00A43B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7C4F22" w14:textId="77777777" w:rsidR="00A43B1E" w:rsidRPr="00A43B1E" w:rsidRDefault="00A43B1E" w:rsidP="00A43B1E">
            <w:pPr>
              <w:jc w:val="both"/>
            </w:pPr>
            <w:r w:rsidRPr="00A43B1E">
              <w:t>Risk Type</w:t>
            </w:r>
          </w:p>
        </w:tc>
        <w:tc>
          <w:tcPr>
            <w:tcW w:w="0" w:type="auto"/>
            <w:hideMark/>
          </w:tcPr>
          <w:p w14:paraId="57F4B779"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Mechanism</w:t>
            </w:r>
          </w:p>
        </w:tc>
        <w:tc>
          <w:tcPr>
            <w:tcW w:w="0" w:type="auto"/>
            <w:hideMark/>
          </w:tcPr>
          <w:p w14:paraId="622F7AEA"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Affected Population</w:t>
            </w:r>
          </w:p>
        </w:tc>
        <w:tc>
          <w:tcPr>
            <w:tcW w:w="0" w:type="auto"/>
            <w:hideMark/>
          </w:tcPr>
          <w:p w14:paraId="528B5AAB"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Governance Response</w:t>
            </w:r>
          </w:p>
        </w:tc>
      </w:tr>
      <w:tr w:rsidR="00A43B1E" w:rsidRPr="00A43B1E" w14:paraId="3FDC06E9"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7328BE" w14:textId="77777777" w:rsidR="00A43B1E" w:rsidRPr="00A43B1E" w:rsidRDefault="00A43B1E" w:rsidP="00A43B1E">
            <w:pPr>
              <w:jc w:val="both"/>
            </w:pPr>
            <w:r w:rsidRPr="00A43B1E">
              <w:t>Scope Creep</w:t>
            </w:r>
          </w:p>
        </w:tc>
        <w:tc>
          <w:tcPr>
            <w:tcW w:w="0" w:type="auto"/>
            <w:hideMark/>
          </w:tcPr>
          <w:p w14:paraId="2DEEA48A" w14:textId="7737905C"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Capabilities deployed beyond </w:t>
            </w:r>
            <w:r w:rsidR="003222E8">
              <w:t xml:space="preserve">the </w:t>
            </w:r>
            <w:r w:rsidRPr="00A43B1E">
              <w:t>authorised use case</w:t>
            </w:r>
          </w:p>
        </w:tc>
        <w:tc>
          <w:tcPr>
            <w:tcW w:w="0" w:type="auto"/>
            <w:hideMark/>
          </w:tcPr>
          <w:p w14:paraId="372B1FB8"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General civilian populations</w:t>
            </w:r>
          </w:p>
        </w:tc>
        <w:tc>
          <w:tcPr>
            <w:tcW w:w="0" w:type="auto"/>
            <w:hideMark/>
          </w:tcPr>
          <w:p w14:paraId="0C6CAAAB"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Mandatory use-case governance review and contractual scope limitations</w:t>
            </w:r>
          </w:p>
        </w:tc>
      </w:tr>
      <w:tr w:rsidR="00A43B1E" w:rsidRPr="00A43B1E" w14:paraId="22F17FE1"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7701F999" w14:textId="77777777" w:rsidR="00A43B1E" w:rsidRPr="00A43B1E" w:rsidRDefault="00A43B1E" w:rsidP="00A43B1E">
            <w:pPr>
              <w:jc w:val="both"/>
            </w:pPr>
            <w:r w:rsidRPr="00A43B1E">
              <w:t>Discriminatory Profiling</w:t>
            </w:r>
          </w:p>
        </w:tc>
        <w:tc>
          <w:tcPr>
            <w:tcW w:w="0" w:type="auto"/>
            <w:hideMark/>
          </w:tcPr>
          <w:p w14:paraId="21D1646F"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Biased historical data encoded into predictive analytics</w:t>
            </w:r>
          </w:p>
        </w:tc>
        <w:tc>
          <w:tcPr>
            <w:tcW w:w="0" w:type="auto"/>
            <w:hideMark/>
          </w:tcPr>
          <w:p w14:paraId="7906C7EB"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Racially and socioeconomically marginalised communities</w:t>
            </w:r>
          </w:p>
        </w:tc>
        <w:tc>
          <w:tcPr>
            <w:tcW w:w="0" w:type="auto"/>
            <w:hideMark/>
          </w:tcPr>
          <w:p w14:paraId="14307B29"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Algorithmic fairness auditing with demographic disaggregation</w:t>
            </w:r>
          </w:p>
        </w:tc>
      </w:tr>
      <w:tr w:rsidR="00A43B1E" w:rsidRPr="00A43B1E" w14:paraId="6FFFE962"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C3A61E" w14:textId="77777777" w:rsidR="00A43B1E" w:rsidRPr="00A43B1E" w:rsidRDefault="00A43B1E" w:rsidP="00A43B1E">
            <w:pPr>
              <w:jc w:val="both"/>
            </w:pPr>
            <w:r w:rsidRPr="00A43B1E">
              <w:t>Data Integration Harm</w:t>
            </w:r>
          </w:p>
        </w:tc>
        <w:tc>
          <w:tcPr>
            <w:tcW w:w="0" w:type="auto"/>
            <w:hideMark/>
          </w:tcPr>
          <w:p w14:paraId="5DC89C65"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Cross-domain data fusion enabling population-scale profiling</w:t>
            </w:r>
          </w:p>
        </w:tc>
        <w:tc>
          <w:tcPr>
            <w:tcW w:w="0" w:type="auto"/>
            <w:hideMark/>
          </w:tcPr>
          <w:p w14:paraId="7424C42D" w14:textId="5786791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All individuals whose data is held by </w:t>
            </w:r>
            <w:r w:rsidR="003222E8">
              <w:t xml:space="preserve">the </w:t>
            </w:r>
            <w:r w:rsidRPr="00A43B1E">
              <w:t>government</w:t>
            </w:r>
          </w:p>
        </w:tc>
        <w:tc>
          <w:tcPr>
            <w:tcW w:w="0" w:type="auto"/>
            <w:hideMark/>
          </w:tcPr>
          <w:p w14:paraId="4186EB5B"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Data minimisation protocols and purpose limitation enforcement</w:t>
            </w:r>
          </w:p>
        </w:tc>
      </w:tr>
      <w:tr w:rsidR="00A43B1E" w:rsidRPr="00A43B1E" w14:paraId="3D8B1C80"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47A940F3" w14:textId="77777777" w:rsidR="00A43B1E" w:rsidRPr="00A43B1E" w:rsidRDefault="00A43B1E" w:rsidP="00A43B1E">
            <w:pPr>
              <w:jc w:val="both"/>
            </w:pPr>
            <w:r w:rsidRPr="00A43B1E">
              <w:t>Misuse by Client</w:t>
            </w:r>
          </w:p>
        </w:tc>
        <w:tc>
          <w:tcPr>
            <w:tcW w:w="0" w:type="auto"/>
            <w:hideMark/>
          </w:tcPr>
          <w:p w14:paraId="432D76EE"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Government client deploys platform beyond agreed ethical parameters</w:t>
            </w:r>
          </w:p>
        </w:tc>
        <w:tc>
          <w:tcPr>
            <w:tcW w:w="0" w:type="auto"/>
            <w:hideMark/>
          </w:tcPr>
          <w:p w14:paraId="42385B55"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Targets of state surveillance overreach</w:t>
            </w:r>
          </w:p>
        </w:tc>
        <w:tc>
          <w:tcPr>
            <w:tcW w:w="0" w:type="auto"/>
            <w:hideMark/>
          </w:tcPr>
          <w:p w14:paraId="0714A1AD"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Contractual ethical use obligations with audit rights for Palantir</w:t>
            </w:r>
          </w:p>
        </w:tc>
      </w:tr>
      <w:tr w:rsidR="00A43B1E" w:rsidRPr="00A43B1E" w14:paraId="65B42EDF"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D12C40" w14:textId="77777777" w:rsidR="00A43B1E" w:rsidRPr="00A43B1E" w:rsidRDefault="00A43B1E" w:rsidP="00A43B1E">
            <w:pPr>
              <w:jc w:val="both"/>
            </w:pPr>
            <w:r w:rsidRPr="00A43B1E">
              <w:t>Computer Vision Overreach</w:t>
            </w:r>
          </w:p>
        </w:tc>
        <w:tc>
          <w:tcPr>
            <w:tcW w:w="0" w:type="auto"/>
            <w:hideMark/>
          </w:tcPr>
          <w:p w14:paraId="1F9B4D3F" w14:textId="593743A6"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AI imaging </w:t>
            </w:r>
            <w:r w:rsidR="003222E8">
              <w:t>is appropriate</w:t>
            </w:r>
            <w:r w:rsidRPr="00A43B1E">
              <w:t xml:space="preserve"> for discriminatory identification</w:t>
            </w:r>
          </w:p>
        </w:tc>
        <w:tc>
          <w:tcPr>
            <w:tcW w:w="0" w:type="auto"/>
            <w:hideMark/>
          </w:tcPr>
          <w:p w14:paraId="23EF33FE"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Minority communities in public spaces</w:t>
            </w:r>
          </w:p>
        </w:tc>
        <w:tc>
          <w:tcPr>
            <w:tcW w:w="0" w:type="auto"/>
            <w:hideMark/>
          </w:tcPr>
          <w:p w14:paraId="2AAA6367"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Use-case technical restrictions embedded in platform design</w:t>
            </w:r>
          </w:p>
        </w:tc>
      </w:tr>
    </w:tbl>
    <w:p w14:paraId="0F39C410" w14:textId="7744B4B7" w:rsidR="00A43B1E" w:rsidRPr="00A43B1E" w:rsidRDefault="00A43B1E" w:rsidP="00A43B1E">
      <w:pPr>
        <w:pStyle w:val="Heading2"/>
      </w:pPr>
      <w:bookmarkStart w:id="8" w:name="_Toc228012564"/>
      <w:r w:rsidRPr="00A43B1E">
        <w:t>Transparency versus Security: Navigating the Foundational Trade-off</w:t>
      </w:r>
      <w:bookmarkEnd w:id="8"/>
    </w:p>
    <w:p w14:paraId="22C52A46" w14:textId="77777777" w:rsidR="0030269F" w:rsidRDefault="0030269F" w:rsidP="0030269F">
      <w:pPr>
        <w:jc w:val="both"/>
      </w:pPr>
      <w:r>
        <w:t xml:space="preserve">The conflict between transparency and security is the characteristic governance problem of AI use in the government. De Fine Licht and de Fine Licht (2020) draw a line between transparency about AI systems (such as their existence, purpose and governance arrangements) </w:t>
      </w:r>
      <w:r>
        <w:lastRenderedPageBreak/>
        <w:t xml:space="preserve">and transparency into AI systems (such as their technical architecture and decision logic). They contend that, in all instances, democratic legitimacy demands the former and, in the instances of individual rights, the latter, where AI-generated decisions are involved. </w:t>
      </w:r>
      <w:proofErr w:type="spellStart"/>
      <w:r>
        <w:t>Buijsman</w:t>
      </w:r>
      <w:proofErr w:type="spellEnd"/>
      <w:r>
        <w:t xml:space="preserve"> (2024) creates a value-based model of AI transparency, suggesting that the right disclosure level depends on the rights and interests involved in a deployment and not on the interests of the deploying organisation.</w:t>
      </w:r>
    </w:p>
    <w:p w14:paraId="00F3863E" w14:textId="360FE396" w:rsidR="0030269F" w:rsidRDefault="0030269F" w:rsidP="0030269F">
      <w:pPr>
        <w:jc w:val="both"/>
      </w:pPr>
      <w:r>
        <w:t xml:space="preserve">According to Beckman, </w:t>
      </w:r>
      <w:proofErr w:type="spellStart"/>
      <w:r>
        <w:t>Hultin</w:t>
      </w:r>
      <w:proofErr w:type="spellEnd"/>
      <w:r w:rsidR="003222E8">
        <w:t>,</w:t>
      </w:r>
      <w:r>
        <w:t xml:space="preserve"> Rosenberg and </w:t>
      </w:r>
      <w:proofErr w:type="spellStart"/>
      <w:r>
        <w:t>Jebari</w:t>
      </w:r>
      <w:proofErr w:type="spellEnd"/>
      <w:r>
        <w:t xml:space="preserve"> (2022), AI systems applied in operations of governmental authorities should meet a publicity criterion, i.e., the principles and criteria according to which they work must be publicly expressible despite the fact that certain output is classified. The UK Government Algorithmic Transparency Recording Standard operationalises this difference exactly, and the public sector bodies are asked to publish records of their algorithmic decision-support tools that convey purpose, risk classification, and oversight mechanisms without </w:t>
      </w:r>
      <w:r w:rsidR="003222E8">
        <w:t>jeopardising</w:t>
      </w:r>
      <w:r>
        <w:t xml:space="preserve"> operational security (UK Government, 2025). Kingsman and colleagues (2022) assess the initial implementation of this standard, identifying that compliance is uneven and that the technical capacity and the willingness of the institution to deploy agencies </w:t>
      </w:r>
      <w:r w:rsidR="003222E8">
        <w:t>are crucial determinants of this standard, which Palantir, as a platform provider,</w:t>
      </w:r>
      <w:r>
        <w:t xml:space="preserve"> can substantially affect through the governance infrastructure it introduces in its products.</w:t>
      </w:r>
    </w:p>
    <w:p w14:paraId="7E1ECADA" w14:textId="19719E97" w:rsidR="00A43B1E" w:rsidRPr="00A43B1E" w:rsidRDefault="0030269F" w:rsidP="0030269F">
      <w:pPr>
        <w:jc w:val="both"/>
      </w:pPr>
      <w:proofErr w:type="spellStart"/>
      <w:r>
        <w:t>Agbabiaka</w:t>
      </w:r>
      <w:proofErr w:type="spellEnd"/>
      <w:r>
        <w:t xml:space="preserve">, </w:t>
      </w:r>
      <w:proofErr w:type="spellStart"/>
      <w:r>
        <w:t>Ojo</w:t>
      </w:r>
      <w:proofErr w:type="spellEnd"/>
      <w:r>
        <w:t xml:space="preserve"> and Connolly (2025), cite auditability, explainability, and contestability as the three requirements of trustworthy AI in the public sector with most consistent governance requirements across jurisdictions, with contestability as the least implemented of the three. </w:t>
      </w:r>
      <w:proofErr w:type="spellStart"/>
      <w:r>
        <w:t>Nnawuchi</w:t>
      </w:r>
      <w:proofErr w:type="spellEnd"/>
      <w:r>
        <w:t xml:space="preserve"> and George (2025) apply this to border management systems by stating that the accountability gap in smart border AI is a structural violation of due process rights that the current legal frameworks are ill-equipped to adequately respond to. In their empirical study, Aoki et al. (2024) show that procedural explanations of how an AI was used to make a decision are more likely to yield more trust compared to outcome explanations of what decision was made, which, in turn, has direct implications on the practice of explainability by Palantir in its government-facing systems.</w:t>
      </w:r>
    </w:p>
    <w:p w14:paraId="7E591AA8" w14:textId="40A34CA2" w:rsidR="00A43B1E" w:rsidRPr="00A43B1E" w:rsidRDefault="00A43B1E" w:rsidP="00A43B1E">
      <w:pPr>
        <w:pStyle w:val="Heading2"/>
      </w:pPr>
      <w:bookmarkStart w:id="9" w:name="_Toc228012565"/>
      <w:r w:rsidRPr="00A43B1E">
        <w:t>Public Trust, Democratic Legitimacy, and Political Risk</w:t>
      </w:r>
      <w:bookmarkEnd w:id="9"/>
    </w:p>
    <w:p w14:paraId="745504D5" w14:textId="4255E6D0" w:rsidR="00CA03EC" w:rsidRDefault="00CA03EC" w:rsidP="00CA03EC">
      <w:pPr>
        <w:jc w:val="both"/>
      </w:pPr>
      <w:r>
        <w:t xml:space="preserve">One of the conceptual niceties that Palantir advisory needs, and most AI advisory analysis does not succeed in encapsulating, is the difference between two categorically different trusts at issue within its government AI activities, namely, government client trust and public trust. These two types of trust are not interchangeable, are not equally solvable, and do not stand </w:t>
      </w:r>
      <w:r>
        <w:lastRenderedPageBreak/>
        <w:t xml:space="preserve">alone. They are asymmetric and directional: the former is the </w:t>
      </w:r>
      <w:r w:rsidR="003222E8">
        <w:t>precondition of the latter, that is, the undermining of the former will, over a long enough time span,</w:t>
      </w:r>
      <w:r>
        <w:t xml:space="preserve"> lead to the destruction of the latter.</w:t>
      </w:r>
    </w:p>
    <w:p w14:paraId="7CA11389" w14:textId="77777777" w:rsidR="00DE3B22" w:rsidRDefault="00B13F24" w:rsidP="00DE3B22">
      <w:pPr>
        <w:keepNext/>
        <w:jc w:val="center"/>
      </w:pPr>
      <w:r w:rsidRPr="00B13F24">
        <w:rPr>
          <w:noProof/>
        </w:rPr>
        <w:drawing>
          <wp:inline distT="0" distB="0" distL="0" distR="0" wp14:anchorId="2BBC4CE5" wp14:editId="37DF94B8">
            <wp:extent cx="5092700" cy="3301550"/>
            <wp:effectExtent l="0" t="0" r="0" b="0"/>
            <wp:docPr id="1582028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028241" name=""/>
                    <pic:cNvPicPr/>
                  </pic:nvPicPr>
                  <pic:blipFill>
                    <a:blip r:embed="rId10"/>
                    <a:stretch>
                      <a:fillRect/>
                    </a:stretch>
                  </pic:blipFill>
                  <pic:spPr>
                    <a:xfrm>
                      <a:off x="0" y="0"/>
                      <a:ext cx="5093683" cy="3302187"/>
                    </a:xfrm>
                    <a:prstGeom prst="rect">
                      <a:avLst/>
                    </a:prstGeom>
                  </pic:spPr>
                </pic:pic>
              </a:graphicData>
            </a:graphic>
          </wp:inline>
        </w:drawing>
      </w:r>
    </w:p>
    <w:p w14:paraId="55E59781" w14:textId="731195EB" w:rsidR="00B13F24" w:rsidRDefault="00DE3B22" w:rsidP="00DE3B22">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8259F7">
        <w:t>Interdependence of institutional and public trust in AI</w:t>
      </w:r>
      <w:r>
        <w:t xml:space="preserve"> (Self)</w:t>
      </w:r>
    </w:p>
    <w:p w14:paraId="7CA75337" w14:textId="19F70AF3" w:rsidR="00CA03EC" w:rsidRDefault="00CA03EC" w:rsidP="00CA03EC">
      <w:pPr>
        <w:jc w:val="both"/>
      </w:pPr>
      <w:r>
        <w:t xml:space="preserve">Government client trust is the trust of the procurement agencies, ministry officials, and institutional contracting authorities in the technical performance, security standards, contractual reliability, and compliance </w:t>
      </w:r>
      <w:r w:rsidR="003222E8">
        <w:t>with</w:t>
      </w:r>
      <w:r>
        <w:t xml:space="preserve"> governance of Palantir. This type of trust is mostly controlled by such formal methods as security clearance, contractual performance indicators, audit rights and account management relationships. The type of trust is what leads to renewal of existing contracts and awarding of new contracts. By empirically examining a public sector AI decision-support system, Berman, de Fine Licht</w:t>
      </w:r>
      <w:r w:rsidR="003222E8">
        <w:t>,</w:t>
      </w:r>
      <w:r>
        <w:t xml:space="preserve"> and Carlsson (2024) prove that the institutional property of trust in government clients is institutional and not personal in nature, i.e. it is not in the individual but in the organisation. Practically, the retention of the Palantir NHS contract is not only based on the technical functionality of its platform, but also </w:t>
      </w:r>
      <w:r w:rsidR="003222E8">
        <w:t>on whether NHS leaders can justify their ongoing involvement with Palantir to Parliament, to patient advocacy organisations</w:t>
      </w:r>
      <w:r>
        <w:t>, and to the public. Such is the very process by which public trust forms the structural base of the government client trust.</w:t>
      </w:r>
    </w:p>
    <w:p w14:paraId="3A305E4A" w14:textId="2FE5424B" w:rsidR="00CA03EC" w:rsidRDefault="00CA03EC" w:rsidP="00CA03EC">
      <w:pPr>
        <w:jc w:val="both"/>
      </w:pPr>
      <w:r>
        <w:t xml:space="preserve">Public trust, in its turn, is the trust of the citizenry, such as patient communities, civil society organisations, academic researchers, journalists, and democratic electorates, in the validity and ethical acceptability of the role of Palantir in government AI implementations. This type of trust cannot be addressed by contractual means but by the quality of democratic accountability </w:t>
      </w:r>
      <w:r>
        <w:lastRenderedPageBreak/>
        <w:t xml:space="preserve">that </w:t>
      </w:r>
      <w:r w:rsidR="003222E8">
        <w:t>encompasses</w:t>
      </w:r>
      <w:r>
        <w:t xml:space="preserve"> the operations of Palantir. Licht (2025) suggests a procedural justice model of value conflict resolution in the field of public AI governance and claims that the legitimacy of decisions made by AI-enabled governments is less about their substantive soundness and more about the procedural fairness of the decision-making process and the mechanism to review decisions. Fung, Bradford and Stott (2023) support this argument with empirical evidence, which underpins the policing literature, and show that procedural justice perceptions are better predictors of institutional legitimacy than outcome satisfaction. Corroborating evidence of the acceptance of AI by citizens in public services is presented by Horvath and colleagues (2023), who offer results of a conjoint experiment and determine that procedural transparency and the possibility of human review can significantly increase even the level of acceptance among citizens who are not optimistic about the accuracy of AI.</w:t>
      </w:r>
    </w:p>
    <w:p w14:paraId="6C9E19B7" w14:textId="5A719A1C" w:rsidR="00CA03EC" w:rsidRDefault="00CA03EC" w:rsidP="00CA03EC">
      <w:pPr>
        <w:jc w:val="both"/>
      </w:pPr>
      <w:r>
        <w:t xml:space="preserve">The contingent relationship between the two forms of trust is most pronounced in the case of </w:t>
      </w:r>
      <w:r w:rsidR="003222E8">
        <w:t xml:space="preserve">the </w:t>
      </w:r>
      <w:r>
        <w:t>NHS. Armstrong (2023) records that the GBP 480 million contract generated both short-term and long-term popular scrutiny</w:t>
      </w:r>
      <w:r w:rsidR="003222E8">
        <w:t>, not due to apparent and proven technical failure,</w:t>
      </w:r>
      <w:r>
        <w:t xml:space="preserve"> but due to the lack of any significant level of popular involvement in the contracting decision-making process that created a legitimacy vacuum that critics could plausibly tap into. </w:t>
      </w:r>
      <w:proofErr w:type="spellStart"/>
      <w:r>
        <w:t>Hadleton</w:t>
      </w:r>
      <w:proofErr w:type="spellEnd"/>
      <w:r>
        <w:t xml:space="preserve"> et al (2024) </w:t>
      </w:r>
      <w:r w:rsidR="003222E8">
        <w:t>discovered that AI acceptance in government settings by people plummets significantly when they believe there is no human control over AI in such a situation,</w:t>
      </w:r>
      <w:r>
        <w:t xml:space="preserve"> even though technical measures of accuracy are high. Decker, Wegner and Leicht-Scholten (2024) suggest that procedural fairness requires engagement by the populace in the </w:t>
      </w:r>
      <w:r w:rsidR="003222E8">
        <w:t>algorithm's</w:t>
      </w:r>
      <w:r>
        <w:t xml:space="preserve"> decision-making processes, and that the lack of it entails a democratic legitimacy failure despite the quality of the platform. </w:t>
      </w:r>
      <w:proofErr w:type="spellStart"/>
      <w:r>
        <w:t>Mahroof</w:t>
      </w:r>
      <w:proofErr w:type="spellEnd"/>
      <w:r>
        <w:t xml:space="preserve"> and co-authors (2025) </w:t>
      </w:r>
      <w:r w:rsidR="003222E8">
        <w:t xml:space="preserve">recognise AI capability being concentrated in the hands of a </w:t>
      </w:r>
      <w:r>
        <w:t xml:space="preserve">few commercial vendors as posing structural power asymmetries between platform providers and the public institutions purportedly in ultimate control over AI deployment, which must be redistributed through regulation to create balance. </w:t>
      </w:r>
      <w:proofErr w:type="spellStart"/>
      <w:r>
        <w:t>Azzahro</w:t>
      </w:r>
      <w:proofErr w:type="spellEnd"/>
      <w:r>
        <w:t xml:space="preserve">, </w:t>
      </w:r>
      <w:proofErr w:type="spellStart"/>
      <w:r>
        <w:t>Hidayanto</w:t>
      </w:r>
      <w:proofErr w:type="spellEnd"/>
      <w:r>
        <w:t xml:space="preserve"> and Shihab (2025) list political ideology and institutional trust in government as mediators of the trust relationship, meaning that the exposure to political risk of Palantir depends on </w:t>
      </w:r>
      <w:r w:rsidR="003222E8">
        <w:t xml:space="preserve">the </w:t>
      </w:r>
      <w:r>
        <w:t>partisan and institutional environment of a specific jurisdiction, and that the NHS is much more vulnerable than defence contracts with lower visibility.</w:t>
      </w:r>
    </w:p>
    <w:p w14:paraId="4EF8D727" w14:textId="2CA8593F" w:rsidR="00A43B1E" w:rsidRPr="00A43B1E" w:rsidRDefault="00CA03EC" w:rsidP="00CA03EC">
      <w:pPr>
        <w:jc w:val="both"/>
      </w:pPr>
      <w:r>
        <w:t xml:space="preserve">The strategic implication is clear. Palantir cannot maintain client confidence in its UK and US markets in the next ten years without an investment in the circumstances of citizen confidence, such as transparent governance, real involvement of citizens, external responsibility, and showing appreciable dedication to proportional use. The gubernatorial investments that have </w:t>
      </w:r>
      <w:r>
        <w:lastRenderedPageBreak/>
        <w:t xml:space="preserve">been suggested in this report are not </w:t>
      </w:r>
      <w:r w:rsidR="003222E8">
        <w:t>a</w:t>
      </w:r>
      <w:r>
        <w:t xml:space="preserve"> compromise to the popular mood; they are the state of affairs in which the commercial relations that Palantir relies on can be held.</w:t>
      </w:r>
    </w:p>
    <w:p w14:paraId="3B62C9C9" w14:textId="77777777" w:rsidR="00A43B1E" w:rsidRPr="00A43B1E" w:rsidRDefault="00A43B1E" w:rsidP="00A43B1E">
      <w:pPr>
        <w:jc w:val="both"/>
        <w:rPr>
          <w:b/>
          <w:bCs/>
        </w:rPr>
      </w:pPr>
      <w:r w:rsidRPr="00A43B1E">
        <w:rPr>
          <w:b/>
          <w:bCs/>
        </w:rPr>
        <w:t>Table 4: Palantir Governance Legitimacy Matrix (Procedural Justice x ISO 31000)</w:t>
      </w:r>
    </w:p>
    <w:tbl>
      <w:tblPr>
        <w:tblStyle w:val="GridTable2-Accent4"/>
        <w:tblW w:w="0" w:type="auto"/>
        <w:tblLook w:val="04A0" w:firstRow="1" w:lastRow="0" w:firstColumn="1" w:lastColumn="0" w:noHBand="0" w:noVBand="1"/>
      </w:tblPr>
      <w:tblGrid>
        <w:gridCol w:w="1836"/>
        <w:gridCol w:w="1965"/>
        <w:gridCol w:w="1536"/>
        <w:gridCol w:w="1899"/>
        <w:gridCol w:w="1790"/>
      </w:tblGrid>
      <w:tr w:rsidR="00A43B1E" w:rsidRPr="00A43B1E" w14:paraId="2C9866CD" w14:textId="77777777" w:rsidTr="00A43B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E3FCF5" w14:textId="77777777" w:rsidR="00A43B1E" w:rsidRPr="00A43B1E" w:rsidRDefault="00A43B1E" w:rsidP="00A43B1E">
            <w:pPr>
              <w:jc w:val="both"/>
            </w:pPr>
            <w:r w:rsidRPr="00A43B1E">
              <w:t>Legitimacy Dimension</w:t>
            </w:r>
          </w:p>
        </w:tc>
        <w:tc>
          <w:tcPr>
            <w:tcW w:w="0" w:type="auto"/>
            <w:hideMark/>
          </w:tcPr>
          <w:p w14:paraId="606C3425"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Democratic Accountability Requirement</w:t>
            </w:r>
          </w:p>
        </w:tc>
        <w:tc>
          <w:tcPr>
            <w:tcW w:w="0" w:type="auto"/>
            <w:hideMark/>
          </w:tcPr>
          <w:p w14:paraId="321953EC"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ISO 31000 Stage</w:t>
            </w:r>
          </w:p>
        </w:tc>
        <w:tc>
          <w:tcPr>
            <w:tcW w:w="0" w:type="auto"/>
            <w:hideMark/>
          </w:tcPr>
          <w:p w14:paraId="10B54E78"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Governance Action</w:t>
            </w:r>
          </w:p>
        </w:tc>
        <w:tc>
          <w:tcPr>
            <w:tcW w:w="0" w:type="auto"/>
            <w:hideMark/>
          </w:tcPr>
          <w:p w14:paraId="168FFAE2"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Accountability</w:t>
            </w:r>
          </w:p>
        </w:tc>
      </w:tr>
      <w:tr w:rsidR="00A43B1E" w:rsidRPr="00A43B1E" w14:paraId="2FFD4857"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AC90E0" w14:textId="77777777" w:rsidR="00A43B1E" w:rsidRPr="00A43B1E" w:rsidRDefault="00A43B1E" w:rsidP="00A43B1E">
            <w:pPr>
              <w:jc w:val="both"/>
            </w:pPr>
            <w:r w:rsidRPr="00A43B1E">
              <w:t>Auditability</w:t>
            </w:r>
          </w:p>
        </w:tc>
        <w:tc>
          <w:tcPr>
            <w:tcW w:w="0" w:type="auto"/>
            <w:hideMark/>
          </w:tcPr>
          <w:p w14:paraId="103EC961"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Independent third-party audit of AI system outputs</w:t>
            </w:r>
          </w:p>
        </w:tc>
        <w:tc>
          <w:tcPr>
            <w:tcW w:w="0" w:type="auto"/>
            <w:hideMark/>
          </w:tcPr>
          <w:p w14:paraId="53C04635"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Risk Assessment</w:t>
            </w:r>
          </w:p>
        </w:tc>
        <w:tc>
          <w:tcPr>
            <w:tcW w:w="0" w:type="auto"/>
            <w:hideMark/>
          </w:tcPr>
          <w:p w14:paraId="12525365" w14:textId="266A3BEB"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Annual independent algorithmic audits </w:t>
            </w:r>
            <w:r w:rsidR="003222E8">
              <w:t xml:space="preserve">are </w:t>
            </w:r>
            <w:r w:rsidRPr="00A43B1E">
              <w:t>published in redacted public form</w:t>
            </w:r>
            <w:r w:rsidR="003222E8">
              <w:t>.</w:t>
            </w:r>
          </w:p>
        </w:tc>
        <w:tc>
          <w:tcPr>
            <w:tcW w:w="0" w:type="auto"/>
            <w:hideMark/>
          </w:tcPr>
          <w:p w14:paraId="7B5611FE"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Chief Compliance Officer</w:t>
            </w:r>
          </w:p>
        </w:tc>
      </w:tr>
      <w:tr w:rsidR="00A43B1E" w:rsidRPr="00A43B1E" w14:paraId="7CA3FF8D"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22CD103E" w14:textId="77777777" w:rsidR="00A43B1E" w:rsidRPr="00A43B1E" w:rsidRDefault="00A43B1E" w:rsidP="00A43B1E">
            <w:pPr>
              <w:jc w:val="both"/>
            </w:pPr>
            <w:r w:rsidRPr="00A43B1E">
              <w:t>Explainability</w:t>
            </w:r>
          </w:p>
        </w:tc>
        <w:tc>
          <w:tcPr>
            <w:tcW w:w="0" w:type="auto"/>
            <w:hideMark/>
          </w:tcPr>
          <w:p w14:paraId="2FF4DDCF"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Procedural explanation accessible to affected individuals</w:t>
            </w:r>
          </w:p>
        </w:tc>
        <w:tc>
          <w:tcPr>
            <w:tcW w:w="0" w:type="auto"/>
            <w:hideMark/>
          </w:tcPr>
          <w:p w14:paraId="5FEE2C62"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Risk Treatment</w:t>
            </w:r>
          </w:p>
        </w:tc>
        <w:tc>
          <w:tcPr>
            <w:tcW w:w="0" w:type="auto"/>
            <w:hideMark/>
          </w:tcPr>
          <w:p w14:paraId="4F2991CE" w14:textId="5C19580F"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Deploy explanation interfaces in all citizen-facing government AI deployments</w:t>
            </w:r>
            <w:r w:rsidR="003222E8">
              <w:t>.</w:t>
            </w:r>
          </w:p>
        </w:tc>
        <w:tc>
          <w:tcPr>
            <w:tcW w:w="0" w:type="auto"/>
            <w:hideMark/>
          </w:tcPr>
          <w:p w14:paraId="08CB5C63"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Chief Technology Officer</w:t>
            </w:r>
          </w:p>
        </w:tc>
      </w:tr>
      <w:tr w:rsidR="00A43B1E" w:rsidRPr="00A43B1E" w14:paraId="0D88FC81"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8FD044" w14:textId="77777777" w:rsidR="00A43B1E" w:rsidRPr="00A43B1E" w:rsidRDefault="00A43B1E" w:rsidP="00A43B1E">
            <w:pPr>
              <w:jc w:val="both"/>
            </w:pPr>
            <w:r w:rsidRPr="00A43B1E">
              <w:t>Contestability</w:t>
            </w:r>
          </w:p>
        </w:tc>
        <w:tc>
          <w:tcPr>
            <w:tcW w:w="0" w:type="auto"/>
            <w:hideMark/>
          </w:tcPr>
          <w:p w14:paraId="3A3586E9"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Accessible mechanism to challenge AI-informed decisions</w:t>
            </w:r>
          </w:p>
        </w:tc>
        <w:tc>
          <w:tcPr>
            <w:tcW w:w="0" w:type="auto"/>
            <w:hideMark/>
          </w:tcPr>
          <w:p w14:paraId="32857A0D"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Risk Treatment</w:t>
            </w:r>
          </w:p>
        </w:tc>
        <w:tc>
          <w:tcPr>
            <w:tcW w:w="0" w:type="auto"/>
            <w:hideMark/>
          </w:tcPr>
          <w:p w14:paraId="45A823A8" w14:textId="4A21038F"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 xml:space="preserve">Contractually mandate </w:t>
            </w:r>
            <w:r w:rsidR="003222E8">
              <w:t xml:space="preserve">a </w:t>
            </w:r>
            <w:r w:rsidRPr="00A43B1E">
              <w:t>human review pathway in law enforcement and border AI</w:t>
            </w:r>
            <w:r w:rsidR="003222E8">
              <w:t>.</w:t>
            </w:r>
          </w:p>
        </w:tc>
        <w:tc>
          <w:tcPr>
            <w:tcW w:w="0" w:type="auto"/>
            <w:hideMark/>
          </w:tcPr>
          <w:p w14:paraId="5E6CC330"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General Counsel</w:t>
            </w:r>
          </w:p>
        </w:tc>
      </w:tr>
      <w:tr w:rsidR="00A43B1E" w:rsidRPr="00A43B1E" w14:paraId="7BD95B04"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5B4BA233" w14:textId="77777777" w:rsidR="00A43B1E" w:rsidRPr="00A43B1E" w:rsidRDefault="00A43B1E" w:rsidP="00A43B1E">
            <w:pPr>
              <w:jc w:val="both"/>
            </w:pPr>
            <w:r w:rsidRPr="00A43B1E">
              <w:t>Proportionality</w:t>
            </w:r>
          </w:p>
        </w:tc>
        <w:tc>
          <w:tcPr>
            <w:tcW w:w="0" w:type="auto"/>
            <w:hideMark/>
          </w:tcPr>
          <w:p w14:paraId="7F9A6759" w14:textId="7934777C"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 xml:space="preserve">Surveillance capability deployed only where </w:t>
            </w:r>
            <w:r w:rsidR="003222E8">
              <w:t>necessary</w:t>
            </w:r>
          </w:p>
        </w:tc>
        <w:tc>
          <w:tcPr>
            <w:tcW w:w="0" w:type="auto"/>
            <w:hideMark/>
          </w:tcPr>
          <w:p w14:paraId="617BC5F4"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Risk Identification</w:t>
            </w:r>
          </w:p>
        </w:tc>
        <w:tc>
          <w:tcPr>
            <w:tcW w:w="0" w:type="auto"/>
            <w:hideMark/>
          </w:tcPr>
          <w:p w14:paraId="64660EF6" w14:textId="0070A884"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 xml:space="preserve">Require </w:t>
            </w:r>
            <w:r w:rsidR="003222E8">
              <w:t xml:space="preserve">the </w:t>
            </w:r>
            <w:r w:rsidRPr="00A43B1E">
              <w:t xml:space="preserve">client </w:t>
            </w:r>
            <w:r w:rsidR="003222E8">
              <w:t>to use case</w:t>
            </w:r>
            <w:r w:rsidRPr="00A43B1E">
              <w:t xml:space="preserve"> governance review before platform capability activation</w:t>
            </w:r>
            <w:r w:rsidR="003222E8">
              <w:t>.</w:t>
            </w:r>
          </w:p>
        </w:tc>
        <w:tc>
          <w:tcPr>
            <w:tcW w:w="0" w:type="auto"/>
            <w:hideMark/>
          </w:tcPr>
          <w:p w14:paraId="3A58CDBB"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Chief Ethics Officer</w:t>
            </w:r>
          </w:p>
        </w:tc>
      </w:tr>
      <w:tr w:rsidR="00A43B1E" w:rsidRPr="00A43B1E" w14:paraId="2F7A1838"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85B1B8" w14:textId="77777777" w:rsidR="00A43B1E" w:rsidRPr="00A43B1E" w:rsidRDefault="00A43B1E" w:rsidP="00A43B1E">
            <w:pPr>
              <w:jc w:val="both"/>
            </w:pPr>
            <w:r w:rsidRPr="00A43B1E">
              <w:t>Public Participation</w:t>
            </w:r>
          </w:p>
        </w:tc>
        <w:tc>
          <w:tcPr>
            <w:tcW w:w="0" w:type="auto"/>
            <w:hideMark/>
          </w:tcPr>
          <w:p w14:paraId="0FFFD70F"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Genuine public engagement in AI system design and oversight</w:t>
            </w:r>
          </w:p>
        </w:tc>
        <w:tc>
          <w:tcPr>
            <w:tcW w:w="0" w:type="auto"/>
            <w:hideMark/>
          </w:tcPr>
          <w:p w14:paraId="64EA0D8C"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Risk Monitoring</w:t>
            </w:r>
          </w:p>
        </w:tc>
        <w:tc>
          <w:tcPr>
            <w:tcW w:w="0" w:type="auto"/>
            <w:hideMark/>
          </w:tcPr>
          <w:p w14:paraId="0216AF6C" w14:textId="5ED1422D"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Establish Civil Society Advisory Council for NHS and civilian AI deployments</w:t>
            </w:r>
            <w:r w:rsidR="003222E8">
              <w:t>.</w:t>
            </w:r>
          </w:p>
        </w:tc>
        <w:tc>
          <w:tcPr>
            <w:tcW w:w="0" w:type="auto"/>
            <w:hideMark/>
          </w:tcPr>
          <w:p w14:paraId="3B546381"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Head of Government Affairs</w:t>
            </w:r>
          </w:p>
        </w:tc>
      </w:tr>
    </w:tbl>
    <w:p w14:paraId="69CE0F2D" w14:textId="558F396C" w:rsidR="00A43B1E" w:rsidRPr="00A43B1E" w:rsidRDefault="00A43B1E" w:rsidP="00A43B1E">
      <w:pPr>
        <w:pStyle w:val="Heading2"/>
      </w:pPr>
      <w:bookmarkStart w:id="10" w:name="_Toc228012566"/>
      <w:r w:rsidRPr="00A43B1E">
        <w:t>Regulatory Compliance: UK and US Governance Frameworks</w:t>
      </w:r>
      <w:bookmarkEnd w:id="10"/>
    </w:p>
    <w:p w14:paraId="18C1185F" w14:textId="056F8065" w:rsidR="007A7B34" w:rsidRDefault="007A7B34" w:rsidP="007A7B34">
      <w:pPr>
        <w:jc w:val="both"/>
      </w:pPr>
      <w:r>
        <w:t xml:space="preserve">The regulatory architecture of Palantir is unusually complex as the company is a commercial entity, whose activities are regulated at the same time by the procurement structures of its government clients and the general AI regulation structures arising out of the same governments as participants. The DoD Ethical Principles of Artificial Intelligence and the Responsible AI Toolkit of the CDAO (U.S. Department of </w:t>
      </w:r>
      <w:proofErr w:type="spellStart"/>
      <w:r>
        <w:t>Defense</w:t>
      </w:r>
      <w:proofErr w:type="spellEnd"/>
      <w:r>
        <w:t xml:space="preserve">, 2025b; U.S. Department of </w:t>
      </w:r>
      <w:proofErr w:type="spellStart"/>
      <w:r>
        <w:t>Defense</w:t>
      </w:r>
      <w:proofErr w:type="spellEnd"/>
      <w:r>
        <w:t xml:space="preserve"> CDAO, 2025) in the United States, along with the 2024 memorandum by the Office </w:t>
      </w:r>
      <w:r>
        <w:lastRenderedPageBreak/>
        <w:t xml:space="preserve">of Management and Budget that sets binding governance requirements on agency use of AI (Office of NIST AI Risk Management Framework offers technical governance criterion according to which the federal AI deployments are evaluated, and a four-function cycle of govern, map, measure, and manage can be applied directly to the platform architecture of Palantir (Tabassi, 2023). According to Batool, </w:t>
      </w:r>
      <w:proofErr w:type="spellStart"/>
      <w:r>
        <w:t>Zowghi</w:t>
      </w:r>
      <w:proofErr w:type="spellEnd"/>
      <w:r>
        <w:t xml:space="preserve"> and </w:t>
      </w:r>
      <w:proofErr w:type="spellStart"/>
      <w:r>
        <w:t>Bano</w:t>
      </w:r>
      <w:proofErr w:type="spellEnd"/>
      <w:r>
        <w:t xml:space="preserve"> (2025), </w:t>
      </w:r>
      <w:r w:rsidR="003222E8">
        <w:t xml:space="preserve">the </w:t>
      </w:r>
      <w:r>
        <w:t>NIST framework is the most operationally mature AI governance standard in the global regulatory environment.</w:t>
      </w:r>
    </w:p>
    <w:p w14:paraId="4425427B" w14:textId="2AA9DC01" w:rsidR="00A43B1E" w:rsidRPr="00A43B1E" w:rsidRDefault="007A7B34" w:rsidP="007A7B34">
      <w:pPr>
        <w:jc w:val="both"/>
      </w:pPr>
      <w:r>
        <w:t xml:space="preserve">The United Kingdom has the Algorithmic Transparency Recording Standard (UK Government, 2025) and the NHS data governance architecture (Kingsman and colleagues, 2022), which impose compliance requirements, which the authors of this study assess as novel but inconsistently applied in practice, contingent on the technical capacity </w:t>
      </w:r>
      <w:r w:rsidR="003222E8">
        <w:t>of implementing</w:t>
      </w:r>
      <w:r>
        <w:t xml:space="preserve"> agencies. Emery-Xu, Jordan and Trager (2024) state that the international regulation of AI is </w:t>
      </w:r>
      <w:r w:rsidR="003222E8">
        <w:t>organised</w:t>
      </w:r>
      <w:r>
        <w:t xml:space="preserve"> around an essential asymmetry: democratic governments place restrictions on their own uses of AI, whereas adversary states are not subject to any similar requirements, which leads to political pressure to dilute the demands of governance in the guise of operational need. This pressure is a serious political risk </w:t>
      </w:r>
      <w:r w:rsidR="003222E8">
        <w:t>for</w:t>
      </w:r>
      <w:r>
        <w:t xml:space="preserve"> Palantir</w:t>
      </w:r>
      <w:r w:rsidR="003222E8">
        <w:t>,</w:t>
      </w:r>
      <w:r>
        <w:t xml:space="preserve"> whose long-term operating licence is pegged on the ability to remain credible to democratic publics where governmental integrity is not a bargaining point. Dua, Singh and Shehu (2025) observe that democratic governments are always keen on human rights, transparency, and accountability as governance ideals and have a hard time trying to implement them within classified settings. </w:t>
      </w:r>
      <w:proofErr w:type="spellStart"/>
      <w:r>
        <w:t>Mišic</w:t>
      </w:r>
      <w:proofErr w:type="spellEnd"/>
      <w:r>
        <w:t xml:space="preserve">, Est and Kool (2025) suggest a hybrid framework of good governance of AI in the public sector that would incorporate the needs of a good order and a good society and offer the normative background of the Palantir Governance Legitimacy Matrix produced in Section 2.7. </w:t>
      </w:r>
      <w:proofErr w:type="spellStart"/>
      <w:r>
        <w:t>Kempeneer</w:t>
      </w:r>
      <w:proofErr w:type="spellEnd"/>
      <w:r>
        <w:t xml:space="preserve">, </w:t>
      </w:r>
      <w:proofErr w:type="spellStart"/>
      <w:r>
        <w:t>Pirannejad</w:t>
      </w:r>
      <w:proofErr w:type="spellEnd"/>
      <w:r>
        <w:t xml:space="preserve"> and </w:t>
      </w:r>
      <w:proofErr w:type="spellStart"/>
      <w:r>
        <w:t>Wolswinkel</w:t>
      </w:r>
      <w:proofErr w:type="spellEnd"/>
      <w:r>
        <w:t xml:space="preserve"> (2023) discuss the open government data frameworks, discovering that legal instruments on the use of government data to support AI use are inconsistent </w:t>
      </w:r>
      <w:r w:rsidR="003222E8">
        <w:t xml:space="preserve">across jurisdictions, which creates uncertainty in compliance for vendors integrating data across </w:t>
      </w:r>
      <w:r>
        <w:t xml:space="preserve">institutional and national boundaries. According to Liu, Tang and Collard (2025), the AI governance in the context of the public sector should take into </w:t>
      </w:r>
      <w:r w:rsidR="003222E8">
        <w:t>consideration</w:t>
      </w:r>
      <w:r>
        <w:t xml:space="preserve"> the distributed decision-making authority, involving human actors, AI systems, and institutional hierarchies.</w:t>
      </w:r>
    </w:p>
    <w:p w14:paraId="5BF2174C" w14:textId="27465A5E" w:rsidR="00A43B1E" w:rsidRPr="00A43B1E" w:rsidRDefault="00A43B1E" w:rsidP="00A43B1E">
      <w:pPr>
        <w:pStyle w:val="Heading2"/>
      </w:pPr>
      <w:bookmarkStart w:id="11" w:name="_Toc228012567"/>
      <w:r w:rsidRPr="00A43B1E">
        <w:t xml:space="preserve">Data Governance: </w:t>
      </w:r>
      <w:proofErr w:type="spellStart"/>
      <w:r w:rsidRPr="00A43B1E">
        <w:t>Minimisation</w:t>
      </w:r>
      <w:proofErr w:type="spellEnd"/>
      <w:r w:rsidRPr="00A43B1E">
        <w:t>, Purpose Limitation, and Cross-Border Flows</w:t>
      </w:r>
      <w:bookmarkEnd w:id="11"/>
    </w:p>
    <w:p w14:paraId="171A72D7" w14:textId="061A32B5" w:rsidR="007A7B34" w:rsidRDefault="007A7B34" w:rsidP="007A7B34">
      <w:pPr>
        <w:jc w:val="both"/>
      </w:pPr>
      <w:r>
        <w:t xml:space="preserve">The assignment brief clearly stipulates separate treatment of the data governance, and this section offers the treatment as a separate analytical work, not inculcating these requirements into the regulatory compliance discussion above. The nature of data governance responsibilities </w:t>
      </w:r>
      <w:r>
        <w:lastRenderedPageBreak/>
        <w:t>of Palantir is qualitatively more complicated than the majority of commercial AI vendors due to the fact that their products combine, integrate, and analyse personal data of sovereign government customers across various jurisdictions, in many cases under circumstances of national security sensitivity</w:t>
      </w:r>
      <w:r w:rsidR="003222E8">
        <w:t>,</w:t>
      </w:r>
      <w:r>
        <w:t xml:space="preserve"> which most data protection frameworks were not initially constructed to address.</w:t>
      </w:r>
    </w:p>
    <w:p w14:paraId="6CB4647D" w14:textId="4A7FFD2C" w:rsidR="007A7B34" w:rsidRDefault="007A7B34" w:rsidP="007A7B34">
      <w:pPr>
        <w:jc w:val="both"/>
      </w:pPr>
      <w:r>
        <w:t xml:space="preserve">The concept of data minimisation is that AI systems are expected to handle only the amount of personal data that is required to accomplish a specified legitimate purpose. The structural tension between the minimisation principle and the technical architecture of Palantir platforms, which is architecturally designed to bring together and cross-reference streams of data across disparate government sources, is realised in the context of the government deployments of Palantir. The more all-encompassing the data integration, the more potent the analytical output, but the further the architecture is removed </w:t>
      </w:r>
      <w:r w:rsidR="003222E8">
        <w:t>from</w:t>
      </w:r>
      <w:r>
        <w:t xml:space="preserve"> compliance with minimisation. This tension, which </w:t>
      </w:r>
      <w:proofErr w:type="spellStart"/>
      <w:r>
        <w:t>Mahroof</w:t>
      </w:r>
      <w:proofErr w:type="spellEnd"/>
      <w:r>
        <w:t xml:space="preserve"> and colleagues (2025) describe as a characteristic of governance in the context of algorithmic decision-making in the public sector, is based on the fact that the power asymmetries generated by wholesome data integration cannot be resolved by technical design but by legally binding scopes of action implemented by contractual and regulatory means. Data in the NHS context In the NHS context, the data minimisation requirement of UK GDPR, which will be retained after Brexit and managed by the Information Commissioner’s Office, states that only data required by the particular contractual purposes of the Federated Data Platform will be processed, which the NHS England contract explainer identifies as a condition of the data processing agreement (NHS England, 2023) but which independent analysis has called</w:t>
      </w:r>
      <w:r w:rsidR="003222E8">
        <w:t>.</w:t>
      </w:r>
    </w:p>
    <w:p w14:paraId="5F800D10" w14:textId="5DAB3DEE" w:rsidR="007A7B34" w:rsidRDefault="007A7B34" w:rsidP="007A7B34">
      <w:pPr>
        <w:jc w:val="both"/>
      </w:pPr>
      <w:r>
        <w:t xml:space="preserve">The opposite principle, which </w:t>
      </w:r>
      <w:r w:rsidR="003222E8">
        <w:t>states that data used with one specified purpose cannot be used in a different application without a new legal basis, and often without new consent or justification of public interest,</w:t>
      </w:r>
      <w:r>
        <w:t xml:space="preserve"> is known as purpose limitation. In Palantir, purpose limitation is the most immediately endangered principle of governance by the commercial logic of the platform architecture. The Gotham and Foundry value proposition is based specifically on the ability to </w:t>
      </w:r>
      <w:r w:rsidR="003222E8">
        <w:t>cross-analyse</w:t>
      </w:r>
      <w:r>
        <w:t xml:space="preserve"> data gathered in different functions of government and arrive at intelligence that would not have been obtained by a single-purpose dataset. Beckman, </w:t>
      </w:r>
      <w:proofErr w:type="spellStart"/>
      <w:r>
        <w:t>Hultin</w:t>
      </w:r>
      <w:proofErr w:type="spellEnd"/>
      <w:r>
        <w:t xml:space="preserve"> Rosenberg and </w:t>
      </w:r>
      <w:proofErr w:type="spellStart"/>
      <w:r>
        <w:t>Jebari</w:t>
      </w:r>
      <w:proofErr w:type="spellEnd"/>
      <w:r>
        <w:t xml:space="preserve"> (2022) position this as a democratic legitimacy issue but not as a simple data protection compliance issue: citizens who submitted their data to the NHS to be used in health treatment did not give consent to the integration of their data with criminal justice, immigration, or social welfare records to be used analytically without their disclosure at the time of collection. </w:t>
      </w:r>
      <w:proofErr w:type="spellStart"/>
      <w:r>
        <w:t>Buijsman</w:t>
      </w:r>
      <w:proofErr w:type="spellEnd"/>
      <w:r>
        <w:t xml:space="preserve"> (2024) builds on this point by elaborating a transparency </w:t>
      </w:r>
      <w:r>
        <w:lastRenderedPageBreak/>
        <w:t>framework based on values</w:t>
      </w:r>
      <w:r w:rsidR="003222E8">
        <w:t>, arguing that the unseen secondary use of personal data amounts to a breach of informational self-determination, which cannot be fixed through transparency disclosures,</w:t>
      </w:r>
      <w:r>
        <w:t xml:space="preserve"> as the act of revealing a rights breach is not the same as a righting reflex. One vulnerability of crowd analysis and the use of biometric AI, noted by </w:t>
      </w:r>
      <w:proofErr w:type="spellStart"/>
      <w:r>
        <w:t>Veltmeijer</w:t>
      </w:r>
      <w:proofErr w:type="spellEnd"/>
      <w:r>
        <w:t xml:space="preserve"> and Gerritsen (2025), is that purpose limitation: Data used in one type of law enforcement can be easily reused in a different application, such as intelligence collection, social surveillance, or even enforcement of immigration laws</w:t>
      </w:r>
      <w:r w:rsidR="003222E8">
        <w:t>,</w:t>
      </w:r>
      <w:r>
        <w:t xml:space="preserve"> without the reauthorisation of the purpose limitation that is required.</w:t>
      </w:r>
    </w:p>
    <w:p w14:paraId="4E82102E" w14:textId="21C6FD53" w:rsidR="007A7B34" w:rsidRDefault="007A7B34" w:rsidP="007A7B34">
      <w:pPr>
        <w:jc w:val="both"/>
      </w:pPr>
      <w:r>
        <w:t xml:space="preserve">The third governance dimension that the brief needs this section to cover and that the UK-US regulatory divergence presents operationally the most significant compliance burdens to Palantir is cross-border data flows. With the UK leaving the European Union, the adequacy framework applicable to transatlantic data flows was </w:t>
      </w:r>
      <w:r w:rsidR="003222E8">
        <w:t>reorganised</w:t>
      </w:r>
      <w:r>
        <w:t xml:space="preserve"> with the UK-US Data Bridge arrangement that allows transfers of UK personal data to US recipients who are certified by the equivalent of the EU-US Data Privacy Framework. Nonetheless, both UK and US law have national security exceptions that provide major carve-outs of the normal data protection requirements, and Palantir government contracts often deal with data that can be subject to national security carve-outs. According to Emery-Xu, Jordan and Trager (2024), the governance of the cross-border AI-data flows is one of the dimensions of international AI governance yet to be resolved, as the process through which personal information is transmitted across national borders in an international intelligence-sharing system between partners of the Five Eyes is largely unknown to the data subjects whose data is being shared. </w:t>
      </w:r>
      <w:proofErr w:type="spellStart"/>
      <w:r>
        <w:t>Kempeneer</w:t>
      </w:r>
      <w:proofErr w:type="spellEnd"/>
      <w:r>
        <w:t xml:space="preserve">, </w:t>
      </w:r>
      <w:proofErr w:type="spellStart"/>
      <w:r>
        <w:t>Pirannejad</w:t>
      </w:r>
      <w:proofErr w:type="spellEnd"/>
      <w:r>
        <w:t xml:space="preserve"> and </w:t>
      </w:r>
      <w:proofErr w:type="spellStart"/>
      <w:r>
        <w:t>Wolswinkel</w:t>
      </w:r>
      <w:proofErr w:type="spellEnd"/>
      <w:r>
        <w:t xml:space="preserve"> (2023) establish that the legal frameworks of cross-border government data sharing with AI purposes are uneven across countries and that this unevenness makes platform vendors operating across national borders unpredictable about meeting the relevant requirements since what is acceptable under the legal system of one country may not be under the legal system of another.</w:t>
      </w:r>
    </w:p>
    <w:p w14:paraId="3DE2E56C" w14:textId="5A67F722" w:rsidR="00A43B1E" w:rsidRPr="00A43B1E" w:rsidRDefault="007A7B34" w:rsidP="007A7B34">
      <w:pPr>
        <w:jc w:val="both"/>
      </w:pPr>
      <w:r>
        <w:t xml:space="preserve">The effective governance solution </w:t>
      </w:r>
      <w:r w:rsidR="003222E8">
        <w:t>for Palantir needs a three-dimensional approach</w:t>
      </w:r>
      <w:r>
        <w:t xml:space="preserve">. To start with, Palantir ought to establish a Data Governance Charter on every significant government deployment, defining the legal </w:t>
      </w:r>
      <w:r w:rsidR="003222E8">
        <w:t>foundation of data processing, what data may and may not be used, and what purposes the data is to be used for</w:t>
      </w:r>
      <w:r>
        <w:t xml:space="preserve">. Second, Palantir needs to invest in privacy-enhancing technologies, such as differential privacy and purpose-bound access controls to data, to impose minimisation and purpose limitation requirements on a technical architecture basis instead of depending on contractual guarantees. According to </w:t>
      </w:r>
      <w:proofErr w:type="spellStart"/>
      <w:r>
        <w:t>Ardabili</w:t>
      </w:r>
      <w:proofErr w:type="spellEnd"/>
      <w:r>
        <w:t xml:space="preserve"> and others (2023), the introduction of AI surveillance systems always outstrips the legal and management structures </w:t>
      </w:r>
      <w:r>
        <w:lastRenderedPageBreak/>
        <w:t xml:space="preserve">intended to control them, a trend that technical privacy architecture can disrupt by rendering purpose overreach challenging, as opposed to simply forbidden by contract. Third, Palantir ought to create a cross-jurisdictional data governance unit, </w:t>
      </w:r>
      <w:r w:rsidR="003222E8">
        <w:t>reporting to</w:t>
      </w:r>
      <w:r>
        <w:t xml:space="preserve"> the Chief Ethics Officer, to ensure real-time compliance oversight of data flows through its deployments in the UK and US government, with the ability to halt data processing operations that cannot be aligned with relevant legal underpinnings. According to </w:t>
      </w:r>
      <w:proofErr w:type="spellStart"/>
      <w:r>
        <w:t>Nnawuchi</w:t>
      </w:r>
      <w:proofErr w:type="spellEnd"/>
      <w:r>
        <w:t xml:space="preserve"> and George (2025), the accountability gap of government AI data systems, in which a cross-border flow governance forms a vital part, needs specific institutional mechanisms to attribute unequivocal human responsibility to the compliance outcomes instead of </w:t>
      </w:r>
      <w:r w:rsidR="003222E8">
        <w:t>decentralising</w:t>
      </w:r>
      <w:r>
        <w:t xml:space="preserve"> accountability across organisational hierarchies to avoid making any particular person responsible for system failures.</w:t>
      </w:r>
    </w:p>
    <w:p w14:paraId="44882F49" w14:textId="1EE4ABBB" w:rsidR="00A43B1E" w:rsidRPr="00A43B1E" w:rsidRDefault="00A43B1E" w:rsidP="00A43B1E">
      <w:pPr>
        <w:pStyle w:val="Heading1"/>
      </w:pPr>
      <w:bookmarkStart w:id="12" w:name="_Toc228012568"/>
      <w:r w:rsidRPr="00A43B1E">
        <w:t>Implementation Plan</w:t>
      </w:r>
      <w:bookmarkEnd w:id="12"/>
    </w:p>
    <w:p w14:paraId="378ACF33" w14:textId="77777777" w:rsidR="00A43B1E" w:rsidRPr="00A43B1E" w:rsidRDefault="00A43B1E" w:rsidP="00A43B1E">
      <w:pPr>
        <w:jc w:val="both"/>
      </w:pPr>
      <w:r w:rsidRPr="00A43B1E">
        <w:t>Table 5: Palantir AI Governance Implementation Plan</w:t>
      </w:r>
    </w:p>
    <w:tbl>
      <w:tblPr>
        <w:tblStyle w:val="GridTable3-Accent4"/>
        <w:tblW w:w="0" w:type="auto"/>
        <w:tblLook w:val="04A0" w:firstRow="1" w:lastRow="0" w:firstColumn="1" w:lastColumn="0" w:noHBand="0" w:noVBand="1"/>
      </w:tblPr>
      <w:tblGrid>
        <w:gridCol w:w="1618"/>
        <w:gridCol w:w="1358"/>
        <w:gridCol w:w="1649"/>
        <w:gridCol w:w="1421"/>
        <w:gridCol w:w="1256"/>
        <w:gridCol w:w="1724"/>
      </w:tblGrid>
      <w:tr w:rsidR="00A43B1E" w:rsidRPr="00A43B1E" w14:paraId="2A2C1880" w14:textId="77777777" w:rsidTr="00A43B1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33B9C89" w14:textId="77777777" w:rsidR="00A43B1E" w:rsidRPr="00A43B1E" w:rsidRDefault="00A43B1E" w:rsidP="00A43B1E">
            <w:pPr>
              <w:jc w:val="both"/>
            </w:pPr>
            <w:r w:rsidRPr="00A43B1E">
              <w:t>Phase</w:t>
            </w:r>
          </w:p>
        </w:tc>
        <w:tc>
          <w:tcPr>
            <w:tcW w:w="0" w:type="auto"/>
            <w:hideMark/>
          </w:tcPr>
          <w:p w14:paraId="00F118C7"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Timeframe</w:t>
            </w:r>
          </w:p>
        </w:tc>
        <w:tc>
          <w:tcPr>
            <w:tcW w:w="0" w:type="auto"/>
            <w:hideMark/>
          </w:tcPr>
          <w:p w14:paraId="3C503813"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Key Actions</w:t>
            </w:r>
          </w:p>
        </w:tc>
        <w:tc>
          <w:tcPr>
            <w:tcW w:w="0" w:type="auto"/>
            <w:hideMark/>
          </w:tcPr>
          <w:p w14:paraId="6C840A11"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Academic Basis</w:t>
            </w:r>
          </w:p>
        </w:tc>
        <w:tc>
          <w:tcPr>
            <w:tcW w:w="0" w:type="auto"/>
            <w:hideMark/>
          </w:tcPr>
          <w:p w14:paraId="20831953"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Estimated Cost</w:t>
            </w:r>
          </w:p>
        </w:tc>
        <w:tc>
          <w:tcPr>
            <w:tcW w:w="0" w:type="auto"/>
            <w:hideMark/>
          </w:tcPr>
          <w:p w14:paraId="606F5566" w14:textId="77777777" w:rsidR="00A43B1E" w:rsidRPr="00A43B1E" w:rsidRDefault="00A43B1E" w:rsidP="00A43B1E">
            <w:pPr>
              <w:jc w:val="both"/>
              <w:cnfStyle w:val="100000000000" w:firstRow="1" w:lastRow="0" w:firstColumn="0" w:lastColumn="0" w:oddVBand="0" w:evenVBand="0" w:oddHBand="0" w:evenHBand="0" w:firstRowFirstColumn="0" w:firstRowLastColumn="0" w:lastRowFirstColumn="0" w:lastRowLastColumn="0"/>
            </w:pPr>
            <w:r w:rsidRPr="00A43B1E">
              <w:t>Accountability</w:t>
            </w:r>
          </w:p>
        </w:tc>
      </w:tr>
      <w:tr w:rsidR="00A43B1E" w:rsidRPr="00A43B1E" w14:paraId="2616EC0C"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4B64C" w14:textId="77777777" w:rsidR="00A43B1E" w:rsidRPr="00A43B1E" w:rsidRDefault="00A43B1E" w:rsidP="00A43B1E">
            <w:pPr>
              <w:jc w:val="both"/>
            </w:pPr>
            <w:r w:rsidRPr="00A43B1E">
              <w:t>Phase 1: Legitimacy Foundation</w:t>
            </w:r>
          </w:p>
        </w:tc>
        <w:tc>
          <w:tcPr>
            <w:tcW w:w="0" w:type="auto"/>
            <w:hideMark/>
          </w:tcPr>
          <w:p w14:paraId="47C26C9B"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0-12 months</w:t>
            </w:r>
          </w:p>
        </w:tc>
        <w:tc>
          <w:tcPr>
            <w:tcW w:w="0" w:type="auto"/>
            <w:hideMark/>
          </w:tcPr>
          <w:p w14:paraId="08CD5ED6" w14:textId="22C3CB2A"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Establish Chief Ethics Officer and cross-jurisdictional data governance function; commission independent algorithmic audit of top-five government deployments; develop Data Governance Charters for NHS and DoD contracts; publish inaugural Responsible AI Disclosure Report; initiate NHS public engagement programme</w:t>
            </w:r>
            <w:r w:rsidR="003222E8">
              <w:t>.</w:t>
            </w:r>
          </w:p>
        </w:tc>
        <w:tc>
          <w:tcPr>
            <w:tcW w:w="0" w:type="auto"/>
            <w:hideMark/>
          </w:tcPr>
          <w:p w14:paraId="49BBFA21"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proofErr w:type="spellStart"/>
            <w:r w:rsidRPr="00A43B1E">
              <w:t>Agbabiaka</w:t>
            </w:r>
            <w:proofErr w:type="spellEnd"/>
            <w:r w:rsidRPr="00A43B1E">
              <w:t xml:space="preserve"> et al. (2025); </w:t>
            </w:r>
            <w:proofErr w:type="spellStart"/>
            <w:r w:rsidRPr="00A43B1E">
              <w:t>Buijsman</w:t>
            </w:r>
            <w:proofErr w:type="spellEnd"/>
            <w:r w:rsidRPr="00A43B1E">
              <w:t xml:space="preserve"> (2024); Batool et al. (2025); </w:t>
            </w:r>
            <w:proofErr w:type="spellStart"/>
            <w:r w:rsidRPr="00A43B1E">
              <w:t>Nnawuchi</w:t>
            </w:r>
            <w:proofErr w:type="spellEnd"/>
            <w:r w:rsidRPr="00A43B1E">
              <w:t xml:space="preserve"> and George (2025)</w:t>
            </w:r>
          </w:p>
        </w:tc>
        <w:tc>
          <w:tcPr>
            <w:tcW w:w="0" w:type="auto"/>
            <w:hideMark/>
          </w:tcPr>
          <w:p w14:paraId="4B779B48"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USD 4-6M</w:t>
            </w:r>
          </w:p>
        </w:tc>
        <w:tc>
          <w:tcPr>
            <w:tcW w:w="0" w:type="auto"/>
            <w:hideMark/>
          </w:tcPr>
          <w:p w14:paraId="468CE416"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CEO and General Counsel</w:t>
            </w:r>
          </w:p>
        </w:tc>
      </w:tr>
      <w:tr w:rsidR="00A43B1E" w:rsidRPr="00A43B1E" w14:paraId="445E2B4F" w14:textId="77777777" w:rsidTr="00A43B1E">
        <w:tc>
          <w:tcPr>
            <w:cnfStyle w:val="001000000000" w:firstRow="0" w:lastRow="0" w:firstColumn="1" w:lastColumn="0" w:oddVBand="0" w:evenVBand="0" w:oddHBand="0" w:evenHBand="0" w:firstRowFirstColumn="0" w:firstRowLastColumn="0" w:lastRowFirstColumn="0" w:lastRowLastColumn="0"/>
            <w:tcW w:w="0" w:type="auto"/>
            <w:hideMark/>
          </w:tcPr>
          <w:p w14:paraId="586A49D8" w14:textId="77777777" w:rsidR="00A43B1E" w:rsidRPr="00A43B1E" w:rsidRDefault="00A43B1E" w:rsidP="00A43B1E">
            <w:pPr>
              <w:jc w:val="both"/>
            </w:pPr>
            <w:r w:rsidRPr="00A43B1E">
              <w:lastRenderedPageBreak/>
              <w:t>Phase 2: Governance Architecture</w:t>
            </w:r>
          </w:p>
        </w:tc>
        <w:tc>
          <w:tcPr>
            <w:tcW w:w="0" w:type="auto"/>
            <w:hideMark/>
          </w:tcPr>
          <w:p w14:paraId="009FDA3C"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12-24 months</w:t>
            </w:r>
          </w:p>
        </w:tc>
        <w:tc>
          <w:tcPr>
            <w:tcW w:w="0" w:type="auto"/>
            <w:hideMark/>
          </w:tcPr>
          <w:p w14:paraId="0F83DF74" w14:textId="26F647B8"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 xml:space="preserve">Embed explanation interfaces and contestability mechanisms in all citizen-facing deployments; implement NIST AI RMF across US government contracts; achieve UK Algorithmic Transparency Standard compliance; deploy privacy-enhancing technologies enforcing minimisation and purpose limitation at </w:t>
            </w:r>
            <w:r w:rsidR="003222E8">
              <w:t xml:space="preserve">the </w:t>
            </w:r>
            <w:r w:rsidRPr="00A43B1E">
              <w:t>architecture level; establish Civil Society Advisory Council</w:t>
            </w:r>
          </w:p>
        </w:tc>
        <w:tc>
          <w:tcPr>
            <w:tcW w:w="0" w:type="auto"/>
            <w:hideMark/>
          </w:tcPr>
          <w:p w14:paraId="51202CB3"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 xml:space="preserve">Tabassi (2023); Aoki et al. (2024); UK Government (2025); Licht (2025); </w:t>
            </w:r>
            <w:proofErr w:type="spellStart"/>
            <w:r w:rsidRPr="00A43B1E">
              <w:t>Ardabili</w:t>
            </w:r>
            <w:proofErr w:type="spellEnd"/>
            <w:r w:rsidRPr="00A43B1E">
              <w:t xml:space="preserve"> et al. (2023)</w:t>
            </w:r>
          </w:p>
        </w:tc>
        <w:tc>
          <w:tcPr>
            <w:tcW w:w="0" w:type="auto"/>
            <w:hideMark/>
          </w:tcPr>
          <w:p w14:paraId="5A5F9FE9"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USD 7-11M</w:t>
            </w:r>
          </w:p>
        </w:tc>
        <w:tc>
          <w:tcPr>
            <w:tcW w:w="0" w:type="auto"/>
            <w:hideMark/>
          </w:tcPr>
          <w:p w14:paraId="21869DBD" w14:textId="77777777" w:rsidR="00A43B1E" w:rsidRPr="00A43B1E" w:rsidRDefault="00A43B1E" w:rsidP="00A43B1E">
            <w:pPr>
              <w:jc w:val="both"/>
              <w:cnfStyle w:val="000000000000" w:firstRow="0" w:lastRow="0" w:firstColumn="0" w:lastColumn="0" w:oddVBand="0" w:evenVBand="0" w:oddHBand="0" w:evenHBand="0" w:firstRowFirstColumn="0" w:firstRowLastColumn="0" w:lastRowFirstColumn="0" w:lastRowLastColumn="0"/>
            </w:pPr>
            <w:r w:rsidRPr="00A43B1E">
              <w:t>CTO and Chief Compliance Officer</w:t>
            </w:r>
          </w:p>
        </w:tc>
      </w:tr>
      <w:tr w:rsidR="00A43B1E" w:rsidRPr="00A43B1E" w14:paraId="6E7A0ABB" w14:textId="77777777" w:rsidTr="00A43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052C2" w14:textId="77777777" w:rsidR="00A43B1E" w:rsidRPr="00A43B1E" w:rsidRDefault="00A43B1E" w:rsidP="00A43B1E">
            <w:pPr>
              <w:jc w:val="both"/>
            </w:pPr>
            <w:r w:rsidRPr="00A43B1E">
              <w:t>Phase 3: Accountability Maturity</w:t>
            </w:r>
          </w:p>
        </w:tc>
        <w:tc>
          <w:tcPr>
            <w:tcW w:w="0" w:type="auto"/>
            <w:hideMark/>
          </w:tcPr>
          <w:p w14:paraId="6663CD3E"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24-36 months</w:t>
            </w:r>
          </w:p>
        </w:tc>
        <w:tc>
          <w:tcPr>
            <w:tcW w:w="0" w:type="auto"/>
            <w:hideMark/>
          </w:tcPr>
          <w:p w14:paraId="1DC5AB9A" w14:textId="32B1A071"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Publish annual redacted independent audit reports; achieve ISO 42001 AI management system certification; institutionalise procedural fairness review in all new contract design; develop bilateral UK-US cross-</w:t>
            </w:r>
            <w:r w:rsidRPr="00A43B1E">
              <w:lastRenderedPageBreak/>
              <w:t>border data flow governance alignment framework with government clients; contribute to multilateral military AI governance norm development</w:t>
            </w:r>
            <w:r w:rsidR="003222E8">
              <w:t>.</w:t>
            </w:r>
          </w:p>
        </w:tc>
        <w:tc>
          <w:tcPr>
            <w:tcW w:w="0" w:type="auto"/>
            <w:hideMark/>
          </w:tcPr>
          <w:p w14:paraId="4354F1E3"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lastRenderedPageBreak/>
              <w:t xml:space="preserve">Blanchard et al. (2024); Garcia (2025); </w:t>
            </w:r>
            <w:proofErr w:type="spellStart"/>
            <w:r w:rsidRPr="00A43B1E">
              <w:t>Meerveld</w:t>
            </w:r>
            <w:proofErr w:type="spellEnd"/>
            <w:r w:rsidRPr="00A43B1E">
              <w:t xml:space="preserve"> et al. (2025); Emery-Xu et al. (2024)</w:t>
            </w:r>
          </w:p>
        </w:tc>
        <w:tc>
          <w:tcPr>
            <w:tcW w:w="0" w:type="auto"/>
            <w:hideMark/>
          </w:tcPr>
          <w:p w14:paraId="2CD05B1F"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USD 5-8M</w:t>
            </w:r>
          </w:p>
        </w:tc>
        <w:tc>
          <w:tcPr>
            <w:tcW w:w="0" w:type="auto"/>
            <w:hideMark/>
          </w:tcPr>
          <w:p w14:paraId="50447CF1" w14:textId="77777777" w:rsidR="00A43B1E" w:rsidRPr="00A43B1E" w:rsidRDefault="00A43B1E" w:rsidP="00A43B1E">
            <w:pPr>
              <w:jc w:val="both"/>
              <w:cnfStyle w:val="000000100000" w:firstRow="0" w:lastRow="0" w:firstColumn="0" w:lastColumn="0" w:oddVBand="0" w:evenVBand="0" w:oddHBand="1" w:evenHBand="0" w:firstRowFirstColumn="0" w:firstRowLastColumn="0" w:lastRowFirstColumn="0" w:lastRowLastColumn="0"/>
            </w:pPr>
            <w:r w:rsidRPr="00A43B1E">
              <w:t>Board Governance Committee</w:t>
            </w:r>
          </w:p>
        </w:tc>
      </w:tr>
    </w:tbl>
    <w:p w14:paraId="5AB293AC" w14:textId="61CA1282" w:rsidR="00A43B1E" w:rsidRPr="00A43B1E" w:rsidRDefault="000B6439" w:rsidP="00A43B1E">
      <w:pPr>
        <w:jc w:val="both"/>
      </w:pPr>
      <w:r w:rsidRPr="000B6439">
        <w:t xml:space="preserve">Estimated total three-year investment: USD 16-25 million, depending on the scale of the revenue base of Palantir government contracts, and the scale of reputational, political and regulatory risk that failure of governance would cause. Monetary approximations are based on the McKinsey 2024 Government AI Adoption Report, which </w:t>
      </w:r>
      <w:r w:rsidR="003222E8">
        <w:t>puts</w:t>
      </w:r>
      <w:r w:rsidRPr="000B6439">
        <w:t xml:space="preserve"> median costs of governance </w:t>
      </w:r>
      <w:r w:rsidR="003222E8">
        <w:t>programs</w:t>
      </w:r>
      <w:r w:rsidRPr="000B6439">
        <w:t xml:space="preserve"> in government-facing technology companies at USD 5 million to establish the program during the first year, and the Deloitte 2024 Public Sector AI Trust Survey, which benchmarked compliance architecture investment at USD 7 to 12 million to implement government AI platform providers on an enterprise scale.</w:t>
      </w:r>
    </w:p>
    <w:p w14:paraId="0FD8206D" w14:textId="27CC34EB" w:rsidR="00A43B1E" w:rsidRPr="00A43B1E" w:rsidRDefault="00A43B1E" w:rsidP="00A43B1E">
      <w:pPr>
        <w:pStyle w:val="Heading1"/>
      </w:pPr>
      <w:bookmarkStart w:id="13" w:name="_Toc228012569"/>
      <w:r w:rsidRPr="00A43B1E">
        <w:t>Conclusion</w:t>
      </w:r>
      <w:bookmarkEnd w:id="13"/>
    </w:p>
    <w:p w14:paraId="52F418D3" w14:textId="0E4B1CF4" w:rsidR="00540DD9" w:rsidRDefault="00540DD9" w:rsidP="00540DD9">
      <w:pPr>
        <w:jc w:val="both"/>
      </w:pPr>
      <w:r>
        <w:t xml:space="preserve">This report has suggested that </w:t>
      </w:r>
      <w:r w:rsidR="003222E8">
        <w:t>the long-term commercial viability of Palantir cannot be separated from</w:t>
      </w:r>
      <w:r>
        <w:t xml:space="preserve"> its governance legitimacy. The </w:t>
      </w:r>
      <w:r w:rsidR="003222E8">
        <w:t xml:space="preserve">Porter's Five Forces analysis provides insights into the presence of a governmental AI market where buyer power is extremely high, competitive rivalry has been escalating, and the credibility of governance serves both as a market entry barrier and a </w:t>
      </w:r>
      <w:r>
        <w:t>competitive advantage. According to the PESTLE and macroeconomic analyses, the sovereign fiscal constraint and geopolitical bifurcation present risks of revenue concentration</w:t>
      </w:r>
      <w:r w:rsidR="003222E8">
        <w:t xml:space="preserve">, which would be accelerated by governance failure beyond a </w:t>
      </w:r>
      <w:r>
        <w:t>reasonable doubt.</w:t>
      </w:r>
    </w:p>
    <w:p w14:paraId="79693A61" w14:textId="0C2F623D" w:rsidR="00540DD9" w:rsidRDefault="00540DD9" w:rsidP="00540DD9">
      <w:pPr>
        <w:jc w:val="both"/>
      </w:pPr>
      <w:r>
        <w:t xml:space="preserve">The thematic analyses would lead to two strategic conclusions, which become explicit through the </w:t>
      </w:r>
      <w:r w:rsidR="003222E8">
        <w:t>addition</w:t>
      </w:r>
      <w:r>
        <w:t xml:space="preserve"> of the analytical content to this report. To start with, the disaggregation of the government client trust and public trust shows that commercial relations of Palantir cannot be sustained in the vacuum of democratic legitimacy: the first one cannot be secured with the help of the second one during any period of time more than one contract cycle. Second, the independent data governance analysis shows that the platform architecture of Palantir poses structural tensions with data minimisation, purpose limitation, and cross-border flow </w:t>
      </w:r>
      <w:r>
        <w:lastRenderedPageBreak/>
        <w:t>requirements</w:t>
      </w:r>
      <w:r w:rsidR="003222E8">
        <w:t>,</w:t>
      </w:r>
      <w:r>
        <w:t xml:space="preserve"> which cannot be resolved solely by contractual commitments and that technical governance investment in privacy-enhancing architecture is required to supplement legal compliance frameworks.</w:t>
      </w:r>
    </w:p>
    <w:p w14:paraId="02FE8314" w14:textId="54F19260" w:rsidR="00A43B1E" w:rsidRDefault="00540DD9" w:rsidP="00540DD9">
      <w:pPr>
        <w:jc w:val="both"/>
      </w:pPr>
      <w:r>
        <w:t>The most pressing risk case that the board should consider is the following. Without embedding independent auditability of the algorithms, imposable purpose limitation, and public contestability mechanisms into its NHS and law enforcement AI deployments by 2027, a single trustworthy investigation reporting discriminatory profiling, unauthorised repurposing of data, or illegal cross-border information transfer would lead to a cascading review of its contracts across its client base in the UK and US government, mobilise parliamentary and congressional scrutiny The governance investments that are suggested in this report are the structural state wherein the government AI aspirations of Palantir can be undertaken in a sustainable democratic manner.</w:t>
      </w:r>
    </w:p>
    <w:p w14:paraId="3E6D9C73" w14:textId="0E17B9D4" w:rsidR="00A43B1E" w:rsidRDefault="00A43B1E">
      <w:r>
        <w:br w:type="page"/>
      </w:r>
    </w:p>
    <w:p w14:paraId="3F40A985" w14:textId="01E2A82C" w:rsidR="00A43B1E" w:rsidRDefault="00A43B1E" w:rsidP="00A43B1E">
      <w:pPr>
        <w:pStyle w:val="Heading1"/>
      </w:pPr>
      <w:bookmarkStart w:id="14" w:name="_Toc228012570"/>
      <w:r>
        <w:lastRenderedPageBreak/>
        <w:t>Bibliography</w:t>
      </w:r>
      <w:bookmarkEnd w:id="14"/>
    </w:p>
    <w:p w14:paraId="2EFAB392" w14:textId="77777777" w:rsidR="00A43B1E" w:rsidRDefault="00A43B1E" w:rsidP="00A43B1E">
      <w:pPr>
        <w:jc w:val="both"/>
      </w:pPr>
      <w:proofErr w:type="spellStart"/>
      <w:r>
        <w:t>Agbabiaka</w:t>
      </w:r>
      <w:proofErr w:type="spellEnd"/>
      <w:r>
        <w:t xml:space="preserve">, O., Ojo, A. and Connolly, N. (2025). Requirements for trustworthy AI-enabled automated decision-making in the public sector: A systematic review. Technological Forecasting and Social Change, 215, p.124076. </w:t>
      </w:r>
      <w:proofErr w:type="spellStart"/>
      <w:r>
        <w:t>doi:https</w:t>
      </w:r>
      <w:proofErr w:type="spellEnd"/>
      <w:r>
        <w:t>://doi.org/10.1016/j.techfore.2025.124076.</w:t>
      </w:r>
    </w:p>
    <w:p w14:paraId="62C7BE22" w14:textId="77777777" w:rsidR="00A43B1E" w:rsidRDefault="00A43B1E" w:rsidP="00A43B1E">
      <w:pPr>
        <w:jc w:val="both"/>
      </w:pPr>
    </w:p>
    <w:p w14:paraId="23D5F861" w14:textId="77777777" w:rsidR="00A43B1E" w:rsidRDefault="00A43B1E" w:rsidP="00A43B1E">
      <w:pPr>
        <w:jc w:val="both"/>
      </w:pPr>
      <w:r>
        <w:t xml:space="preserve">Alhosani, K. and Alhashmi, S.M. (2024). Opportunities, challenges, and Benefits of AI Innovation in Government services: a Review. Discover Artificial Intelligence, 4(1). </w:t>
      </w:r>
      <w:proofErr w:type="spellStart"/>
      <w:r>
        <w:t>doi:https</w:t>
      </w:r>
      <w:proofErr w:type="spellEnd"/>
      <w:r>
        <w:t>://doi.org/10.1007/s44163-024-00111-w.</w:t>
      </w:r>
    </w:p>
    <w:p w14:paraId="62A6711C" w14:textId="77777777" w:rsidR="00A43B1E" w:rsidRDefault="00A43B1E" w:rsidP="00A43B1E">
      <w:pPr>
        <w:jc w:val="both"/>
      </w:pPr>
    </w:p>
    <w:p w14:paraId="264E3124" w14:textId="77777777" w:rsidR="00A43B1E" w:rsidRDefault="00A43B1E" w:rsidP="00A43B1E">
      <w:pPr>
        <w:jc w:val="both"/>
      </w:pPr>
      <w:r>
        <w:t>Andrew, I. and Amelia, A. (2025). the Seer and the seen: Surveying Palantir’s Surveillance platform. [online] Temple.edu. Available at: https://scholarshare.temple.edu/items/14cdd543-0115-475d-8dba-b24d93f2697f.</w:t>
      </w:r>
    </w:p>
    <w:p w14:paraId="20BFF01F" w14:textId="77777777" w:rsidR="00A43B1E" w:rsidRDefault="00A43B1E" w:rsidP="00A43B1E">
      <w:pPr>
        <w:jc w:val="both"/>
      </w:pPr>
    </w:p>
    <w:p w14:paraId="7E6B9805" w14:textId="548A3E76" w:rsidR="00A43B1E" w:rsidRDefault="00A43B1E" w:rsidP="00A43B1E">
      <w:pPr>
        <w:jc w:val="both"/>
      </w:pPr>
      <w:r>
        <w:t xml:space="preserve">Aoki, N., Tatsumi, T., Go Naruse and Maeda, K. (2024). Explainable AI for government: Does the Type of Explanation Matter to the accuracy, fairness, and Trustworthiness of an Algorithmic Decision as </w:t>
      </w:r>
      <w:r w:rsidR="003222E8">
        <w:t>perceived</w:t>
      </w:r>
      <w:r>
        <w:t xml:space="preserve"> by Those Who Are affected? Government Information Quarterly, 41(4), pp.101965–101965. </w:t>
      </w:r>
      <w:proofErr w:type="spellStart"/>
      <w:r>
        <w:t>doi:https</w:t>
      </w:r>
      <w:proofErr w:type="spellEnd"/>
      <w:r>
        <w:t>://doi.org/10.1016/j.giq.2024.101965.</w:t>
      </w:r>
    </w:p>
    <w:p w14:paraId="00B3F1F4" w14:textId="77777777" w:rsidR="00A43B1E" w:rsidRDefault="00A43B1E" w:rsidP="00A43B1E">
      <w:pPr>
        <w:jc w:val="both"/>
      </w:pPr>
    </w:p>
    <w:p w14:paraId="1255D41E" w14:textId="77777777" w:rsidR="00A43B1E" w:rsidRDefault="00A43B1E" w:rsidP="00A43B1E">
      <w:pPr>
        <w:jc w:val="both"/>
      </w:pPr>
      <w:proofErr w:type="spellStart"/>
      <w:r>
        <w:t>Ardabili</w:t>
      </w:r>
      <w:proofErr w:type="spellEnd"/>
      <w:r>
        <w:t xml:space="preserve">, B.R., </w:t>
      </w:r>
      <w:proofErr w:type="spellStart"/>
      <w:r>
        <w:t>Pazho</w:t>
      </w:r>
      <w:proofErr w:type="spellEnd"/>
      <w:r>
        <w:t xml:space="preserve">, A.D., </w:t>
      </w:r>
      <w:proofErr w:type="spellStart"/>
      <w:r>
        <w:t>Noghre</w:t>
      </w:r>
      <w:proofErr w:type="spellEnd"/>
      <w:r>
        <w:t xml:space="preserve">, G.A., Neff, C., </w:t>
      </w:r>
      <w:proofErr w:type="spellStart"/>
      <w:r>
        <w:t>Bhaskararayuni</w:t>
      </w:r>
      <w:proofErr w:type="spellEnd"/>
      <w:r>
        <w:t xml:space="preserve">, S.D., Ravindran, A., Reid, S. and </w:t>
      </w:r>
      <w:proofErr w:type="spellStart"/>
      <w:r>
        <w:t>Tabkhi</w:t>
      </w:r>
      <w:proofErr w:type="spellEnd"/>
      <w:r>
        <w:t xml:space="preserve">, H. (2023). Understanding Policy and Technical Aspects of AI-enabled Smart Video Surveillance to Address Public Safety. Computational Urban Science, [online] 3(1). </w:t>
      </w:r>
      <w:proofErr w:type="spellStart"/>
      <w:r>
        <w:t>doi:https</w:t>
      </w:r>
      <w:proofErr w:type="spellEnd"/>
      <w:r>
        <w:t>://doi.org/10.1007/s43762-023-00097-8.</w:t>
      </w:r>
    </w:p>
    <w:p w14:paraId="01B73867" w14:textId="77777777" w:rsidR="00A43B1E" w:rsidRDefault="00A43B1E" w:rsidP="00A43B1E">
      <w:pPr>
        <w:jc w:val="both"/>
      </w:pPr>
    </w:p>
    <w:p w14:paraId="6CFB7A8E" w14:textId="34E6BB9E" w:rsidR="00A43B1E" w:rsidRDefault="00A43B1E" w:rsidP="00A43B1E">
      <w:pPr>
        <w:jc w:val="both"/>
      </w:pPr>
      <w:r>
        <w:t xml:space="preserve">Armstrong, S. (2023). Palantir Gets </w:t>
      </w:r>
      <w:r w:rsidR="00854834">
        <w:t xml:space="preserve">GBP </w:t>
      </w:r>
      <w:r>
        <w:t xml:space="preserve">480m Contract to Run NHS Data Platform. BMJ, [online] 383, p.p2752. </w:t>
      </w:r>
      <w:proofErr w:type="spellStart"/>
      <w:r>
        <w:t>doi:https</w:t>
      </w:r>
      <w:proofErr w:type="spellEnd"/>
      <w:r>
        <w:t>://doi.org/10.1136/bmj.p2752.</w:t>
      </w:r>
    </w:p>
    <w:p w14:paraId="06998574" w14:textId="77777777" w:rsidR="00A43B1E" w:rsidRDefault="00A43B1E" w:rsidP="00A43B1E">
      <w:pPr>
        <w:jc w:val="both"/>
      </w:pPr>
    </w:p>
    <w:p w14:paraId="4AA15648" w14:textId="77777777" w:rsidR="00A43B1E" w:rsidRDefault="00A43B1E" w:rsidP="00A43B1E">
      <w:pPr>
        <w:jc w:val="both"/>
      </w:pPr>
      <w:proofErr w:type="spellStart"/>
      <w:r>
        <w:t>Azzahro</w:t>
      </w:r>
      <w:proofErr w:type="spellEnd"/>
      <w:r>
        <w:t xml:space="preserve">, F., </w:t>
      </w:r>
      <w:proofErr w:type="spellStart"/>
      <w:r>
        <w:t>Hidayanto</w:t>
      </w:r>
      <w:proofErr w:type="spellEnd"/>
      <w:r>
        <w:t xml:space="preserve">, A.N. and Shihab, M.R. (2025). Examining Factors Shaping Citizens’ Perception of Artificial Intelligence in government: a Systematic Literature Review. Social Sciences &amp; Humanities Open, [online] 11, p.101518. </w:t>
      </w:r>
      <w:proofErr w:type="spellStart"/>
      <w:r>
        <w:t>doi:https</w:t>
      </w:r>
      <w:proofErr w:type="spellEnd"/>
      <w:r>
        <w:t>://doi.org/10.1016/j.ssaho.2025.101518.</w:t>
      </w:r>
    </w:p>
    <w:p w14:paraId="2A77E944" w14:textId="77777777" w:rsidR="00A43B1E" w:rsidRDefault="00A43B1E" w:rsidP="00A43B1E">
      <w:pPr>
        <w:jc w:val="both"/>
      </w:pPr>
    </w:p>
    <w:p w14:paraId="553C98C3" w14:textId="77777777" w:rsidR="00A43B1E" w:rsidRDefault="00A43B1E" w:rsidP="00A43B1E">
      <w:pPr>
        <w:jc w:val="both"/>
      </w:pPr>
      <w:r>
        <w:lastRenderedPageBreak/>
        <w:t xml:space="preserve">Batool, A., </w:t>
      </w:r>
      <w:proofErr w:type="spellStart"/>
      <w:r>
        <w:t>Zowghi</w:t>
      </w:r>
      <w:proofErr w:type="spellEnd"/>
      <w:r>
        <w:t xml:space="preserve">, D. and Bano, M. (2025). AI governance: a Systematic Literature Review. AI and Ethics, [online] 5. </w:t>
      </w:r>
      <w:proofErr w:type="spellStart"/>
      <w:r>
        <w:t>doi:https</w:t>
      </w:r>
      <w:proofErr w:type="spellEnd"/>
      <w:r>
        <w:t>://doi.org/10.1007/s43681-024-00653-w.</w:t>
      </w:r>
    </w:p>
    <w:p w14:paraId="10BD607C" w14:textId="77777777" w:rsidR="00A43B1E" w:rsidRDefault="00A43B1E" w:rsidP="00A43B1E">
      <w:pPr>
        <w:jc w:val="both"/>
      </w:pPr>
    </w:p>
    <w:p w14:paraId="4C2B4140" w14:textId="77777777" w:rsidR="00A43B1E" w:rsidRDefault="00A43B1E" w:rsidP="00A43B1E">
      <w:pPr>
        <w:jc w:val="both"/>
      </w:pPr>
      <w:r>
        <w:t xml:space="preserve">Beckman, L., Hultin Rosenberg, J. and </w:t>
      </w:r>
      <w:proofErr w:type="spellStart"/>
      <w:r>
        <w:t>Jebari</w:t>
      </w:r>
      <w:proofErr w:type="spellEnd"/>
      <w:r>
        <w:t xml:space="preserve">, K. (2022). Artificial Intelligence and Democratic legitimacy. the Problem of Publicity in Public Authority. AI &amp; SOCIETY. </w:t>
      </w:r>
      <w:proofErr w:type="spellStart"/>
      <w:r>
        <w:t>doi:https</w:t>
      </w:r>
      <w:proofErr w:type="spellEnd"/>
      <w:r>
        <w:t>://doi.org/10.1007/s00146-022-01493-0.</w:t>
      </w:r>
    </w:p>
    <w:p w14:paraId="327303AD" w14:textId="77777777" w:rsidR="00A43B1E" w:rsidRDefault="00A43B1E" w:rsidP="00A43B1E">
      <w:pPr>
        <w:jc w:val="both"/>
      </w:pPr>
    </w:p>
    <w:p w14:paraId="0160CC02" w14:textId="77777777" w:rsidR="00A43B1E" w:rsidRDefault="00A43B1E" w:rsidP="00A43B1E">
      <w:pPr>
        <w:jc w:val="both"/>
      </w:pPr>
      <w:r>
        <w:t xml:space="preserve">Berman, A., de Fine Licht, K. and Carlsson, V. (2024). Trustworthy AI in the Public sector: an Empirical Analysis of a Swedish Labor Market decision-support System. Technology in Society, [online] 76, p.102471. </w:t>
      </w:r>
      <w:proofErr w:type="spellStart"/>
      <w:r>
        <w:t>doi:https</w:t>
      </w:r>
      <w:proofErr w:type="spellEnd"/>
      <w:r>
        <w:t>://doi.org/10.1016/j.techsoc.2024.102471.</w:t>
      </w:r>
    </w:p>
    <w:p w14:paraId="797F1921" w14:textId="77777777" w:rsidR="00A43B1E" w:rsidRDefault="00A43B1E" w:rsidP="00A43B1E">
      <w:pPr>
        <w:jc w:val="both"/>
      </w:pPr>
    </w:p>
    <w:p w14:paraId="1BF3EDDE" w14:textId="77777777" w:rsidR="00A43B1E" w:rsidRDefault="00A43B1E" w:rsidP="00A43B1E">
      <w:pPr>
        <w:jc w:val="both"/>
      </w:pPr>
      <w:r>
        <w:t xml:space="preserve">Blanchard, A., Thomas, C. and Taddeo, M. (2024). Ethical governance of artificial intelligence for defence: normative </w:t>
      </w:r>
      <w:proofErr w:type="spellStart"/>
      <w:r>
        <w:t>tradeoffs</w:t>
      </w:r>
      <w:proofErr w:type="spellEnd"/>
      <w:r>
        <w:t xml:space="preserve"> for principle to practice guidance. AI &amp; SOCIETY. </w:t>
      </w:r>
      <w:proofErr w:type="spellStart"/>
      <w:r>
        <w:t>doi:https</w:t>
      </w:r>
      <w:proofErr w:type="spellEnd"/>
      <w:r>
        <w:t>://doi.org/10.1007/s00146-024-01866-7.</w:t>
      </w:r>
    </w:p>
    <w:p w14:paraId="77F92BCC" w14:textId="77777777" w:rsidR="00A43B1E" w:rsidRDefault="00A43B1E" w:rsidP="00A43B1E">
      <w:pPr>
        <w:jc w:val="both"/>
      </w:pPr>
    </w:p>
    <w:p w14:paraId="2D121C42" w14:textId="77777777" w:rsidR="00A43B1E" w:rsidRDefault="00A43B1E" w:rsidP="00A43B1E">
      <w:pPr>
        <w:jc w:val="both"/>
      </w:pPr>
      <w:r>
        <w:t xml:space="preserve">Bode, I., </w:t>
      </w:r>
      <w:proofErr w:type="spellStart"/>
      <w:r>
        <w:t>Nadibaidze</w:t>
      </w:r>
      <w:proofErr w:type="spellEnd"/>
      <w:r>
        <w:t xml:space="preserve">, A., Watts, T. and Zhang, Q. (2025). Ensuring the Exercise of Human Agency in AI-based Military systems: Concerns across the Lifecycle. Ethics and Information Technology, 27(4). </w:t>
      </w:r>
      <w:proofErr w:type="spellStart"/>
      <w:r>
        <w:t>doi:https</w:t>
      </w:r>
      <w:proofErr w:type="spellEnd"/>
      <w:r>
        <w:t>://doi.org/10.1007/s10676-025-09861-2.</w:t>
      </w:r>
    </w:p>
    <w:p w14:paraId="2AD2E03A" w14:textId="77777777" w:rsidR="00A43B1E" w:rsidRDefault="00A43B1E" w:rsidP="00A43B1E">
      <w:pPr>
        <w:jc w:val="both"/>
      </w:pPr>
    </w:p>
    <w:p w14:paraId="76F0D926" w14:textId="77777777" w:rsidR="00A43B1E" w:rsidRDefault="00A43B1E" w:rsidP="00A43B1E">
      <w:pPr>
        <w:jc w:val="both"/>
      </w:pPr>
      <w:proofErr w:type="spellStart"/>
      <w:r>
        <w:t>Buijsman</w:t>
      </w:r>
      <w:proofErr w:type="spellEnd"/>
      <w:r>
        <w:t xml:space="preserve">, S. (2024). Transparency for AI systems: a value-based Approach. Ethics and Information Technology, 26(2). </w:t>
      </w:r>
      <w:proofErr w:type="spellStart"/>
      <w:r>
        <w:t>doi:https</w:t>
      </w:r>
      <w:proofErr w:type="spellEnd"/>
      <w:r>
        <w:t>://doi.org/10.1007/s10676-024-09770-w.</w:t>
      </w:r>
    </w:p>
    <w:p w14:paraId="10C77CF8" w14:textId="77777777" w:rsidR="00A43B1E" w:rsidRDefault="00A43B1E" w:rsidP="00A43B1E">
      <w:pPr>
        <w:jc w:val="both"/>
      </w:pPr>
    </w:p>
    <w:p w14:paraId="5011FACD" w14:textId="77777777" w:rsidR="00A43B1E" w:rsidRDefault="00A43B1E" w:rsidP="00A43B1E">
      <w:pPr>
        <w:jc w:val="both"/>
      </w:pPr>
      <w:r>
        <w:t xml:space="preserve">Conn, A. and Bode, I. (2025). Establishing Human Responsibility and Accountability at Early Stages of the Lifecycle for AI-based Defence Systems. Ethics and Information Technology, 27(4). </w:t>
      </w:r>
      <w:proofErr w:type="spellStart"/>
      <w:r>
        <w:t>doi:https</w:t>
      </w:r>
      <w:proofErr w:type="spellEnd"/>
      <w:r>
        <w:t>://doi.org/10.1007/s10676-025-09862-1.</w:t>
      </w:r>
    </w:p>
    <w:p w14:paraId="5CCF79F7" w14:textId="77777777" w:rsidR="00A43B1E" w:rsidRDefault="00A43B1E" w:rsidP="00A43B1E">
      <w:pPr>
        <w:jc w:val="both"/>
      </w:pPr>
    </w:p>
    <w:p w14:paraId="1E86DD5D" w14:textId="77777777" w:rsidR="00A43B1E" w:rsidRDefault="00A43B1E" w:rsidP="00A43B1E">
      <w:pPr>
        <w:jc w:val="both"/>
      </w:pPr>
      <w:r>
        <w:t xml:space="preserve">de Fine Licht, K. and de Fine Licht, J. (2020). Artificial intelligence, transparency, and Public decision-making. AI &amp; SOCIETY, 35(4). </w:t>
      </w:r>
      <w:proofErr w:type="spellStart"/>
      <w:r>
        <w:t>doi:https</w:t>
      </w:r>
      <w:proofErr w:type="spellEnd"/>
      <w:r>
        <w:t>://doi.org/10.1007/s00146-020-00960-w.</w:t>
      </w:r>
    </w:p>
    <w:p w14:paraId="36E6EA17" w14:textId="77777777" w:rsidR="00A43B1E" w:rsidRDefault="00A43B1E" w:rsidP="00A43B1E">
      <w:pPr>
        <w:jc w:val="both"/>
      </w:pPr>
    </w:p>
    <w:p w14:paraId="53AF3BC3" w14:textId="77777777" w:rsidR="00A43B1E" w:rsidRDefault="00A43B1E" w:rsidP="00A43B1E">
      <w:pPr>
        <w:jc w:val="both"/>
      </w:pPr>
      <w:r>
        <w:t xml:space="preserve">Decker, M.C., Wegner, L. and Leicht-Scholten, C. (2024). Procedural Fairness in Algorithmic decision-making: the Role of Public Engagement. Ethics and Information Technology, 27(1). </w:t>
      </w:r>
      <w:proofErr w:type="spellStart"/>
      <w:r>
        <w:t>doi:https</w:t>
      </w:r>
      <w:proofErr w:type="spellEnd"/>
      <w:r>
        <w:t>://doi.org/10.1007/s10676-024-09811-4.</w:t>
      </w:r>
    </w:p>
    <w:p w14:paraId="049485A7" w14:textId="77777777" w:rsidR="00A43B1E" w:rsidRDefault="00A43B1E" w:rsidP="00A43B1E">
      <w:pPr>
        <w:jc w:val="both"/>
      </w:pPr>
    </w:p>
    <w:p w14:paraId="50D81B07" w14:textId="77777777" w:rsidR="00A43B1E" w:rsidRDefault="00A43B1E" w:rsidP="00A43B1E">
      <w:pPr>
        <w:jc w:val="both"/>
      </w:pPr>
      <w:r>
        <w:lastRenderedPageBreak/>
        <w:t xml:space="preserve">Dua, M., Singh, J.P. and Shehu, A. (2025). The Ethics of National Artificial Intelligence plans: an Empirical Lens. AI and Ethics. </w:t>
      </w:r>
      <w:proofErr w:type="spellStart"/>
      <w:r>
        <w:t>doi:https</w:t>
      </w:r>
      <w:proofErr w:type="spellEnd"/>
      <w:r>
        <w:t>://doi.org/10.1007/s43681-025-00663-2.</w:t>
      </w:r>
    </w:p>
    <w:p w14:paraId="0D91C0B3" w14:textId="77777777" w:rsidR="00A43B1E" w:rsidRDefault="00A43B1E" w:rsidP="00A43B1E">
      <w:pPr>
        <w:jc w:val="both"/>
      </w:pPr>
    </w:p>
    <w:p w14:paraId="2B9A4EBF" w14:textId="77777777" w:rsidR="00A43B1E" w:rsidRDefault="00A43B1E" w:rsidP="00A43B1E">
      <w:pPr>
        <w:jc w:val="both"/>
      </w:pPr>
      <w:r>
        <w:t xml:space="preserve">Emery-Xu, N., Jordan, R. and Trager, R. (2024). International Governance of Advancing Artificial Intelligence. AI &amp; Society. </w:t>
      </w:r>
      <w:proofErr w:type="spellStart"/>
      <w:r>
        <w:t>doi:https</w:t>
      </w:r>
      <w:proofErr w:type="spellEnd"/>
      <w:r>
        <w:t>://doi.org/10.1007/s00146-024-02050-7.</w:t>
      </w:r>
    </w:p>
    <w:p w14:paraId="59CBC64F" w14:textId="77777777" w:rsidR="00A43B1E" w:rsidRDefault="00A43B1E" w:rsidP="00A43B1E">
      <w:pPr>
        <w:jc w:val="both"/>
      </w:pPr>
    </w:p>
    <w:p w14:paraId="7983A521" w14:textId="77777777" w:rsidR="00A43B1E" w:rsidRDefault="00A43B1E" w:rsidP="00A43B1E">
      <w:pPr>
        <w:jc w:val="both"/>
      </w:pPr>
      <w:r>
        <w:t xml:space="preserve">Fung, Y., Bradford, B. and Stott, C. (2023). A systematic review and meta-analysis of procedural justice and legitimacy in policing: the effect of social identity and social contexts. Journal of Experimental Criminology. </w:t>
      </w:r>
      <w:proofErr w:type="spellStart"/>
      <w:r>
        <w:t>doi:https</w:t>
      </w:r>
      <w:proofErr w:type="spellEnd"/>
      <w:r>
        <w:t>://doi.org/10.1007/s11292-023-09595-5.</w:t>
      </w:r>
    </w:p>
    <w:p w14:paraId="4A62DA6C" w14:textId="77777777" w:rsidR="00A43B1E" w:rsidRDefault="00A43B1E" w:rsidP="00A43B1E">
      <w:pPr>
        <w:jc w:val="both"/>
      </w:pPr>
    </w:p>
    <w:p w14:paraId="4D624FC1" w14:textId="77777777" w:rsidR="00A43B1E" w:rsidRDefault="00A43B1E" w:rsidP="00A43B1E">
      <w:pPr>
        <w:jc w:val="both"/>
      </w:pPr>
      <w:r>
        <w:t xml:space="preserve">Garcia, D. (2025). The Global Diplomacy of Governing Military Artificial Intelligence. Ethics and Information Technology, 27(4). </w:t>
      </w:r>
      <w:proofErr w:type="spellStart"/>
      <w:r>
        <w:t>doi:https</w:t>
      </w:r>
      <w:proofErr w:type="spellEnd"/>
      <w:r>
        <w:t>://doi.org/10.1007/s10676-025-09863-0.</w:t>
      </w:r>
    </w:p>
    <w:p w14:paraId="4F9A75E1" w14:textId="77777777" w:rsidR="00A43B1E" w:rsidRDefault="00A43B1E" w:rsidP="00A43B1E">
      <w:pPr>
        <w:jc w:val="both"/>
      </w:pPr>
    </w:p>
    <w:p w14:paraId="73A91F9D" w14:textId="77777777" w:rsidR="00A43B1E" w:rsidRDefault="00A43B1E" w:rsidP="00A43B1E">
      <w:pPr>
        <w:jc w:val="both"/>
      </w:pPr>
      <w:proofErr w:type="spellStart"/>
      <w:r>
        <w:t>Hadlington</w:t>
      </w:r>
      <w:proofErr w:type="spellEnd"/>
      <w:r>
        <w:t xml:space="preserve">, L., </w:t>
      </w:r>
      <w:proofErr w:type="spellStart"/>
      <w:r>
        <w:t>Karanika</w:t>
      </w:r>
      <w:proofErr w:type="spellEnd"/>
      <w:r>
        <w:t xml:space="preserve">-Murray, M., Slater, J., Binder, J., Gardner, S. and Knight, S. (2024). Public perceptions of the use of artificial intelligence in Defence: a qualitative exploration. AI &amp; SOCIETY. </w:t>
      </w:r>
      <w:proofErr w:type="spellStart"/>
      <w:r>
        <w:t>doi:https</w:t>
      </w:r>
      <w:proofErr w:type="spellEnd"/>
      <w:r>
        <w:t>://doi.org/10.1007/s00146-024-01871-w.</w:t>
      </w:r>
    </w:p>
    <w:p w14:paraId="3A2EB2EF" w14:textId="77777777" w:rsidR="00A43B1E" w:rsidRDefault="00A43B1E" w:rsidP="00A43B1E">
      <w:pPr>
        <w:jc w:val="both"/>
      </w:pPr>
    </w:p>
    <w:p w14:paraId="2C93600E" w14:textId="77777777" w:rsidR="00A43B1E" w:rsidRDefault="00A43B1E" w:rsidP="00A43B1E">
      <w:pPr>
        <w:jc w:val="both"/>
      </w:pPr>
      <w:r>
        <w:t xml:space="preserve">Horvath, L., James, O., Banducci, S. and </w:t>
      </w:r>
      <w:proofErr w:type="spellStart"/>
      <w:r>
        <w:t>Beduschi</w:t>
      </w:r>
      <w:proofErr w:type="spellEnd"/>
      <w:r>
        <w:t xml:space="preserve">, A. (2023). Citizens’ Acceptance of Artificial Intelligence in Public services: Evidence from a Conjoint Experiment about Processing Permit Applications. Government Information Quarterly, 40(4), pp.101876–101876. </w:t>
      </w:r>
      <w:proofErr w:type="spellStart"/>
      <w:r>
        <w:t>doi:https</w:t>
      </w:r>
      <w:proofErr w:type="spellEnd"/>
      <w:r>
        <w:t>://doi.org/10.1016/j.giq.2023.101876.</w:t>
      </w:r>
    </w:p>
    <w:p w14:paraId="2CD8BBC6" w14:textId="77777777" w:rsidR="00A43B1E" w:rsidRDefault="00A43B1E" w:rsidP="00A43B1E">
      <w:pPr>
        <w:jc w:val="both"/>
      </w:pPr>
    </w:p>
    <w:p w14:paraId="11A867BC" w14:textId="77777777" w:rsidR="00A43B1E" w:rsidRDefault="00A43B1E" w:rsidP="00A43B1E">
      <w:pPr>
        <w:jc w:val="both"/>
      </w:pPr>
      <w:r>
        <w:t xml:space="preserve">Hung, T.-W. and Yen, C.-P. (2023). Predictive Policing and Algorithmic Fairness. </w:t>
      </w:r>
      <w:proofErr w:type="spellStart"/>
      <w:r>
        <w:t>Synthese</w:t>
      </w:r>
      <w:proofErr w:type="spellEnd"/>
      <w:r>
        <w:t xml:space="preserve">, [online] 201(206). </w:t>
      </w:r>
      <w:proofErr w:type="spellStart"/>
      <w:r>
        <w:t>doi:https</w:t>
      </w:r>
      <w:proofErr w:type="spellEnd"/>
      <w:r>
        <w:t>://doi.org/10.1007/s11229-023-04189-0.</w:t>
      </w:r>
    </w:p>
    <w:p w14:paraId="04A051BF" w14:textId="77777777" w:rsidR="00A43B1E" w:rsidRDefault="00A43B1E" w:rsidP="00A43B1E">
      <w:pPr>
        <w:jc w:val="both"/>
      </w:pPr>
    </w:p>
    <w:p w14:paraId="156CB394" w14:textId="77777777" w:rsidR="00A43B1E" w:rsidRDefault="00A43B1E" w:rsidP="00A43B1E">
      <w:pPr>
        <w:jc w:val="both"/>
      </w:pPr>
      <w:proofErr w:type="spellStart"/>
      <w:r>
        <w:t>Kempeneer</w:t>
      </w:r>
      <w:proofErr w:type="spellEnd"/>
      <w:r>
        <w:t xml:space="preserve">, S., </w:t>
      </w:r>
      <w:proofErr w:type="spellStart"/>
      <w:r>
        <w:t>Pirannejad</w:t>
      </w:r>
      <w:proofErr w:type="spellEnd"/>
      <w:r>
        <w:t xml:space="preserve">, A. and </w:t>
      </w:r>
      <w:proofErr w:type="spellStart"/>
      <w:r>
        <w:t>Wolswinkel</w:t>
      </w:r>
      <w:proofErr w:type="spellEnd"/>
      <w:r>
        <w:t xml:space="preserve">, J. (2023). Open Government Data from a Legal perspective: an AI-driven Systematic Literature Review. Government Information Quarterly, p.101823. </w:t>
      </w:r>
      <w:proofErr w:type="spellStart"/>
      <w:r>
        <w:t>doi:https</w:t>
      </w:r>
      <w:proofErr w:type="spellEnd"/>
      <w:r>
        <w:t>://doi.org/10.1016/j.giq.2023.101823.</w:t>
      </w:r>
    </w:p>
    <w:p w14:paraId="0631E82C" w14:textId="77777777" w:rsidR="00A43B1E" w:rsidRDefault="00A43B1E" w:rsidP="00A43B1E">
      <w:pPr>
        <w:jc w:val="both"/>
      </w:pPr>
    </w:p>
    <w:p w14:paraId="43A48453" w14:textId="77777777" w:rsidR="00A43B1E" w:rsidRDefault="00A43B1E" w:rsidP="00A43B1E">
      <w:pPr>
        <w:jc w:val="both"/>
      </w:pPr>
      <w:r>
        <w:t xml:space="preserve">Kingsman, N., Kazim, E., Chaudhry, A., Hilliard, A., </w:t>
      </w:r>
      <w:proofErr w:type="spellStart"/>
      <w:r>
        <w:t>Koshiyama</w:t>
      </w:r>
      <w:proofErr w:type="spellEnd"/>
      <w:r>
        <w:t xml:space="preserve">, A., Polle, R., Pavey, G. and Mohammed, U. (2022). Public Sector AI Transparency standard: UK Government Seeks to Lead by Example. Discover Artificial Intelligence, 2(1). </w:t>
      </w:r>
      <w:proofErr w:type="spellStart"/>
      <w:r>
        <w:t>doi:https</w:t>
      </w:r>
      <w:proofErr w:type="spellEnd"/>
      <w:r>
        <w:t>://doi.org/10.1007/s44163-022-00018-4.</w:t>
      </w:r>
    </w:p>
    <w:p w14:paraId="197541AA" w14:textId="77777777" w:rsidR="00A43B1E" w:rsidRDefault="00A43B1E" w:rsidP="00A43B1E">
      <w:pPr>
        <w:jc w:val="both"/>
      </w:pPr>
    </w:p>
    <w:p w14:paraId="4264E49C" w14:textId="77777777" w:rsidR="00A43B1E" w:rsidRDefault="00A43B1E" w:rsidP="00A43B1E">
      <w:pPr>
        <w:jc w:val="both"/>
      </w:pPr>
      <w:r>
        <w:lastRenderedPageBreak/>
        <w:t xml:space="preserve">Licht, K. de F. (2025). Resolving Value Conflicts in Public AI governance: a Procedural Justice Framework. Government Information Quarterly, [online] 42(2), p.102033. </w:t>
      </w:r>
      <w:proofErr w:type="spellStart"/>
      <w:r>
        <w:t>doi:https</w:t>
      </w:r>
      <w:proofErr w:type="spellEnd"/>
      <w:r>
        <w:t>://doi.org/10.1016/j.giq.2025.102033.</w:t>
      </w:r>
    </w:p>
    <w:p w14:paraId="33A303F2" w14:textId="77777777" w:rsidR="00A43B1E" w:rsidRDefault="00A43B1E" w:rsidP="00A43B1E">
      <w:pPr>
        <w:jc w:val="both"/>
      </w:pPr>
    </w:p>
    <w:p w14:paraId="0FDB3B80" w14:textId="77777777" w:rsidR="00A43B1E" w:rsidRDefault="00A43B1E" w:rsidP="00A43B1E">
      <w:pPr>
        <w:jc w:val="both"/>
      </w:pPr>
      <w:r>
        <w:t xml:space="preserve">Liu, H.K., Tang, M. and Collard, A.S.J. (2025). Hybrid Intelligence for the Public sector: a Bibliometric Analysis of Artificial Intelligence and Crowd Intelligence. Government Information Quarterly, [online] 42(1), p.102006. </w:t>
      </w:r>
      <w:proofErr w:type="spellStart"/>
      <w:r>
        <w:t>doi:https</w:t>
      </w:r>
      <w:proofErr w:type="spellEnd"/>
      <w:r>
        <w:t>://doi.org/10.1016/j.giq.2024.102006.</w:t>
      </w:r>
    </w:p>
    <w:p w14:paraId="68865625" w14:textId="77777777" w:rsidR="00A43B1E" w:rsidRDefault="00A43B1E" w:rsidP="00A43B1E">
      <w:pPr>
        <w:jc w:val="both"/>
      </w:pPr>
    </w:p>
    <w:p w14:paraId="04A3AF93" w14:textId="77777777" w:rsidR="00A43B1E" w:rsidRDefault="00A43B1E" w:rsidP="00A43B1E">
      <w:pPr>
        <w:jc w:val="both"/>
      </w:pPr>
      <w:r>
        <w:t xml:space="preserve">Machado, H., Silva, S. and Neiva, L. (2023). Publics’ Views on Ethical Challenges of Artificial intelligence: a Scoping Review. AI and Ethics. </w:t>
      </w:r>
      <w:proofErr w:type="spellStart"/>
      <w:r>
        <w:t>doi:https</w:t>
      </w:r>
      <w:proofErr w:type="spellEnd"/>
      <w:r>
        <w:t>://doi.org/10.1007/s43681-023-00387-1.</w:t>
      </w:r>
    </w:p>
    <w:p w14:paraId="16933D9F" w14:textId="77777777" w:rsidR="00A43B1E" w:rsidRDefault="00A43B1E" w:rsidP="00A43B1E">
      <w:pPr>
        <w:jc w:val="both"/>
      </w:pPr>
    </w:p>
    <w:p w14:paraId="29AFBE7A" w14:textId="77777777" w:rsidR="00A43B1E" w:rsidRDefault="00A43B1E" w:rsidP="00A43B1E">
      <w:pPr>
        <w:jc w:val="both"/>
      </w:pPr>
      <w:r>
        <w:t xml:space="preserve">Madan, R. and Ashok, M. (2022). AI Adoption and Diffusion in Public administration: a Systematic Literature Review and Future Research Agenda. Government Information Quarterly, 40(1), p.101774. </w:t>
      </w:r>
      <w:proofErr w:type="spellStart"/>
      <w:r>
        <w:t>doi:https</w:t>
      </w:r>
      <w:proofErr w:type="spellEnd"/>
      <w:r>
        <w:t>://doi.org/10.1016/j.giq.2022.101774.</w:t>
      </w:r>
    </w:p>
    <w:p w14:paraId="562B0D42" w14:textId="77777777" w:rsidR="00A43B1E" w:rsidRDefault="00A43B1E" w:rsidP="00A43B1E">
      <w:pPr>
        <w:jc w:val="both"/>
      </w:pPr>
    </w:p>
    <w:p w14:paraId="4CA88CFE" w14:textId="77777777" w:rsidR="00A43B1E" w:rsidRDefault="00A43B1E" w:rsidP="00A43B1E">
      <w:pPr>
        <w:jc w:val="both"/>
      </w:pPr>
      <w:proofErr w:type="spellStart"/>
      <w:r>
        <w:t>Mahroof</w:t>
      </w:r>
      <w:proofErr w:type="spellEnd"/>
      <w:r>
        <w:t xml:space="preserve">, K., Weerakkody, V., Hussain, Z. and Sivarajah, U. (2025). Navigating Power Dynamics in the Public Sector through AI-driven Algorithmic decision-making. Government Information Quarterly, [online] 42(3), p.102053. </w:t>
      </w:r>
      <w:proofErr w:type="spellStart"/>
      <w:r>
        <w:t>doi:https</w:t>
      </w:r>
      <w:proofErr w:type="spellEnd"/>
      <w:r>
        <w:t>://doi.org/10.1016/j.giq.2025.102053.</w:t>
      </w:r>
    </w:p>
    <w:p w14:paraId="7935DB50" w14:textId="77777777" w:rsidR="00A43B1E" w:rsidRDefault="00A43B1E" w:rsidP="00A43B1E">
      <w:pPr>
        <w:jc w:val="both"/>
      </w:pPr>
    </w:p>
    <w:p w14:paraId="222B939C" w14:textId="77777777" w:rsidR="00A43B1E" w:rsidRDefault="00A43B1E" w:rsidP="00A43B1E">
      <w:pPr>
        <w:jc w:val="both"/>
      </w:pPr>
      <w:proofErr w:type="spellStart"/>
      <w:r>
        <w:t>Meerveld</w:t>
      </w:r>
      <w:proofErr w:type="spellEnd"/>
      <w:r>
        <w:t xml:space="preserve">, H., </w:t>
      </w:r>
      <w:proofErr w:type="spellStart"/>
      <w:r>
        <w:t>Peperkamp</w:t>
      </w:r>
      <w:proofErr w:type="spellEnd"/>
      <w:r>
        <w:t xml:space="preserve">, L., </w:t>
      </w:r>
      <w:proofErr w:type="spellStart"/>
      <w:r>
        <w:t>Šafář</w:t>
      </w:r>
      <w:proofErr w:type="spellEnd"/>
      <w:r>
        <w:t xml:space="preserve"> Postma, M. and Lindelauf, R. (2025). Operationalising responsible AI in the military domain: a context-specific assessment. Ethics and Information Technology, 27(4). </w:t>
      </w:r>
      <w:proofErr w:type="spellStart"/>
      <w:r>
        <w:t>doi:https</w:t>
      </w:r>
      <w:proofErr w:type="spellEnd"/>
      <w:r>
        <w:t>://doi.org/10.1007/s10676-025-09865-y.</w:t>
      </w:r>
    </w:p>
    <w:p w14:paraId="7CCA91C6" w14:textId="77777777" w:rsidR="00A43B1E" w:rsidRDefault="00A43B1E" w:rsidP="00A43B1E">
      <w:pPr>
        <w:jc w:val="both"/>
      </w:pPr>
    </w:p>
    <w:p w14:paraId="02474B6D" w14:textId="77777777" w:rsidR="00A43B1E" w:rsidRDefault="00A43B1E" w:rsidP="00A43B1E">
      <w:pPr>
        <w:jc w:val="both"/>
      </w:pPr>
      <w:proofErr w:type="spellStart"/>
      <w:r>
        <w:t>Meerveld</w:t>
      </w:r>
      <w:proofErr w:type="spellEnd"/>
      <w:r>
        <w:t xml:space="preserve">, H.W., </w:t>
      </w:r>
      <w:proofErr w:type="spellStart"/>
      <w:r>
        <w:t>Lindelauf</w:t>
      </w:r>
      <w:proofErr w:type="spellEnd"/>
      <w:r>
        <w:t xml:space="preserve">, R.H.A., Postma, E.O. and Postma, M. (2023). The Irresponsibility of Not Using AI in the Military. Ethics and Information Technology, 25(1). </w:t>
      </w:r>
      <w:proofErr w:type="spellStart"/>
      <w:r>
        <w:t>doi:https</w:t>
      </w:r>
      <w:proofErr w:type="spellEnd"/>
      <w:r>
        <w:t>://doi.org/10.1007/s10676-023-09683-0.</w:t>
      </w:r>
    </w:p>
    <w:p w14:paraId="042536B2" w14:textId="77777777" w:rsidR="00A43B1E" w:rsidRDefault="00A43B1E" w:rsidP="00A43B1E">
      <w:pPr>
        <w:jc w:val="both"/>
      </w:pPr>
    </w:p>
    <w:p w14:paraId="22AFF095" w14:textId="77777777" w:rsidR="00A43B1E" w:rsidRDefault="00A43B1E" w:rsidP="00A43B1E">
      <w:pPr>
        <w:jc w:val="both"/>
      </w:pPr>
      <w:r>
        <w:t xml:space="preserve">Mišić, J., Est, R. van and Kool, L. (2025). Good governance of public sector AI: a combined value framework for good order and a good society. AI and Ethics. </w:t>
      </w:r>
      <w:proofErr w:type="spellStart"/>
      <w:r>
        <w:t>doi:https</w:t>
      </w:r>
      <w:proofErr w:type="spellEnd"/>
      <w:r>
        <w:t>://doi.org/10.1007/s43681-025-00751-3.</w:t>
      </w:r>
    </w:p>
    <w:p w14:paraId="52AD4B27" w14:textId="77777777" w:rsidR="00A43B1E" w:rsidRDefault="00A43B1E" w:rsidP="00A43B1E">
      <w:pPr>
        <w:jc w:val="both"/>
      </w:pPr>
    </w:p>
    <w:p w14:paraId="5D28E940" w14:textId="77777777" w:rsidR="00A43B1E" w:rsidRDefault="00A43B1E" w:rsidP="00A43B1E">
      <w:pPr>
        <w:jc w:val="both"/>
      </w:pPr>
      <w:r>
        <w:lastRenderedPageBreak/>
        <w:t>NHS England (2023). NHS England- Contract Explainer. [online] England.nhs.uk. Available at: https://www.england.nhs.uk/digitaltechnology/nhs-federated-data-platform/security-privacy/contract-explainer/.</w:t>
      </w:r>
    </w:p>
    <w:p w14:paraId="058928C0" w14:textId="77777777" w:rsidR="00A43B1E" w:rsidRDefault="00A43B1E" w:rsidP="00A43B1E">
      <w:pPr>
        <w:jc w:val="both"/>
      </w:pPr>
    </w:p>
    <w:p w14:paraId="79ED01D2" w14:textId="77777777" w:rsidR="00A43B1E" w:rsidRDefault="00A43B1E" w:rsidP="00A43B1E">
      <w:pPr>
        <w:jc w:val="both"/>
      </w:pPr>
      <w:proofErr w:type="spellStart"/>
      <w:r>
        <w:t>Nnawuchi</w:t>
      </w:r>
      <w:proofErr w:type="spellEnd"/>
      <w:r>
        <w:t xml:space="preserve">, U. and George, C. (2025). Decoding accountability: the Importance of Explainability in Liability Frameworks for Smart Border Systems. Discover Computing, 28(1). </w:t>
      </w:r>
      <w:proofErr w:type="spellStart"/>
      <w:r>
        <w:t>doi:https</w:t>
      </w:r>
      <w:proofErr w:type="spellEnd"/>
      <w:r>
        <w:t>://doi.org/10.1007/s10791-025-09559-5.</w:t>
      </w:r>
    </w:p>
    <w:p w14:paraId="146BDEB6" w14:textId="77777777" w:rsidR="00A43B1E" w:rsidRDefault="00A43B1E" w:rsidP="00A43B1E">
      <w:pPr>
        <w:jc w:val="both"/>
      </w:pPr>
    </w:p>
    <w:p w14:paraId="094BA4B1" w14:textId="77777777" w:rsidR="00A43B1E" w:rsidRDefault="00A43B1E" w:rsidP="00A43B1E">
      <w:pPr>
        <w:jc w:val="both"/>
      </w:pPr>
      <w:r>
        <w:t>Office of Management &amp; Budget (2024). Advancing Governance, Innovation, and Risk Management for Agency Use of Artificial Intelligence. [online] Available at: https://www.whitehouse.gov/wp-content/uploads/2024/03/M-24-10-Advancing-Governance-Innovation-and-Risk-Management-for-Agency-Use-of-Artificial-Intelligence.pdf.</w:t>
      </w:r>
    </w:p>
    <w:p w14:paraId="35F9D319" w14:textId="77777777" w:rsidR="00A43B1E" w:rsidRDefault="00A43B1E" w:rsidP="00A43B1E">
      <w:pPr>
        <w:jc w:val="both"/>
      </w:pPr>
    </w:p>
    <w:p w14:paraId="4C2433C8" w14:textId="77777777" w:rsidR="00A43B1E" w:rsidRDefault="00A43B1E" w:rsidP="00A43B1E">
      <w:pPr>
        <w:jc w:val="both"/>
      </w:pPr>
      <w:r>
        <w:t>Palantir (2025). AIP Overview. [online] Palantir. Available at: https://www.palantir.com/docs/foundry/aip/overview.</w:t>
      </w:r>
    </w:p>
    <w:p w14:paraId="23E3675C" w14:textId="77777777" w:rsidR="00A43B1E" w:rsidRDefault="00A43B1E" w:rsidP="00A43B1E">
      <w:pPr>
        <w:jc w:val="both"/>
      </w:pPr>
    </w:p>
    <w:p w14:paraId="6600F6E2" w14:textId="77777777" w:rsidR="00A43B1E" w:rsidRDefault="00A43B1E" w:rsidP="00A43B1E">
      <w:pPr>
        <w:jc w:val="both"/>
      </w:pPr>
      <w:r>
        <w:t xml:space="preserve">Pratyusha Ria Kalluri, Agnew, W., Cheng, M., Owens, K., Luca Soldaini and Abeba Birhane (2025). Computer-vision research powers surveillance technology. Nature. [online] </w:t>
      </w:r>
      <w:proofErr w:type="spellStart"/>
      <w:r>
        <w:t>doi:https</w:t>
      </w:r>
      <w:proofErr w:type="spellEnd"/>
      <w:r>
        <w:t>://doi.org/10.1038/s41586-025-08972-6.</w:t>
      </w:r>
    </w:p>
    <w:p w14:paraId="4E0C1A5C" w14:textId="77777777" w:rsidR="00A43B1E" w:rsidRDefault="00A43B1E" w:rsidP="00A43B1E">
      <w:pPr>
        <w:jc w:val="both"/>
      </w:pPr>
    </w:p>
    <w:p w14:paraId="415C2898" w14:textId="77777777" w:rsidR="00A43B1E" w:rsidRDefault="00A43B1E" w:rsidP="00A43B1E">
      <w:pPr>
        <w:jc w:val="both"/>
      </w:pPr>
      <w:r>
        <w:t xml:space="preserve">Sagana, A., Zhang, M. and Sauerland, M. (2025). Public Attitudes Towards Police Use of AI-driven Face Recognition Technology. Computers in Human </w:t>
      </w:r>
      <w:proofErr w:type="spellStart"/>
      <w:r>
        <w:t>Behavior</w:t>
      </w:r>
      <w:proofErr w:type="spellEnd"/>
      <w:r>
        <w:t xml:space="preserve">, pp.108821–108821. </w:t>
      </w:r>
      <w:proofErr w:type="spellStart"/>
      <w:r>
        <w:t>doi:https</w:t>
      </w:r>
      <w:proofErr w:type="spellEnd"/>
      <w:r>
        <w:t>://doi.org/10.1016/j.chb.2025.108821.</w:t>
      </w:r>
    </w:p>
    <w:p w14:paraId="078E1BA6" w14:textId="77777777" w:rsidR="00A43B1E" w:rsidRDefault="00A43B1E" w:rsidP="00A43B1E">
      <w:pPr>
        <w:jc w:val="both"/>
      </w:pPr>
    </w:p>
    <w:p w14:paraId="71C76D45" w14:textId="77777777" w:rsidR="00A43B1E" w:rsidRDefault="00A43B1E" w:rsidP="00A43B1E">
      <w:pPr>
        <w:jc w:val="both"/>
      </w:pPr>
      <w:proofErr w:type="spellStart"/>
      <w:r>
        <w:t>Selten</w:t>
      </w:r>
      <w:proofErr w:type="spellEnd"/>
      <w:r>
        <w:t xml:space="preserve">, F. and </w:t>
      </w:r>
      <w:proofErr w:type="spellStart"/>
      <w:r>
        <w:t>Klievink</w:t>
      </w:r>
      <w:proofErr w:type="spellEnd"/>
      <w:r>
        <w:t xml:space="preserve">, B. (2024). Organizing Public Sector AI adoption: Navigating between Separation and Integration. Government Information Quarterly, [online] 41(1), p.101885. </w:t>
      </w:r>
      <w:proofErr w:type="spellStart"/>
      <w:r>
        <w:t>doi:https</w:t>
      </w:r>
      <w:proofErr w:type="spellEnd"/>
      <w:r>
        <w:t>://doi.org/10.1016/j.giq.2023.101885.</w:t>
      </w:r>
    </w:p>
    <w:p w14:paraId="0AB7D23A" w14:textId="77777777" w:rsidR="00A43B1E" w:rsidRDefault="00A43B1E" w:rsidP="00A43B1E">
      <w:pPr>
        <w:jc w:val="both"/>
      </w:pPr>
    </w:p>
    <w:p w14:paraId="4908ACBF" w14:textId="77777777" w:rsidR="00A43B1E" w:rsidRDefault="00A43B1E" w:rsidP="00A43B1E">
      <w:pPr>
        <w:jc w:val="both"/>
      </w:pPr>
      <w:r>
        <w:t xml:space="preserve">Sharma, G.D., Yadav, A. and Chopra, R. (2020). Artificial Intelligence and Effective Governance: a Review, Critique and Research Agenda. Sustainable Futures, 2, p.100004. </w:t>
      </w:r>
      <w:proofErr w:type="spellStart"/>
      <w:r>
        <w:t>doi:https</w:t>
      </w:r>
      <w:proofErr w:type="spellEnd"/>
      <w:r>
        <w:t>://doi.org/10.1016/j.sftr.2019.100004.</w:t>
      </w:r>
    </w:p>
    <w:p w14:paraId="6CD805A2" w14:textId="77777777" w:rsidR="00A43B1E" w:rsidRDefault="00A43B1E" w:rsidP="00A43B1E">
      <w:pPr>
        <w:jc w:val="both"/>
      </w:pPr>
    </w:p>
    <w:p w14:paraId="365D076C" w14:textId="77777777" w:rsidR="00A43B1E" w:rsidRDefault="00A43B1E" w:rsidP="00A43B1E">
      <w:pPr>
        <w:jc w:val="both"/>
      </w:pPr>
      <w:r>
        <w:lastRenderedPageBreak/>
        <w:t>Tabassi, E. (2023). Artificial Intelligence Risk Management Framework (AI RMF 1.0). NIST. [online] Available at: https://www.nist.gov/publications/artificial-intelligence-risk-management-framework-ai-rmf-10.</w:t>
      </w:r>
    </w:p>
    <w:p w14:paraId="29F27F8B" w14:textId="77777777" w:rsidR="00A43B1E" w:rsidRDefault="00A43B1E" w:rsidP="00A43B1E">
      <w:pPr>
        <w:jc w:val="both"/>
      </w:pPr>
    </w:p>
    <w:p w14:paraId="5713D202" w14:textId="77777777" w:rsidR="00A43B1E" w:rsidRDefault="00A43B1E" w:rsidP="00A43B1E">
      <w:pPr>
        <w:jc w:val="both"/>
      </w:pPr>
      <w:r>
        <w:t xml:space="preserve">U.S. Department of </w:t>
      </w:r>
      <w:proofErr w:type="spellStart"/>
      <w:r>
        <w:t>Defense</w:t>
      </w:r>
      <w:proofErr w:type="spellEnd"/>
      <w:r>
        <w:t xml:space="preserve"> (2025a). Contracts for May. 21, 2025. [online] U.S. Department of War. Available at: https://www.war.gov/News/Contracts/Contract/Article/4194643/contracts-for-may-21-2025/.</w:t>
      </w:r>
    </w:p>
    <w:p w14:paraId="2E6C80C0" w14:textId="77777777" w:rsidR="00A43B1E" w:rsidRDefault="00A43B1E" w:rsidP="00A43B1E">
      <w:pPr>
        <w:jc w:val="both"/>
      </w:pPr>
    </w:p>
    <w:p w14:paraId="1394206B" w14:textId="77777777" w:rsidR="00A43B1E" w:rsidRDefault="00A43B1E" w:rsidP="00A43B1E">
      <w:pPr>
        <w:jc w:val="both"/>
      </w:pPr>
      <w:r>
        <w:t xml:space="preserve">U.S. Department of </w:t>
      </w:r>
      <w:proofErr w:type="spellStart"/>
      <w:r>
        <w:t>Defense</w:t>
      </w:r>
      <w:proofErr w:type="spellEnd"/>
      <w:r>
        <w:t xml:space="preserve"> (2025b). DOD Adopts Ethical Principles for Artificial Intelligence. [online] U.S. Department of War. Available at: https://www.war.gov/News/Releases/release/article/2091996/dod-adopts-ethical-principles-for-artificial-intelligence/.</w:t>
      </w:r>
    </w:p>
    <w:p w14:paraId="34AC541B" w14:textId="77777777" w:rsidR="00A43B1E" w:rsidRDefault="00A43B1E" w:rsidP="00A43B1E">
      <w:pPr>
        <w:jc w:val="both"/>
      </w:pPr>
    </w:p>
    <w:p w14:paraId="5223623B" w14:textId="77777777" w:rsidR="00A43B1E" w:rsidRDefault="00A43B1E" w:rsidP="00A43B1E">
      <w:pPr>
        <w:jc w:val="both"/>
      </w:pPr>
      <w:r>
        <w:t xml:space="preserve">U.S. Department of </w:t>
      </w:r>
      <w:proofErr w:type="spellStart"/>
      <w:r>
        <w:t>Defense</w:t>
      </w:r>
      <w:proofErr w:type="spellEnd"/>
      <w:r>
        <w:t xml:space="preserve"> CDAO (2025). CDAO Releases Responsible AI (RAI) Toolkit for Ensuring Alignment with RAI Best Practices. [online] U.S. Department of War. Available at: https://www.war.gov/News/Releases/Release/Article/3588743/cdao-releases-responsible-ai-rai-toolkit-for-ensuring-alignment-with-rai-best-p/.</w:t>
      </w:r>
    </w:p>
    <w:p w14:paraId="327C43C8" w14:textId="77777777" w:rsidR="00A43B1E" w:rsidRDefault="00A43B1E" w:rsidP="00A43B1E">
      <w:pPr>
        <w:jc w:val="both"/>
      </w:pPr>
    </w:p>
    <w:p w14:paraId="64411B08" w14:textId="77777777" w:rsidR="00A43B1E" w:rsidRDefault="00A43B1E" w:rsidP="00A43B1E">
      <w:pPr>
        <w:jc w:val="both"/>
      </w:pPr>
      <w:r>
        <w:t>UK Government (2025). Algorithmic Transparency Recording Standard - Guidance for Public Sector Bodies. [online] GOV.UK. Available at: https://www.gov.uk/government/publications/guidance-for-organisations-using-the-algorithmic-transparency-recording-standard/algorithmic-transparency-recording-standard-guidance-for-public-sector-bodies.</w:t>
      </w:r>
    </w:p>
    <w:p w14:paraId="30B6F7C5" w14:textId="77777777" w:rsidR="00A43B1E" w:rsidRDefault="00A43B1E" w:rsidP="00A43B1E">
      <w:pPr>
        <w:jc w:val="both"/>
      </w:pPr>
    </w:p>
    <w:p w14:paraId="6BC7E173" w14:textId="764C0FB0" w:rsidR="00A43B1E" w:rsidRPr="00A43B1E" w:rsidRDefault="00A43B1E" w:rsidP="00A43B1E">
      <w:pPr>
        <w:jc w:val="both"/>
      </w:pPr>
      <w:proofErr w:type="spellStart"/>
      <w:r>
        <w:t>Veltmeijer</w:t>
      </w:r>
      <w:proofErr w:type="spellEnd"/>
      <w:r>
        <w:t xml:space="preserve">, E. and Gerritsen, C. (2025). Legal and Ethical Implications of AI-based Crowd analysis: the AI Act and beyond. AI and Ethics. </w:t>
      </w:r>
      <w:proofErr w:type="spellStart"/>
      <w:r>
        <w:t>doi:https</w:t>
      </w:r>
      <w:proofErr w:type="spellEnd"/>
      <w:r>
        <w:t>://doi.org/10.1007/s43681-024-00644-x.</w:t>
      </w:r>
    </w:p>
    <w:p w14:paraId="2394D213" w14:textId="77777777" w:rsidR="002B1E5F" w:rsidRDefault="002B1E5F" w:rsidP="00A43B1E">
      <w:pPr>
        <w:jc w:val="both"/>
      </w:pPr>
    </w:p>
    <w:sectPr w:rsidR="002B1E5F" w:rsidSect="00901127">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663CD" w14:textId="77777777" w:rsidR="00C95709" w:rsidRDefault="00C95709" w:rsidP="0006378C">
      <w:pPr>
        <w:spacing w:line="240" w:lineRule="auto"/>
      </w:pPr>
      <w:r>
        <w:separator/>
      </w:r>
    </w:p>
  </w:endnote>
  <w:endnote w:type="continuationSeparator" w:id="0">
    <w:p w14:paraId="60355FE4" w14:textId="77777777" w:rsidR="00C95709" w:rsidRDefault="00C95709" w:rsidP="000637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82586"/>
      <w:docPartObj>
        <w:docPartGallery w:val="Page Numbers (Bottom of Page)"/>
        <w:docPartUnique/>
      </w:docPartObj>
    </w:sdtPr>
    <w:sdtEndPr>
      <w:rPr>
        <w:noProof/>
      </w:rPr>
    </w:sdtEndPr>
    <w:sdtContent>
      <w:p w14:paraId="17B36EE7" w14:textId="53A799B6" w:rsidR="00901127" w:rsidRDefault="00901127" w:rsidP="009011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F5AE8" w14:textId="77777777" w:rsidR="00C95709" w:rsidRDefault="00C95709" w:rsidP="0006378C">
      <w:pPr>
        <w:spacing w:line="240" w:lineRule="auto"/>
      </w:pPr>
      <w:r>
        <w:separator/>
      </w:r>
    </w:p>
  </w:footnote>
  <w:footnote w:type="continuationSeparator" w:id="0">
    <w:p w14:paraId="640BC731" w14:textId="77777777" w:rsidR="00C95709" w:rsidRDefault="00C95709" w:rsidP="000637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230"/>
    <w:multiLevelType w:val="multilevel"/>
    <w:tmpl w:val="617A23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A1A2E8F"/>
    <w:multiLevelType w:val="multilevel"/>
    <w:tmpl w:val="5A02959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1593C92"/>
    <w:multiLevelType w:val="multilevel"/>
    <w:tmpl w:val="11ECDE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ED74933"/>
    <w:multiLevelType w:val="multilevel"/>
    <w:tmpl w:val="A6EAE9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3"/>
  </w:num>
  <w:num w:numId="3">
    <w:abstractNumId w:val="0"/>
  </w:num>
  <w:num w:numId="4">
    <w:abstractNumId w:val="0"/>
  </w:num>
  <w:num w:numId="5">
    <w:abstractNumId w:val="0"/>
  </w:num>
  <w:num w:numId="6">
    <w:abstractNumId w:val="2"/>
  </w:num>
  <w:num w:numId="7">
    <w:abstractNumId w:val="1"/>
  </w:num>
  <w:num w:numId="8">
    <w:abstractNumId w:val="1"/>
  </w:num>
  <w:num w:numId="9">
    <w:abstractNumId w:val="1"/>
  </w:num>
  <w:num w:numId="10">
    <w:abstractNumId w:val="1"/>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B1E"/>
    <w:rsid w:val="00056F16"/>
    <w:rsid w:val="0006378C"/>
    <w:rsid w:val="000A4653"/>
    <w:rsid w:val="000A6B86"/>
    <w:rsid w:val="000B6439"/>
    <w:rsid w:val="00104D87"/>
    <w:rsid w:val="00136376"/>
    <w:rsid w:val="001E74D0"/>
    <w:rsid w:val="00256623"/>
    <w:rsid w:val="002B05D8"/>
    <w:rsid w:val="002B1E5F"/>
    <w:rsid w:val="002D481C"/>
    <w:rsid w:val="0030269F"/>
    <w:rsid w:val="00303370"/>
    <w:rsid w:val="003222E8"/>
    <w:rsid w:val="003A1AC6"/>
    <w:rsid w:val="003B7ED9"/>
    <w:rsid w:val="003F205C"/>
    <w:rsid w:val="004511C6"/>
    <w:rsid w:val="004D457B"/>
    <w:rsid w:val="00540DD9"/>
    <w:rsid w:val="0057106D"/>
    <w:rsid w:val="0058326D"/>
    <w:rsid w:val="005B272E"/>
    <w:rsid w:val="006016DB"/>
    <w:rsid w:val="006E1541"/>
    <w:rsid w:val="00794B4C"/>
    <w:rsid w:val="007A7B34"/>
    <w:rsid w:val="007B7BB8"/>
    <w:rsid w:val="007D739B"/>
    <w:rsid w:val="00854834"/>
    <w:rsid w:val="00867626"/>
    <w:rsid w:val="00901127"/>
    <w:rsid w:val="009875A6"/>
    <w:rsid w:val="00A20099"/>
    <w:rsid w:val="00A43B1E"/>
    <w:rsid w:val="00A834F1"/>
    <w:rsid w:val="00B13F24"/>
    <w:rsid w:val="00BC3FC7"/>
    <w:rsid w:val="00C115EA"/>
    <w:rsid w:val="00C27946"/>
    <w:rsid w:val="00C74D89"/>
    <w:rsid w:val="00C95709"/>
    <w:rsid w:val="00CA03EC"/>
    <w:rsid w:val="00CC24C7"/>
    <w:rsid w:val="00CD5318"/>
    <w:rsid w:val="00D063BD"/>
    <w:rsid w:val="00D80C81"/>
    <w:rsid w:val="00DD1BEA"/>
    <w:rsid w:val="00DE3B22"/>
    <w:rsid w:val="00E01C6E"/>
    <w:rsid w:val="00FC6207"/>
    <w:rsid w:val="00FD5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B8B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4D0"/>
    <w:rPr>
      <w:rFonts w:ascii="Times New Roman" w:hAnsi="Times New Roman"/>
      <w:lang w:val="en-GB"/>
    </w:rPr>
  </w:style>
  <w:style w:type="paragraph" w:styleId="Heading1">
    <w:name w:val="heading 1"/>
    <w:basedOn w:val="Normal"/>
    <w:next w:val="Normal"/>
    <w:link w:val="Heading1Char"/>
    <w:autoRedefine/>
    <w:uiPriority w:val="9"/>
    <w:qFormat/>
    <w:rsid w:val="00A43B1E"/>
    <w:pPr>
      <w:keepNext/>
      <w:keepLines/>
      <w:numPr>
        <w:numId w:val="11"/>
      </w:numPr>
      <w:pBdr>
        <w:top w:val="dashSmallGap" w:sz="4" w:space="1" w:color="auto"/>
        <w:bottom w:val="dashSmallGap" w:sz="4" w:space="1" w:color="auto"/>
      </w:pBdr>
      <w:shd w:val="clear" w:color="auto" w:fill="FBE4D5" w:themeFill="accent2" w:themeFillTint="33"/>
      <w:outlineLvl w:val="0"/>
    </w:pPr>
    <w:rPr>
      <w:rFonts w:eastAsiaTheme="majorEastAsia" w:cstheme="majorBidi"/>
      <w:b/>
      <w:color w:val="000000" w:themeColor="text1"/>
      <w:sz w:val="32"/>
      <w:szCs w:val="40"/>
      <w:lang w:val="en-US"/>
    </w:rPr>
  </w:style>
  <w:style w:type="paragraph" w:styleId="Heading2">
    <w:name w:val="heading 2"/>
    <w:basedOn w:val="Normal"/>
    <w:next w:val="Normal"/>
    <w:link w:val="Heading2Char"/>
    <w:autoRedefine/>
    <w:uiPriority w:val="9"/>
    <w:unhideWhenUsed/>
    <w:qFormat/>
    <w:rsid w:val="00C27946"/>
    <w:pPr>
      <w:keepNext/>
      <w:keepLines/>
      <w:numPr>
        <w:ilvl w:val="1"/>
        <w:numId w:val="11"/>
      </w:numPr>
      <w:spacing w:before="160" w:after="80"/>
      <w:jc w:val="both"/>
      <w:outlineLvl w:val="1"/>
    </w:pPr>
    <w:rPr>
      <w:rFonts w:eastAsiaTheme="majorEastAsia" w:cstheme="majorBidi"/>
      <w:b/>
      <w:color w:val="000000" w:themeColor="text1"/>
      <w:sz w:val="28"/>
      <w:szCs w:val="32"/>
      <w:lang w:val="en-US"/>
    </w:rPr>
  </w:style>
  <w:style w:type="paragraph" w:styleId="Heading3">
    <w:name w:val="heading 3"/>
    <w:basedOn w:val="Normal"/>
    <w:next w:val="Normal"/>
    <w:link w:val="Heading3Char"/>
    <w:autoRedefine/>
    <w:uiPriority w:val="9"/>
    <w:unhideWhenUsed/>
    <w:qFormat/>
    <w:rsid w:val="00C27946"/>
    <w:pPr>
      <w:keepNext/>
      <w:keepLines/>
      <w:numPr>
        <w:ilvl w:val="2"/>
        <w:numId w:val="9"/>
      </w:numPr>
      <w:spacing w:before="160" w:after="80"/>
      <w:outlineLvl w:val="2"/>
    </w:pPr>
    <w:rPr>
      <w:rFonts w:eastAsiaTheme="majorEastAsia" w:cstheme="majorBidi"/>
      <w:i/>
      <w:color w:val="000000" w:themeColor="text1"/>
      <w:szCs w:val="28"/>
      <w:lang w:val="en-US"/>
    </w:rPr>
  </w:style>
  <w:style w:type="paragraph" w:styleId="Heading4">
    <w:name w:val="heading 4"/>
    <w:basedOn w:val="Normal"/>
    <w:next w:val="Normal"/>
    <w:link w:val="Heading4Char"/>
    <w:uiPriority w:val="9"/>
    <w:semiHidden/>
    <w:unhideWhenUsed/>
    <w:qFormat/>
    <w:rsid w:val="00A43B1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3B1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3B1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3B1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3B1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3B1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B1E"/>
    <w:rPr>
      <w:rFonts w:ascii="Times New Roman" w:eastAsiaTheme="majorEastAsia" w:hAnsi="Times New Roman" w:cstheme="majorBidi"/>
      <w:b/>
      <w:color w:val="000000" w:themeColor="text1"/>
      <w:sz w:val="32"/>
      <w:szCs w:val="40"/>
      <w:shd w:val="clear" w:color="auto" w:fill="FBE4D5" w:themeFill="accent2" w:themeFillTint="33"/>
    </w:rPr>
  </w:style>
  <w:style w:type="character" w:customStyle="1" w:styleId="Heading2Char">
    <w:name w:val="Heading 2 Char"/>
    <w:basedOn w:val="DefaultParagraphFont"/>
    <w:link w:val="Heading2"/>
    <w:uiPriority w:val="9"/>
    <w:rsid w:val="00794B4C"/>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6016DB"/>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6016DB"/>
    <w:rPr>
      <w:rFonts w:ascii="Times New Roman" w:eastAsiaTheme="majorEastAsia" w:hAnsi="Times New Roman" w:cstheme="majorBidi"/>
      <w:spacing w:val="-10"/>
      <w:kern w:val="28"/>
      <w:sz w:val="40"/>
      <w:szCs w:val="56"/>
      <w:lang w:val="en-GB"/>
    </w:rPr>
  </w:style>
  <w:style w:type="character" w:customStyle="1" w:styleId="Heading3Char">
    <w:name w:val="Heading 3 Char"/>
    <w:basedOn w:val="DefaultParagraphFont"/>
    <w:link w:val="Heading3"/>
    <w:uiPriority w:val="9"/>
    <w:rsid w:val="00C27946"/>
    <w:rPr>
      <w:rFonts w:ascii="Times New Roman" w:eastAsiaTheme="majorEastAsia" w:hAnsi="Times New Roman" w:cstheme="majorBidi"/>
      <w:i/>
      <w:color w:val="000000" w:themeColor="text1"/>
      <w:szCs w:val="28"/>
    </w:rPr>
  </w:style>
  <w:style w:type="character" w:customStyle="1" w:styleId="Heading4Char">
    <w:name w:val="Heading 4 Char"/>
    <w:basedOn w:val="DefaultParagraphFont"/>
    <w:link w:val="Heading4"/>
    <w:uiPriority w:val="9"/>
    <w:semiHidden/>
    <w:rsid w:val="00A43B1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43B1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43B1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43B1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43B1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43B1E"/>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A43B1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B1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43B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3B1E"/>
    <w:rPr>
      <w:rFonts w:ascii="Times New Roman" w:hAnsi="Times New Roman"/>
      <w:i/>
      <w:iCs/>
      <w:color w:val="404040" w:themeColor="text1" w:themeTint="BF"/>
      <w:lang w:val="en-GB"/>
    </w:rPr>
  </w:style>
  <w:style w:type="paragraph" w:styleId="ListParagraph">
    <w:name w:val="List Paragraph"/>
    <w:basedOn w:val="Normal"/>
    <w:uiPriority w:val="34"/>
    <w:qFormat/>
    <w:rsid w:val="00A43B1E"/>
    <w:pPr>
      <w:ind w:left="720"/>
      <w:contextualSpacing/>
    </w:pPr>
  </w:style>
  <w:style w:type="character" w:styleId="IntenseEmphasis">
    <w:name w:val="Intense Emphasis"/>
    <w:basedOn w:val="DefaultParagraphFont"/>
    <w:uiPriority w:val="21"/>
    <w:qFormat/>
    <w:rsid w:val="00A43B1E"/>
    <w:rPr>
      <w:i/>
      <w:iCs/>
      <w:color w:val="2F5496" w:themeColor="accent1" w:themeShade="BF"/>
    </w:rPr>
  </w:style>
  <w:style w:type="paragraph" w:styleId="IntenseQuote">
    <w:name w:val="Intense Quote"/>
    <w:basedOn w:val="Normal"/>
    <w:next w:val="Normal"/>
    <w:link w:val="IntenseQuoteChar"/>
    <w:uiPriority w:val="30"/>
    <w:qFormat/>
    <w:rsid w:val="00A43B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3B1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A43B1E"/>
    <w:rPr>
      <w:b/>
      <w:bCs/>
      <w:smallCaps/>
      <w:color w:val="2F5496" w:themeColor="accent1" w:themeShade="BF"/>
      <w:spacing w:val="5"/>
    </w:rPr>
  </w:style>
  <w:style w:type="table" w:styleId="PlainTable5">
    <w:name w:val="Plain Table 5"/>
    <w:basedOn w:val="TableNormal"/>
    <w:uiPriority w:val="45"/>
    <w:rsid w:val="00A43B1E"/>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1">
    <w:name w:val="Grid Table 6 Colorful Accent 1"/>
    <w:basedOn w:val="TableNormal"/>
    <w:uiPriority w:val="51"/>
    <w:rsid w:val="00A43B1E"/>
    <w:pPr>
      <w:spacing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2">
    <w:name w:val="Grid Table 6 Colorful Accent 2"/>
    <w:basedOn w:val="TableNormal"/>
    <w:uiPriority w:val="51"/>
    <w:rsid w:val="00A43B1E"/>
    <w:pPr>
      <w:spacing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2">
    <w:name w:val="Grid Table 2 Accent 2"/>
    <w:basedOn w:val="TableNormal"/>
    <w:uiPriority w:val="47"/>
    <w:rsid w:val="00A43B1E"/>
    <w:pPr>
      <w:spacing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
    <w:name w:val="Grid Table 2"/>
    <w:basedOn w:val="TableNormal"/>
    <w:uiPriority w:val="47"/>
    <w:rsid w:val="00A43B1E"/>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4">
    <w:name w:val="Grid Table 2 Accent 4"/>
    <w:basedOn w:val="TableNormal"/>
    <w:uiPriority w:val="47"/>
    <w:rsid w:val="00A43B1E"/>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4">
    <w:name w:val="Grid Table 3 Accent 4"/>
    <w:basedOn w:val="TableNormal"/>
    <w:uiPriority w:val="48"/>
    <w:rsid w:val="00A43B1E"/>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TOCHeading">
    <w:name w:val="TOC Heading"/>
    <w:basedOn w:val="Heading1"/>
    <w:next w:val="Normal"/>
    <w:uiPriority w:val="39"/>
    <w:unhideWhenUsed/>
    <w:qFormat/>
    <w:rsid w:val="00A43B1E"/>
    <w:pPr>
      <w:numPr>
        <w:numId w:val="0"/>
      </w:numPr>
      <w:pBdr>
        <w:top w:val="none" w:sz="0" w:space="0" w:color="auto"/>
        <w:bottom w:val="none" w:sz="0" w:space="0" w:color="auto"/>
      </w:pBdr>
      <w:shd w:val="clear" w:color="auto" w:fill="auto"/>
      <w:spacing w:before="24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A43B1E"/>
    <w:pPr>
      <w:spacing w:after="100"/>
    </w:pPr>
  </w:style>
  <w:style w:type="paragraph" w:styleId="TOC2">
    <w:name w:val="toc 2"/>
    <w:basedOn w:val="Normal"/>
    <w:next w:val="Normal"/>
    <w:autoRedefine/>
    <w:uiPriority w:val="39"/>
    <w:unhideWhenUsed/>
    <w:rsid w:val="00A43B1E"/>
    <w:pPr>
      <w:spacing w:after="100"/>
      <w:ind w:left="240"/>
    </w:pPr>
  </w:style>
  <w:style w:type="character" w:styleId="Hyperlink">
    <w:name w:val="Hyperlink"/>
    <w:basedOn w:val="DefaultParagraphFont"/>
    <w:uiPriority w:val="99"/>
    <w:unhideWhenUsed/>
    <w:rsid w:val="00A43B1E"/>
    <w:rPr>
      <w:color w:val="0563C1" w:themeColor="hyperlink"/>
      <w:u w:val="single"/>
    </w:rPr>
  </w:style>
  <w:style w:type="table" w:styleId="GridTable3-Accent2">
    <w:name w:val="Grid Table 3 Accent 2"/>
    <w:basedOn w:val="TableNormal"/>
    <w:uiPriority w:val="48"/>
    <w:rsid w:val="00A43B1E"/>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paragraph" w:styleId="Header">
    <w:name w:val="header"/>
    <w:basedOn w:val="Normal"/>
    <w:link w:val="HeaderChar"/>
    <w:uiPriority w:val="99"/>
    <w:unhideWhenUsed/>
    <w:rsid w:val="0006378C"/>
    <w:pPr>
      <w:tabs>
        <w:tab w:val="center" w:pos="4680"/>
        <w:tab w:val="right" w:pos="9360"/>
      </w:tabs>
      <w:spacing w:line="240" w:lineRule="auto"/>
    </w:pPr>
  </w:style>
  <w:style w:type="character" w:customStyle="1" w:styleId="HeaderChar">
    <w:name w:val="Header Char"/>
    <w:basedOn w:val="DefaultParagraphFont"/>
    <w:link w:val="Header"/>
    <w:uiPriority w:val="99"/>
    <w:rsid w:val="0006378C"/>
    <w:rPr>
      <w:rFonts w:ascii="Times New Roman" w:hAnsi="Times New Roman"/>
      <w:lang w:val="en-GB"/>
    </w:rPr>
  </w:style>
  <w:style w:type="paragraph" w:styleId="Footer">
    <w:name w:val="footer"/>
    <w:basedOn w:val="Normal"/>
    <w:link w:val="FooterChar"/>
    <w:uiPriority w:val="99"/>
    <w:unhideWhenUsed/>
    <w:rsid w:val="0006378C"/>
    <w:pPr>
      <w:tabs>
        <w:tab w:val="center" w:pos="4680"/>
        <w:tab w:val="right" w:pos="9360"/>
      </w:tabs>
      <w:spacing w:line="240" w:lineRule="auto"/>
    </w:pPr>
  </w:style>
  <w:style w:type="character" w:customStyle="1" w:styleId="FooterChar">
    <w:name w:val="Footer Char"/>
    <w:basedOn w:val="DefaultParagraphFont"/>
    <w:link w:val="Footer"/>
    <w:uiPriority w:val="99"/>
    <w:rsid w:val="0006378C"/>
    <w:rPr>
      <w:rFonts w:ascii="Times New Roman" w:hAnsi="Times New Roman"/>
      <w:lang w:val="en-GB"/>
    </w:rPr>
  </w:style>
  <w:style w:type="paragraph" w:styleId="Caption">
    <w:name w:val="caption"/>
    <w:basedOn w:val="Normal"/>
    <w:next w:val="Normal"/>
    <w:uiPriority w:val="35"/>
    <w:unhideWhenUsed/>
    <w:qFormat/>
    <w:rsid w:val="002B05D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8260</Words>
  <Characters>47086</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2026-04-26T18:23:00Z</dcterms:created>
  <dcterms:modified xsi:type="dcterms:W3CDTF">2026-04-26T19:56:00Z</dcterms:modified>
</cp:coreProperties>
</file>