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5BFE3" w14:textId="77777777" w:rsidR="002B7E55" w:rsidRDefault="002B7E55" w:rsidP="002B7E55">
      <w:pPr>
        <w:jc w:val="center"/>
      </w:pPr>
      <w:r>
        <w:rPr>
          <w:b/>
          <w:color w:val="1C4257"/>
          <w:sz w:val="30"/>
        </w:rPr>
        <w:t>UNIVERSITY OF WALES TRINITY SAINT DAVID</w:t>
      </w:r>
    </w:p>
    <w:p w14:paraId="51BF5F0D" w14:textId="77777777" w:rsidR="002B7E55" w:rsidRDefault="002B7E55" w:rsidP="002B7E55">
      <w:pPr>
        <w:jc w:val="center"/>
      </w:pPr>
      <w:proofErr w:type="spellStart"/>
      <w:r>
        <w:rPr>
          <w:color w:val="5F5F5F"/>
          <w:sz w:val="20"/>
        </w:rPr>
        <w:t>CertHE</w:t>
      </w:r>
      <w:proofErr w:type="spellEnd"/>
      <w:r>
        <w:rPr>
          <w:color w:val="5F5F5F"/>
          <w:sz w:val="20"/>
        </w:rPr>
        <w:t xml:space="preserve"> Computing Skills for </w:t>
      </w:r>
      <w:proofErr w:type="gramStart"/>
      <w:r>
        <w:rPr>
          <w:color w:val="5F5F5F"/>
          <w:sz w:val="20"/>
        </w:rPr>
        <w:t>Workplace  •</w:t>
      </w:r>
      <w:proofErr w:type="gramEnd"/>
      <w:r>
        <w:rPr>
          <w:color w:val="5F5F5F"/>
          <w:sz w:val="20"/>
        </w:rPr>
        <w:t xml:space="preserve">  Level 4</w:t>
      </w:r>
    </w:p>
    <w:p w14:paraId="35AE4BAB" w14:textId="77777777" w:rsidR="002B7E55" w:rsidRDefault="002B7E55" w:rsidP="002B7E55">
      <w:pPr>
        <w:jc w:val="center"/>
      </w:pPr>
      <w:r>
        <w:rPr>
          <w:noProof/>
        </w:rPr>
        <w:drawing>
          <wp:inline distT="0" distB="0" distL="0" distR="0" wp14:anchorId="160E9019" wp14:editId="47BAB96B">
            <wp:extent cx="6172200" cy="25074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fm_cyber_cover.png"/>
                    <pic:cNvPicPr/>
                  </pic:nvPicPr>
                  <pic:blipFill>
                    <a:blip r:embed="rId8"/>
                    <a:stretch>
                      <a:fillRect/>
                    </a:stretch>
                  </pic:blipFill>
                  <pic:spPr>
                    <a:xfrm>
                      <a:off x="0" y="0"/>
                      <a:ext cx="6172200" cy="2507456"/>
                    </a:xfrm>
                    <a:prstGeom prst="rect">
                      <a:avLst/>
                    </a:prstGeom>
                  </pic:spPr>
                </pic:pic>
              </a:graphicData>
            </a:graphic>
          </wp:inline>
        </w:drawing>
      </w:r>
    </w:p>
    <w:p w14:paraId="7A999FB5" w14:textId="77777777" w:rsidR="002B7E55" w:rsidRPr="00E81B80" w:rsidRDefault="002B7E55" w:rsidP="002B7E55">
      <w:pPr>
        <w:jc w:val="center"/>
        <w:rPr>
          <w:b/>
          <w:color w:val="163446"/>
          <w:sz w:val="44"/>
          <w:lang w:val="en-GB"/>
        </w:rPr>
      </w:pPr>
      <w:r w:rsidRPr="00E81B80">
        <w:rPr>
          <w:b/>
          <w:bCs/>
          <w:color w:val="163446"/>
          <w:sz w:val="44"/>
          <w:lang w:val="en-GB"/>
        </w:rPr>
        <w:t>Synthesize a Solution to a Potential Real-Life Scenario</w:t>
      </w:r>
    </w:p>
    <w:p w14:paraId="7290D29E" w14:textId="77777777" w:rsidR="002B7E55" w:rsidRPr="00E81B80" w:rsidRDefault="002B7E55" w:rsidP="002B7E55">
      <w:pPr>
        <w:jc w:val="center"/>
        <w:rPr>
          <w:b/>
          <w:color w:val="163446"/>
          <w:sz w:val="44"/>
          <w:lang w:val="en-GB"/>
        </w:rPr>
      </w:pPr>
      <w:r w:rsidRPr="00E81B80">
        <w:rPr>
          <w:b/>
          <w:i/>
          <w:iCs/>
          <w:color w:val="163446"/>
          <w:sz w:val="44"/>
          <w:lang w:val="en-GB"/>
        </w:rPr>
        <w:t xml:space="preserve">Cybersecurity and Data Governance for </w:t>
      </w:r>
      <w:proofErr w:type="spellStart"/>
      <w:r w:rsidRPr="00E81B80">
        <w:rPr>
          <w:b/>
          <w:i/>
          <w:iCs/>
          <w:color w:val="163446"/>
          <w:sz w:val="44"/>
          <w:lang w:val="en-GB"/>
        </w:rPr>
        <w:t>SteelForm</w:t>
      </w:r>
      <w:proofErr w:type="spellEnd"/>
      <w:r w:rsidRPr="00E81B80">
        <w:rPr>
          <w:b/>
          <w:i/>
          <w:iCs/>
          <w:color w:val="163446"/>
          <w:sz w:val="44"/>
          <w:lang w:val="en-GB"/>
        </w:rPr>
        <w:t xml:space="preserve"> Manufacturing Ltd</w:t>
      </w:r>
    </w:p>
    <w:p w14:paraId="38ECFEF2" w14:textId="77777777" w:rsidR="002B7E55" w:rsidRDefault="002B7E55" w:rsidP="002B7E55">
      <w:pPr>
        <w:jc w:val="center"/>
      </w:pPr>
      <w:r>
        <w:rPr>
          <w:i/>
          <w:color w:val="505050"/>
        </w:rPr>
        <w:t>Synthesize a Solution to a Potential Real-Life Scenario</w:t>
      </w:r>
    </w:p>
    <w:tbl>
      <w:tblPr>
        <w:tblStyle w:val="TableGrid"/>
        <w:tblW w:w="0" w:type="auto"/>
        <w:jc w:val="center"/>
        <w:tblLook w:val="04A0" w:firstRow="1" w:lastRow="0" w:firstColumn="1" w:lastColumn="0" w:noHBand="0" w:noVBand="1"/>
      </w:tblPr>
      <w:tblGrid>
        <w:gridCol w:w="4819"/>
        <w:gridCol w:w="4819"/>
      </w:tblGrid>
      <w:tr w:rsidR="002B7E55" w14:paraId="11A97F5F" w14:textId="77777777" w:rsidTr="00077746">
        <w:trPr>
          <w:jc w:val="center"/>
        </w:trPr>
        <w:tc>
          <w:tcPr>
            <w:tcW w:w="4824" w:type="dxa"/>
            <w:shd w:val="clear" w:color="auto" w:fill="DDE8EE"/>
            <w:vAlign w:val="center"/>
          </w:tcPr>
          <w:p w14:paraId="76FD5404" w14:textId="77777777" w:rsidR="002B7E55" w:rsidRDefault="002B7E55" w:rsidP="00077746">
            <w:r>
              <w:rPr>
                <w:b/>
              </w:rPr>
              <w:t>Module Name</w:t>
            </w:r>
          </w:p>
        </w:tc>
        <w:tc>
          <w:tcPr>
            <w:tcW w:w="4824" w:type="dxa"/>
            <w:vAlign w:val="center"/>
          </w:tcPr>
          <w:p w14:paraId="6F8D0FF1" w14:textId="77777777" w:rsidR="002B7E55" w:rsidRDefault="002B7E55" w:rsidP="00077746">
            <w:r>
              <w:t>Networks and Cyber Security Essentials</w:t>
            </w:r>
          </w:p>
        </w:tc>
      </w:tr>
      <w:tr w:rsidR="002B7E55" w14:paraId="73C49237" w14:textId="77777777" w:rsidTr="00077746">
        <w:trPr>
          <w:jc w:val="center"/>
        </w:trPr>
        <w:tc>
          <w:tcPr>
            <w:tcW w:w="4824" w:type="dxa"/>
            <w:shd w:val="clear" w:color="auto" w:fill="DDE8EE"/>
            <w:vAlign w:val="center"/>
          </w:tcPr>
          <w:p w14:paraId="2E882BDD" w14:textId="77777777" w:rsidR="002B7E55" w:rsidRDefault="002B7E55" w:rsidP="00077746">
            <w:r>
              <w:rPr>
                <w:b/>
              </w:rPr>
              <w:t>Module Code</w:t>
            </w:r>
          </w:p>
        </w:tc>
        <w:tc>
          <w:tcPr>
            <w:tcW w:w="4824" w:type="dxa"/>
            <w:vAlign w:val="center"/>
          </w:tcPr>
          <w:p w14:paraId="39079AA6" w14:textId="77777777" w:rsidR="002B7E55" w:rsidRDefault="002B7E55" w:rsidP="00077746">
            <w:r>
              <w:t>ACCA4024</w:t>
            </w:r>
          </w:p>
        </w:tc>
      </w:tr>
      <w:tr w:rsidR="002B7E55" w14:paraId="68DC1A2A" w14:textId="77777777" w:rsidTr="00077746">
        <w:trPr>
          <w:jc w:val="center"/>
        </w:trPr>
        <w:tc>
          <w:tcPr>
            <w:tcW w:w="4824" w:type="dxa"/>
            <w:shd w:val="clear" w:color="auto" w:fill="DDE8EE"/>
            <w:vAlign w:val="center"/>
          </w:tcPr>
          <w:p w14:paraId="572A45DC" w14:textId="77777777" w:rsidR="002B7E55" w:rsidRDefault="002B7E55" w:rsidP="00077746">
            <w:r>
              <w:rPr>
                <w:b/>
              </w:rPr>
              <w:t>Lecturer</w:t>
            </w:r>
          </w:p>
        </w:tc>
        <w:tc>
          <w:tcPr>
            <w:tcW w:w="4824" w:type="dxa"/>
            <w:vAlign w:val="center"/>
          </w:tcPr>
          <w:p w14:paraId="0BC6E8C2" w14:textId="02206C50" w:rsidR="002B7E55" w:rsidRDefault="002B7E55" w:rsidP="00077746">
            <w:r>
              <w:t>A</w:t>
            </w:r>
            <w:r w:rsidR="004B6C1F">
              <w:t>num Paracha</w:t>
            </w:r>
          </w:p>
        </w:tc>
      </w:tr>
      <w:tr w:rsidR="002B7E55" w14:paraId="5713326A" w14:textId="77777777" w:rsidTr="00077746">
        <w:trPr>
          <w:jc w:val="center"/>
        </w:trPr>
        <w:tc>
          <w:tcPr>
            <w:tcW w:w="4824" w:type="dxa"/>
            <w:shd w:val="clear" w:color="auto" w:fill="DDE8EE"/>
            <w:vAlign w:val="center"/>
          </w:tcPr>
          <w:p w14:paraId="5EE4A63B" w14:textId="77777777" w:rsidR="002B7E55" w:rsidRDefault="002B7E55" w:rsidP="00077746">
            <w:r>
              <w:rPr>
                <w:b/>
              </w:rPr>
              <w:t>Student Name</w:t>
            </w:r>
          </w:p>
        </w:tc>
        <w:tc>
          <w:tcPr>
            <w:tcW w:w="4824" w:type="dxa"/>
            <w:vAlign w:val="center"/>
          </w:tcPr>
          <w:p w14:paraId="04CA11A2" w14:textId="77777777" w:rsidR="002B7E55" w:rsidRDefault="002B7E55" w:rsidP="00077746">
            <w:r>
              <w:t>Mustafa Ay</w:t>
            </w:r>
          </w:p>
        </w:tc>
      </w:tr>
      <w:tr w:rsidR="002B7E55" w14:paraId="42A0FE40" w14:textId="77777777" w:rsidTr="00077746">
        <w:trPr>
          <w:jc w:val="center"/>
        </w:trPr>
        <w:tc>
          <w:tcPr>
            <w:tcW w:w="4824" w:type="dxa"/>
            <w:shd w:val="clear" w:color="auto" w:fill="DDE8EE"/>
            <w:vAlign w:val="center"/>
          </w:tcPr>
          <w:p w14:paraId="1682000D" w14:textId="77777777" w:rsidR="002B7E55" w:rsidRDefault="002B7E55" w:rsidP="00077746">
            <w:r>
              <w:rPr>
                <w:b/>
              </w:rPr>
              <w:t>Student ID</w:t>
            </w:r>
          </w:p>
        </w:tc>
        <w:tc>
          <w:tcPr>
            <w:tcW w:w="4824" w:type="dxa"/>
            <w:vAlign w:val="center"/>
          </w:tcPr>
          <w:p w14:paraId="1448A9A6" w14:textId="77777777" w:rsidR="002B7E55" w:rsidRDefault="002B7E55" w:rsidP="00077746">
            <w:r>
              <w:t>2513629</w:t>
            </w:r>
          </w:p>
        </w:tc>
      </w:tr>
      <w:tr w:rsidR="002B7E55" w14:paraId="4349364F" w14:textId="77777777" w:rsidTr="00077746">
        <w:trPr>
          <w:jc w:val="center"/>
        </w:trPr>
        <w:tc>
          <w:tcPr>
            <w:tcW w:w="4824" w:type="dxa"/>
            <w:shd w:val="clear" w:color="auto" w:fill="DDE8EE"/>
            <w:vAlign w:val="center"/>
          </w:tcPr>
          <w:p w14:paraId="3546B8E3" w14:textId="77777777" w:rsidR="002B7E55" w:rsidRDefault="002B7E55" w:rsidP="00077746">
            <w:r>
              <w:rPr>
                <w:b/>
              </w:rPr>
              <w:t>Submission Date</w:t>
            </w:r>
          </w:p>
        </w:tc>
        <w:tc>
          <w:tcPr>
            <w:tcW w:w="4824" w:type="dxa"/>
            <w:vAlign w:val="center"/>
          </w:tcPr>
          <w:p w14:paraId="752FBBEC" w14:textId="77777777" w:rsidR="002B7E55" w:rsidRDefault="002B7E55" w:rsidP="00077746">
            <w:r>
              <w:t>13 August 2026, 2:00 pm</w:t>
            </w:r>
          </w:p>
        </w:tc>
      </w:tr>
    </w:tbl>
    <w:p w14:paraId="6AB54BFD" w14:textId="77777777" w:rsidR="002B7E55" w:rsidRDefault="002B7E55" w:rsidP="002B7E55">
      <w:r>
        <w:br w:type="page"/>
      </w:r>
    </w:p>
    <w:sdt>
      <w:sdtPr>
        <w:rPr>
          <w:lang w:val="en-GB"/>
        </w:rPr>
        <w:id w:val="600383280"/>
        <w:docPartObj>
          <w:docPartGallery w:val="Table of Contents"/>
          <w:docPartUnique/>
        </w:docPartObj>
      </w:sdtPr>
      <w:sdtEndPr>
        <w:rPr>
          <w:rFonts w:ascii="Aptos" w:eastAsiaTheme="minorEastAsia" w:hAnsi="Aptos" w:cstheme="minorBidi"/>
          <w:color w:val="auto"/>
          <w:sz w:val="22"/>
          <w:szCs w:val="22"/>
          <w:lang w:val="en-US"/>
        </w:rPr>
      </w:sdtEndPr>
      <w:sdtContent>
        <w:p w14:paraId="4874B366" w14:textId="3D62C9CE" w:rsidR="00713067" w:rsidRDefault="00713067">
          <w:pPr>
            <w:pStyle w:val="TOCHeading"/>
          </w:pPr>
          <w:r>
            <w:rPr>
              <w:lang w:val="en-GB"/>
            </w:rPr>
            <w:t>Table of Contents</w:t>
          </w:r>
        </w:p>
        <w:p w14:paraId="648EB6A6" w14:textId="1507F0F3" w:rsidR="00713067" w:rsidRDefault="00713067">
          <w:pPr>
            <w:pStyle w:val="TOC1"/>
            <w:tabs>
              <w:tab w:val="left" w:pos="480"/>
              <w:tab w:val="right" w:leader="dot" w:pos="9638"/>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7467792" w:history="1">
            <w:r w:rsidRPr="000711ED">
              <w:rPr>
                <w:rStyle w:val="Hyperlink"/>
                <w:noProof/>
              </w:rPr>
              <w:t>1.</w:t>
            </w:r>
            <w:r>
              <w:rPr>
                <w:rFonts w:asciiTheme="minorHAnsi" w:hAnsiTheme="minorHAnsi"/>
                <w:noProof/>
                <w:kern w:val="2"/>
                <w:sz w:val="24"/>
                <w:szCs w:val="24"/>
                <w:lang w:val="en-GB" w:eastAsia="en-GB"/>
                <w14:ligatures w14:val="standardContextual"/>
              </w:rPr>
              <w:tab/>
            </w:r>
            <w:r w:rsidRPr="000711ED">
              <w:rPr>
                <w:rStyle w:val="Hyperlink"/>
                <w:noProof/>
              </w:rPr>
              <w:t>Introduction</w:t>
            </w:r>
            <w:r>
              <w:rPr>
                <w:noProof/>
                <w:webHidden/>
              </w:rPr>
              <w:tab/>
            </w:r>
            <w:r>
              <w:rPr>
                <w:noProof/>
                <w:webHidden/>
              </w:rPr>
              <w:fldChar w:fldCharType="begin"/>
            </w:r>
            <w:r>
              <w:rPr>
                <w:noProof/>
                <w:webHidden/>
              </w:rPr>
              <w:instrText xml:space="preserve"> PAGEREF _Toc237467792 \h </w:instrText>
            </w:r>
            <w:r>
              <w:rPr>
                <w:noProof/>
                <w:webHidden/>
              </w:rPr>
            </w:r>
            <w:r>
              <w:rPr>
                <w:noProof/>
                <w:webHidden/>
              </w:rPr>
              <w:fldChar w:fldCharType="separate"/>
            </w:r>
            <w:r>
              <w:rPr>
                <w:noProof/>
                <w:webHidden/>
              </w:rPr>
              <w:t>3</w:t>
            </w:r>
            <w:r>
              <w:rPr>
                <w:noProof/>
                <w:webHidden/>
              </w:rPr>
              <w:fldChar w:fldCharType="end"/>
            </w:r>
          </w:hyperlink>
        </w:p>
        <w:p w14:paraId="5201F7EA" w14:textId="377E027B" w:rsidR="00713067" w:rsidRDefault="00713067">
          <w:pPr>
            <w:pStyle w:val="TOC1"/>
            <w:tabs>
              <w:tab w:val="right" w:leader="dot" w:pos="9638"/>
            </w:tabs>
            <w:rPr>
              <w:rFonts w:asciiTheme="minorHAnsi" w:hAnsiTheme="minorHAnsi"/>
              <w:noProof/>
              <w:kern w:val="2"/>
              <w:sz w:val="24"/>
              <w:szCs w:val="24"/>
              <w:lang w:val="en-GB" w:eastAsia="en-GB"/>
              <w14:ligatures w14:val="standardContextual"/>
            </w:rPr>
          </w:pPr>
          <w:hyperlink w:anchor="_Toc237467793" w:history="1">
            <w:r w:rsidRPr="000711ED">
              <w:rPr>
                <w:rStyle w:val="Hyperlink"/>
                <w:noProof/>
              </w:rPr>
              <w:t>2. Identification of Threats</w:t>
            </w:r>
            <w:r>
              <w:rPr>
                <w:noProof/>
                <w:webHidden/>
              </w:rPr>
              <w:tab/>
            </w:r>
            <w:r>
              <w:rPr>
                <w:noProof/>
                <w:webHidden/>
              </w:rPr>
              <w:fldChar w:fldCharType="begin"/>
            </w:r>
            <w:r>
              <w:rPr>
                <w:noProof/>
                <w:webHidden/>
              </w:rPr>
              <w:instrText xml:space="preserve"> PAGEREF _Toc237467793 \h </w:instrText>
            </w:r>
            <w:r>
              <w:rPr>
                <w:noProof/>
                <w:webHidden/>
              </w:rPr>
            </w:r>
            <w:r>
              <w:rPr>
                <w:noProof/>
                <w:webHidden/>
              </w:rPr>
              <w:fldChar w:fldCharType="separate"/>
            </w:r>
            <w:r>
              <w:rPr>
                <w:noProof/>
                <w:webHidden/>
              </w:rPr>
              <w:t>3</w:t>
            </w:r>
            <w:r>
              <w:rPr>
                <w:noProof/>
                <w:webHidden/>
              </w:rPr>
              <w:fldChar w:fldCharType="end"/>
            </w:r>
          </w:hyperlink>
        </w:p>
        <w:p w14:paraId="30909E48" w14:textId="324F9813"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794" w:history="1">
            <w:r w:rsidRPr="000711ED">
              <w:rPr>
                <w:rStyle w:val="Hyperlink"/>
                <w:noProof/>
              </w:rPr>
              <w:t>2.1 Internal Threats</w:t>
            </w:r>
            <w:r>
              <w:rPr>
                <w:noProof/>
                <w:webHidden/>
              </w:rPr>
              <w:tab/>
            </w:r>
            <w:r>
              <w:rPr>
                <w:noProof/>
                <w:webHidden/>
              </w:rPr>
              <w:fldChar w:fldCharType="begin"/>
            </w:r>
            <w:r>
              <w:rPr>
                <w:noProof/>
                <w:webHidden/>
              </w:rPr>
              <w:instrText xml:space="preserve"> PAGEREF _Toc237467794 \h </w:instrText>
            </w:r>
            <w:r>
              <w:rPr>
                <w:noProof/>
                <w:webHidden/>
              </w:rPr>
            </w:r>
            <w:r>
              <w:rPr>
                <w:noProof/>
                <w:webHidden/>
              </w:rPr>
              <w:fldChar w:fldCharType="separate"/>
            </w:r>
            <w:r>
              <w:rPr>
                <w:noProof/>
                <w:webHidden/>
              </w:rPr>
              <w:t>4</w:t>
            </w:r>
            <w:r>
              <w:rPr>
                <w:noProof/>
                <w:webHidden/>
              </w:rPr>
              <w:fldChar w:fldCharType="end"/>
            </w:r>
          </w:hyperlink>
        </w:p>
        <w:p w14:paraId="3714F491" w14:textId="70ABC4EF"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795" w:history="1">
            <w:r w:rsidRPr="000711ED">
              <w:rPr>
                <w:rStyle w:val="Hyperlink"/>
                <w:noProof/>
              </w:rPr>
              <w:t>2.2 External Threats</w:t>
            </w:r>
            <w:r>
              <w:rPr>
                <w:noProof/>
                <w:webHidden/>
              </w:rPr>
              <w:tab/>
            </w:r>
            <w:r>
              <w:rPr>
                <w:noProof/>
                <w:webHidden/>
              </w:rPr>
              <w:fldChar w:fldCharType="begin"/>
            </w:r>
            <w:r>
              <w:rPr>
                <w:noProof/>
                <w:webHidden/>
              </w:rPr>
              <w:instrText xml:space="preserve"> PAGEREF _Toc237467795 \h </w:instrText>
            </w:r>
            <w:r>
              <w:rPr>
                <w:noProof/>
                <w:webHidden/>
              </w:rPr>
            </w:r>
            <w:r>
              <w:rPr>
                <w:noProof/>
                <w:webHidden/>
              </w:rPr>
              <w:fldChar w:fldCharType="separate"/>
            </w:r>
            <w:r>
              <w:rPr>
                <w:noProof/>
                <w:webHidden/>
              </w:rPr>
              <w:t>5</w:t>
            </w:r>
            <w:r>
              <w:rPr>
                <w:noProof/>
                <w:webHidden/>
              </w:rPr>
              <w:fldChar w:fldCharType="end"/>
            </w:r>
          </w:hyperlink>
        </w:p>
        <w:p w14:paraId="39F7324C" w14:textId="3AC00D8D" w:rsidR="00713067" w:rsidRDefault="00713067">
          <w:pPr>
            <w:pStyle w:val="TOC1"/>
            <w:tabs>
              <w:tab w:val="right" w:leader="dot" w:pos="9638"/>
            </w:tabs>
            <w:rPr>
              <w:rFonts w:asciiTheme="minorHAnsi" w:hAnsiTheme="minorHAnsi"/>
              <w:noProof/>
              <w:kern w:val="2"/>
              <w:sz w:val="24"/>
              <w:szCs w:val="24"/>
              <w:lang w:val="en-GB" w:eastAsia="en-GB"/>
              <w14:ligatures w14:val="standardContextual"/>
            </w:rPr>
          </w:pPr>
          <w:hyperlink w:anchor="_Toc237467796" w:history="1">
            <w:r w:rsidRPr="000711ED">
              <w:rPr>
                <w:rStyle w:val="Hyperlink"/>
                <w:noProof/>
              </w:rPr>
              <w:t>3. Security Policies</w:t>
            </w:r>
            <w:r>
              <w:rPr>
                <w:noProof/>
                <w:webHidden/>
              </w:rPr>
              <w:tab/>
            </w:r>
            <w:r>
              <w:rPr>
                <w:noProof/>
                <w:webHidden/>
              </w:rPr>
              <w:fldChar w:fldCharType="begin"/>
            </w:r>
            <w:r>
              <w:rPr>
                <w:noProof/>
                <w:webHidden/>
              </w:rPr>
              <w:instrText xml:space="preserve"> PAGEREF _Toc237467796 \h </w:instrText>
            </w:r>
            <w:r>
              <w:rPr>
                <w:noProof/>
                <w:webHidden/>
              </w:rPr>
            </w:r>
            <w:r>
              <w:rPr>
                <w:noProof/>
                <w:webHidden/>
              </w:rPr>
              <w:fldChar w:fldCharType="separate"/>
            </w:r>
            <w:r>
              <w:rPr>
                <w:noProof/>
                <w:webHidden/>
              </w:rPr>
              <w:t>6</w:t>
            </w:r>
            <w:r>
              <w:rPr>
                <w:noProof/>
                <w:webHidden/>
              </w:rPr>
              <w:fldChar w:fldCharType="end"/>
            </w:r>
          </w:hyperlink>
        </w:p>
        <w:p w14:paraId="5B515C5C" w14:textId="20CFE72F"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797" w:history="1">
            <w:r w:rsidRPr="000711ED">
              <w:rPr>
                <w:rStyle w:val="Hyperlink"/>
                <w:noProof/>
              </w:rPr>
              <w:t>3.1 Access Control and Authentication</w:t>
            </w:r>
            <w:r>
              <w:rPr>
                <w:noProof/>
                <w:webHidden/>
              </w:rPr>
              <w:tab/>
            </w:r>
            <w:r>
              <w:rPr>
                <w:noProof/>
                <w:webHidden/>
              </w:rPr>
              <w:fldChar w:fldCharType="begin"/>
            </w:r>
            <w:r>
              <w:rPr>
                <w:noProof/>
                <w:webHidden/>
              </w:rPr>
              <w:instrText xml:space="preserve"> PAGEREF _Toc237467797 \h </w:instrText>
            </w:r>
            <w:r>
              <w:rPr>
                <w:noProof/>
                <w:webHidden/>
              </w:rPr>
            </w:r>
            <w:r>
              <w:rPr>
                <w:noProof/>
                <w:webHidden/>
              </w:rPr>
              <w:fldChar w:fldCharType="separate"/>
            </w:r>
            <w:r>
              <w:rPr>
                <w:noProof/>
                <w:webHidden/>
              </w:rPr>
              <w:t>6</w:t>
            </w:r>
            <w:r>
              <w:rPr>
                <w:noProof/>
                <w:webHidden/>
              </w:rPr>
              <w:fldChar w:fldCharType="end"/>
            </w:r>
          </w:hyperlink>
        </w:p>
        <w:p w14:paraId="5B510B97" w14:textId="7A014F9D"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798" w:history="1">
            <w:r w:rsidRPr="000711ED">
              <w:rPr>
                <w:rStyle w:val="Hyperlink"/>
                <w:noProof/>
              </w:rPr>
              <w:t>3.2 Network, OT and IoT Security</w:t>
            </w:r>
            <w:r>
              <w:rPr>
                <w:noProof/>
                <w:webHidden/>
              </w:rPr>
              <w:tab/>
            </w:r>
            <w:r>
              <w:rPr>
                <w:noProof/>
                <w:webHidden/>
              </w:rPr>
              <w:fldChar w:fldCharType="begin"/>
            </w:r>
            <w:r>
              <w:rPr>
                <w:noProof/>
                <w:webHidden/>
              </w:rPr>
              <w:instrText xml:space="preserve"> PAGEREF _Toc237467798 \h </w:instrText>
            </w:r>
            <w:r>
              <w:rPr>
                <w:noProof/>
                <w:webHidden/>
              </w:rPr>
            </w:r>
            <w:r>
              <w:rPr>
                <w:noProof/>
                <w:webHidden/>
              </w:rPr>
              <w:fldChar w:fldCharType="separate"/>
            </w:r>
            <w:r>
              <w:rPr>
                <w:noProof/>
                <w:webHidden/>
              </w:rPr>
              <w:t>7</w:t>
            </w:r>
            <w:r>
              <w:rPr>
                <w:noProof/>
                <w:webHidden/>
              </w:rPr>
              <w:fldChar w:fldCharType="end"/>
            </w:r>
          </w:hyperlink>
        </w:p>
        <w:p w14:paraId="4F367559" w14:textId="1765C069"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799" w:history="1">
            <w:r w:rsidRPr="000711ED">
              <w:rPr>
                <w:rStyle w:val="Hyperlink"/>
                <w:noProof/>
              </w:rPr>
              <w:t>3.3 Data Governance and Protection</w:t>
            </w:r>
            <w:r>
              <w:rPr>
                <w:noProof/>
                <w:webHidden/>
              </w:rPr>
              <w:tab/>
            </w:r>
            <w:r>
              <w:rPr>
                <w:noProof/>
                <w:webHidden/>
              </w:rPr>
              <w:fldChar w:fldCharType="begin"/>
            </w:r>
            <w:r>
              <w:rPr>
                <w:noProof/>
                <w:webHidden/>
              </w:rPr>
              <w:instrText xml:space="preserve"> PAGEREF _Toc237467799 \h </w:instrText>
            </w:r>
            <w:r>
              <w:rPr>
                <w:noProof/>
                <w:webHidden/>
              </w:rPr>
            </w:r>
            <w:r>
              <w:rPr>
                <w:noProof/>
                <w:webHidden/>
              </w:rPr>
              <w:fldChar w:fldCharType="separate"/>
            </w:r>
            <w:r>
              <w:rPr>
                <w:noProof/>
                <w:webHidden/>
              </w:rPr>
              <w:t>8</w:t>
            </w:r>
            <w:r>
              <w:rPr>
                <w:noProof/>
                <w:webHidden/>
              </w:rPr>
              <w:fldChar w:fldCharType="end"/>
            </w:r>
          </w:hyperlink>
        </w:p>
        <w:p w14:paraId="7740BAD5" w14:textId="6A3D9C71"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800" w:history="1">
            <w:r w:rsidRPr="000711ED">
              <w:rPr>
                <w:rStyle w:val="Hyperlink"/>
                <w:noProof/>
              </w:rPr>
              <w:t>3.4 Third-Party and Supply-Chain Security</w:t>
            </w:r>
            <w:r>
              <w:rPr>
                <w:noProof/>
                <w:webHidden/>
              </w:rPr>
              <w:tab/>
            </w:r>
            <w:r>
              <w:rPr>
                <w:noProof/>
                <w:webHidden/>
              </w:rPr>
              <w:fldChar w:fldCharType="begin"/>
            </w:r>
            <w:r>
              <w:rPr>
                <w:noProof/>
                <w:webHidden/>
              </w:rPr>
              <w:instrText xml:space="preserve"> PAGEREF _Toc237467800 \h </w:instrText>
            </w:r>
            <w:r>
              <w:rPr>
                <w:noProof/>
                <w:webHidden/>
              </w:rPr>
            </w:r>
            <w:r>
              <w:rPr>
                <w:noProof/>
                <w:webHidden/>
              </w:rPr>
              <w:fldChar w:fldCharType="separate"/>
            </w:r>
            <w:r>
              <w:rPr>
                <w:noProof/>
                <w:webHidden/>
              </w:rPr>
              <w:t>8</w:t>
            </w:r>
            <w:r>
              <w:rPr>
                <w:noProof/>
                <w:webHidden/>
              </w:rPr>
              <w:fldChar w:fldCharType="end"/>
            </w:r>
          </w:hyperlink>
        </w:p>
        <w:p w14:paraId="094C85FA" w14:textId="2D10AB6C" w:rsidR="00713067" w:rsidRDefault="00713067">
          <w:pPr>
            <w:pStyle w:val="TOC1"/>
            <w:tabs>
              <w:tab w:val="right" w:leader="dot" w:pos="9638"/>
            </w:tabs>
            <w:rPr>
              <w:rFonts w:asciiTheme="minorHAnsi" w:hAnsiTheme="minorHAnsi"/>
              <w:noProof/>
              <w:kern w:val="2"/>
              <w:sz w:val="24"/>
              <w:szCs w:val="24"/>
              <w:lang w:val="en-GB" w:eastAsia="en-GB"/>
              <w14:ligatures w14:val="standardContextual"/>
            </w:rPr>
          </w:pPr>
          <w:hyperlink w:anchor="_Toc237467801" w:history="1">
            <w:r w:rsidRPr="000711ED">
              <w:rPr>
                <w:rStyle w:val="Hyperlink"/>
                <w:noProof/>
              </w:rPr>
              <w:t>4. Mitigation Measures</w:t>
            </w:r>
            <w:r>
              <w:rPr>
                <w:noProof/>
                <w:webHidden/>
              </w:rPr>
              <w:tab/>
            </w:r>
            <w:r>
              <w:rPr>
                <w:noProof/>
                <w:webHidden/>
              </w:rPr>
              <w:fldChar w:fldCharType="begin"/>
            </w:r>
            <w:r>
              <w:rPr>
                <w:noProof/>
                <w:webHidden/>
              </w:rPr>
              <w:instrText xml:space="preserve"> PAGEREF _Toc237467801 \h </w:instrText>
            </w:r>
            <w:r>
              <w:rPr>
                <w:noProof/>
                <w:webHidden/>
              </w:rPr>
            </w:r>
            <w:r>
              <w:rPr>
                <w:noProof/>
                <w:webHidden/>
              </w:rPr>
              <w:fldChar w:fldCharType="separate"/>
            </w:r>
            <w:r>
              <w:rPr>
                <w:noProof/>
                <w:webHidden/>
              </w:rPr>
              <w:t>9</w:t>
            </w:r>
            <w:r>
              <w:rPr>
                <w:noProof/>
                <w:webHidden/>
              </w:rPr>
              <w:fldChar w:fldCharType="end"/>
            </w:r>
          </w:hyperlink>
        </w:p>
        <w:p w14:paraId="57BC8064" w14:textId="0647B51C"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802" w:history="1">
            <w:r w:rsidRPr="000711ED">
              <w:rPr>
                <w:rStyle w:val="Hyperlink"/>
                <w:noProof/>
              </w:rPr>
              <w:t>4.1 Technical Controls</w:t>
            </w:r>
            <w:r>
              <w:rPr>
                <w:noProof/>
                <w:webHidden/>
              </w:rPr>
              <w:tab/>
            </w:r>
            <w:r>
              <w:rPr>
                <w:noProof/>
                <w:webHidden/>
              </w:rPr>
              <w:fldChar w:fldCharType="begin"/>
            </w:r>
            <w:r>
              <w:rPr>
                <w:noProof/>
                <w:webHidden/>
              </w:rPr>
              <w:instrText xml:space="preserve"> PAGEREF _Toc237467802 \h </w:instrText>
            </w:r>
            <w:r>
              <w:rPr>
                <w:noProof/>
                <w:webHidden/>
              </w:rPr>
            </w:r>
            <w:r>
              <w:rPr>
                <w:noProof/>
                <w:webHidden/>
              </w:rPr>
              <w:fldChar w:fldCharType="separate"/>
            </w:r>
            <w:r>
              <w:rPr>
                <w:noProof/>
                <w:webHidden/>
              </w:rPr>
              <w:t>9</w:t>
            </w:r>
            <w:r>
              <w:rPr>
                <w:noProof/>
                <w:webHidden/>
              </w:rPr>
              <w:fldChar w:fldCharType="end"/>
            </w:r>
          </w:hyperlink>
        </w:p>
        <w:p w14:paraId="75965B7C" w14:textId="5A5215B4"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803" w:history="1">
            <w:r w:rsidRPr="000711ED">
              <w:rPr>
                <w:rStyle w:val="Hyperlink"/>
                <w:noProof/>
              </w:rPr>
              <w:t>4.2 Administrative and Physical Controls</w:t>
            </w:r>
            <w:r>
              <w:rPr>
                <w:noProof/>
                <w:webHidden/>
              </w:rPr>
              <w:tab/>
            </w:r>
            <w:r>
              <w:rPr>
                <w:noProof/>
                <w:webHidden/>
              </w:rPr>
              <w:fldChar w:fldCharType="begin"/>
            </w:r>
            <w:r>
              <w:rPr>
                <w:noProof/>
                <w:webHidden/>
              </w:rPr>
              <w:instrText xml:space="preserve"> PAGEREF _Toc237467803 \h </w:instrText>
            </w:r>
            <w:r>
              <w:rPr>
                <w:noProof/>
                <w:webHidden/>
              </w:rPr>
            </w:r>
            <w:r>
              <w:rPr>
                <w:noProof/>
                <w:webHidden/>
              </w:rPr>
              <w:fldChar w:fldCharType="separate"/>
            </w:r>
            <w:r>
              <w:rPr>
                <w:noProof/>
                <w:webHidden/>
              </w:rPr>
              <w:t>10</w:t>
            </w:r>
            <w:r>
              <w:rPr>
                <w:noProof/>
                <w:webHidden/>
              </w:rPr>
              <w:fldChar w:fldCharType="end"/>
            </w:r>
          </w:hyperlink>
        </w:p>
        <w:p w14:paraId="2440981D" w14:textId="11068AC8" w:rsidR="00713067" w:rsidRDefault="00713067">
          <w:pPr>
            <w:pStyle w:val="TOC1"/>
            <w:tabs>
              <w:tab w:val="right" w:leader="dot" w:pos="9638"/>
            </w:tabs>
            <w:rPr>
              <w:rFonts w:asciiTheme="minorHAnsi" w:hAnsiTheme="minorHAnsi"/>
              <w:noProof/>
              <w:kern w:val="2"/>
              <w:sz w:val="24"/>
              <w:szCs w:val="24"/>
              <w:lang w:val="en-GB" w:eastAsia="en-GB"/>
              <w14:ligatures w14:val="standardContextual"/>
            </w:rPr>
          </w:pPr>
          <w:hyperlink w:anchor="_Toc237467804" w:history="1">
            <w:r w:rsidRPr="000711ED">
              <w:rPr>
                <w:rStyle w:val="Hyperlink"/>
                <w:noProof/>
              </w:rPr>
              <w:t>5. Monitoring and Incident Response</w:t>
            </w:r>
            <w:r>
              <w:rPr>
                <w:noProof/>
                <w:webHidden/>
              </w:rPr>
              <w:tab/>
            </w:r>
            <w:r>
              <w:rPr>
                <w:noProof/>
                <w:webHidden/>
              </w:rPr>
              <w:fldChar w:fldCharType="begin"/>
            </w:r>
            <w:r>
              <w:rPr>
                <w:noProof/>
                <w:webHidden/>
              </w:rPr>
              <w:instrText xml:space="preserve"> PAGEREF _Toc237467804 \h </w:instrText>
            </w:r>
            <w:r>
              <w:rPr>
                <w:noProof/>
                <w:webHidden/>
              </w:rPr>
            </w:r>
            <w:r>
              <w:rPr>
                <w:noProof/>
                <w:webHidden/>
              </w:rPr>
              <w:fldChar w:fldCharType="separate"/>
            </w:r>
            <w:r>
              <w:rPr>
                <w:noProof/>
                <w:webHidden/>
              </w:rPr>
              <w:t>11</w:t>
            </w:r>
            <w:r>
              <w:rPr>
                <w:noProof/>
                <w:webHidden/>
              </w:rPr>
              <w:fldChar w:fldCharType="end"/>
            </w:r>
          </w:hyperlink>
        </w:p>
        <w:p w14:paraId="5D1851F2" w14:textId="776F3C66"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805" w:history="1">
            <w:r w:rsidRPr="000711ED">
              <w:rPr>
                <w:rStyle w:val="Hyperlink"/>
                <w:noProof/>
              </w:rPr>
              <w:t>5.1 Network Monitoring</w:t>
            </w:r>
            <w:r>
              <w:rPr>
                <w:noProof/>
                <w:webHidden/>
              </w:rPr>
              <w:tab/>
            </w:r>
            <w:r>
              <w:rPr>
                <w:noProof/>
                <w:webHidden/>
              </w:rPr>
              <w:fldChar w:fldCharType="begin"/>
            </w:r>
            <w:r>
              <w:rPr>
                <w:noProof/>
                <w:webHidden/>
              </w:rPr>
              <w:instrText xml:space="preserve"> PAGEREF _Toc237467805 \h </w:instrText>
            </w:r>
            <w:r>
              <w:rPr>
                <w:noProof/>
                <w:webHidden/>
              </w:rPr>
            </w:r>
            <w:r>
              <w:rPr>
                <w:noProof/>
                <w:webHidden/>
              </w:rPr>
              <w:fldChar w:fldCharType="separate"/>
            </w:r>
            <w:r>
              <w:rPr>
                <w:noProof/>
                <w:webHidden/>
              </w:rPr>
              <w:t>11</w:t>
            </w:r>
            <w:r>
              <w:rPr>
                <w:noProof/>
                <w:webHidden/>
              </w:rPr>
              <w:fldChar w:fldCharType="end"/>
            </w:r>
          </w:hyperlink>
        </w:p>
        <w:p w14:paraId="090CA0B6" w14:textId="50B89804"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806" w:history="1">
            <w:r w:rsidRPr="000711ED">
              <w:rPr>
                <w:rStyle w:val="Hyperlink"/>
                <w:noProof/>
              </w:rPr>
              <w:t>5.2 Incident Response</w:t>
            </w:r>
            <w:r>
              <w:rPr>
                <w:noProof/>
                <w:webHidden/>
              </w:rPr>
              <w:tab/>
            </w:r>
            <w:r>
              <w:rPr>
                <w:noProof/>
                <w:webHidden/>
              </w:rPr>
              <w:fldChar w:fldCharType="begin"/>
            </w:r>
            <w:r>
              <w:rPr>
                <w:noProof/>
                <w:webHidden/>
              </w:rPr>
              <w:instrText xml:space="preserve"> PAGEREF _Toc237467806 \h </w:instrText>
            </w:r>
            <w:r>
              <w:rPr>
                <w:noProof/>
                <w:webHidden/>
              </w:rPr>
            </w:r>
            <w:r>
              <w:rPr>
                <w:noProof/>
                <w:webHidden/>
              </w:rPr>
              <w:fldChar w:fldCharType="separate"/>
            </w:r>
            <w:r>
              <w:rPr>
                <w:noProof/>
                <w:webHidden/>
              </w:rPr>
              <w:t>11</w:t>
            </w:r>
            <w:r>
              <w:rPr>
                <w:noProof/>
                <w:webHidden/>
              </w:rPr>
              <w:fldChar w:fldCharType="end"/>
            </w:r>
          </w:hyperlink>
        </w:p>
        <w:p w14:paraId="447E19E5" w14:textId="009B8938"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807" w:history="1">
            <w:r w:rsidRPr="000711ED">
              <w:rPr>
                <w:rStyle w:val="Hyperlink"/>
                <w:noProof/>
              </w:rPr>
              <w:t>6. Training and Awareness</w:t>
            </w:r>
            <w:r>
              <w:rPr>
                <w:noProof/>
                <w:webHidden/>
              </w:rPr>
              <w:tab/>
            </w:r>
            <w:r>
              <w:rPr>
                <w:noProof/>
                <w:webHidden/>
              </w:rPr>
              <w:fldChar w:fldCharType="begin"/>
            </w:r>
            <w:r>
              <w:rPr>
                <w:noProof/>
                <w:webHidden/>
              </w:rPr>
              <w:instrText xml:space="preserve"> PAGEREF _Toc237467807 \h </w:instrText>
            </w:r>
            <w:r>
              <w:rPr>
                <w:noProof/>
                <w:webHidden/>
              </w:rPr>
            </w:r>
            <w:r>
              <w:rPr>
                <w:noProof/>
                <w:webHidden/>
              </w:rPr>
              <w:fldChar w:fldCharType="separate"/>
            </w:r>
            <w:r>
              <w:rPr>
                <w:noProof/>
                <w:webHidden/>
              </w:rPr>
              <w:t>12</w:t>
            </w:r>
            <w:r>
              <w:rPr>
                <w:noProof/>
                <w:webHidden/>
              </w:rPr>
              <w:fldChar w:fldCharType="end"/>
            </w:r>
          </w:hyperlink>
        </w:p>
        <w:p w14:paraId="34B42D60" w14:textId="1A889EB0" w:rsidR="00713067" w:rsidRDefault="00713067">
          <w:pPr>
            <w:pStyle w:val="TOC1"/>
            <w:tabs>
              <w:tab w:val="right" w:leader="dot" w:pos="9638"/>
            </w:tabs>
            <w:rPr>
              <w:rFonts w:asciiTheme="minorHAnsi" w:hAnsiTheme="minorHAnsi"/>
              <w:noProof/>
              <w:kern w:val="2"/>
              <w:sz w:val="24"/>
              <w:szCs w:val="24"/>
              <w:lang w:val="en-GB" w:eastAsia="en-GB"/>
              <w14:ligatures w14:val="standardContextual"/>
            </w:rPr>
          </w:pPr>
          <w:hyperlink w:anchor="_Toc237467808" w:history="1">
            <w:r w:rsidRPr="000711ED">
              <w:rPr>
                <w:rStyle w:val="Hyperlink"/>
                <w:noProof/>
              </w:rPr>
              <w:t>7. Conclusion</w:t>
            </w:r>
            <w:r>
              <w:rPr>
                <w:noProof/>
                <w:webHidden/>
              </w:rPr>
              <w:tab/>
            </w:r>
            <w:r>
              <w:rPr>
                <w:noProof/>
                <w:webHidden/>
              </w:rPr>
              <w:fldChar w:fldCharType="begin"/>
            </w:r>
            <w:r>
              <w:rPr>
                <w:noProof/>
                <w:webHidden/>
              </w:rPr>
              <w:instrText xml:space="preserve"> PAGEREF _Toc237467808 \h </w:instrText>
            </w:r>
            <w:r>
              <w:rPr>
                <w:noProof/>
                <w:webHidden/>
              </w:rPr>
            </w:r>
            <w:r>
              <w:rPr>
                <w:noProof/>
                <w:webHidden/>
              </w:rPr>
              <w:fldChar w:fldCharType="separate"/>
            </w:r>
            <w:r>
              <w:rPr>
                <w:noProof/>
                <w:webHidden/>
              </w:rPr>
              <w:t>12</w:t>
            </w:r>
            <w:r>
              <w:rPr>
                <w:noProof/>
                <w:webHidden/>
              </w:rPr>
              <w:fldChar w:fldCharType="end"/>
            </w:r>
          </w:hyperlink>
        </w:p>
        <w:p w14:paraId="7F3D84C7" w14:textId="58C2CC69" w:rsidR="00713067" w:rsidRDefault="00713067">
          <w:pPr>
            <w:pStyle w:val="TOC1"/>
            <w:tabs>
              <w:tab w:val="right" w:leader="dot" w:pos="9638"/>
            </w:tabs>
            <w:rPr>
              <w:rFonts w:asciiTheme="minorHAnsi" w:hAnsiTheme="minorHAnsi"/>
              <w:noProof/>
              <w:kern w:val="2"/>
              <w:sz w:val="24"/>
              <w:szCs w:val="24"/>
              <w:lang w:val="en-GB" w:eastAsia="en-GB"/>
              <w14:ligatures w14:val="standardContextual"/>
            </w:rPr>
          </w:pPr>
          <w:hyperlink w:anchor="_Toc237467809" w:history="1">
            <w:r w:rsidRPr="000711ED">
              <w:rPr>
                <w:rStyle w:val="Hyperlink"/>
                <w:noProof/>
                <w:lang w:val="en-GB"/>
              </w:rPr>
              <w:t>References</w:t>
            </w:r>
            <w:r>
              <w:rPr>
                <w:noProof/>
                <w:webHidden/>
              </w:rPr>
              <w:tab/>
            </w:r>
            <w:r>
              <w:rPr>
                <w:noProof/>
                <w:webHidden/>
              </w:rPr>
              <w:fldChar w:fldCharType="begin"/>
            </w:r>
            <w:r>
              <w:rPr>
                <w:noProof/>
                <w:webHidden/>
              </w:rPr>
              <w:instrText xml:space="preserve"> PAGEREF _Toc237467809 \h </w:instrText>
            </w:r>
            <w:r>
              <w:rPr>
                <w:noProof/>
                <w:webHidden/>
              </w:rPr>
            </w:r>
            <w:r>
              <w:rPr>
                <w:noProof/>
                <w:webHidden/>
              </w:rPr>
              <w:fldChar w:fldCharType="separate"/>
            </w:r>
            <w:r>
              <w:rPr>
                <w:noProof/>
                <w:webHidden/>
              </w:rPr>
              <w:t>13</w:t>
            </w:r>
            <w:r>
              <w:rPr>
                <w:noProof/>
                <w:webHidden/>
              </w:rPr>
              <w:fldChar w:fldCharType="end"/>
            </w:r>
          </w:hyperlink>
        </w:p>
        <w:p w14:paraId="761BBC61" w14:textId="6C209599" w:rsidR="00713067" w:rsidRDefault="00713067">
          <w:pPr>
            <w:pStyle w:val="TOC1"/>
            <w:tabs>
              <w:tab w:val="right" w:leader="dot" w:pos="9638"/>
            </w:tabs>
            <w:rPr>
              <w:rFonts w:asciiTheme="minorHAnsi" w:hAnsiTheme="minorHAnsi"/>
              <w:noProof/>
              <w:kern w:val="2"/>
              <w:sz w:val="24"/>
              <w:szCs w:val="24"/>
              <w:lang w:val="en-GB" w:eastAsia="en-GB"/>
              <w14:ligatures w14:val="standardContextual"/>
            </w:rPr>
          </w:pPr>
          <w:hyperlink w:anchor="_Toc237467810" w:history="1">
            <w:r w:rsidRPr="000711ED">
              <w:rPr>
                <w:rStyle w:val="Hyperlink"/>
                <w:noProof/>
              </w:rPr>
              <w:t>Appendices</w:t>
            </w:r>
            <w:r>
              <w:rPr>
                <w:noProof/>
                <w:webHidden/>
              </w:rPr>
              <w:tab/>
            </w:r>
            <w:r>
              <w:rPr>
                <w:noProof/>
                <w:webHidden/>
              </w:rPr>
              <w:fldChar w:fldCharType="begin"/>
            </w:r>
            <w:r>
              <w:rPr>
                <w:noProof/>
                <w:webHidden/>
              </w:rPr>
              <w:instrText xml:space="preserve"> PAGEREF _Toc237467810 \h </w:instrText>
            </w:r>
            <w:r>
              <w:rPr>
                <w:noProof/>
                <w:webHidden/>
              </w:rPr>
            </w:r>
            <w:r>
              <w:rPr>
                <w:noProof/>
                <w:webHidden/>
              </w:rPr>
              <w:fldChar w:fldCharType="separate"/>
            </w:r>
            <w:r>
              <w:rPr>
                <w:noProof/>
                <w:webHidden/>
              </w:rPr>
              <w:t>16</w:t>
            </w:r>
            <w:r>
              <w:rPr>
                <w:noProof/>
                <w:webHidden/>
              </w:rPr>
              <w:fldChar w:fldCharType="end"/>
            </w:r>
          </w:hyperlink>
        </w:p>
        <w:p w14:paraId="2116B945" w14:textId="6A91ABA0" w:rsidR="00713067" w:rsidRDefault="00713067">
          <w:pPr>
            <w:pStyle w:val="TOC2"/>
            <w:tabs>
              <w:tab w:val="right" w:leader="dot" w:pos="9638"/>
            </w:tabs>
            <w:rPr>
              <w:rFonts w:asciiTheme="minorHAnsi" w:hAnsiTheme="minorHAnsi"/>
              <w:noProof/>
              <w:kern w:val="2"/>
              <w:sz w:val="24"/>
              <w:szCs w:val="24"/>
              <w:lang w:val="en-GB" w:eastAsia="en-GB"/>
              <w14:ligatures w14:val="standardContextual"/>
            </w:rPr>
          </w:pPr>
          <w:hyperlink w:anchor="_Toc237467811" w:history="1">
            <w:r w:rsidRPr="000711ED">
              <w:rPr>
                <w:rStyle w:val="Hyperlink"/>
                <w:noProof/>
              </w:rPr>
              <w:t>Appendix A – Board of Directors Presentation</w:t>
            </w:r>
            <w:r>
              <w:rPr>
                <w:noProof/>
                <w:webHidden/>
              </w:rPr>
              <w:tab/>
            </w:r>
            <w:r>
              <w:rPr>
                <w:noProof/>
                <w:webHidden/>
              </w:rPr>
              <w:fldChar w:fldCharType="begin"/>
            </w:r>
            <w:r>
              <w:rPr>
                <w:noProof/>
                <w:webHidden/>
              </w:rPr>
              <w:instrText xml:space="preserve"> PAGEREF _Toc237467811 \h </w:instrText>
            </w:r>
            <w:r>
              <w:rPr>
                <w:noProof/>
                <w:webHidden/>
              </w:rPr>
            </w:r>
            <w:r>
              <w:rPr>
                <w:noProof/>
                <w:webHidden/>
              </w:rPr>
              <w:fldChar w:fldCharType="separate"/>
            </w:r>
            <w:r>
              <w:rPr>
                <w:noProof/>
                <w:webHidden/>
              </w:rPr>
              <w:t>16</w:t>
            </w:r>
            <w:r>
              <w:rPr>
                <w:noProof/>
                <w:webHidden/>
              </w:rPr>
              <w:fldChar w:fldCharType="end"/>
            </w:r>
          </w:hyperlink>
        </w:p>
        <w:p w14:paraId="2B2B3D41" w14:textId="77777777" w:rsidR="00713067" w:rsidRDefault="00713067">
          <w:pPr>
            <w:rPr>
              <w:b/>
              <w:bCs/>
            </w:rPr>
          </w:pPr>
          <w:r>
            <w:rPr>
              <w:b/>
              <w:bCs/>
            </w:rPr>
            <w:fldChar w:fldCharType="end"/>
          </w:r>
        </w:p>
        <w:p w14:paraId="1C6365BC" w14:textId="77777777" w:rsidR="00713067" w:rsidRDefault="00713067">
          <w:pPr>
            <w:rPr>
              <w:b/>
              <w:bCs/>
            </w:rPr>
          </w:pPr>
        </w:p>
        <w:p w14:paraId="1353AF9A" w14:textId="77777777" w:rsidR="00713067" w:rsidRDefault="00713067">
          <w:pPr>
            <w:rPr>
              <w:b/>
              <w:bCs/>
            </w:rPr>
          </w:pPr>
        </w:p>
        <w:p w14:paraId="401339B4" w14:textId="2C42A228" w:rsidR="00713067" w:rsidRDefault="00713067"/>
      </w:sdtContent>
    </w:sdt>
    <w:p w14:paraId="1E12B6E9" w14:textId="77777777" w:rsidR="002B7E55" w:rsidRDefault="002B7E55" w:rsidP="002B7E55">
      <w:pPr>
        <w:pStyle w:val="Heading1"/>
        <w:numPr>
          <w:ilvl w:val="0"/>
          <w:numId w:val="1"/>
        </w:numPr>
        <w:tabs>
          <w:tab w:val="num" w:pos="360"/>
        </w:tabs>
        <w:ind w:left="0" w:firstLine="0"/>
      </w:pPr>
      <w:bookmarkStart w:id="0" w:name="_Toc237467792"/>
      <w:r>
        <w:lastRenderedPageBreak/>
        <w:t>Introduction</w:t>
      </w:r>
      <w:bookmarkEnd w:id="0"/>
    </w:p>
    <w:p w14:paraId="4EFFBAD9" w14:textId="7D8D03A1" w:rsidR="002B7E55" w:rsidRPr="004F3209" w:rsidRDefault="002B7E55" w:rsidP="002B7E55">
      <w:r w:rsidRPr="004F3209">
        <w:t xml:space="preserve">SFM ranks among the middle-sized producers of engineered components for both automotive and aerospace industries. The company has adopted the </w:t>
      </w:r>
      <w:proofErr w:type="gramStart"/>
      <w:r w:rsidRPr="004F3209">
        <w:t>Industry</w:t>
      </w:r>
      <w:proofErr w:type="gramEnd"/>
      <w:r w:rsidRPr="004F3209">
        <w:t xml:space="preserve"> 4.0 technologies, like IoT-based sensors, automated machines, and cloud-based production management systems. While new technologies have simplified and enhanced manufacturing processes, they have exposed greater number of devices and systems to cyber threats.</w:t>
      </w:r>
      <w:sdt>
        <w:sdtPr>
          <w:id w:val="1793481114"/>
          <w:citation/>
        </w:sdtPr>
        <w:sdtEndPr/>
        <w:sdtContent>
          <w:r>
            <w:fldChar w:fldCharType="begin"/>
          </w:r>
          <w:r>
            <w:rPr>
              <w:lang w:val="en-GB"/>
            </w:rPr>
            <w:instrText xml:space="preserve"> CITATION Nat24 \l 2057 </w:instrText>
          </w:r>
          <w:r>
            <w:fldChar w:fldCharType="separate"/>
          </w:r>
          <w:r>
            <w:rPr>
              <w:noProof/>
              <w:lang w:val="en-GB"/>
            </w:rPr>
            <w:t xml:space="preserve"> </w:t>
          </w:r>
          <w:r w:rsidRPr="00B04F30">
            <w:rPr>
              <w:noProof/>
              <w:lang w:val="en-GB"/>
            </w:rPr>
            <w:t>[1]</w:t>
          </w:r>
          <w:r>
            <w:fldChar w:fldCharType="end"/>
          </w:r>
        </w:sdtContent>
      </w:sdt>
      <w:r w:rsidR="004666D2">
        <w:rPr>
          <w:noProof/>
          <w14:ligatures w14:val="standardContextual"/>
        </w:rPr>
        <w:drawing>
          <wp:inline distT="0" distB="0" distL="0" distR="0" wp14:anchorId="5B5F5B85" wp14:editId="337C0785">
            <wp:extent cx="5872162" cy="2483485"/>
            <wp:effectExtent l="0" t="0" r="0" b="0"/>
            <wp:docPr id="1641452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52770" name="Picture 1641452770"/>
                    <pic:cNvPicPr/>
                  </pic:nvPicPr>
                  <pic:blipFill>
                    <a:blip r:embed="rId9">
                      <a:extLst>
                        <a:ext uri="{28A0092B-C50C-407E-A947-70E740481C1C}">
                          <a14:useLocalDpi xmlns:a14="http://schemas.microsoft.com/office/drawing/2010/main" val="0"/>
                        </a:ext>
                      </a:extLst>
                    </a:blip>
                    <a:stretch>
                      <a:fillRect/>
                    </a:stretch>
                  </pic:blipFill>
                  <pic:spPr>
                    <a:xfrm>
                      <a:off x="0" y="0"/>
                      <a:ext cx="5915344" cy="2501748"/>
                    </a:xfrm>
                    <a:prstGeom prst="rect">
                      <a:avLst/>
                    </a:prstGeom>
                  </pic:spPr>
                </pic:pic>
              </a:graphicData>
            </a:graphic>
          </wp:inline>
        </w:drawing>
      </w:r>
      <w:r w:rsidR="004666D2">
        <w:br/>
      </w:r>
      <w:r w:rsidR="004666D2" w:rsidRPr="005A2B24">
        <w:rPr>
          <w:b/>
          <w:bCs/>
          <w:color w:val="80340D" w:themeColor="accent2" w:themeShade="80"/>
          <w:sz w:val="26"/>
          <w:szCs w:val="26"/>
        </w:rPr>
        <w:t>Figure 1.</w:t>
      </w:r>
      <w:r w:rsidR="004666D2" w:rsidRPr="005A2B24">
        <w:rPr>
          <w:color w:val="80340D" w:themeColor="accent2" w:themeShade="80"/>
          <w:sz w:val="26"/>
          <w:szCs w:val="26"/>
        </w:rPr>
        <w:t xml:space="preserve"> Smart manufacturing technologies used in Industry 4.0.</w:t>
      </w:r>
    </w:p>
    <w:p w14:paraId="43AFE522" w14:textId="77777777" w:rsidR="002B7E55" w:rsidRPr="004F3209" w:rsidRDefault="002B7E55" w:rsidP="002B7E55">
      <w:r w:rsidRPr="004F3209">
        <w:t xml:space="preserve">Recently, SFM has faced several cyber security challenges, including malware infections, phishing attacks aimed at the procurement department employees, and attempts to </w:t>
      </w:r>
      <w:proofErr w:type="gramStart"/>
      <w:r w:rsidRPr="004F3209">
        <w:t>penetrate to</w:t>
      </w:r>
      <w:proofErr w:type="gramEnd"/>
      <w:r w:rsidRPr="004F3209">
        <w:t xml:space="preserve"> the manufacturing network. These challenges are critical for the manufacturing industry since cyberattacks may lead to data breaches, disruption of production processes, or even cease production altogether. </w:t>
      </w:r>
      <w:sdt>
        <w:sdtPr>
          <w:id w:val="455221809"/>
          <w:citation/>
        </w:sdtPr>
        <w:sdtEndPr/>
        <w:sdtContent>
          <w:r>
            <w:fldChar w:fldCharType="begin"/>
          </w:r>
          <w:r>
            <w:rPr>
              <w:lang w:val="en-GB"/>
            </w:rPr>
            <w:instrText xml:space="preserve"> CITATION Nat241 \l 2057 </w:instrText>
          </w:r>
          <w:r>
            <w:fldChar w:fldCharType="separate"/>
          </w:r>
          <w:r w:rsidRPr="00B04F30">
            <w:rPr>
              <w:noProof/>
              <w:lang w:val="en-GB"/>
            </w:rPr>
            <w:t>[2]</w:t>
          </w:r>
          <w:r>
            <w:fldChar w:fldCharType="end"/>
          </w:r>
        </w:sdtContent>
      </w:sdt>
      <w:r>
        <w:t xml:space="preserve"> </w:t>
      </w:r>
      <w:r w:rsidRPr="004F3209">
        <w:t>Moreover, company’s top executives are concerned about industrial espionage.</w:t>
      </w:r>
    </w:p>
    <w:p w14:paraId="4DF61C12" w14:textId="77777777" w:rsidR="002B7E55" w:rsidRDefault="002B7E55" w:rsidP="002B7E55">
      <w:r w:rsidRPr="004F3209">
        <w:t>The document investigates internal and external cyber threats SFM faces, as well as actions that can be taken against them. The paper describes how the company can monitor networks and respond to incidents as well as conduct training for its employees.</w:t>
      </w:r>
    </w:p>
    <w:p w14:paraId="26606759" w14:textId="79D9A30F" w:rsidR="004666D2" w:rsidRDefault="004666D2" w:rsidP="002B7E55"/>
    <w:p w14:paraId="4CEF6E82" w14:textId="77777777" w:rsidR="00713067" w:rsidRPr="004F3209" w:rsidRDefault="00713067" w:rsidP="002B7E55"/>
    <w:p w14:paraId="759FCCC1" w14:textId="77777777" w:rsidR="002B7E55" w:rsidRDefault="002B7E55" w:rsidP="002B7E55">
      <w:pPr>
        <w:pStyle w:val="Heading1"/>
      </w:pPr>
      <w:bookmarkStart w:id="1" w:name="_Toc237467793"/>
      <w:r>
        <w:lastRenderedPageBreak/>
        <w:t>2. Identification of Threats</w:t>
      </w:r>
      <w:bookmarkEnd w:id="1"/>
    </w:p>
    <w:p w14:paraId="0E7F0FBD" w14:textId="77777777" w:rsidR="002B7E55" w:rsidRDefault="002B7E55" w:rsidP="002B7E55"/>
    <w:p w14:paraId="6F659463" w14:textId="6AA2A7FC" w:rsidR="002B7E55" w:rsidRPr="004F3209" w:rsidRDefault="002B7E55" w:rsidP="002B7E55">
      <w:r w:rsidRPr="004F3209">
        <w:t>The growing adoption of connected manufacturing technology by SFM results in a significant increase in the number of cybersecurity risks to the organization and its production environment. These threats may be internal (involving employees, or combinations of access privileges and human mistakes) and external (coming from hackers and other criminals). Identifying risks is necessary, as a successful attack can lead to a compromise of data, connected manufacturing systems, and production processes.</w:t>
      </w:r>
    </w:p>
    <w:p w14:paraId="26FA850A" w14:textId="77777777" w:rsidR="002B7E55" w:rsidRDefault="002B7E55" w:rsidP="002B7E55">
      <w:pPr>
        <w:pStyle w:val="Heading2"/>
      </w:pPr>
      <w:bookmarkStart w:id="2" w:name="_Toc237467794"/>
      <w:r>
        <w:t>2.1 Internal Threats</w:t>
      </w:r>
      <w:bookmarkEnd w:id="2"/>
    </w:p>
    <w:p w14:paraId="73CE99D6" w14:textId="77777777" w:rsidR="002B7E55" w:rsidRDefault="002B7E55" w:rsidP="002B7E55">
      <w:r>
        <w:t xml:space="preserve">The internal cyber threats may arise from employees, contractors, human errors, and failure in the system management of company access. </w:t>
      </w:r>
      <w:sdt>
        <w:sdtPr>
          <w:id w:val="-1787341624"/>
          <w:citation/>
        </w:sdtPr>
        <w:sdtEndPr/>
        <w:sdtContent>
          <w:r>
            <w:fldChar w:fldCharType="begin"/>
          </w:r>
          <w:r>
            <w:rPr>
              <w:lang w:val="tr-TR"/>
            </w:rPr>
            <w:instrText xml:space="preserve"> CITATION Cyb23 \l 1055 </w:instrText>
          </w:r>
          <w:r>
            <w:fldChar w:fldCharType="separate"/>
          </w:r>
          <w:r w:rsidRPr="00B04F30">
            <w:rPr>
              <w:noProof/>
              <w:lang w:val="tr-TR"/>
            </w:rPr>
            <w:t>[3]</w:t>
          </w:r>
          <w:r>
            <w:fldChar w:fldCharType="end"/>
          </w:r>
        </w:sdtContent>
      </w:sdt>
      <w:r>
        <w:t xml:space="preserve"> The human factor is essential in SFM's case since employees use email, cloud, and connected production systems daily. For example, the employee might receive email with a virus or leak some confidential information and thus allow the attacker access to the company's system.</w:t>
      </w:r>
    </w:p>
    <w:p w14:paraId="6FE85C29" w14:textId="51CBCCB3" w:rsidR="008E5915" w:rsidRDefault="008E5915" w:rsidP="002B7E55">
      <w:r>
        <w:rPr>
          <w:noProof/>
          <w14:ligatures w14:val="standardContextual"/>
        </w:rPr>
        <w:drawing>
          <wp:inline distT="0" distB="0" distL="0" distR="0" wp14:anchorId="1278C832" wp14:editId="7D135D97">
            <wp:extent cx="2757487" cy="3718634"/>
            <wp:effectExtent l="0" t="0" r="5080" b="0"/>
            <wp:docPr id="16913873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387327" name="Picture 169138732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80286" cy="3749379"/>
                    </a:xfrm>
                    <a:prstGeom prst="rect">
                      <a:avLst/>
                    </a:prstGeom>
                  </pic:spPr>
                </pic:pic>
              </a:graphicData>
            </a:graphic>
          </wp:inline>
        </w:drawing>
      </w:r>
    </w:p>
    <w:p w14:paraId="74BF63A2" w14:textId="703E87BE" w:rsidR="00FA323F" w:rsidRDefault="005A2B24" w:rsidP="002B7E55">
      <w:pPr>
        <w:rPr>
          <w:color w:val="80340D" w:themeColor="accent2" w:themeShade="80"/>
          <w:sz w:val="26"/>
          <w:szCs w:val="26"/>
        </w:rPr>
      </w:pPr>
      <w:r w:rsidRPr="005A2B24">
        <w:rPr>
          <w:b/>
          <w:bCs/>
          <w:color w:val="80340D" w:themeColor="accent2" w:themeShade="80"/>
          <w:sz w:val="26"/>
          <w:szCs w:val="26"/>
        </w:rPr>
        <w:t>Figure 2.</w:t>
      </w:r>
      <w:r w:rsidRPr="005A2B24">
        <w:rPr>
          <w:color w:val="80340D" w:themeColor="accent2" w:themeShade="80"/>
          <w:sz w:val="26"/>
          <w:szCs w:val="26"/>
        </w:rPr>
        <w:t xml:space="preserve"> Common phishing and social engineering threats.</w:t>
      </w:r>
    </w:p>
    <w:p w14:paraId="690B2067" w14:textId="77777777" w:rsidR="005A2B24" w:rsidRDefault="005A2B24" w:rsidP="002B7E55">
      <w:pPr>
        <w:rPr>
          <w:color w:val="80340D" w:themeColor="accent2" w:themeShade="80"/>
          <w:sz w:val="26"/>
          <w:szCs w:val="26"/>
        </w:rPr>
      </w:pPr>
    </w:p>
    <w:p w14:paraId="39D9C044" w14:textId="77777777" w:rsidR="005A2B24" w:rsidRPr="005A2B24" w:rsidRDefault="005A2B24" w:rsidP="002B7E55">
      <w:pPr>
        <w:rPr>
          <w:color w:val="80340D" w:themeColor="accent2" w:themeShade="80"/>
          <w:sz w:val="26"/>
          <w:szCs w:val="26"/>
        </w:rPr>
      </w:pPr>
    </w:p>
    <w:p w14:paraId="57F09257" w14:textId="77777777" w:rsidR="002B7E55" w:rsidRDefault="002B7E55" w:rsidP="002B7E55">
      <w:r>
        <w:t xml:space="preserve">Another prospective risk is related to insider threats since the information is being intentionally misused by employees or contractors with the right to access it or automatically leaked because of some unintentional actions taken by people. This risk might grow twice as high if a person acquires access to the system or the information that is unnecessary for his/her work. </w:t>
      </w:r>
      <w:sdt>
        <w:sdtPr>
          <w:id w:val="1580412241"/>
          <w:citation/>
        </w:sdtPr>
        <w:sdtEndPr/>
        <w:sdtContent>
          <w:r>
            <w:fldChar w:fldCharType="begin"/>
          </w:r>
          <w:r>
            <w:rPr>
              <w:lang w:val="tr-TR"/>
            </w:rPr>
            <w:instrText xml:space="preserve"> CITATION Nat20 \l 1055 </w:instrText>
          </w:r>
          <w:r>
            <w:fldChar w:fldCharType="separate"/>
          </w:r>
          <w:r w:rsidRPr="00A62904">
            <w:rPr>
              <w:noProof/>
              <w:lang w:val="tr-TR"/>
            </w:rPr>
            <w:t>[4]</w:t>
          </w:r>
          <w:r>
            <w:fldChar w:fldCharType="end"/>
          </w:r>
        </w:sdtContent>
      </w:sdt>
    </w:p>
    <w:p w14:paraId="432AE727" w14:textId="77777777" w:rsidR="002B7E55" w:rsidRPr="004F3209" w:rsidRDefault="002B7E55" w:rsidP="002B7E55">
      <w:r>
        <w:t xml:space="preserve">Also, the lack of good access control and system misconfiguration can worsen SFM’s situation. </w:t>
      </w:r>
      <w:sdt>
        <w:sdtPr>
          <w:id w:val="1946730683"/>
          <w:citation/>
        </w:sdtPr>
        <w:sdtEndPr/>
        <w:sdtContent>
          <w:r>
            <w:fldChar w:fldCharType="begin"/>
          </w:r>
          <w:r>
            <w:rPr>
              <w:lang w:val="tr-TR"/>
            </w:rPr>
            <w:instrText xml:space="preserve"> CITATION Nat201 \l 1055 </w:instrText>
          </w:r>
          <w:r>
            <w:fldChar w:fldCharType="separate"/>
          </w:r>
          <w:r w:rsidRPr="00A62904">
            <w:rPr>
              <w:noProof/>
              <w:lang w:val="tr-TR"/>
            </w:rPr>
            <w:t>[5]</w:t>
          </w:r>
          <w:r>
            <w:fldChar w:fldCharType="end"/>
          </w:r>
        </w:sdtContent>
      </w:sdt>
      <w:r>
        <w:t xml:space="preserve">  For instance, high user privileges, misuse of accounts, bad management of cloud/network and IoT systems may increase the chances of unauthorized access to classified data. In a connected manufacturing process, both types of threats can cause the disturbance of business processes.</w:t>
      </w:r>
    </w:p>
    <w:p w14:paraId="5FF28AF3" w14:textId="77777777" w:rsidR="002B7E55" w:rsidRDefault="002B7E55" w:rsidP="002B7E55">
      <w:pPr>
        <w:pStyle w:val="Heading2"/>
      </w:pPr>
      <w:bookmarkStart w:id="3" w:name="_Toc237467795"/>
      <w:r>
        <w:t>2.2 External Threats</w:t>
      </w:r>
      <w:bookmarkEnd w:id="3"/>
    </w:p>
    <w:p w14:paraId="76C96690" w14:textId="77777777" w:rsidR="002B7E55" w:rsidRDefault="002B7E55" w:rsidP="002B7E55">
      <w:r>
        <w:t xml:space="preserve">External cyber threats are among the major security issues faced by SFM. Since the company uses integrated manufacturing technologies, cloud computing and IoT devices, cybercriminals have an increased chance </w:t>
      </w:r>
      <w:proofErr w:type="gramStart"/>
      <w:r>
        <w:t>to attack</w:t>
      </w:r>
      <w:proofErr w:type="gramEnd"/>
      <w:r>
        <w:t xml:space="preserve"> it.</w:t>
      </w:r>
      <w:sdt>
        <w:sdtPr>
          <w:id w:val="734508011"/>
          <w:citation/>
        </w:sdtPr>
        <w:sdtEndPr/>
        <w:sdtContent>
          <w:r>
            <w:fldChar w:fldCharType="begin"/>
          </w:r>
          <w:r>
            <w:rPr>
              <w:lang w:val="tr-TR"/>
            </w:rPr>
            <w:instrText xml:space="preserve"> CITATION Cyb24 \l 1055 </w:instrText>
          </w:r>
          <w:r>
            <w:fldChar w:fldCharType="separate"/>
          </w:r>
          <w:r>
            <w:rPr>
              <w:noProof/>
              <w:lang w:val="tr-TR"/>
            </w:rPr>
            <w:t xml:space="preserve"> </w:t>
          </w:r>
          <w:r w:rsidRPr="009413F4">
            <w:rPr>
              <w:noProof/>
              <w:lang w:val="tr-TR"/>
            </w:rPr>
            <w:t>[6]</w:t>
          </w:r>
          <w:r>
            <w:fldChar w:fldCharType="end"/>
          </w:r>
        </w:sdtContent>
      </w:sdt>
    </w:p>
    <w:p w14:paraId="27709DCC" w14:textId="77777777" w:rsidR="002B7E55" w:rsidRDefault="002B7E55" w:rsidP="002B7E55">
      <w:r>
        <w:t>Malware and ransomware are among the usual external threats. Malware can penetrate computers as well as production systems of the company and ransomware can encrypt the important files leading to manufacturing disruptions until the ransom is paid. This may lead to production downtimes and even losses for the company.</w:t>
      </w:r>
      <w:sdt>
        <w:sdtPr>
          <w:id w:val="1444728791"/>
          <w:citation/>
        </w:sdtPr>
        <w:sdtEndPr/>
        <w:sdtContent>
          <w:r>
            <w:fldChar w:fldCharType="begin"/>
          </w:r>
          <w:r>
            <w:rPr>
              <w:lang w:val="tr-TR"/>
            </w:rPr>
            <w:instrText xml:space="preserve"> CITATION Nat23 \l 1055 </w:instrText>
          </w:r>
          <w:r>
            <w:fldChar w:fldCharType="separate"/>
          </w:r>
          <w:r>
            <w:rPr>
              <w:noProof/>
              <w:lang w:val="tr-TR"/>
            </w:rPr>
            <w:t xml:space="preserve"> </w:t>
          </w:r>
          <w:r w:rsidRPr="009413F4">
            <w:rPr>
              <w:noProof/>
              <w:lang w:val="tr-TR"/>
            </w:rPr>
            <w:t>[7]</w:t>
          </w:r>
          <w:r>
            <w:fldChar w:fldCharType="end"/>
          </w:r>
        </w:sdtContent>
      </w:sdt>
    </w:p>
    <w:tbl>
      <w:tblPr>
        <w:tblpPr w:leftFromText="180" w:rightFromText="180" w:vertAnchor="text" w:horzAnchor="margin" w:tblpY="1795"/>
        <w:tblW w:w="9972" w:type="dxa"/>
        <w:tblCellSpacing w:w="15" w:type="dxa"/>
        <w:tblCellMar>
          <w:top w:w="15" w:type="dxa"/>
          <w:left w:w="15" w:type="dxa"/>
          <w:bottom w:w="15" w:type="dxa"/>
          <w:right w:w="15" w:type="dxa"/>
        </w:tblCellMar>
        <w:tblLook w:val="04A0" w:firstRow="1" w:lastRow="0" w:firstColumn="1" w:lastColumn="0" w:noHBand="0" w:noVBand="1"/>
      </w:tblPr>
      <w:tblGrid>
        <w:gridCol w:w="4176"/>
        <w:gridCol w:w="2533"/>
        <w:gridCol w:w="3263"/>
      </w:tblGrid>
      <w:tr w:rsidR="00422876" w:rsidRPr="00422876" w14:paraId="6450B73B" w14:textId="77777777" w:rsidTr="00422876">
        <w:trPr>
          <w:trHeight w:val="580"/>
          <w:tblHeader/>
          <w:tblCellSpacing w:w="15" w:type="dxa"/>
        </w:trPr>
        <w:tc>
          <w:tcPr>
            <w:tcW w:w="0" w:type="auto"/>
            <w:vAlign w:val="center"/>
            <w:hideMark/>
          </w:tcPr>
          <w:p w14:paraId="487B0B37" w14:textId="77777777" w:rsidR="00422876" w:rsidRPr="00422876" w:rsidRDefault="00422876" w:rsidP="00422876">
            <w:pPr>
              <w:rPr>
                <w:b/>
                <w:bCs/>
                <w:lang w:val="en-GB"/>
              </w:rPr>
            </w:pPr>
            <w:r w:rsidRPr="00422876">
              <w:rPr>
                <w:b/>
                <w:bCs/>
                <w:lang w:val="en-GB"/>
              </w:rPr>
              <w:t>Threat</w:t>
            </w:r>
          </w:p>
        </w:tc>
        <w:tc>
          <w:tcPr>
            <w:tcW w:w="0" w:type="auto"/>
            <w:vAlign w:val="center"/>
            <w:hideMark/>
          </w:tcPr>
          <w:p w14:paraId="336A2641" w14:textId="77777777" w:rsidR="00422876" w:rsidRPr="00422876" w:rsidRDefault="00422876" w:rsidP="00422876">
            <w:pPr>
              <w:rPr>
                <w:b/>
                <w:bCs/>
                <w:lang w:val="en-GB"/>
              </w:rPr>
            </w:pPr>
            <w:r w:rsidRPr="00422876">
              <w:rPr>
                <w:b/>
                <w:bCs/>
                <w:lang w:val="en-GB"/>
              </w:rPr>
              <w:t>Type</w:t>
            </w:r>
          </w:p>
        </w:tc>
        <w:tc>
          <w:tcPr>
            <w:tcW w:w="0" w:type="auto"/>
            <w:vAlign w:val="center"/>
            <w:hideMark/>
          </w:tcPr>
          <w:p w14:paraId="0A4A6D53" w14:textId="77777777" w:rsidR="00422876" w:rsidRPr="00422876" w:rsidRDefault="00422876" w:rsidP="00422876">
            <w:pPr>
              <w:rPr>
                <w:b/>
                <w:bCs/>
                <w:lang w:val="en-GB"/>
              </w:rPr>
            </w:pPr>
            <w:r w:rsidRPr="00422876">
              <w:rPr>
                <w:b/>
                <w:bCs/>
                <w:lang w:val="en-GB"/>
              </w:rPr>
              <w:t>Risk Level</w:t>
            </w:r>
          </w:p>
        </w:tc>
      </w:tr>
      <w:tr w:rsidR="00422876" w:rsidRPr="00422876" w14:paraId="21868293" w14:textId="77777777" w:rsidTr="00422876">
        <w:trPr>
          <w:trHeight w:val="572"/>
          <w:tblCellSpacing w:w="15" w:type="dxa"/>
        </w:trPr>
        <w:tc>
          <w:tcPr>
            <w:tcW w:w="0" w:type="auto"/>
            <w:vAlign w:val="center"/>
            <w:hideMark/>
          </w:tcPr>
          <w:p w14:paraId="0792477A" w14:textId="77777777" w:rsidR="00422876" w:rsidRPr="00422876" w:rsidRDefault="00422876" w:rsidP="00422876">
            <w:pPr>
              <w:rPr>
                <w:lang w:val="en-GB"/>
              </w:rPr>
            </w:pPr>
            <w:r w:rsidRPr="00422876">
              <w:rPr>
                <w:lang w:val="en-GB"/>
              </w:rPr>
              <w:t>Malware</w:t>
            </w:r>
          </w:p>
        </w:tc>
        <w:tc>
          <w:tcPr>
            <w:tcW w:w="0" w:type="auto"/>
            <w:vAlign w:val="center"/>
            <w:hideMark/>
          </w:tcPr>
          <w:p w14:paraId="11CCBC29" w14:textId="77777777" w:rsidR="00422876" w:rsidRPr="00422876" w:rsidRDefault="00422876" w:rsidP="00422876">
            <w:pPr>
              <w:rPr>
                <w:lang w:val="en-GB"/>
              </w:rPr>
            </w:pPr>
            <w:r w:rsidRPr="00422876">
              <w:rPr>
                <w:lang w:val="en-GB"/>
              </w:rPr>
              <w:t>External</w:t>
            </w:r>
          </w:p>
        </w:tc>
        <w:tc>
          <w:tcPr>
            <w:tcW w:w="0" w:type="auto"/>
            <w:vAlign w:val="center"/>
            <w:hideMark/>
          </w:tcPr>
          <w:p w14:paraId="765B2424" w14:textId="77777777" w:rsidR="00422876" w:rsidRPr="00422876" w:rsidRDefault="00422876" w:rsidP="00422876">
            <w:pPr>
              <w:rPr>
                <w:lang w:val="en-GB"/>
              </w:rPr>
            </w:pPr>
            <w:r w:rsidRPr="00422876">
              <w:rPr>
                <w:lang w:val="en-GB"/>
              </w:rPr>
              <w:t>High</w:t>
            </w:r>
          </w:p>
        </w:tc>
      </w:tr>
      <w:tr w:rsidR="00422876" w:rsidRPr="00422876" w14:paraId="601DEC70" w14:textId="77777777" w:rsidTr="00422876">
        <w:trPr>
          <w:trHeight w:val="580"/>
          <w:tblCellSpacing w:w="15" w:type="dxa"/>
        </w:trPr>
        <w:tc>
          <w:tcPr>
            <w:tcW w:w="0" w:type="auto"/>
            <w:vAlign w:val="center"/>
            <w:hideMark/>
          </w:tcPr>
          <w:p w14:paraId="404C00DE" w14:textId="77777777" w:rsidR="00422876" w:rsidRPr="00422876" w:rsidRDefault="00422876" w:rsidP="00422876">
            <w:pPr>
              <w:rPr>
                <w:lang w:val="en-GB"/>
              </w:rPr>
            </w:pPr>
            <w:r w:rsidRPr="00422876">
              <w:rPr>
                <w:lang w:val="en-GB"/>
              </w:rPr>
              <w:t>Phishing</w:t>
            </w:r>
          </w:p>
        </w:tc>
        <w:tc>
          <w:tcPr>
            <w:tcW w:w="0" w:type="auto"/>
            <w:vAlign w:val="center"/>
            <w:hideMark/>
          </w:tcPr>
          <w:p w14:paraId="3ECA18B8" w14:textId="77777777" w:rsidR="00422876" w:rsidRPr="00422876" w:rsidRDefault="00422876" w:rsidP="00422876">
            <w:pPr>
              <w:rPr>
                <w:lang w:val="en-GB"/>
              </w:rPr>
            </w:pPr>
            <w:r w:rsidRPr="00422876">
              <w:rPr>
                <w:lang w:val="en-GB"/>
              </w:rPr>
              <w:t>External</w:t>
            </w:r>
          </w:p>
        </w:tc>
        <w:tc>
          <w:tcPr>
            <w:tcW w:w="0" w:type="auto"/>
            <w:vAlign w:val="center"/>
            <w:hideMark/>
          </w:tcPr>
          <w:p w14:paraId="6A231D0A" w14:textId="77777777" w:rsidR="00422876" w:rsidRPr="00422876" w:rsidRDefault="00422876" w:rsidP="00422876">
            <w:pPr>
              <w:rPr>
                <w:lang w:val="en-GB"/>
              </w:rPr>
            </w:pPr>
            <w:r w:rsidRPr="00422876">
              <w:rPr>
                <w:lang w:val="en-GB"/>
              </w:rPr>
              <w:t>High</w:t>
            </w:r>
          </w:p>
        </w:tc>
      </w:tr>
      <w:tr w:rsidR="00422876" w:rsidRPr="00422876" w14:paraId="740E865F" w14:textId="77777777" w:rsidTr="00422876">
        <w:trPr>
          <w:trHeight w:val="572"/>
          <w:tblCellSpacing w:w="15" w:type="dxa"/>
        </w:trPr>
        <w:tc>
          <w:tcPr>
            <w:tcW w:w="0" w:type="auto"/>
            <w:vAlign w:val="center"/>
            <w:hideMark/>
          </w:tcPr>
          <w:p w14:paraId="77045C6D" w14:textId="77777777" w:rsidR="00422876" w:rsidRPr="00422876" w:rsidRDefault="00422876" w:rsidP="00422876">
            <w:pPr>
              <w:rPr>
                <w:lang w:val="en-GB"/>
              </w:rPr>
            </w:pPr>
            <w:r w:rsidRPr="00422876">
              <w:rPr>
                <w:lang w:val="en-GB"/>
              </w:rPr>
              <w:t>Insider Threat</w:t>
            </w:r>
          </w:p>
        </w:tc>
        <w:tc>
          <w:tcPr>
            <w:tcW w:w="0" w:type="auto"/>
            <w:vAlign w:val="center"/>
            <w:hideMark/>
          </w:tcPr>
          <w:p w14:paraId="7D5AB655" w14:textId="77777777" w:rsidR="00422876" w:rsidRPr="00422876" w:rsidRDefault="00422876" w:rsidP="00422876">
            <w:pPr>
              <w:rPr>
                <w:lang w:val="en-GB"/>
              </w:rPr>
            </w:pPr>
            <w:r w:rsidRPr="00422876">
              <w:rPr>
                <w:lang w:val="en-GB"/>
              </w:rPr>
              <w:t>Internal</w:t>
            </w:r>
          </w:p>
        </w:tc>
        <w:tc>
          <w:tcPr>
            <w:tcW w:w="0" w:type="auto"/>
            <w:vAlign w:val="center"/>
            <w:hideMark/>
          </w:tcPr>
          <w:p w14:paraId="1C11DB15" w14:textId="77777777" w:rsidR="00422876" w:rsidRPr="00422876" w:rsidRDefault="00422876" w:rsidP="00422876">
            <w:pPr>
              <w:rPr>
                <w:lang w:val="en-GB"/>
              </w:rPr>
            </w:pPr>
            <w:r w:rsidRPr="00422876">
              <w:rPr>
                <w:lang w:val="en-GB"/>
              </w:rPr>
              <w:t>High</w:t>
            </w:r>
          </w:p>
        </w:tc>
      </w:tr>
      <w:tr w:rsidR="00422876" w:rsidRPr="00422876" w14:paraId="173DBE78" w14:textId="77777777" w:rsidTr="00422876">
        <w:trPr>
          <w:trHeight w:val="580"/>
          <w:tblCellSpacing w:w="15" w:type="dxa"/>
        </w:trPr>
        <w:tc>
          <w:tcPr>
            <w:tcW w:w="0" w:type="auto"/>
            <w:vAlign w:val="center"/>
            <w:hideMark/>
          </w:tcPr>
          <w:p w14:paraId="6C45F13B" w14:textId="77777777" w:rsidR="00422876" w:rsidRPr="00422876" w:rsidRDefault="00422876" w:rsidP="00422876">
            <w:pPr>
              <w:rPr>
                <w:lang w:val="en-GB"/>
              </w:rPr>
            </w:pPr>
            <w:r w:rsidRPr="00422876">
              <w:rPr>
                <w:lang w:val="en-GB"/>
              </w:rPr>
              <w:t>Human Error</w:t>
            </w:r>
          </w:p>
        </w:tc>
        <w:tc>
          <w:tcPr>
            <w:tcW w:w="0" w:type="auto"/>
            <w:vAlign w:val="center"/>
            <w:hideMark/>
          </w:tcPr>
          <w:p w14:paraId="5244550D" w14:textId="77777777" w:rsidR="00422876" w:rsidRPr="00422876" w:rsidRDefault="00422876" w:rsidP="00422876">
            <w:pPr>
              <w:rPr>
                <w:lang w:val="en-GB"/>
              </w:rPr>
            </w:pPr>
            <w:r w:rsidRPr="00422876">
              <w:rPr>
                <w:lang w:val="en-GB"/>
              </w:rPr>
              <w:t>Internal</w:t>
            </w:r>
          </w:p>
        </w:tc>
        <w:tc>
          <w:tcPr>
            <w:tcW w:w="0" w:type="auto"/>
            <w:vAlign w:val="center"/>
            <w:hideMark/>
          </w:tcPr>
          <w:p w14:paraId="227FADDD" w14:textId="77777777" w:rsidR="00422876" w:rsidRPr="00422876" w:rsidRDefault="00422876" w:rsidP="00422876">
            <w:pPr>
              <w:rPr>
                <w:lang w:val="en-GB"/>
              </w:rPr>
            </w:pPr>
            <w:r w:rsidRPr="00422876">
              <w:rPr>
                <w:lang w:val="en-GB"/>
              </w:rPr>
              <w:t>Medium</w:t>
            </w:r>
          </w:p>
        </w:tc>
      </w:tr>
    </w:tbl>
    <w:p w14:paraId="26625BC6" w14:textId="77777777" w:rsidR="002B7E55" w:rsidRDefault="002B7E55" w:rsidP="002B7E55">
      <w:r>
        <w:t>Phishing and social engineering attacks pose significant threats to SFM. Attackers may email employees, especially those working in procurement, to obtain passwords or install malicious programs. Given that SFM has suffered phishing attacks before, its significance should be considered high.</w:t>
      </w:r>
      <w:sdt>
        <w:sdtPr>
          <w:id w:val="252702695"/>
          <w:citation/>
        </w:sdtPr>
        <w:sdtEndPr/>
        <w:sdtContent>
          <w:r>
            <w:fldChar w:fldCharType="begin"/>
          </w:r>
          <w:r>
            <w:rPr>
              <w:lang w:val="tr-TR"/>
            </w:rPr>
            <w:instrText xml:space="preserve"> CITATION Eur24 \l 1055 </w:instrText>
          </w:r>
          <w:r>
            <w:fldChar w:fldCharType="separate"/>
          </w:r>
          <w:r>
            <w:rPr>
              <w:noProof/>
              <w:lang w:val="tr-TR"/>
            </w:rPr>
            <w:t xml:space="preserve"> </w:t>
          </w:r>
          <w:r w:rsidRPr="009413F4">
            <w:rPr>
              <w:noProof/>
              <w:lang w:val="tr-TR"/>
            </w:rPr>
            <w:t>[8]</w:t>
          </w:r>
          <w:r>
            <w:fldChar w:fldCharType="end"/>
          </w:r>
        </w:sdtContent>
      </w:sdt>
    </w:p>
    <w:p w14:paraId="1D25603A" w14:textId="77777777" w:rsidR="00422876" w:rsidRDefault="00422876" w:rsidP="002B7E55"/>
    <w:p w14:paraId="3A7E6EF2" w14:textId="77777777" w:rsidR="00422876" w:rsidRDefault="00422876" w:rsidP="002B7E55"/>
    <w:p w14:paraId="447E8CAB" w14:textId="77777777" w:rsidR="00422876" w:rsidRDefault="00422876" w:rsidP="002B7E55"/>
    <w:p w14:paraId="55BFDCB6" w14:textId="77777777" w:rsidR="00422876" w:rsidRDefault="00422876" w:rsidP="002B7E55"/>
    <w:p w14:paraId="6D65DCF0" w14:textId="45BFE7CD" w:rsidR="001B0CDA" w:rsidRPr="0077739D" w:rsidRDefault="002B7E55" w:rsidP="002B7E55">
      <w:r>
        <w:t xml:space="preserve">The next risk to be considered is unauthorized access to the network. In the event of a successful attack, well-protected production networks might contain valuable engineering information or vulnerable production systems. In addition, espionage attacks might target valuable engineering designs, and attacks on the supply chain may exploit weaknesses in software </w:t>
      </w:r>
      <w:proofErr w:type="spellStart"/>
      <w:r>
        <w:t>programmes</w:t>
      </w:r>
      <w:proofErr w:type="spellEnd"/>
      <w:r>
        <w:t xml:space="preserve"> developed by third parties. Finally, IoT devices may provide an easy way to break into the network.</w:t>
      </w:r>
      <w:sdt>
        <w:sdtPr>
          <w:id w:val="-1360121326"/>
          <w:citation/>
        </w:sdtPr>
        <w:sdtEndPr/>
        <w:sdtContent>
          <w:r>
            <w:fldChar w:fldCharType="begin"/>
          </w:r>
          <w:r>
            <w:rPr>
              <w:lang w:val="tr-TR"/>
            </w:rPr>
            <w:instrText xml:space="preserve"> CITATION Eur24 \l 1055 </w:instrText>
          </w:r>
          <w:r>
            <w:fldChar w:fldCharType="separate"/>
          </w:r>
          <w:r>
            <w:rPr>
              <w:noProof/>
              <w:lang w:val="tr-TR"/>
            </w:rPr>
            <w:t xml:space="preserve"> </w:t>
          </w:r>
          <w:r w:rsidRPr="009413F4">
            <w:rPr>
              <w:noProof/>
              <w:lang w:val="tr-TR"/>
            </w:rPr>
            <w:t>[8]</w:t>
          </w:r>
          <w:r>
            <w:fldChar w:fldCharType="end"/>
          </w:r>
        </w:sdtContent>
      </w:sdt>
      <w:r w:rsidR="00422876">
        <w:br/>
      </w:r>
    </w:p>
    <w:p w14:paraId="1F1D21B0" w14:textId="3EE4CFFC" w:rsidR="001F773B" w:rsidRPr="001F773B" w:rsidRDefault="002B7E55" w:rsidP="001F773B">
      <w:pPr>
        <w:pStyle w:val="Heading1"/>
      </w:pPr>
      <w:bookmarkStart w:id="4" w:name="_Toc237467796"/>
      <w:r>
        <w:t>3. Security Policies</w:t>
      </w:r>
      <w:bookmarkEnd w:id="4"/>
    </w:p>
    <w:p w14:paraId="40F5643D" w14:textId="7C85A3F2" w:rsidR="001F773B" w:rsidRDefault="001F773B" w:rsidP="002B7E55">
      <w:r>
        <w:rPr>
          <w:noProof/>
          <w14:ligatures w14:val="standardContextual"/>
        </w:rPr>
        <w:drawing>
          <wp:inline distT="0" distB="0" distL="0" distR="0" wp14:anchorId="2DEF75DF" wp14:editId="6CC62540">
            <wp:extent cx="2957086" cy="2616086"/>
            <wp:effectExtent l="0" t="0" r="0" b="0"/>
            <wp:docPr id="1895797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9735" name="Picture 18957973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14502" cy="2666881"/>
                    </a:xfrm>
                    <a:prstGeom prst="rect">
                      <a:avLst/>
                    </a:prstGeom>
                  </pic:spPr>
                </pic:pic>
              </a:graphicData>
            </a:graphic>
          </wp:inline>
        </w:drawing>
      </w:r>
    </w:p>
    <w:p w14:paraId="27CEFFE5" w14:textId="7729A18A" w:rsidR="00D12D5C" w:rsidRDefault="00D12D5C" w:rsidP="002B7E55">
      <w:pPr>
        <w:rPr>
          <w:color w:val="80340D" w:themeColor="accent2" w:themeShade="80"/>
          <w:sz w:val="26"/>
          <w:szCs w:val="26"/>
        </w:rPr>
      </w:pPr>
      <w:r w:rsidRPr="00FA323F">
        <w:rPr>
          <w:b/>
          <w:bCs/>
          <w:color w:val="80340D" w:themeColor="accent2" w:themeShade="80"/>
          <w:sz w:val="26"/>
          <w:szCs w:val="26"/>
        </w:rPr>
        <w:t>Figure 3.</w:t>
      </w:r>
      <w:r w:rsidRPr="00FA323F">
        <w:rPr>
          <w:color w:val="80340D" w:themeColor="accent2" w:themeShade="80"/>
          <w:sz w:val="26"/>
          <w:szCs w:val="26"/>
        </w:rPr>
        <w:t xml:space="preserve"> NIST Cybersecurity Framework 2.0.</w:t>
      </w:r>
    </w:p>
    <w:p w14:paraId="4D2702FF" w14:textId="77777777" w:rsidR="005A2B24" w:rsidRPr="00FA323F" w:rsidRDefault="005A2B24" w:rsidP="002B7E55">
      <w:pPr>
        <w:rPr>
          <w:color w:val="80340D" w:themeColor="accent2" w:themeShade="80"/>
          <w:sz w:val="26"/>
          <w:szCs w:val="26"/>
        </w:rPr>
      </w:pPr>
    </w:p>
    <w:p w14:paraId="75971837" w14:textId="6B0BDB9F" w:rsidR="002B7E55" w:rsidRPr="00582C5C" w:rsidRDefault="002B7E55" w:rsidP="002B7E55">
      <w:r w:rsidRPr="00582C5C">
        <w:t xml:space="preserve">At </w:t>
      </w:r>
      <w:r>
        <w:t>SFM</w:t>
      </w:r>
      <w:r w:rsidRPr="00582C5C">
        <w:t>, the foundation for cybersecurity is comprised of the organization's cybersecurity policies. These policies outline the necessary measures that employees, systems and business partners need to take to protect company information, manufacturing systems and connected devices. The following security measures have been devised to enhance the safety of SFM's information resources, as well as ensure safe business processes.</w:t>
      </w:r>
      <w:sdt>
        <w:sdtPr>
          <w:id w:val="-467898877"/>
          <w:citation/>
        </w:sdtPr>
        <w:sdtEndPr/>
        <w:sdtContent>
          <w:r>
            <w:fldChar w:fldCharType="begin"/>
          </w:r>
          <w:r>
            <w:rPr>
              <w:lang w:val="en-GB"/>
            </w:rPr>
            <w:instrText xml:space="preserve"> CITATION Nat202 \l 2057 </w:instrText>
          </w:r>
          <w:r>
            <w:fldChar w:fldCharType="separate"/>
          </w:r>
          <w:r>
            <w:rPr>
              <w:noProof/>
              <w:lang w:val="en-GB"/>
            </w:rPr>
            <w:t xml:space="preserve"> </w:t>
          </w:r>
          <w:r w:rsidRPr="00A55940">
            <w:rPr>
              <w:noProof/>
              <w:lang w:val="en-GB"/>
            </w:rPr>
            <w:t>[9]</w:t>
          </w:r>
          <w:r>
            <w:fldChar w:fldCharType="end"/>
          </w:r>
        </w:sdtContent>
      </w:sdt>
    </w:p>
    <w:p w14:paraId="4088E21A" w14:textId="77777777" w:rsidR="002B7E55" w:rsidRDefault="002B7E55" w:rsidP="002B7E55">
      <w:pPr>
        <w:pStyle w:val="Heading2"/>
      </w:pPr>
      <w:bookmarkStart w:id="5" w:name="_Toc237467797"/>
      <w:r>
        <w:lastRenderedPageBreak/>
        <w:t>3.1 Access Control and Authentication</w:t>
      </w:r>
      <w:bookmarkEnd w:id="5"/>
    </w:p>
    <w:p w14:paraId="5E56DD7B" w14:textId="77777777" w:rsidR="002B7E55" w:rsidRDefault="002B7E55" w:rsidP="002B7E55">
      <w:r>
        <w:t xml:space="preserve">Access control plays an important role in preventing unauthorized access by any person to SFM system and confidential information. Employees should have access to only those data and systems that are needed for completing their jobs. This will help reduce the chances of insider threats and mitigate the effect of compromised user accounts by following the principle of least privilege. </w:t>
      </w:r>
      <w:sdt>
        <w:sdtPr>
          <w:id w:val="-900050023"/>
          <w:citation/>
        </w:sdtPr>
        <w:sdtEndPr/>
        <w:sdtContent>
          <w:r>
            <w:fldChar w:fldCharType="begin"/>
          </w:r>
          <w:r>
            <w:rPr>
              <w:lang w:val="en-GB"/>
            </w:rPr>
            <w:instrText xml:space="preserve"> CITATION Nat202 \l 2057 </w:instrText>
          </w:r>
          <w:r>
            <w:fldChar w:fldCharType="separate"/>
          </w:r>
          <w:r w:rsidRPr="00B62027">
            <w:rPr>
              <w:noProof/>
              <w:lang w:val="en-GB"/>
            </w:rPr>
            <w:t>[9]</w:t>
          </w:r>
          <w:r>
            <w:fldChar w:fldCharType="end"/>
          </w:r>
        </w:sdtContent>
      </w:sdt>
    </w:p>
    <w:p w14:paraId="457B8FF3" w14:textId="77777777" w:rsidR="002B7E55" w:rsidRDefault="002B7E55" w:rsidP="002B7E55">
      <w:r>
        <w:t xml:space="preserve">SFM should apply Role-Based Access Control (RBAC) to provide relevant permissions based on responsibilities of employees. This would mean giving access to manufacturing systems to production operators only while ensuring that procurement staff </w:t>
      </w:r>
      <w:proofErr w:type="gramStart"/>
      <w:r>
        <w:t>gets</w:t>
      </w:r>
      <w:proofErr w:type="gramEnd"/>
      <w:r>
        <w:t xml:space="preserve"> access only to purchasing information. Engineering drawings and management systems should be accessible only to authorized personnel.</w:t>
      </w:r>
      <w:sdt>
        <w:sdtPr>
          <w:id w:val="1317764833"/>
          <w:citation/>
        </w:sdtPr>
        <w:sdtEndPr/>
        <w:sdtContent>
          <w:r>
            <w:fldChar w:fldCharType="begin"/>
          </w:r>
          <w:r>
            <w:rPr>
              <w:lang w:val="en-GB"/>
            </w:rPr>
            <w:instrText xml:space="preserve"> CITATION Nat202 \l 2057 </w:instrText>
          </w:r>
          <w:r>
            <w:fldChar w:fldCharType="separate"/>
          </w:r>
          <w:r>
            <w:rPr>
              <w:noProof/>
              <w:lang w:val="en-GB"/>
            </w:rPr>
            <w:t xml:space="preserve"> </w:t>
          </w:r>
          <w:r w:rsidRPr="00B62027">
            <w:rPr>
              <w:noProof/>
              <w:lang w:val="en-GB"/>
            </w:rPr>
            <w:t>[9]</w:t>
          </w:r>
          <w:r>
            <w:fldChar w:fldCharType="end"/>
          </w:r>
        </w:sdtContent>
      </w:sdt>
    </w:p>
    <w:p w14:paraId="40B487DC" w14:textId="77777777" w:rsidR="001B0CDA" w:rsidRDefault="001B0CDA" w:rsidP="002B7E55"/>
    <w:p w14:paraId="304E3612" w14:textId="12E0449A" w:rsidR="002B7E55" w:rsidRPr="009413F4" w:rsidRDefault="002B7E55" w:rsidP="002B7E55">
      <w:r>
        <w:t>Multi-Factor Authentication (MFA) is an effective way to enhance authentication aimed at remote access and other needs like cloud services and administrator accounts.</w:t>
      </w:r>
      <w:sdt>
        <w:sdtPr>
          <w:id w:val="318860450"/>
          <w:citation/>
        </w:sdtPr>
        <w:sdtEndPr/>
        <w:sdtContent>
          <w:r>
            <w:fldChar w:fldCharType="begin"/>
          </w:r>
          <w:r>
            <w:rPr>
              <w:lang w:val="en-GB"/>
            </w:rPr>
            <w:instrText xml:space="preserve"> CITATION Cyb241 \l 2057 </w:instrText>
          </w:r>
          <w:r>
            <w:fldChar w:fldCharType="separate"/>
          </w:r>
          <w:r>
            <w:rPr>
              <w:noProof/>
              <w:lang w:val="en-GB"/>
            </w:rPr>
            <w:t xml:space="preserve"> </w:t>
          </w:r>
          <w:r w:rsidRPr="001D635D">
            <w:rPr>
              <w:noProof/>
              <w:lang w:val="en-GB"/>
            </w:rPr>
            <w:t>[10]</w:t>
          </w:r>
          <w:r>
            <w:fldChar w:fldCharType="end"/>
          </w:r>
        </w:sdtContent>
      </w:sdt>
      <w:r>
        <w:t xml:space="preserve">  In the case of privileged accounts, monitoring should be done continuously and the access to the account should be reviewed whenever employees change their position or leave the company. Thus, implementing these measures will </w:t>
      </w:r>
      <w:proofErr w:type="gramStart"/>
      <w:r>
        <w:t>definitely help</w:t>
      </w:r>
      <w:proofErr w:type="gramEnd"/>
      <w:r>
        <w:t xml:space="preserve"> to reduce the chances of unauthorized access and strengthen SFM’s security.</w:t>
      </w:r>
    </w:p>
    <w:p w14:paraId="437D0D62" w14:textId="77777777" w:rsidR="002B7E55" w:rsidRDefault="002B7E55" w:rsidP="002B7E55">
      <w:pPr>
        <w:pStyle w:val="Heading2"/>
      </w:pPr>
      <w:bookmarkStart w:id="6" w:name="_Toc237467798"/>
      <w:r>
        <w:t>3.2 Network, OT and IoT Security</w:t>
      </w:r>
      <w:bookmarkEnd w:id="6"/>
    </w:p>
    <w:p w14:paraId="2F772EF6" w14:textId="77777777" w:rsidR="002B7E55" w:rsidRDefault="002B7E55" w:rsidP="002B7E55">
      <w:r>
        <w:t xml:space="preserve">Since SFM consists </w:t>
      </w:r>
      <w:proofErr w:type="gramStart"/>
      <w:r>
        <w:t>on</w:t>
      </w:r>
      <w:proofErr w:type="gramEnd"/>
      <w:r>
        <w:t xml:space="preserve"> innovative technologies, the protection of IT and OT environments becomes crucial. The organization must segregate business networks and production networks </w:t>
      </w:r>
      <w:proofErr w:type="gramStart"/>
      <w:r>
        <w:t>use of</w:t>
      </w:r>
      <w:proofErr w:type="gramEnd"/>
      <w:r>
        <w:t xml:space="preserve"> network segmentation to reduce malware spreading and limit the movement of attackers if a </w:t>
      </w:r>
      <w:proofErr w:type="spellStart"/>
      <w:r>
        <w:t>cyber attack</w:t>
      </w:r>
      <w:proofErr w:type="spellEnd"/>
      <w:r>
        <w:t xml:space="preserve"> happens. </w:t>
      </w:r>
      <w:sdt>
        <w:sdtPr>
          <w:id w:val="1637295520"/>
          <w:citation/>
        </w:sdtPr>
        <w:sdtEndPr/>
        <w:sdtContent>
          <w:r>
            <w:fldChar w:fldCharType="begin"/>
          </w:r>
          <w:r>
            <w:rPr>
              <w:lang w:val="en-GB"/>
            </w:rPr>
            <w:instrText xml:space="preserve"> CITATION Nat231 \l 2057 </w:instrText>
          </w:r>
          <w:r>
            <w:fldChar w:fldCharType="separate"/>
          </w:r>
          <w:r w:rsidRPr="0048408E">
            <w:rPr>
              <w:noProof/>
              <w:lang w:val="en-GB"/>
            </w:rPr>
            <w:t>[11]</w:t>
          </w:r>
          <w:r>
            <w:fldChar w:fldCharType="end"/>
          </w:r>
        </w:sdtContent>
      </w:sdt>
    </w:p>
    <w:p w14:paraId="6D66102A" w14:textId="1B226357" w:rsidR="005A2B24" w:rsidRDefault="00CE57B6" w:rsidP="002B7E55">
      <w:r>
        <w:rPr>
          <w:noProof/>
          <w14:ligatures w14:val="standardContextual"/>
        </w:rPr>
        <w:lastRenderedPageBreak/>
        <w:drawing>
          <wp:inline distT="0" distB="0" distL="0" distR="0" wp14:anchorId="1149BA74" wp14:editId="0B0046F7">
            <wp:extent cx="6062662" cy="2916555"/>
            <wp:effectExtent l="0" t="0" r="0" b="0"/>
            <wp:docPr id="10150970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097030" name="Picture 1015097030"/>
                    <pic:cNvPicPr/>
                  </pic:nvPicPr>
                  <pic:blipFill>
                    <a:blip r:embed="rId12">
                      <a:extLst>
                        <a:ext uri="{28A0092B-C50C-407E-A947-70E740481C1C}">
                          <a14:useLocalDpi xmlns:a14="http://schemas.microsoft.com/office/drawing/2010/main" val="0"/>
                        </a:ext>
                      </a:extLst>
                    </a:blip>
                    <a:stretch>
                      <a:fillRect/>
                    </a:stretch>
                  </pic:blipFill>
                  <pic:spPr>
                    <a:xfrm>
                      <a:off x="0" y="0"/>
                      <a:ext cx="6082659" cy="2926175"/>
                    </a:xfrm>
                    <a:prstGeom prst="rect">
                      <a:avLst/>
                    </a:prstGeom>
                  </pic:spPr>
                </pic:pic>
              </a:graphicData>
            </a:graphic>
          </wp:inline>
        </w:drawing>
      </w:r>
    </w:p>
    <w:p w14:paraId="6C058D03" w14:textId="44EE2D4A" w:rsidR="00CE57B6" w:rsidRPr="00C702E6" w:rsidRDefault="002B7E55" w:rsidP="002B7E55">
      <w:pPr>
        <w:rPr>
          <w:color w:val="80340D" w:themeColor="accent2" w:themeShade="80"/>
          <w:sz w:val="26"/>
          <w:szCs w:val="26"/>
        </w:rPr>
      </w:pPr>
      <w:r w:rsidRPr="00C702E6">
        <w:rPr>
          <w:color w:val="80340D" w:themeColor="accent2" w:themeShade="80"/>
          <w:sz w:val="26"/>
          <w:szCs w:val="26"/>
        </w:rPr>
        <w:t xml:space="preserve"> </w:t>
      </w:r>
      <w:r w:rsidR="00C702E6" w:rsidRPr="00C702E6">
        <w:rPr>
          <w:color w:val="80340D" w:themeColor="accent2" w:themeShade="80"/>
          <w:sz w:val="26"/>
          <w:szCs w:val="26"/>
        </w:rPr>
        <w:t>Figure 4. Example of network segmentation between IT and OT environments.</w:t>
      </w:r>
    </w:p>
    <w:p w14:paraId="0A515C5A" w14:textId="24AF16AC" w:rsidR="002B7E55" w:rsidRDefault="002B7E55" w:rsidP="002B7E55">
      <w:r>
        <w:t>The organization must implement firewalls solution between different networks inside the organization and between external networks to control the traffic flow and prevent undesired information from entering the system.</w:t>
      </w:r>
      <w:sdt>
        <w:sdtPr>
          <w:id w:val="-1260515700"/>
          <w:citation/>
        </w:sdtPr>
        <w:sdtEndPr/>
        <w:sdtContent>
          <w:r>
            <w:fldChar w:fldCharType="begin"/>
          </w:r>
          <w:r>
            <w:rPr>
              <w:lang w:val="en-GB"/>
            </w:rPr>
            <w:instrText xml:space="preserve"> CITATION Nat231 \l 2057 </w:instrText>
          </w:r>
          <w:r>
            <w:fldChar w:fldCharType="separate"/>
          </w:r>
          <w:r>
            <w:rPr>
              <w:noProof/>
              <w:lang w:val="en-GB"/>
            </w:rPr>
            <w:t xml:space="preserve"> </w:t>
          </w:r>
          <w:r w:rsidRPr="004E2215">
            <w:rPr>
              <w:noProof/>
              <w:lang w:val="en-GB"/>
            </w:rPr>
            <w:t>[11]</w:t>
          </w:r>
          <w:r>
            <w:fldChar w:fldCharType="end"/>
          </w:r>
        </w:sdtContent>
      </w:sdt>
    </w:p>
    <w:p w14:paraId="6E509906" w14:textId="77777777" w:rsidR="002B7E55" w:rsidRPr="00582C5C" w:rsidRDefault="002B7E55" w:rsidP="002B7E55">
      <w:r>
        <w:t xml:space="preserve"> To make sure that the IoT devices are secure, a proper configuration must be applied to the devices before use and all the default passwords must be changed at once. </w:t>
      </w:r>
      <w:sdt>
        <w:sdtPr>
          <w:id w:val="-1865276820"/>
          <w:citation/>
        </w:sdtPr>
        <w:sdtEndPr/>
        <w:sdtContent>
          <w:r>
            <w:fldChar w:fldCharType="begin"/>
          </w:r>
          <w:r>
            <w:rPr>
              <w:lang w:val="en-GB"/>
            </w:rPr>
            <w:instrText xml:space="preserve"> CITATION Nat231 \l 2057 </w:instrText>
          </w:r>
          <w:r>
            <w:fldChar w:fldCharType="separate"/>
          </w:r>
          <w:r w:rsidRPr="00ED766E">
            <w:rPr>
              <w:noProof/>
              <w:lang w:val="en-GB"/>
            </w:rPr>
            <w:t>[11]</w:t>
          </w:r>
          <w:r>
            <w:fldChar w:fldCharType="end"/>
          </w:r>
        </w:sdtContent>
      </w:sdt>
      <w:r>
        <w:t xml:space="preserve"> Regular updates regarding firmware should also be downloaded and updated in the devices and all changes related to manufacturing environment should be regulated by the change management process which ensures the minimization of risk factors and maximization of system efficiency.</w:t>
      </w:r>
    </w:p>
    <w:p w14:paraId="250B5B17" w14:textId="77777777" w:rsidR="002B7E55" w:rsidRDefault="002B7E55" w:rsidP="002B7E55">
      <w:pPr>
        <w:pStyle w:val="Heading2"/>
      </w:pPr>
      <w:bookmarkStart w:id="7" w:name="_Toc237467799"/>
      <w:r>
        <w:t>3.3 Data Governance and Protection</w:t>
      </w:r>
      <w:bookmarkEnd w:id="7"/>
    </w:p>
    <w:p w14:paraId="3FB24803" w14:textId="77777777" w:rsidR="002B7E55" w:rsidRDefault="002B7E55" w:rsidP="002B7E55">
      <w:r>
        <w:t>SFM ought to develop a well-defined policy on data governance so that company information remains secure from the cradle through to the grave. All data should be classified based on sensitivity into four categories: Public, Internal, Confidential, and Highly Confidential.</w:t>
      </w:r>
      <w:sdt>
        <w:sdtPr>
          <w:id w:val="1284772940"/>
          <w:citation/>
        </w:sdtPr>
        <w:sdtEndPr/>
        <w:sdtContent>
          <w:r>
            <w:fldChar w:fldCharType="begin"/>
          </w:r>
          <w:r>
            <w:rPr>
              <w:lang w:val="en-GB"/>
            </w:rPr>
            <w:instrText xml:space="preserve"> CITATION Inf24 \l 2057 </w:instrText>
          </w:r>
          <w:r>
            <w:fldChar w:fldCharType="separate"/>
          </w:r>
          <w:r>
            <w:rPr>
              <w:noProof/>
              <w:lang w:val="en-GB"/>
            </w:rPr>
            <w:t xml:space="preserve"> </w:t>
          </w:r>
          <w:r w:rsidRPr="00B232F9">
            <w:rPr>
              <w:noProof/>
              <w:lang w:val="en-GB"/>
            </w:rPr>
            <w:t>[12]</w:t>
          </w:r>
          <w:r>
            <w:fldChar w:fldCharType="end"/>
          </w:r>
        </w:sdtContent>
      </w:sdt>
      <w:r>
        <w:t xml:space="preserve"> Some of the examples of confidential data are engineering drawings, production plans, supplier agreements, and customers’ information. </w:t>
      </w:r>
    </w:p>
    <w:p w14:paraId="35817FF2" w14:textId="77777777" w:rsidR="002B7E55" w:rsidRDefault="002B7E55" w:rsidP="002B7E55">
      <w:r>
        <w:t>There needs to be a data owner for each category so that the accuracy, security, and availability of data is supported by someone. Sensitive data should undergo encryption at the time of storage and transmission so that it remains undisclosed to unauthorized persons.</w:t>
      </w:r>
      <w:sdt>
        <w:sdtPr>
          <w:id w:val="1088048029"/>
          <w:citation/>
        </w:sdtPr>
        <w:sdtEndPr/>
        <w:sdtContent>
          <w:r>
            <w:fldChar w:fldCharType="begin"/>
          </w:r>
          <w:r>
            <w:rPr>
              <w:lang w:val="en-GB"/>
            </w:rPr>
            <w:instrText xml:space="preserve"> CITATION Inf24 \l 2057 </w:instrText>
          </w:r>
          <w:r>
            <w:fldChar w:fldCharType="separate"/>
          </w:r>
          <w:r>
            <w:rPr>
              <w:noProof/>
              <w:lang w:val="en-GB"/>
            </w:rPr>
            <w:t xml:space="preserve"> </w:t>
          </w:r>
          <w:r w:rsidRPr="00490458">
            <w:rPr>
              <w:noProof/>
              <w:lang w:val="en-GB"/>
            </w:rPr>
            <w:t>[12]</w:t>
          </w:r>
          <w:r>
            <w:fldChar w:fldCharType="end"/>
          </w:r>
        </w:sdtContent>
      </w:sdt>
    </w:p>
    <w:p w14:paraId="44162D1F" w14:textId="77777777" w:rsidR="002B7E55" w:rsidRPr="00582C5C" w:rsidRDefault="002B7E55" w:rsidP="002B7E55">
      <w:r>
        <w:lastRenderedPageBreak/>
        <w:t>There should be regular backups performed, along with testing of recovery procedures to ensure business continuity even in the event of a cyber incident. Data sharing should take place only between authorized people and designated third-party companies through secure channels. The period of retention of the data should be defined so that data does not remain in storage longer than necessary before its deletion.</w:t>
      </w:r>
      <w:sdt>
        <w:sdtPr>
          <w:id w:val="-1860345115"/>
          <w:citation/>
        </w:sdtPr>
        <w:sdtEndPr/>
        <w:sdtContent>
          <w:r>
            <w:fldChar w:fldCharType="begin"/>
          </w:r>
          <w:r>
            <w:rPr>
              <w:lang w:val="en-GB"/>
            </w:rPr>
            <w:instrText xml:space="preserve"> CITATION Inf24 \l 2057 </w:instrText>
          </w:r>
          <w:r>
            <w:fldChar w:fldCharType="separate"/>
          </w:r>
          <w:r>
            <w:rPr>
              <w:noProof/>
              <w:lang w:val="en-GB"/>
            </w:rPr>
            <w:t xml:space="preserve"> </w:t>
          </w:r>
          <w:r w:rsidRPr="00EA7E4B">
            <w:rPr>
              <w:noProof/>
              <w:lang w:val="en-GB"/>
            </w:rPr>
            <w:t>[12]</w:t>
          </w:r>
          <w:r>
            <w:fldChar w:fldCharType="end"/>
          </w:r>
        </w:sdtContent>
      </w:sdt>
    </w:p>
    <w:p w14:paraId="21CDDFAC" w14:textId="77777777" w:rsidR="002B7E55" w:rsidRDefault="002B7E55" w:rsidP="002B7E55">
      <w:pPr>
        <w:pStyle w:val="Heading2"/>
      </w:pPr>
      <w:bookmarkStart w:id="8" w:name="_Toc237467800"/>
      <w:r>
        <w:t>3.4 Third-Party and Supply-Chain Security</w:t>
      </w:r>
      <w:bookmarkEnd w:id="8"/>
    </w:p>
    <w:p w14:paraId="720A820D" w14:textId="77777777" w:rsidR="002B7E55" w:rsidRDefault="002B7E55" w:rsidP="002B7E55">
      <w:r>
        <w:t xml:space="preserve">SFM engages with vendors, technology vendors, and outside service providers. Therefore, the third-party security component </w:t>
      </w:r>
      <w:proofErr w:type="gramStart"/>
      <w:r>
        <w:t>has to</w:t>
      </w:r>
      <w:proofErr w:type="gramEnd"/>
      <w:r>
        <w:t xml:space="preserve"> be included in the company's cybersecurity strategy. In their current roles, the vendors </w:t>
      </w:r>
      <w:proofErr w:type="gramStart"/>
      <w:r>
        <w:t>have to</w:t>
      </w:r>
      <w:proofErr w:type="gramEnd"/>
      <w:r>
        <w:t xml:space="preserve"> undergo security evaluation demonstrating that their cybersecurity practices follow the requirements set in their agreements with SFM before getting access to the company's systems.</w:t>
      </w:r>
      <w:sdt>
        <w:sdtPr>
          <w:id w:val="583814512"/>
          <w:citation/>
        </w:sdtPr>
        <w:sdtEndPr/>
        <w:sdtContent>
          <w:r>
            <w:fldChar w:fldCharType="begin"/>
          </w:r>
          <w:r>
            <w:rPr>
              <w:lang w:val="en-GB"/>
            </w:rPr>
            <w:instrText xml:space="preserve"> CITATION Nat242 \l 2057 </w:instrText>
          </w:r>
          <w:r>
            <w:fldChar w:fldCharType="separate"/>
          </w:r>
          <w:r>
            <w:rPr>
              <w:noProof/>
              <w:lang w:val="en-GB"/>
            </w:rPr>
            <w:t xml:space="preserve"> </w:t>
          </w:r>
          <w:r w:rsidRPr="00B83E5D">
            <w:rPr>
              <w:noProof/>
              <w:lang w:val="en-GB"/>
            </w:rPr>
            <w:t>[13]</w:t>
          </w:r>
          <w:r>
            <w:fldChar w:fldCharType="end"/>
          </w:r>
        </w:sdtContent>
      </w:sdt>
    </w:p>
    <w:p w14:paraId="182C323F" w14:textId="77777777" w:rsidR="002B7E55" w:rsidRDefault="002B7E55" w:rsidP="002B7E55">
      <w:r>
        <w:t>In their current jobs, third-party users should obtain only limited access rights.</w:t>
      </w:r>
      <w:sdt>
        <w:sdtPr>
          <w:id w:val="1230115497"/>
          <w:citation/>
        </w:sdtPr>
        <w:sdtEndPr/>
        <w:sdtContent>
          <w:r>
            <w:fldChar w:fldCharType="begin"/>
          </w:r>
          <w:r>
            <w:rPr>
              <w:lang w:val="en-GB"/>
            </w:rPr>
            <w:instrText xml:space="preserve"> CITATION Nat242 \l 2057 </w:instrText>
          </w:r>
          <w:r>
            <w:fldChar w:fldCharType="separate"/>
          </w:r>
          <w:r>
            <w:rPr>
              <w:noProof/>
              <w:lang w:val="en-GB"/>
            </w:rPr>
            <w:t xml:space="preserve"> </w:t>
          </w:r>
          <w:r w:rsidRPr="007E723D">
            <w:rPr>
              <w:noProof/>
              <w:lang w:val="en-GB"/>
            </w:rPr>
            <w:t>[13]</w:t>
          </w:r>
          <w:r>
            <w:fldChar w:fldCharType="end"/>
          </w:r>
        </w:sdtContent>
      </w:sdt>
      <w:r>
        <w:t xml:space="preserve">  Their activities and licenses should be monitored regularly, so that they report any incidents that might influence how SFM operates.</w:t>
      </w:r>
    </w:p>
    <w:p w14:paraId="729068BC" w14:textId="77777777" w:rsidR="002B7E55" w:rsidRPr="00582C5C" w:rsidRDefault="002B7E55" w:rsidP="002B7E55">
      <w:r>
        <w:t xml:space="preserve">Software updates and products delivered by the third parties are to be verified before being installed to minimize supply-chain attack risks. </w:t>
      </w:r>
      <w:sdt>
        <w:sdtPr>
          <w:id w:val="-1314017495"/>
          <w:citation/>
        </w:sdtPr>
        <w:sdtEndPr/>
        <w:sdtContent>
          <w:r>
            <w:fldChar w:fldCharType="begin"/>
          </w:r>
          <w:r>
            <w:rPr>
              <w:lang w:val="en-GB"/>
            </w:rPr>
            <w:instrText xml:space="preserve"> CITATION Nat242 \l 2057 </w:instrText>
          </w:r>
          <w:r>
            <w:fldChar w:fldCharType="separate"/>
          </w:r>
          <w:r w:rsidRPr="007E723D">
            <w:rPr>
              <w:noProof/>
              <w:lang w:val="en-GB"/>
            </w:rPr>
            <w:t>[13]</w:t>
          </w:r>
          <w:r>
            <w:fldChar w:fldCharType="end"/>
          </w:r>
        </w:sdtContent>
      </w:sdt>
      <w:r>
        <w:t xml:space="preserve">  The company's cybersecurity practices dictate the necessity to monitor the suppliers' performance regularly.</w:t>
      </w:r>
    </w:p>
    <w:p w14:paraId="290EE9F0" w14:textId="77777777" w:rsidR="002B7E55" w:rsidRDefault="002B7E55" w:rsidP="002B7E55">
      <w:pPr>
        <w:pStyle w:val="Heading1"/>
      </w:pPr>
      <w:bookmarkStart w:id="9" w:name="_Toc237467801"/>
      <w:r>
        <w:t>4. Mitigation Measures</w:t>
      </w:r>
      <w:bookmarkEnd w:id="9"/>
    </w:p>
    <w:p w14:paraId="3C31568F" w14:textId="77777777" w:rsidR="002B7E55" w:rsidRDefault="002B7E55" w:rsidP="002B7E55">
      <w:r w:rsidRPr="00556A28">
        <w:t xml:space="preserve">SFM must consider putting in place various technical, administrative and physical security measures for its manufacturing premises </w:t>
      </w:r>
      <w:proofErr w:type="gramStart"/>
      <w:r w:rsidRPr="00556A28">
        <w:t>in order to</w:t>
      </w:r>
      <w:proofErr w:type="gramEnd"/>
      <w:r w:rsidRPr="00556A28">
        <w:t xml:space="preserve"> prevent cyber risks. The security measures chosen must be able to help protect the organizations connected to systems, prevent unauthorized access and make sure that business activities flow without interruption. Implementing such measures will in turn help in lowering the chances of any successful cyber-attacks as well as improving the overall cyber security of the organization.</w:t>
      </w:r>
      <w:sdt>
        <w:sdtPr>
          <w:id w:val="-1840385034"/>
          <w:citation/>
        </w:sdtPr>
        <w:sdtEndPr/>
        <w:sdtContent>
          <w:r>
            <w:fldChar w:fldCharType="begin"/>
          </w:r>
          <w:r>
            <w:rPr>
              <w:lang w:val="en-GB"/>
            </w:rPr>
            <w:instrText xml:space="preserve"> CITATION Nat243 \l 2057 </w:instrText>
          </w:r>
          <w:r>
            <w:fldChar w:fldCharType="separate"/>
          </w:r>
          <w:r>
            <w:rPr>
              <w:noProof/>
              <w:lang w:val="en-GB"/>
            </w:rPr>
            <w:t xml:space="preserve"> </w:t>
          </w:r>
          <w:r w:rsidRPr="00E71DA5">
            <w:rPr>
              <w:noProof/>
              <w:lang w:val="en-GB"/>
            </w:rPr>
            <w:t>[14]</w:t>
          </w:r>
          <w:r>
            <w:fldChar w:fldCharType="end"/>
          </w:r>
        </w:sdtContent>
      </w:sdt>
    </w:p>
    <w:p w14:paraId="09EFFAC9" w14:textId="77777777" w:rsidR="003220A6" w:rsidRPr="00556A28" w:rsidRDefault="003220A6" w:rsidP="002B7E55"/>
    <w:p w14:paraId="4BD27288" w14:textId="77777777" w:rsidR="002B7E55" w:rsidRDefault="002B7E55" w:rsidP="002B7E55">
      <w:pPr>
        <w:pStyle w:val="Heading2"/>
      </w:pPr>
      <w:bookmarkStart w:id="10" w:name="_Toc237467802"/>
      <w:r>
        <w:t>4.1 Technical Controls</w:t>
      </w:r>
      <w:bookmarkEnd w:id="10"/>
    </w:p>
    <w:p w14:paraId="6380A94A" w14:textId="77777777" w:rsidR="002B7E55" w:rsidRDefault="002B7E55" w:rsidP="002B7E55">
      <w:proofErr w:type="gramStart"/>
      <w:r>
        <w:t>In order to</w:t>
      </w:r>
      <w:proofErr w:type="gramEnd"/>
      <w:r>
        <w:t xml:space="preserve"> isolate the business systems from the Operational Technology (OT) networks, SFM needs to adopt segmentation according to the network architecture principles </w:t>
      </w:r>
      <w:proofErr w:type="gramStart"/>
      <w:r>
        <w:t>so as to</w:t>
      </w:r>
      <w:proofErr w:type="gramEnd"/>
      <w:r>
        <w:t xml:space="preserve"> limit malware movements between the office systems and manufacturing equipment. </w:t>
      </w:r>
      <w:sdt>
        <w:sdtPr>
          <w:id w:val="1303886484"/>
          <w:citation/>
        </w:sdtPr>
        <w:sdtEndPr/>
        <w:sdtContent>
          <w:r>
            <w:fldChar w:fldCharType="begin"/>
          </w:r>
          <w:r>
            <w:rPr>
              <w:lang w:val="en-GB"/>
            </w:rPr>
            <w:instrText xml:space="preserve"> CITATION Nat232 \l 2057 </w:instrText>
          </w:r>
          <w:r>
            <w:fldChar w:fldCharType="separate"/>
          </w:r>
          <w:r w:rsidRPr="00FE2DFB">
            <w:rPr>
              <w:noProof/>
              <w:lang w:val="en-GB"/>
            </w:rPr>
            <w:t>[15]</w:t>
          </w:r>
          <w:r>
            <w:fldChar w:fldCharType="end"/>
          </w:r>
        </w:sdtContent>
      </w:sdt>
    </w:p>
    <w:p w14:paraId="59EB6C93" w14:textId="77777777" w:rsidR="002B7E55" w:rsidRDefault="002B7E55" w:rsidP="002B7E55">
      <w:r>
        <w:lastRenderedPageBreak/>
        <w:t>SFM must implement the Multi-Factor Authentication (MFA) technology to ensure the safety of remote access</w:t>
      </w:r>
      <w:proofErr w:type="gramStart"/>
      <w:r>
        <w:t>, use</w:t>
      </w:r>
      <w:proofErr w:type="gramEnd"/>
      <w:r>
        <w:t xml:space="preserve"> of administrative and cloud services accounts. If login credentials are stolen </w:t>
      </w:r>
      <w:proofErr w:type="gramStart"/>
      <w:r>
        <w:t>as a result of</w:t>
      </w:r>
      <w:proofErr w:type="gramEnd"/>
      <w:r>
        <w:t xml:space="preserve"> phishing attack, it will still be more difficult for the attackers to penetrate the company systems. </w:t>
      </w:r>
      <w:sdt>
        <w:sdtPr>
          <w:id w:val="606927669"/>
          <w:citation/>
        </w:sdtPr>
        <w:sdtEndPr/>
        <w:sdtContent>
          <w:r>
            <w:fldChar w:fldCharType="begin"/>
          </w:r>
          <w:r>
            <w:rPr>
              <w:lang w:val="en-GB"/>
            </w:rPr>
            <w:instrText xml:space="preserve"> CITATION Nat232 \l 2057 </w:instrText>
          </w:r>
          <w:r>
            <w:fldChar w:fldCharType="separate"/>
          </w:r>
          <w:r w:rsidRPr="00FE2DFB">
            <w:rPr>
              <w:noProof/>
              <w:lang w:val="en-GB"/>
            </w:rPr>
            <w:t>[15]</w:t>
          </w:r>
          <w:r>
            <w:fldChar w:fldCharType="end"/>
          </w:r>
        </w:sdtContent>
      </w:sdt>
    </w:p>
    <w:p w14:paraId="37B1246F" w14:textId="77777777" w:rsidR="002B7E55" w:rsidRDefault="002B7E55" w:rsidP="002B7E55">
      <w:r>
        <w:t xml:space="preserve">Moreover, SFM </w:t>
      </w:r>
      <w:proofErr w:type="gramStart"/>
      <w:r>
        <w:t>has to</w:t>
      </w:r>
      <w:proofErr w:type="gramEnd"/>
      <w:r>
        <w:t xml:space="preserve"> implement Endpoint Detection and Response (EDR) software for servers, office computers and engineering workstations. EDR helps to detect abnormal </w:t>
      </w:r>
      <w:proofErr w:type="spellStart"/>
      <w:r>
        <w:t>behaviour</w:t>
      </w:r>
      <w:proofErr w:type="spellEnd"/>
      <w:r>
        <w:t xml:space="preserve"> of devices all the time and to respond to any cybersecurity threats faster. </w:t>
      </w:r>
      <w:sdt>
        <w:sdtPr>
          <w:id w:val="-1012066469"/>
          <w:citation/>
        </w:sdtPr>
        <w:sdtEndPr/>
        <w:sdtContent>
          <w:r>
            <w:fldChar w:fldCharType="begin"/>
          </w:r>
          <w:r>
            <w:rPr>
              <w:lang w:val="en-GB"/>
            </w:rPr>
            <w:instrText xml:space="preserve"> CITATION Cyb242 \l 2057 </w:instrText>
          </w:r>
          <w:r>
            <w:fldChar w:fldCharType="separate"/>
          </w:r>
          <w:r w:rsidRPr="00FE2DFB">
            <w:rPr>
              <w:noProof/>
              <w:lang w:val="en-GB"/>
            </w:rPr>
            <w:t>[16]</w:t>
          </w:r>
          <w:r>
            <w:fldChar w:fldCharType="end"/>
          </w:r>
        </w:sdtContent>
      </w:sdt>
    </w:p>
    <w:p w14:paraId="21CF98C8" w14:textId="77777777" w:rsidR="002B7E55" w:rsidRDefault="002B7E55" w:rsidP="002B7E55">
      <w:r>
        <w:t xml:space="preserve">Regular and safe backups </w:t>
      </w:r>
      <w:proofErr w:type="gramStart"/>
      <w:r>
        <w:t>have to</w:t>
      </w:r>
      <w:proofErr w:type="gramEnd"/>
      <w:r>
        <w:t xml:space="preserve"> be done and stored offline or in the protected cloud </w:t>
      </w:r>
      <w:proofErr w:type="gramStart"/>
      <w:r>
        <w:t>storages</w:t>
      </w:r>
      <w:proofErr w:type="gramEnd"/>
      <w:r>
        <w:t xml:space="preserve">. Backup recovery processes must be regularly tested </w:t>
      </w:r>
      <w:proofErr w:type="gramStart"/>
      <w:r>
        <w:t>in order to</w:t>
      </w:r>
      <w:proofErr w:type="gramEnd"/>
      <w:r>
        <w:t xml:space="preserve"> know how quickly the company will be able to restore the processes after a ransomware attack or some hardware failures. </w:t>
      </w:r>
      <w:sdt>
        <w:sdtPr>
          <w:id w:val="-369381771"/>
          <w:citation/>
        </w:sdtPr>
        <w:sdtEndPr/>
        <w:sdtContent>
          <w:r>
            <w:fldChar w:fldCharType="begin"/>
          </w:r>
          <w:r>
            <w:rPr>
              <w:lang w:val="en-GB"/>
            </w:rPr>
            <w:instrText xml:space="preserve"> CITATION Cyb242 \l 2057 </w:instrText>
          </w:r>
          <w:r>
            <w:fldChar w:fldCharType="separate"/>
          </w:r>
          <w:r w:rsidRPr="005C0D46">
            <w:rPr>
              <w:noProof/>
              <w:lang w:val="en-GB"/>
            </w:rPr>
            <w:t>[16]</w:t>
          </w:r>
          <w:r>
            <w:fldChar w:fldCharType="end"/>
          </w:r>
        </w:sdtContent>
      </w:sdt>
    </w:p>
    <w:p w14:paraId="3F1C0601" w14:textId="12DDA258" w:rsidR="00B93FA1" w:rsidRDefault="00B93FA1" w:rsidP="002B7E55">
      <w:r>
        <w:rPr>
          <w:noProof/>
          <w14:ligatures w14:val="standardContextual"/>
        </w:rPr>
        <w:drawing>
          <wp:inline distT="0" distB="0" distL="0" distR="0" wp14:anchorId="5BA9C10A" wp14:editId="4DC3CF33">
            <wp:extent cx="5919787" cy="2943860"/>
            <wp:effectExtent l="0" t="0" r="5080" b="8890"/>
            <wp:docPr id="18672150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215014" name="Picture 1867215014"/>
                    <pic:cNvPicPr/>
                  </pic:nvPicPr>
                  <pic:blipFill>
                    <a:blip r:embed="rId13">
                      <a:extLst>
                        <a:ext uri="{28A0092B-C50C-407E-A947-70E740481C1C}">
                          <a14:useLocalDpi xmlns:a14="http://schemas.microsoft.com/office/drawing/2010/main" val="0"/>
                        </a:ext>
                      </a:extLst>
                    </a:blip>
                    <a:stretch>
                      <a:fillRect/>
                    </a:stretch>
                  </pic:blipFill>
                  <pic:spPr>
                    <a:xfrm>
                      <a:off x="0" y="0"/>
                      <a:ext cx="5950740" cy="2959252"/>
                    </a:xfrm>
                    <a:prstGeom prst="rect">
                      <a:avLst/>
                    </a:prstGeom>
                  </pic:spPr>
                </pic:pic>
              </a:graphicData>
            </a:graphic>
          </wp:inline>
        </w:drawing>
      </w:r>
    </w:p>
    <w:p w14:paraId="08BA611D" w14:textId="7BDE76F3" w:rsidR="00FE518A" w:rsidRPr="003220A6" w:rsidRDefault="00FE518A" w:rsidP="002B7E55">
      <w:pPr>
        <w:rPr>
          <w:color w:val="80340D" w:themeColor="accent2" w:themeShade="80"/>
          <w:sz w:val="26"/>
          <w:szCs w:val="26"/>
        </w:rPr>
      </w:pPr>
      <w:r w:rsidRPr="00FE518A">
        <w:rPr>
          <w:color w:val="80340D" w:themeColor="accent2" w:themeShade="80"/>
          <w:sz w:val="26"/>
          <w:szCs w:val="26"/>
        </w:rPr>
        <w:t>Figure 5. The 3-2-1 backup strategy for secure data protection.</w:t>
      </w:r>
    </w:p>
    <w:p w14:paraId="424AA66C" w14:textId="5182D006" w:rsidR="002B7E55" w:rsidRDefault="002B7E55" w:rsidP="002B7E55">
      <w:r w:rsidRPr="005922F8">
        <w:t xml:space="preserve">Furthermore, SFM should implement a vulnerability management </w:t>
      </w:r>
      <w:proofErr w:type="spellStart"/>
      <w:r w:rsidRPr="005922F8">
        <w:t>programme</w:t>
      </w:r>
      <w:proofErr w:type="spellEnd"/>
      <w:r w:rsidRPr="005922F8">
        <w:t xml:space="preserve"> that regularly scans systems and applies software updates to identify and reduce security vulnerabilities. System logs should also be monitored regularly to identify unusual activities and support the early detection of cyber incidents. In addition, secure configuration standards should be applied to servers, workstations and IoT devices before they are connected to the network. </w:t>
      </w:r>
      <w:sdt>
        <w:sdtPr>
          <w:id w:val="-1908208280"/>
          <w:citation/>
        </w:sdtPr>
        <w:sdtEndPr/>
        <w:sdtContent>
          <w:r>
            <w:fldChar w:fldCharType="begin"/>
          </w:r>
          <w:r>
            <w:rPr>
              <w:lang w:val="en-GB"/>
            </w:rPr>
            <w:instrText xml:space="preserve"> CITATION Cen241 \l 2057 </w:instrText>
          </w:r>
          <w:r>
            <w:fldChar w:fldCharType="separate"/>
          </w:r>
          <w:r w:rsidRPr="00E12061">
            <w:rPr>
              <w:noProof/>
              <w:lang w:val="en-GB"/>
            </w:rPr>
            <w:t>[17]</w:t>
          </w:r>
          <w:r>
            <w:fldChar w:fldCharType="end"/>
          </w:r>
        </w:sdtContent>
      </w:sdt>
    </w:p>
    <w:p w14:paraId="5D987177" w14:textId="77777777" w:rsidR="00713067" w:rsidRDefault="00713067" w:rsidP="002B7E55"/>
    <w:p w14:paraId="44DF5247" w14:textId="77777777" w:rsidR="002B7E55" w:rsidRDefault="002B7E55" w:rsidP="002B7E55">
      <w:pPr>
        <w:pStyle w:val="Heading2"/>
      </w:pPr>
      <w:bookmarkStart w:id="11" w:name="_Toc237467803"/>
      <w:r>
        <w:t>4.2 Administrative and Physical Controls</w:t>
      </w:r>
      <w:bookmarkEnd w:id="11"/>
    </w:p>
    <w:p w14:paraId="46644DDA" w14:textId="77777777" w:rsidR="002B7E55" w:rsidRDefault="002B7E55" w:rsidP="002B7E55">
      <w:r>
        <w:t xml:space="preserve">There are limitations associated with the use of technical means alone to protect cyber threats against SFM. Thus, the company should implement administrative measures as well, which involves </w:t>
      </w:r>
      <w:r>
        <w:lastRenderedPageBreak/>
        <w:t xml:space="preserve">defining cyber threat responsibilities for managers, IT departments, and other employees. It is also imperative to perform routine reviews of the access to eliminate </w:t>
      </w:r>
      <w:proofErr w:type="gramStart"/>
      <w:r>
        <w:t>the unnecessary</w:t>
      </w:r>
      <w:proofErr w:type="gramEnd"/>
      <w:r>
        <w:t xml:space="preserve"> permissions. </w:t>
      </w:r>
      <w:sdt>
        <w:sdtPr>
          <w:id w:val="699588308"/>
          <w:citation/>
        </w:sdtPr>
        <w:sdtEndPr/>
        <w:sdtContent>
          <w:r>
            <w:fldChar w:fldCharType="begin"/>
          </w:r>
          <w:r>
            <w:rPr>
              <w:lang w:val="en-GB"/>
            </w:rPr>
            <w:instrText xml:space="preserve"> CITATION Nat233 \l 2057 </w:instrText>
          </w:r>
          <w:r>
            <w:fldChar w:fldCharType="separate"/>
          </w:r>
          <w:r w:rsidRPr="00BD7254">
            <w:rPr>
              <w:noProof/>
              <w:lang w:val="en-GB"/>
            </w:rPr>
            <w:t>[18]</w:t>
          </w:r>
          <w:r>
            <w:fldChar w:fldCharType="end"/>
          </w:r>
        </w:sdtContent>
      </w:sdt>
    </w:p>
    <w:p w14:paraId="110B78CB" w14:textId="77777777" w:rsidR="002B7E55" w:rsidRDefault="002B7E55" w:rsidP="002B7E55">
      <w:r>
        <w:t>Supplier security assessments should occur before giving partner companies access to SFM systems. External partners should receive only essential access for their work, which should be reviewed periodically.</w:t>
      </w:r>
      <w:sdt>
        <w:sdtPr>
          <w:id w:val="-442383781"/>
          <w:citation/>
        </w:sdtPr>
        <w:sdtEndPr/>
        <w:sdtContent>
          <w:r>
            <w:fldChar w:fldCharType="begin"/>
          </w:r>
          <w:r>
            <w:rPr>
              <w:lang w:val="en-GB"/>
            </w:rPr>
            <w:instrText xml:space="preserve"> CITATION Nat242 \l 2057 </w:instrText>
          </w:r>
          <w:r>
            <w:fldChar w:fldCharType="separate"/>
          </w:r>
          <w:r>
            <w:rPr>
              <w:noProof/>
              <w:lang w:val="en-GB"/>
            </w:rPr>
            <w:t xml:space="preserve"> </w:t>
          </w:r>
          <w:r w:rsidRPr="002227F3">
            <w:rPr>
              <w:noProof/>
              <w:lang w:val="en-GB"/>
            </w:rPr>
            <w:t>[13]</w:t>
          </w:r>
          <w:r>
            <w:fldChar w:fldCharType="end"/>
          </w:r>
        </w:sdtContent>
      </w:sdt>
    </w:p>
    <w:p w14:paraId="0025BA00" w14:textId="77777777" w:rsidR="002B7E55" w:rsidRDefault="002B7E55" w:rsidP="002B7E55">
      <w:r>
        <w:t>Physical protection should be enhanced with restricted access to server rooms and manufacturing control systems reached through access cards and biometric identification. CCTV surveillance and visitor management measures should also be introduced to avoid any unauthorized access.</w:t>
      </w:r>
      <w:sdt>
        <w:sdtPr>
          <w:id w:val="704525028"/>
          <w:citation/>
        </w:sdtPr>
        <w:sdtEndPr/>
        <w:sdtContent>
          <w:r>
            <w:fldChar w:fldCharType="begin"/>
          </w:r>
          <w:r>
            <w:rPr>
              <w:lang w:val="en-GB"/>
            </w:rPr>
            <w:instrText xml:space="preserve"> CITATION Nat233 \l 2057 </w:instrText>
          </w:r>
          <w:r>
            <w:fldChar w:fldCharType="separate"/>
          </w:r>
          <w:r>
            <w:rPr>
              <w:noProof/>
              <w:lang w:val="en-GB"/>
            </w:rPr>
            <w:t xml:space="preserve"> </w:t>
          </w:r>
          <w:r w:rsidRPr="00DA2CD9">
            <w:rPr>
              <w:noProof/>
              <w:lang w:val="en-GB"/>
            </w:rPr>
            <w:t>[18]</w:t>
          </w:r>
          <w:r>
            <w:fldChar w:fldCharType="end"/>
          </w:r>
        </w:sdtContent>
      </w:sdt>
    </w:p>
    <w:p w14:paraId="425D3298" w14:textId="77777777" w:rsidR="002B7E55" w:rsidRPr="00F74B09" w:rsidRDefault="002B7E55" w:rsidP="002B7E55">
      <w:r>
        <w:t>Finally, the company should have a Business Continuity Plan (BCP) and do regular testing of disaster recovery measures.</w:t>
      </w:r>
      <w:sdt>
        <w:sdtPr>
          <w:id w:val="861636170"/>
          <w:citation/>
        </w:sdtPr>
        <w:sdtEndPr/>
        <w:sdtContent>
          <w:r>
            <w:fldChar w:fldCharType="begin"/>
          </w:r>
          <w:r>
            <w:rPr>
              <w:lang w:val="en-GB"/>
            </w:rPr>
            <w:instrText xml:space="preserve"> CITATION Nat244 \l 2057 </w:instrText>
          </w:r>
          <w:r>
            <w:fldChar w:fldCharType="separate"/>
          </w:r>
          <w:r>
            <w:rPr>
              <w:noProof/>
              <w:lang w:val="en-GB"/>
            </w:rPr>
            <w:t xml:space="preserve"> </w:t>
          </w:r>
          <w:r w:rsidRPr="00DA2CD9">
            <w:rPr>
              <w:noProof/>
              <w:lang w:val="en-GB"/>
            </w:rPr>
            <w:t>[19]</w:t>
          </w:r>
          <w:r>
            <w:fldChar w:fldCharType="end"/>
          </w:r>
        </w:sdtContent>
      </w:sdt>
    </w:p>
    <w:p w14:paraId="0C6ACB96" w14:textId="77777777" w:rsidR="002B7E55" w:rsidRDefault="002B7E55" w:rsidP="002B7E55">
      <w:pPr>
        <w:pStyle w:val="Heading1"/>
      </w:pPr>
      <w:bookmarkStart w:id="12" w:name="_Toc237467804"/>
      <w:r>
        <w:t>5. Monitoring and Incident Response</w:t>
      </w:r>
      <w:bookmarkEnd w:id="12"/>
    </w:p>
    <w:p w14:paraId="0C4BB31D" w14:textId="7207E333" w:rsidR="003220A6" w:rsidRPr="00232C91" w:rsidRDefault="002B7E55" w:rsidP="002B7E55">
      <w:r w:rsidRPr="00232C91">
        <w:t>Monitoring that continues along with the incident response process is crucial to ensuring the safety of SFM from cyber threats. Intrusions can be detected early before they result in any serious security incident or considerable downtime of production. An effective monitoring and incident response procedure is important for SFM to keep the business running while protecting its essential manufacturing systems and confidential data.</w:t>
      </w:r>
      <w:sdt>
        <w:sdtPr>
          <w:id w:val="-1730065344"/>
          <w:citation/>
        </w:sdtPr>
        <w:sdtEndPr/>
        <w:sdtContent>
          <w:r>
            <w:fldChar w:fldCharType="begin"/>
          </w:r>
          <w:r>
            <w:rPr>
              <w:lang w:val="en-GB"/>
            </w:rPr>
            <w:instrText xml:space="preserve"> CITATION Nat25 \l 2057 </w:instrText>
          </w:r>
          <w:r>
            <w:fldChar w:fldCharType="separate"/>
          </w:r>
          <w:r>
            <w:rPr>
              <w:noProof/>
              <w:lang w:val="en-GB"/>
            </w:rPr>
            <w:t xml:space="preserve"> </w:t>
          </w:r>
          <w:r w:rsidRPr="00500BAD">
            <w:rPr>
              <w:noProof/>
              <w:lang w:val="en-GB"/>
            </w:rPr>
            <w:t>[20]</w:t>
          </w:r>
          <w:r>
            <w:fldChar w:fldCharType="end"/>
          </w:r>
        </w:sdtContent>
      </w:sdt>
    </w:p>
    <w:p w14:paraId="3EDDDB0E" w14:textId="77777777" w:rsidR="002B7E55" w:rsidRDefault="002B7E55" w:rsidP="002B7E55">
      <w:pPr>
        <w:pStyle w:val="Heading2"/>
      </w:pPr>
      <w:bookmarkStart w:id="13" w:name="_Toc237467805"/>
      <w:r>
        <w:t>5.1 Network Monitoring</w:t>
      </w:r>
      <w:bookmarkEnd w:id="13"/>
    </w:p>
    <w:p w14:paraId="60298751" w14:textId="77777777" w:rsidR="002B7E55" w:rsidRDefault="002B7E55" w:rsidP="002B7E55">
      <w:r>
        <w:t xml:space="preserve">SFM needs to make continuous efforts in monitoring its IT, OT, and IoT environments for spotting any threatening activities that can turn into a serious security issue. Security monitoring will encompass things like servers, devices of employees, production systems, cloud services, and connected equipment for manufacturing purposes. </w:t>
      </w:r>
      <w:sdt>
        <w:sdtPr>
          <w:id w:val="-1077364856"/>
          <w:citation/>
        </w:sdtPr>
        <w:sdtEndPr/>
        <w:sdtContent>
          <w:r>
            <w:fldChar w:fldCharType="begin"/>
          </w:r>
          <w:r>
            <w:rPr>
              <w:lang w:val="en-GB"/>
            </w:rPr>
            <w:instrText xml:space="preserve"> CITATION Nat235 \l 2057 </w:instrText>
          </w:r>
          <w:r>
            <w:fldChar w:fldCharType="separate"/>
          </w:r>
          <w:r w:rsidRPr="007D58A3">
            <w:rPr>
              <w:noProof/>
              <w:lang w:val="en-GB"/>
            </w:rPr>
            <w:t>[21]</w:t>
          </w:r>
          <w:r>
            <w:fldChar w:fldCharType="end"/>
          </w:r>
        </w:sdtContent>
      </w:sdt>
    </w:p>
    <w:p w14:paraId="34392976" w14:textId="77777777" w:rsidR="002B7E55" w:rsidRDefault="002B7E55" w:rsidP="002B7E55">
      <w:r>
        <w:t xml:space="preserve">To gain insights and capture system logs, SFM should pick information from firewalls, servers, and IT elements. The logs should be monitored on a continuous basis by using a monitoring device with the ability </w:t>
      </w:r>
      <w:proofErr w:type="gramStart"/>
      <w:r>
        <w:t>of producing</w:t>
      </w:r>
      <w:proofErr w:type="gramEnd"/>
      <w:r>
        <w:t xml:space="preserve"> alerts about security problems because of unusually detected activities. Such activities may show things such as too many failed attempts to log in, unauthorized access attempts, unauthorized software installations, and detected unusual traffic. </w:t>
      </w:r>
      <w:sdt>
        <w:sdtPr>
          <w:id w:val="-1936740457"/>
          <w:citation/>
        </w:sdtPr>
        <w:sdtEndPr/>
        <w:sdtContent>
          <w:r>
            <w:fldChar w:fldCharType="begin"/>
          </w:r>
          <w:r>
            <w:rPr>
              <w:lang w:val="en-GB"/>
            </w:rPr>
            <w:instrText xml:space="preserve"> CITATION Nat235 \l 2057 </w:instrText>
          </w:r>
          <w:r>
            <w:fldChar w:fldCharType="separate"/>
          </w:r>
          <w:r w:rsidRPr="005E21DB">
            <w:rPr>
              <w:noProof/>
              <w:lang w:val="en-GB"/>
            </w:rPr>
            <w:t>[21]</w:t>
          </w:r>
          <w:r>
            <w:fldChar w:fldCharType="end"/>
          </w:r>
        </w:sdtContent>
      </w:sdt>
    </w:p>
    <w:p w14:paraId="5D984AF7" w14:textId="7002CD58" w:rsidR="003220A6" w:rsidRPr="00232C91" w:rsidRDefault="002B7E55" w:rsidP="002B7E55">
      <w:r>
        <w:t xml:space="preserve">IT security team should take the responsibility of reviewing alerts for identifying any suspicious issues. The </w:t>
      </w:r>
      <w:proofErr w:type="gramStart"/>
      <w:r>
        <w:t>high risk</w:t>
      </w:r>
      <w:proofErr w:type="gramEnd"/>
      <w:r>
        <w:t xml:space="preserve"> incidents should be reported to senior management for escalation according to the </w:t>
      </w:r>
      <w:r>
        <w:lastRenderedPageBreak/>
        <w:t xml:space="preserve">regulations of the response protocol of SFM. Continuous monitoring will reduce delays in operation and give its staff the ability to identify any threats at the initial stage. </w:t>
      </w:r>
    </w:p>
    <w:p w14:paraId="444B7BD4" w14:textId="77777777" w:rsidR="002B7E55" w:rsidRDefault="002B7E55" w:rsidP="002B7E55">
      <w:pPr>
        <w:pStyle w:val="Heading2"/>
      </w:pPr>
      <w:bookmarkStart w:id="14" w:name="_Toc237467806"/>
      <w:r>
        <w:t>5.2 Incident Response</w:t>
      </w:r>
      <w:bookmarkEnd w:id="14"/>
    </w:p>
    <w:p w14:paraId="1733F089" w14:textId="1B8397C6" w:rsidR="007D0EB8" w:rsidRDefault="002B7E55" w:rsidP="002B7E55">
      <w:r>
        <w:t xml:space="preserve">A systematic incident response system needs to be established in SFM to reduce cybersecurity attacks and ensure uninterrupted production. </w:t>
      </w:r>
      <w:proofErr w:type="gramStart"/>
      <w:r>
        <w:t>In order to</w:t>
      </w:r>
      <w:proofErr w:type="gramEnd"/>
      <w:r>
        <w:t xml:space="preserve"> minimize the impact of an attack, once the attack is discovered, the IT security team needs to determine and assess the type of attack first. </w:t>
      </w:r>
      <w:sdt>
        <w:sdtPr>
          <w:id w:val="596917247"/>
          <w:citation/>
        </w:sdtPr>
        <w:sdtEndPr/>
        <w:sdtContent>
          <w:r>
            <w:fldChar w:fldCharType="begin"/>
          </w:r>
          <w:r>
            <w:rPr>
              <w:lang w:val="en-GB"/>
            </w:rPr>
            <w:instrText xml:space="preserve"> CITATION Nat25 \l 2057 </w:instrText>
          </w:r>
          <w:r>
            <w:fldChar w:fldCharType="separate"/>
          </w:r>
          <w:r w:rsidRPr="00504333">
            <w:rPr>
              <w:noProof/>
              <w:lang w:val="en-GB"/>
            </w:rPr>
            <w:t>[20]</w:t>
          </w:r>
          <w:r>
            <w:fldChar w:fldCharType="end"/>
          </w:r>
        </w:sdtContent>
      </w:sdt>
      <w:r w:rsidR="007D0EB8">
        <w:rPr>
          <w:noProof/>
          <w14:ligatures w14:val="standardContextual"/>
        </w:rPr>
        <w:drawing>
          <wp:inline distT="0" distB="0" distL="0" distR="0" wp14:anchorId="57FF5239" wp14:editId="2C2374E8">
            <wp:extent cx="6448425" cy="1071563"/>
            <wp:effectExtent l="0" t="0" r="9525" b="0"/>
            <wp:docPr id="185216705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21EC323" w14:textId="77777777" w:rsidR="003220A6" w:rsidRDefault="003220A6" w:rsidP="002B7E55">
      <w:pPr>
        <w:rPr>
          <w:color w:val="80340D" w:themeColor="accent2" w:themeShade="80"/>
          <w:sz w:val="26"/>
          <w:szCs w:val="26"/>
        </w:rPr>
      </w:pPr>
    </w:p>
    <w:p w14:paraId="0E31B1CA" w14:textId="226259E1" w:rsidR="006847BE" w:rsidRDefault="006847BE" w:rsidP="002B7E55">
      <w:pPr>
        <w:rPr>
          <w:color w:val="80340D" w:themeColor="accent2" w:themeShade="80"/>
          <w:sz w:val="26"/>
          <w:szCs w:val="26"/>
        </w:rPr>
      </w:pPr>
      <w:r w:rsidRPr="006847BE">
        <w:rPr>
          <w:color w:val="80340D" w:themeColor="accent2" w:themeShade="80"/>
          <w:sz w:val="26"/>
          <w:szCs w:val="26"/>
        </w:rPr>
        <w:t xml:space="preserve">Figure 6. Incident Response Process for </w:t>
      </w:r>
      <w:proofErr w:type="spellStart"/>
      <w:r w:rsidRPr="006847BE">
        <w:rPr>
          <w:color w:val="80340D" w:themeColor="accent2" w:themeShade="80"/>
          <w:sz w:val="26"/>
          <w:szCs w:val="26"/>
        </w:rPr>
        <w:t>SteelForm</w:t>
      </w:r>
      <w:proofErr w:type="spellEnd"/>
      <w:r w:rsidRPr="006847BE">
        <w:rPr>
          <w:color w:val="80340D" w:themeColor="accent2" w:themeShade="80"/>
          <w:sz w:val="26"/>
          <w:szCs w:val="26"/>
        </w:rPr>
        <w:t xml:space="preserve"> Manufacturing Ltd. (Adapted from NIST SP 800-61 Revision 2).</w:t>
      </w:r>
      <w:sdt>
        <w:sdtPr>
          <w:rPr>
            <w:color w:val="80340D" w:themeColor="accent2" w:themeShade="80"/>
            <w:sz w:val="26"/>
            <w:szCs w:val="26"/>
          </w:rPr>
          <w:id w:val="-413396075"/>
          <w:citation/>
        </w:sdtPr>
        <w:sdtEndPr/>
        <w:sdtContent>
          <w:r w:rsidR="008359CE">
            <w:rPr>
              <w:color w:val="80340D" w:themeColor="accent2" w:themeShade="80"/>
              <w:sz w:val="26"/>
              <w:szCs w:val="26"/>
            </w:rPr>
            <w:fldChar w:fldCharType="begin"/>
          </w:r>
          <w:r w:rsidR="008359CE">
            <w:rPr>
              <w:color w:val="80340D" w:themeColor="accent2" w:themeShade="80"/>
              <w:sz w:val="26"/>
              <w:szCs w:val="26"/>
              <w:lang w:val="en-GB"/>
            </w:rPr>
            <w:instrText xml:space="preserve"> CITATION Nat25 \l 2057 </w:instrText>
          </w:r>
          <w:r w:rsidR="008359CE">
            <w:rPr>
              <w:color w:val="80340D" w:themeColor="accent2" w:themeShade="80"/>
              <w:sz w:val="26"/>
              <w:szCs w:val="26"/>
            </w:rPr>
            <w:fldChar w:fldCharType="separate"/>
          </w:r>
          <w:r w:rsidR="008359CE">
            <w:rPr>
              <w:noProof/>
              <w:color w:val="80340D" w:themeColor="accent2" w:themeShade="80"/>
              <w:sz w:val="26"/>
              <w:szCs w:val="26"/>
              <w:lang w:val="en-GB"/>
            </w:rPr>
            <w:t xml:space="preserve"> </w:t>
          </w:r>
          <w:r w:rsidR="008359CE" w:rsidRPr="008359CE">
            <w:rPr>
              <w:noProof/>
              <w:color w:val="80340D" w:themeColor="accent2" w:themeShade="80"/>
              <w:sz w:val="26"/>
              <w:szCs w:val="26"/>
              <w:lang w:val="en-GB"/>
            </w:rPr>
            <w:t>[20]</w:t>
          </w:r>
          <w:r w:rsidR="008359CE">
            <w:rPr>
              <w:color w:val="80340D" w:themeColor="accent2" w:themeShade="80"/>
              <w:sz w:val="26"/>
              <w:szCs w:val="26"/>
            </w:rPr>
            <w:fldChar w:fldCharType="end"/>
          </w:r>
        </w:sdtContent>
      </w:sdt>
    </w:p>
    <w:p w14:paraId="380C1AAE" w14:textId="4BDD91DD" w:rsidR="002B7E55" w:rsidRPr="002B24C3" w:rsidRDefault="002B7E55" w:rsidP="002B7E55">
      <w:r>
        <w:t xml:space="preserve">In case of confirming the presence of malware or inappropriate access, the affected systems should be isolated immediately </w:t>
      </w:r>
      <w:proofErr w:type="gramStart"/>
      <w:r>
        <w:t>in order to</w:t>
      </w:r>
      <w:proofErr w:type="gramEnd"/>
      <w:r>
        <w:t xml:space="preserve"> stop additional damage. Once isolation takes place, the malicious software is deleted, the affected systems are restored using the back-up, and normal functioning of business operations is resumed. Finally, a “postmortem review” should be conducted to draw lessons for the future and make improvements to the security measures taken.</w:t>
      </w:r>
    </w:p>
    <w:p w14:paraId="43685383" w14:textId="77777777" w:rsidR="002B7E55" w:rsidRDefault="002B7E55" w:rsidP="002B7E55">
      <w:pPr>
        <w:pStyle w:val="Heading2"/>
      </w:pPr>
      <w:bookmarkStart w:id="15" w:name="_Toc237467807"/>
      <w:r>
        <w:t>6. Training and Awareness</w:t>
      </w:r>
      <w:bookmarkEnd w:id="15"/>
    </w:p>
    <w:p w14:paraId="14589B50" w14:textId="77777777" w:rsidR="002B7E55" w:rsidRDefault="002B7E55" w:rsidP="002B7E55">
      <w:r>
        <w:t xml:space="preserve">One of the most efficient methods of minimizing cyber risks at SFM Ltd. is employee awareness. Even the best technologies cannot guarantee the company full protection unless employees understand common cyber threats and their responsibilities. Therefore, </w:t>
      </w:r>
      <w:proofErr w:type="spellStart"/>
      <w:r>
        <w:t>SteelForm</w:t>
      </w:r>
      <w:proofErr w:type="spellEnd"/>
      <w:r>
        <w:t xml:space="preserve"> Manufacturing should develop a regular training program on cyber security for its employees.</w:t>
      </w:r>
      <w:sdt>
        <w:sdtPr>
          <w:id w:val="2020733488"/>
          <w:citation/>
        </w:sdtPr>
        <w:sdtEndPr/>
        <w:sdtContent>
          <w:r>
            <w:fldChar w:fldCharType="begin"/>
          </w:r>
          <w:r>
            <w:rPr>
              <w:lang w:val="en-GB"/>
            </w:rPr>
            <w:instrText xml:space="preserve"> CITATION Nat236 \l 2057 </w:instrText>
          </w:r>
          <w:r>
            <w:fldChar w:fldCharType="separate"/>
          </w:r>
          <w:r>
            <w:rPr>
              <w:noProof/>
              <w:lang w:val="en-GB"/>
            </w:rPr>
            <w:t xml:space="preserve"> </w:t>
          </w:r>
          <w:r w:rsidRPr="00951B79">
            <w:rPr>
              <w:noProof/>
              <w:lang w:val="en-GB"/>
            </w:rPr>
            <w:t>[22]</w:t>
          </w:r>
          <w:r>
            <w:fldChar w:fldCharType="end"/>
          </w:r>
        </w:sdtContent>
      </w:sdt>
    </w:p>
    <w:p w14:paraId="264B13EC" w14:textId="77777777" w:rsidR="002B7E55" w:rsidRDefault="002B7E55" w:rsidP="002B7E55">
      <w:r>
        <w:t xml:space="preserve">The training program </w:t>
      </w:r>
      <w:proofErr w:type="gramStart"/>
      <w:r>
        <w:t>has to</w:t>
      </w:r>
      <w:proofErr w:type="gramEnd"/>
      <w:r>
        <w:t xml:space="preserve"> be delivered to all new employees at the time of recruitment and repeated at least once in six months. In addition, further training sessions should be organized every time a new technology, system or security policy is implemented. Managers, as well as IT staff, will have to go through advanced training depending on their functions. </w:t>
      </w:r>
    </w:p>
    <w:p w14:paraId="2947FFA1" w14:textId="77777777" w:rsidR="002B7E55" w:rsidRDefault="002B7E55" w:rsidP="002B7E55">
      <w:r>
        <w:t xml:space="preserve">The training must </w:t>
      </w:r>
      <w:proofErr w:type="gramStart"/>
      <w:r>
        <w:t>be covering</w:t>
      </w:r>
      <w:proofErr w:type="gramEnd"/>
      <w:r>
        <w:t xml:space="preserve"> other crucial subjects like password security, multi-factor authentication (MFA), phishing, social engineering attacks, safe use of emails, securing company </w:t>
      </w:r>
      <w:r>
        <w:lastRenderedPageBreak/>
        <w:t xml:space="preserve">information, and reporting suspicious activities. All employees must know how to identify </w:t>
      </w:r>
      <w:proofErr w:type="gramStart"/>
      <w:r>
        <w:t>the cyber</w:t>
      </w:r>
      <w:proofErr w:type="gramEnd"/>
      <w:r>
        <w:t xml:space="preserve"> threats and how to report such security incidents to IT.</w:t>
      </w:r>
    </w:p>
    <w:p w14:paraId="418448BB" w14:textId="2195076B" w:rsidR="002B7E55" w:rsidRPr="00AA36CC" w:rsidRDefault="002B7E55" w:rsidP="002B7E55">
      <w:r>
        <w:t xml:space="preserve">For making employees aware of phishing, SFM </w:t>
      </w:r>
      <w:proofErr w:type="gramStart"/>
      <w:r>
        <w:t>has to</w:t>
      </w:r>
      <w:proofErr w:type="gramEnd"/>
      <w:r>
        <w:t xml:space="preserve"> conduct phishing simulation exercises regularly.</w:t>
      </w:r>
      <w:sdt>
        <w:sdtPr>
          <w:id w:val="435723051"/>
          <w:citation/>
        </w:sdtPr>
        <w:sdtEndPr/>
        <w:sdtContent>
          <w:r>
            <w:fldChar w:fldCharType="begin"/>
          </w:r>
          <w:r>
            <w:rPr>
              <w:lang w:val="en-GB"/>
            </w:rPr>
            <w:instrText xml:space="preserve"> CITATION Cyb231 \l 2057 </w:instrText>
          </w:r>
          <w:r>
            <w:fldChar w:fldCharType="separate"/>
          </w:r>
          <w:r w:rsidRPr="00137693">
            <w:rPr>
              <w:noProof/>
              <w:lang w:val="en-GB"/>
            </w:rPr>
            <w:t>[23]</w:t>
          </w:r>
          <w:r>
            <w:fldChar w:fldCharType="end"/>
          </w:r>
        </w:sdtContent>
      </w:sdt>
      <w:r>
        <w:t xml:space="preserve">  These exercises would allow identifying suspicious emails without risk to company resources. The company must also assess the efficiency of its training course through phishing simulation results, employee participation, knowledge assessment tests and incidents reported.</w:t>
      </w:r>
    </w:p>
    <w:p w14:paraId="0AE6F651" w14:textId="77777777" w:rsidR="002B7E55" w:rsidRDefault="002B7E55" w:rsidP="002B7E55">
      <w:pPr>
        <w:pStyle w:val="Heading1"/>
      </w:pPr>
      <w:bookmarkStart w:id="16" w:name="_Toc237467808"/>
      <w:r>
        <w:t>7. Conclusion</w:t>
      </w:r>
      <w:bookmarkEnd w:id="16"/>
    </w:p>
    <w:p w14:paraId="598446BC" w14:textId="77777777" w:rsidR="002B7E55" w:rsidRDefault="002B7E55" w:rsidP="002B7E55">
      <w:r>
        <w:t>SFM encounters numerous cybersecurity challenges because of its growing implementation of Industry 4.0 practices, cloud technologies and IoT-enabled manufacturing. There are internal and external threats, such as human mistakes, malware, phishing attacks, unauthorized access and supply-chain risks that can lead to production interruptions and leakage of sensitive data.</w:t>
      </w:r>
    </w:p>
    <w:p w14:paraId="429A74CF" w14:textId="77777777" w:rsidR="002B7E55" w:rsidRDefault="002B7E55" w:rsidP="002B7E55">
      <w:r>
        <w:t>Recommendations proposed in this report include several effective cybersecurity policies that are intended to enhance SFM’s security. These policies include strong access control, network segmentation, Multi-Factor Authentication, secure data management, suppliers’ security requirements and regular vulnerability management. Continuous network monitoring and structured incident response process were also recommended as helpful for analyzing security incidents and minimizing operational disruption.</w:t>
      </w:r>
    </w:p>
    <w:p w14:paraId="3A801339" w14:textId="77777777" w:rsidR="002B7E55" w:rsidRDefault="002B7E55" w:rsidP="002B7E55">
      <w:r>
        <w:t xml:space="preserve">Furthermore, training to employees and awareness about cyber threats were important components of the security strategy of the company. Through continuous training sessions, performing simulation exercises and informing employees about the procedures for reporting any incidents of cybercrime, employees learn to recognize potential cyber threats.   </w:t>
      </w:r>
    </w:p>
    <w:p w14:paraId="654A2143" w14:textId="188AF7E5" w:rsidR="002B7E55" w:rsidRDefault="002B7E55" w:rsidP="002B7E55">
      <w:r>
        <w:t>Ultimately, by implementing these recommendations, the company will increase the confidentiality and integrity of the information system of SFM and its effectiveness in producing high-quality goods.</w:t>
      </w:r>
      <w:r w:rsidR="00FE518A">
        <w:t xml:space="preserve"> </w:t>
      </w:r>
      <w:sdt>
        <w:sdtPr>
          <w:id w:val="624812198"/>
          <w:citation/>
        </w:sdtPr>
        <w:sdtEndPr/>
        <w:sdtContent>
          <w:r w:rsidR="00D65CEE">
            <w:fldChar w:fldCharType="begin"/>
          </w:r>
          <w:r w:rsidR="00D65CEE">
            <w:rPr>
              <w:lang w:val="en-GB"/>
            </w:rPr>
            <w:instrText xml:space="preserve"> CITATION Nat245 \l 2057 </w:instrText>
          </w:r>
          <w:r w:rsidR="00D65CEE">
            <w:fldChar w:fldCharType="separate"/>
          </w:r>
          <w:r w:rsidR="00D65CEE" w:rsidRPr="00D65CEE">
            <w:rPr>
              <w:noProof/>
              <w:lang w:val="en-GB"/>
            </w:rPr>
            <w:t>[24]</w:t>
          </w:r>
          <w:r w:rsidR="00D65CEE">
            <w:fldChar w:fldCharType="end"/>
          </w:r>
        </w:sdtContent>
      </w:sdt>
    </w:p>
    <w:p w14:paraId="18817D3D" w14:textId="77777777" w:rsidR="00713067" w:rsidRDefault="00713067" w:rsidP="002B7E55"/>
    <w:p w14:paraId="665B10CA" w14:textId="77777777" w:rsidR="00713067" w:rsidRDefault="00713067" w:rsidP="002B7E55"/>
    <w:p w14:paraId="735B2F21" w14:textId="77777777" w:rsidR="00713067" w:rsidRDefault="00713067" w:rsidP="002B7E55"/>
    <w:bookmarkStart w:id="17" w:name="_Toc237467809" w:displacedByCustomXml="next"/>
    <w:sdt>
      <w:sdtPr>
        <w:rPr>
          <w:rFonts w:ascii="Aptos" w:eastAsiaTheme="minorEastAsia" w:hAnsi="Aptos" w:cstheme="minorBidi"/>
          <w:color w:val="auto"/>
          <w:sz w:val="22"/>
          <w:szCs w:val="22"/>
          <w:lang w:val="en-GB"/>
        </w:rPr>
        <w:id w:val="1212842969"/>
        <w:docPartObj>
          <w:docPartGallery w:val="Bibliographies"/>
          <w:docPartUnique/>
        </w:docPartObj>
      </w:sdtPr>
      <w:sdtEndPr>
        <w:rPr>
          <w:lang w:val="en-US"/>
        </w:rPr>
      </w:sdtEndPr>
      <w:sdtContent>
        <w:p w14:paraId="3F38557D" w14:textId="14C9FE15" w:rsidR="003220A6" w:rsidRDefault="003220A6">
          <w:pPr>
            <w:pStyle w:val="Heading1"/>
          </w:pPr>
          <w:r>
            <w:rPr>
              <w:lang w:val="en-GB"/>
            </w:rPr>
            <w:t>References</w:t>
          </w:r>
          <w:bookmarkEnd w:id="17"/>
        </w:p>
        <w:sdt>
          <w:sdtPr>
            <w:id w:val="-573587230"/>
            <w:bibliography/>
          </w:sdtPr>
          <w:sdtEndPr/>
          <w:sdtContent>
            <w:p w14:paraId="5D090466" w14:textId="77777777" w:rsidR="003220A6" w:rsidRDefault="003220A6">
              <w:pPr>
                <w:rPr>
                  <w:rFonts w:asciiTheme="minorHAnsi" w:eastAsiaTheme="minorHAnsi" w:hAnsiTheme="minorHAnsi"/>
                  <w:noProof/>
                  <w:kern w:val="2"/>
                  <w:sz w:val="24"/>
                  <w:szCs w:val="24"/>
                  <w:lang w:val="en-GB"/>
                  <w14:ligatures w14:val="standardContextual"/>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9208"/>
              </w:tblGrid>
              <w:tr w:rsidR="003220A6" w14:paraId="3CE2F08E" w14:textId="77777777">
                <w:trPr>
                  <w:divId w:val="1026294516"/>
                  <w:tblCellSpacing w:w="15" w:type="dxa"/>
                </w:trPr>
                <w:tc>
                  <w:tcPr>
                    <w:tcW w:w="50" w:type="pct"/>
                    <w:hideMark/>
                  </w:tcPr>
                  <w:p w14:paraId="5710ADFB" w14:textId="0F020F13" w:rsidR="003220A6" w:rsidRDefault="003220A6">
                    <w:pPr>
                      <w:pStyle w:val="Bibliography"/>
                      <w:rPr>
                        <w:noProof/>
                        <w:sz w:val="24"/>
                        <w:szCs w:val="24"/>
                      </w:rPr>
                    </w:pPr>
                    <w:r>
                      <w:rPr>
                        <w:noProof/>
                      </w:rPr>
                      <w:t xml:space="preserve">[1] </w:t>
                    </w:r>
                  </w:p>
                </w:tc>
                <w:tc>
                  <w:tcPr>
                    <w:tcW w:w="0" w:type="auto"/>
                    <w:hideMark/>
                  </w:tcPr>
                  <w:p w14:paraId="35EF6ADA" w14:textId="77777777" w:rsidR="003220A6" w:rsidRDefault="003220A6">
                    <w:pPr>
                      <w:pStyle w:val="Bibliography"/>
                      <w:rPr>
                        <w:noProof/>
                      </w:rPr>
                    </w:pPr>
                    <w:r>
                      <w:rPr>
                        <w:noProof/>
                      </w:rPr>
                      <w:t>National Institute of Standards and Technology (NIST), “The NIST Cybersecurity Framework (CSF) 2.0,” NIST, 2024. [Online]. Available: https://www.nist.gov/cyberframework.</w:t>
                    </w:r>
                  </w:p>
                </w:tc>
              </w:tr>
              <w:tr w:rsidR="003220A6" w14:paraId="3F1869F2" w14:textId="77777777">
                <w:trPr>
                  <w:divId w:val="1026294516"/>
                  <w:tblCellSpacing w:w="15" w:type="dxa"/>
                </w:trPr>
                <w:tc>
                  <w:tcPr>
                    <w:tcW w:w="50" w:type="pct"/>
                    <w:hideMark/>
                  </w:tcPr>
                  <w:p w14:paraId="69335CBD" w14:textId="77777777" w:rsidR="003220A6" w:rsidRDefault="003220A6">
                    <w:pPr>
                      <w:pStyle w:val="Bibliography"/>
                      <w:rPr>
                        <w:noProof/>
                      </w:rPr>
                    </w:pPr>
                    <w:r>
                      <w:rPr>
                        <w:noProof/>
                      </w:rPr>
                      <w:t xml:space="preserve">[2] </w:t>
                    </w:r>
                  </w:p>
                </w:tc>
                <w:tc>
                  <w:tcPr>
                    <w:tcW w:w="0" w:type="auto"/>
                    <w:hideMark/>
                  </w:tcPr>
                  <w:p w14:paraId="7279A0BD" w14:textId="77777777" w:rsidR="003220A6" w:rsidRDefault="003220A6">
                    <w:pPr>
                      <w:pStyle w:val="Bibliography"/>
                      <w:rPr>
                        <w:noProof/>
                      </w:rPr>
                    </w:pPr>
                    <w:r>
                      <w:rPr>
                        <w:noProof/>
                      </w:rPr>
                      <w:t>National Cyber Security Centre, “Secure Connectivity Principles for Operational Technology (OT),” National Cyber Security Centre, 2024. [Online]. Available: https://www.ncsc.gov.uk/collection/operational-technology/secure-connectivity.</w:t>
                    </w:r>
                  </w:p>
                </w:tc>
              </w:tr>
              <w:tr w:rsidR="003220A6" w14:paraId="2B11D9CA" w14:textId="77777777">
                <w:trPr>
                  <w:divId w:val="1026294516"/>
                  <w:tblCellSpacing w:w="15" w:type="dxa"/>
                </w:trPr>
                <w:tc>
                  <w:tcPr>
                    <w:tcW w:w="50" w:type="pct"/>
                    <w:hideMark/>
                  </w:tcPr>
                  <w:p w14:paraId="26A54959" w14:textId="77777777" w:rsidR="003220A6" w:rsidRDefault="003220A6">
                    <w:pPr>
                      <w:pStyle w:val="Bibliography"/>
                      <w:rPr>
                        <w:noProof/>
                      </w:rPr>
                    </w:pPr>
                    <w:r>
                      <w:rPr>
                        <w:noProof/>
                      </w:rPr>
                      <w:t xml:space="preserve">[3] </w:t>
                    </w:r>
                  </w:p>
                </w:tc>
                <w:tc>
                  <w:tcPr>
                    <w:tcW w:w="0" w:type="auto"/>
                    <w:hideMark/>
                  </w:tcPr>
                  <w:p w14:paraId="2DFBAC68" w14:textId="77777777" w:rsidR="003220A6" w:rsidRDefault="003220A6">
                    <w:pPr>
                      <w:pStyle w:val="Bibliography"/>
                      <w:rPr>
                        <w:noProof/>
                      </w:rPr>
                    </w:pPr>
                    <w:r>
                      <w:rPr>
                        <w:noProof/>
                      </w:rPr>
                      <w:t>Cybersecurity and Infrastructure Security Agency (CISA), “Cybersecurity Best Practices,” CISA, 2023. [Online]. Available: https://www.cisa.gov/resources-tools/resources/cybersecurity-best-practices.</w:t>
                    </w:r>
                  </w:p>
                </w:tc>
              </w:tr>
              <w:tr w:rsidR="003220A6" w14:paraId="44B57D72" w14:textId="77777777">
                <w:trPr>
                  <w:divId w:val="1026294516"/>
                  <w:tblCellSpacing w:w="15" w:type="dxa"/>
                </w:trPr>
                <w:tc>
                  <w:tcPr>
                    <w:tcW w:w="50" w:type="pct"/>
                    <w:hideMark/>
                  </w:tcPr>
                  <w:p w14:paraId="66DCE336" w14:textId="77777777" w:rsidR="003220A6" w:rsidRDefault="003220A6">
                    <w:pPr>
                      <w:pStyle w:val="Bibliography"/>
                      <w:rPr>
                        <w:noProof/>
                      </w:rPr>
                    </w:pPr>
                    <w:r>
                      <w:rPr>
                        <w:noProof/>
                      </w:rPr>
                      <w:t xml:space="preserve">[4] </w:t>
                    </w:r>
                  </w:p>
                </w:tc>
                <w:tc>
                  <w:tcPr>
                    <w:tcW w:w="0" w:type="auto"/>
                    <w:hideMark/>
                  </w:tcPr>
                  <w:p w14:paraId="43057DBC" w14:textId="77777777" w:rsidR="003220A6" w:rsidRDefault="003220A6">
                    <w:pPr>
                      <w:pStyle w:val="Bibliography"/>
                      <w:rPr>
                        <w:noProof/>
                      </w:rPr>
                    </w:pPr>
                    <w:r>
                      <w:rPr>
                        <w:noProof/>
                      </w:rPr>
                      <w:t>National Institute of Standards and Technology (NIST), “Zero Trust Architecture,” NIST, 2020. [Online]. Available: https://csrc.nist.gov/pubs/sp/800/207/final.</w:t>
                    </w:r>
                  </w:p>
                </w:tc>
              </w:tr>
              <w:tr w:rsidR="003220A6" w14:paraId="20549604" w14:textId="77777777">
                <w:trPr>
                  <w:divId w:val="1026294516"/>
                  <w:tblCellSpacing w:w="15" w:type="dxa"/>
                </w:trPr>
                <w:tc>
                  <w:tcPr>
                    <w:tcW w:w="50" w:type="pct"/>
                    <w:hideMark/>
                  </w:tcPr>
                  <w:p w14:paraId="019A6AB1" w14:textId="77777777" w:rsidR="003220A6" w:rsidRDefault="003220A6">
                    <w:pPr>
                      <w:pStyle w:val="Bibliography"/>
                      <w:rPr>
                        <w:noProof/>
                      </w:rPr>
                    </w:pPr>
                    <w:r>
                      <w:rPr>
                        <w:noProof/>
                      </w:rPr>
                      <w:t xml:space="preserve">[5] </w:t>
                    </w:r>
                  </w:p>
                </w:tc>
                <w:tc>
                  <w:tcPr>
                    <w:tcW w:w="0" w:type="auto"/>
                    <w:hideMark/>
                  </w:tcPr>
                  <w:p w14:paraId="1BFBA779" w14:textId="77777777" w:rsidR="003220A6" w:rsidRDefault="003220A6">
                    <w:pPr>
                      <w:pStyle w:val="Bibliography"/>
                      <w:rPr>
                        <w:noProof/>
                      </w:rPr>
                    </w:pPr>
                    <w:r>
                      <w:rPr>
                        <w:noProof/>
                      </w:rPr>
                      <w:t>National Institute of Standards and Technology (NIST), “Security and Privacy Controls for Information Systems and Organizations (SP 800-53 Rev.5),” NIST, 2020. [Online]. Available: https://csrc.nist.gov/pubs/sp/800/53/r5/upd1/final.</w:t>
                    </w:r>
                  </w:p>
                </w:tc>
              </w:tr>
              <w:tr w:rsidR="003220A6" w14:paraId="60BA2E6B" w14:textId="77777777">
                <w:trPr>
                  <w:divId w:val="1026294516"/>
                  <w:tblCellSpacing w:w="15" w:type="dxa"/>
                </w:trPr>
                <w:tc>
                  <w:tcPr>
                    <w:tcW w:w="50" w:type="pct"/>
                    <w:hideMark/>
                  </w:tcPr>
                  <w:p w14:paraId="680BDA40" w14:textId="77777777" w:rsidR="003220A6" w:rsidRDefault="003220A6">
                    <w:pPr>
                      <w:pStyle w:val="Bibliography"/>
                      <w:rPr>
                        <w:noProof/>
                      </w:rPr>
                    </w:pPr>
                    <w:r>
                      <w:rPr>
                        <w:noProof/>
                      </w:rPr>
                      <w:t xml:space="preserve">[6] </w:t>
                    </w:r>
                  </w:p>
                </w:tc>
                <w:tc>
                  <w:tcPr>
                    <w:tcW w:w="0" w:type="auto"/>
                    <w:hideMark/>
                  </w:tcPr>
                  <w:p w14:paraId="29C0B3B0" w14:textId="77777777" w:rsidR="003220A6" w:rsidRDefault="003220A6">
                    <w:pPr>
                      <w:pStyle w:val="Bibliography"/>
                      <w:rPr>
                        <w:noProof/>
                      </w:rPr>
                    </w:pPr>
                    <w:r>
                      <w:rPr>
                        <w:noProof/>
                      </w:rPr>
                      <w:t>Cybersecurity and Infrastructure Security Agency (CISA), “Stop Ransomware,” CISA, 2024. [Online]. Available: https://www.cisa.gov/stopransomware.</w:t>
                    </w:r>
                  </w:p>
                </w:tc>
              </w:tr>
              <w:tr w:rsidR="003220A6" w14:paraId="4C6835CF" w14:textId="77777777">
                <w:trPr>
                  <w:divId w:val="1026294516"/>
                  <w:tblCellSpacing w:w="15" w:type="dxa"/>
                </w:trPr>
                <w:tc>
                  <w:tcPr>
                    <w:tcW w:w="50" w:type="pct"/>
                    <w:hideMark/>
                  </w:tcPr>
                  <w:p w14:paraId="6193A3A6" w14:textId="77777777" w:rsidR="003220A6" w:rsidRDefault="003220A6">
                    <w:pPr>
                      <w:pStyle w:val="Bibliography"/>
                      <w:rPr>
                        <w:noProof/>
                      </w:rPr>
                    </w:pPr>
                    <w:r>
                      <w:rPr>
                        <w:noProof/>
                      </w:rPr>
                      <w:t xml:space="preserve">[7] </w:t>
                    </w:r>
                  </w:p>
                </w:tc>
                <w:tc>
                  <w:tcPr>
                    <w:tcW w:w="0" w:type="auto"/>
                    <w:hideMark/>
                  </w:tcPr>
                  <w:p w14:paraId="77F9FCE8" w14:textId="77777777" w:rsidR="003220A6" w:rsidRDefault="003220A6">
                    <w:pPr>
                      <w:pStyle w:val="Bibliography"/>
                      <w:rPr>
                        <w:noProof/>
                      </w:rPr>
                    </w:pPr>
                    <w:r>
                      <w:rPr>
                        <w:noProof/>
                      </w:rPr>
                      <w:t>National Cyber Security Centre (NCSC), “Phishing attacks: Defending your organisation,” National Cyber Security Centre, 2023. [Online]. Available: https://www.ncsc.gov.uk/collection/phishing-scams.</w:t>
                    </w:r>
                  </w:p>
                </w:tc>
              </w:tr>
              <w:tr w:rsidR="003220A6" w14:paraId="51728FBA" w14:textId="77777777">
                <w:trPr>
                  <w:divId w:val="1026294516"/>
                  <w:tblCellSpacing w:w="15" w:type="dxa"/>
                </w:trPr>
                <w:tc>
                  <w:tcPr>
                    <w:tcW w:w="50" w:type="pct"/>
                    <w:hideMark/>
                  </w:tcPr>
                  <w:p w14:paraId="54E524D5" w14:textId="77777777" w:rsidR="003220A6" w:rsidRDefault="003220A6">
                    <w:pPr>
                      <w:pStyle w:val="Bibliography"/>
                      <w:rPr>
                        <w:noProof/>
                      </w:rPr>
                    </w:pPr>
                    <w:r>
                      <w:rPr>
                        <w:noProof/>
                      </w:rPr>
                      <w:t xml:space="preserve">[8] </w:t>
                    </w:r>
                  </w:p>
                </w:tc>
                <w:tc>
                  <w:tcPr>
                    <w:tcW w:w="0" w:type="auto"/>
                    <w:hideMark/>
                  </w:tcPr>
                  <w:p w14:paraId="75C2E906" w14:textId="77777777" w:rsidR="003220A6" w:rsidRDefault="003220A6">
                    <w:pPr>
                      <w:pStyle w:val="Bibliography"/>
                      <w:rPr>
                        <w:noProof/>
                      </w:rPr>
                    </w:pPr>
                    <w:r>
                      <w:rPr>
                        <w:noProof/>
                      </w:rPr>
                      <w:t>European Union Agency for Cybersecurity (ENISA), “ENISA Threat Landscape 2024,” ENISA, 2024. [Online]. Available: https://www.enisa.europa.eu/publications/enisa-threat-landscape-2024.</w:t>
                    </w:r>
                  </w:p>
                </w:tc>
              </w:tr>
              <w:tr w:rsidR="003220A6" w14:paraId="11A51A2B" w14:textId="77777777">
                <w:trPr>
                  <w:divId w:val="1026294516"/>
                  <w:tblCellSpacing w:w="15" w:type="dxa"/>
                </w:trPr>
                <w:tc>
                  <w:tcPr>
                    <w:tcW w:w="50" w:type="pct"/>
                    <w:hideMark/>
                  </w:tcPr>
                  <w:p w14:paraId="3300B8D9" w14:textId="77777777" w:rsidR="003220A6" w:rsidRDefault="003220A6">
                    <w:pPr>
                      <w:pStyle w:val="Bibliography"/>
                      <w:rPr>
                        <w:noProof/>
                      </w:rPr>
                    </w:pPr>
                    <w:r>
                      <w:rPr>
                        <w:noProof/>
                      </w:rPr>
                      <w:t xml:space="preserve">[9] </w:t>
                    </w:r>
                  </w:p>
                </w:tc>
                <w:tc>
                  <w:tcPr>
                    <w:tcW w:w="0" w:type="auto"/>
                    <w:hideMark/>
                  </w:tcPr>
                  <w:p w14:paraId="3DC03459" w14:textId="77777777" w:rsidR="003220A6" w:rsidRDefault="003220A6">
                    <w:pPr>
                      <w:pStyle w:val="Bibliography"/>
                      <w:rPr>
                        <w:noProof/>
                      </w:rPr>
                    </w:pPr>
                    <w:r>
                      <w:rPr>
                        <w:noProof/>
                      </w:rPr>
                      <w:t>National Institute of Standards and Technology (NIST), “Zero Trust Architecture,” NIST, 2020. [Online]. Available: https://csrc.nist.gov/pubs/sp/800/207/final.</w:t>
                    </w:r>
                  </w:p>
                </w:tc>
              </w:tr>
              <w:tr w:rsidR="003220A6" w14:paraId="5E4610AE" w14:textId="77777777">
                <w:trPr>
                  <w:divId w:val="1026294516"/>
                  <w:tblCellSpacing w:w="15" w:type="dxa"/>
                </w:trPr>
                <w:tc>
                  <w:tcPr>
                    <w:tcW w:w="50" w:type="pct"/>
                    <w:hideMark/>
                  </w:tcPr>
                  <w:p w14:paraId="05E9A350" w14:textId="77777777" w:rsidR="003220A6" w:rsidRDefault="003220A6">
                    <w:pPr>
                      <w:pStyle w:val="Bibliography"/>
                      <w:rPr>
                        <w:noProof/>
                      </w:rPr>
                    </w:pPr>
                    <w:r>
                      <w:rPr>
                        <w:noProof/>
                      </w:rPr>
                      <w:t xml:space="preserve">[10] </w:t>
                    </w:r>
                  </w:p>
                </w:tc>
                <w:tc>
                  <w:tcPr>
                    <w:tcW w:w="0" w:type="auto"/>
                    <w:hideMark/>
                  </w:tcPr>
                  <w:p w14:paraId="6F2AF6AC" w14:textId="77777777" w:rsidR="003220A6" w:rsidRDefault="003220A6">
                    <w:pPr>
                      <w:pStyle w:val="Bibliography"/>
                      <w:rPr>
                        <w:noProof/>
                      </w:rPr>
                    </w:pPr>
                    <w:r>
                      <w:rPr>
                        <w:noProof/>
                      </w:rPr>
                      <w:t>Cybersecurity and Infrastructure Security Agency (CISA), “Implementing Phishing-Resistant Multi-Factor Authentication,” CISA, 2024. [Online]. Available: https://www.cisa.gov/resources-tools/resources/implementing-phishing-resistant-mfa.</w:t>
                    </w:r>
                  </w:p>
                </w:tc>
              </w:tr>
              <w:tr w:rsidR="003220A6" w14:paraId="06ADCCE7" w14:textId="77777777">
                <w:trPr>
                  <w:divId w:val="1026294516"/>
                  <w:tblCellSpacing w:w="15" w:type="dxa"/>
                </w:trPr>
                <w:tc>
                  <w:tcPr>
                    <w:tcW w:w="50" w:type="pct"/>
                    <w:hideMark/>
                  </w:tcPr>
                  <w:p w14:paraId="40FAC824" w14:textId="77777777" w:rsidR="003220A6" w:rsidRDefault="003220A6">
                    <w:pPr>
                      <w:pStyle w:val="Bibliography"/>
                      <w:rPr>
                        <w:noProof/>
                      </w:rPr>
                    </w:pPr>
                    <w:r>
                      <w:rPr>
                        <w:noProof/>
                      </w:rPr>
                      <w:lastRenderedPageBreak/>
                      <w:t xml:space="preserve">[11] </w:t>
                    </w:r>
                  </w:p>
                </w:tc>
                <w:tc>
                  <w:tcPr>
                    <w:tcW w:w="0" w:type="auto"/>
                    <w:hideMark/>
                  </w:tcPr>
                  <w:p w14:paraId="6FDCDA40" w14:textId="77777777" w:rsidR="003220A6" w:rsidRDefault="003220A6">
                    <w:pPr>
                      <w:pStyle w:val="Bibliography"/>
                      <w:rPr>
                        <w:noProof/>
                      </w:rPr>
                    </w:pPr>
                    <w:r>
                      <w:rPr>
                        <w:noProof/>
                      </w:rPr>
                      <w:t>National Cyber Security Centre (NCSC), “Network Security Collection,” National Cyber Security Centre, 2023. [Online]. Available: https://www.ncsc.gov.uk/collection/network-security.</w:t>
                    </w:r>
                  </w:p>
                </w:tc>
              </w:tr>
              <w:tr w:rsidR="003220A6" w14:paraId="3D8D9E16" w14:textId="77777777">
                <w:trPr>
                  <w:divId w:val="1026294516"/>
                  <w:tblCellSpacing w:w="15" w:type="dxa"/>
                </w:trPr>
                <w:tc>
                  <w:tcPr>
                    <w:tcW w:w="50" w:type="pct"/>
                    <w:hideMark/>
                  </w:tcPr>
                  <w:p w14:paraId="549A72F0" w14:textId="77777777" w:rsidR="003220A6" w:rsidRDefault="003220A6">
                    <w:pPr>
                      <w:pStyle w:val="Bibliography"/>
                      <w:rPr>
                        <w:noProof/>
                      </w:rPr>
                    </w:pPr>
                    <w:r>
                      <w:rPr>
                        <w:noProof/>
                      </w:rPr>
                      <w:t xml:space="preserve">[12] </w:t>
                    </w:r>
                  </w:p>
                </w:tc>
                <w:tc>
                  <w:tcPr>
                    <w:tcW w:w="0" w:type="auto"/>
                    <w:hideMark/>
                  </w:tcPr>
                  <w:p w14:paraId="443843CB" w14:textId="77777777" w:rsidR="003220A6" w:rsidRDefault="003220A6">
                    <w:pPr>
                      <w:pStyle w:val="Bibliography"/>
                      <w:rPr>
                        <w:noProof/>
                      </w:rPr>
                    </w:pPr>
                    <w:r>
                      <w:rPr>
                        <w:noProof/>
                      </w:rPr>
                      <w:t>Information Commissioner's Office (ICO), “Guide to UK GDPR,” ICO, 2024. [Online]. Available: https://ico.org.uk/for-organisations/uk-gdpr-guidance-and-resources/.</w:t>
                    </w:r>
                  </w:p>
                </w:tc>
              </w:tr>
              <w:tr w:rsidR="003220A6" w14:paraId="05DEBEAA" w14:textId="77777777">
                <w:trPr>
                  <w:divId w:val="1026294516"/>
                  <w:tblCellSpacing w:w="15" w:type="dxa"/>
                </w:trPr>
                <w:tc>
                  <w:tcPr>
                    <w:tcW w:w="50" w:type="pct"/>
                    <w:hideMark/>
                  </w:tcPr>
                  <w:p w14:paraId="7CF67593" w14:textId="77777777" w:rsidR="003220A6" w:rsidRDefault="003220A6">
                    <w:pPr>
                      <w:pStyle w:val="Bibliography"/>
                      <w:rPr>
                        <w:noProof/>
                      </w:rPr>
                    </w:pPr>
                    <w:r>
                      <w:rPr>
                        <w:noProof/>
                      </w:rPr>
                      <w:t xml:space="preserve">[13] </w:t>
                    </w:r>
                  </w:p>
                </w:tc>
                <w:tc>
                  <w:tcPr>
                    <w:tcW w:w="0" w:type="auto"/>
                    <w:hideMark/>
                  </w:tcPr>
                  <w:p w14:paraId="16098277" w14:textId="77777777" w:rsidR="003220A6" w:rsidRDefault="003220A6">
                    <w:pPr>
                      <w:pStyle w:val="Bibliography"/>
                      <w:rPr>
                        <w:noProof/>
                      </w:rPr>
                    </w:pPr>
                    <w:r>
                      <w:rPr>
                        <w:noProof/>
                      </w:rPr>
                      <w:t>National Cyber Security Centre (NCSC), “Supply Chain Security Guidance,” National Cyber Security Centre, 2024. [Online]. Available: https://www.ncsc.gov.uk/collection/supply-chain-security.</w:t>
                    </w:r>
                  </w:p>
                </w:tc>
              </w:tr>
              <w:tr w:rsidR="003220A6" w14:paraId="40BA8630" w14:textId="77777777">
                <w:trPr>
                  <w:divId w:val="1026294516"/>
                  <w:tblCellSpacing w:w="15" w:type="dxa"/>
                </w:trPr>
                <w:tc>
                  <w:tcPr>
                    <w:tcW w:w="50" w:type="pct"/>
                    <w:hideMark/>
                  </w:tcPr>
                  <w:p w14:paraId="4D453269" w14:textId="77777777" w:rsidR="003220A6" w:rsidRDefault="003220A6">
                    <w:pPr>
                      <w:pStyle w:val="Bibliography"/>
                      <w:rPr>
                        <w:noProof/>
                      </w:rPr>
                    </w:pPr>
                    <w:r>
                      <w:rPr>
                        <w:noProof/>
                      </w:rPr>
                      <w:t xml:space="preserve">[14] </w:t>
                    </w:r>
                  </w:p>
                </w:tc>
                <w:tc>
                  <w:tcPr>
                    <w:tcW w:w="0" w:type="auto"/>
                    <w:hideMark/>
                  </w:tcPr>
                  <w:p w14:paraId="72ABB7E3" w14:textId="77777777" w:rsidR="003220A6" w:rsidRDefault="003220A6">
                    <w:pPr>
                      <w:pStyle w:val="Bibliography"/>
                      <w:rPr>
                        <w:noProof/>
                      </w:rPr>
                    </w:pPr>
                    <w:r>
                      <w:rPr>
                        <w:noProof/>
                      </w:rPr>
                      <w:t>National Institute of Standards and Technology (NIST), “Cybersecurity Framework (CSF) 2.0,” NIST, 2024. [Online]. Available: https://www.nist.gov/cyberframework.</w:t>
                    </w:r>
                  </w:p>
                </w:tc>
              </w:tr>
              <w:tr w:rsidR="003220A6" w14:paraId="06FC675E" w14:textId="77777777">
                <w:trPr>
                  <w:divId w:val="1026294516"/>
                  <w:tblCellSpacing w:w="15" w:type="dxa"/>
                </w:trPr>
                <w:tc>
                  <w:tcPr>
                    <w:tcW w:w="50" w:type="pct"/>
                    <w:hideMark/>
                  </w:tcPr>
                  <w:p w14:paraId="4EBAA9B1" w14:textId="77777777" w:rsidR="003220A6" w:rsidRDefault="003220A6">
                    <w:pPr>
                      <w:pStyle w:val="Bibliography"/>
                      <w:rPr>
                        <w:noProof/>
                      </w:rPr>
                    </w:pPr>
                    <w:r>
                      <w:rPr>
                        <w:noProof/>
                      </w:rPr>
                      <w:t xml:space="preserve">[15] </w:t>
                    </w:r>
                  </w:p>
                </w:tc>
                <w:tc>
                  <w:tcPr>
                    <w:tcW w:w="0" w:type="auto"/>
                    <w:hideMark/>
                  </w:tcPr>
                  <w:p w14:paraId="6A0CC55D" w14:textId="77777777" w:rsidR="003220A6" w:rsidRDefault="003220A6">
                    <w:pPr>
                      <w:pStyle w:val="Bibliography"/>
                      <w:rPr>
                        <w:noProof/>
                      </w:rPr>
                    </w:pPr>
                    <w:r>
                      <w:rPr>
                        <w:noProof/>
                      </w:rPr>
                      <w:t>National Cyber Security Centre (NCSC), “Network Security Collection,” NCSC, 2023. [Online]. Available: https://www.ncsc.gov.uk/collection/network-security.</w:t>
                    </w:r>
                  </w:p>
                </w:tc>
              </w:tr>
              <w:tr w:rsidR="003220A6" w14:paraId="02754333" w14:textId="77777777">
                <w:trPr>
                  <w:divId w:val="1026294516"/>
                  <w:tblCellSpacing w:w="15" w:type="dxa"/>
                </w:trPr>
                <w:tc>
                  <w:tcPr>
                    <w:tcW w:w="50" w:type="pct"/>
                    <w:hideMark/>
                  </w:tcPr>
                  <w:p w14:paraId="1C1627D0" w14:textId="77777777" w:rsidR="003220A6" w:rsidRDefault="003220A6">
                    <w:pPr>
                      <w:pStyle w:val="Bibliography"/>
                      <w:rPr>
                        <w:noProof/>
                      </w:rPr>
                    </w:pPr>
                    <w:r>
                      <w:rPr>
                        <w:noProof/>
                      </w:rPr>
                      <w:t xml:space="preserve">[16] </w:t>
                    </w:r>
                  </w:p>
                </w:tc>
                <w:tc>
                  <w:tcPr>
                    <w:tcW w:w="0" w:type="auto"/>
                    <w:hideMark/>
                  </w:tcPr>
                  <w:p w14:paraId="190225EA" w14:textId="77777777" w:rsidR="003220A6" w:rsidRDefault="003220A6">
                    <w:pPr>
                      <w:pStyle w:val="Bibliography"/>
                      <w:rPr>
                        <w:noProof/>
                      </w:rPr>
                    </w:pPr>
                    <w:r>
                      <w:rPr>
                        <w:noProof/>
                      </w:rPr>
                      <w:t>Cybersecurity and Infrastructure Security Agency (CISA), “Stop Ransomware Guide,” CISA, 2024. [Online]. Available: https://www.cisa.gov/stopransomware.</w:t>
                    </w:r>
                  </w:p>
                </w:tc>
              </w:tr>
              <w:tr w:rsidR="003220A6" w14:paraId="35019322" w14:textId="77777777">
                <w:trPr>
                  <w:divId w:val="1026294516"/>
                  <w:tblCellSpacing w:w="15" w:type="dxa"/>
                </w:trPr>
                <w:tc>
                  <w:tcPr>
                    <w:tcW w:w="50" w:type="pct"/>
                    <w:hideMark/>
                  </w:tcPr>
                  <w:p w14:paraId="679FB00D" w14:textId="77777777" w:rsidR="003220A6" w:rsidRDefault="003220A6">
                    <w:pPr>
                      <w:pStyle w:val="Bibliography"/>
                      <w:rPr>
                        <w:noProof/>
                      </w:rPr>
                    </w:pPr>
                    <w:r>
                      <w:rPr>
                        <w:noProof/>
                      </w:rPr>
                      <w:t xml:space="preserve">[17] </w:t>
                    </w:r>
                  </w:p>
                </w:tc>
                <w:tc>
                  <w:tcPr>
                    <w:tcW w:w="0" w:type="auto"/>
                    <w:hideMark/>
                  </w:tcPr>
                  <w:p w14:paraId="7431C939" w14:textId="77777777" w:rsidR="003220A6" w:rsidRDefault="003220A6">
                    <w:pPr>
                      <w:pStyle w:val="Bibliography"/>
                      <w:rPr>
                        <w:noProof/>
                      </w:rPr>
                    </w:pPr>
                    <w:r>
                      <w:rPr>
                        <w:noProof/>
                      </w:rPr>
                      <w:t>Center for Internet Security (CIS), “CIS Critical Security Controls v8,” CIS, 2024. [Online]. Available: https://www.cisecurity.org/controls.</w:t>
                    </w:r>
                  </w:p>
                </w:tc>
              </w:tr>
              <w:tr w:rsidR="003220A6" w14:paraId="0B0C5FA8" w14:textId="77777777">
                <w:trPr>
                  <w:divId w:val="1026294516"/>
                  <w:tblCellSpacing w:w="15" w:type="dxa"/>
                </w:trPr>
                <w:tc>
                  <w:tcPr>
                    <w:tcW w:w="50" w:type="pct"/>
                    <w:hideMark/>
                  </w:tcPr>
                  <w:p w14:paraId="187649E8" w14:textId="77777777" w:rsidR="003220A6" w:rsidRDefault="003220A6">
                    <w:pPr>
                      <w:pStyle w:val="Bibliography"/>
                      <w:rPr>
                        <w:noProof/>
                      </w:rPr>
                    </w:pPr>
                    <w:r>
                      <w:rPr>
                        <w:noProof/>
                      </w:rPr>
                      <w:t xml:space="preserve">[18] </w:t>
                    </w:r>
                  </w:p>
                </w:tc>
                <w:tc>
                  <w:tcPr>
                    <w:tcW w:w="0" w:type="auto"/>
                    <w:hideMark/>
                  </w:tcPr>
                  <w:p w14:paraId="0CFE18DC" w14:textId="77777777" w:rsidR="003220A6" w:rsidRDefault="003220A6">
                    <w:pPr>
                      <w:pStyle w:val="Bibliography"/>
                      <w:rPr>
                        <w:noProof/>
                      </w:rPr>
                    </w:pPr>
                    <w:r>
                      <w:rPr>
                        <w:noProof/>
                      </w:rPr>
                      <w:t>National Cyber Security Centre (NCSC), “Board Toolkit – Cyber Security Governance,” NCSC, 2023. [Online]. Available: https://www.ncsc.gov.uk/collection/board-toolkit.</w:t>
                    </w:r>
                  </w:p>
                </w:tc>
              </w:tr>
              <w:tr w:rsidR="003220A6" w14:paraId="4B3D3287" w14:textId="77777777">
                <w:trPr>
                  <w:divId w:val="1026294516"/>
                  <w:tblCellSpacing w:w="15" w:type="dxa"/>
                </w:trPr>
                <w:tc>
                  <w:tcPr>
                    <w:tcW w:w="50" w:type="pct"/>
                    <w:hideMark/>
                  </w:tcPr>
                  <w:p w14:paraId="74BE5831" w14:textId="77777777" w:rsidR="003220A6" w:rsidRDefault="003220A6">
                    <w:pPr>
                      <w:pStyle w:val="Bibliography"/>
                      <w:rPr>
                        <w:noProof/>
                      </w:rPr>
                    </w:pPr>
                    <w:r>
                      <w:rPr>
                        <w:noProof/>
                      </w:rPr>
                      <w:t xml:space="preserve">[19] </w:t>
                    </w:r>
                  </w:p>
                </w:tc>
                <w:tc>
                  <w:tcPr>
                    <w:tcW w:w="0" w:type="auto"/>
                    <w:hideMark/>
                  </w:tcPr>
                  <w:p w14:paraId="454A376D" w14:textId="77777777" w:rsidR="003220A6" w:rsidRDefault="003220A6">
                    <w:pPr>
                      <w:pStyle w:val="Bibliography"/>
                      <w:rPr>
                        <w:noProof/>
                      </w:rPr>
                    </w:pPr>
                    <w:r>
                      <w:rPr>
                        <w:noProof/>
                      </w:rPr>
                      <w:t>National Institute of Standards and Technology (NIST), “Contingency Planning Guide for Federal Information Systems,” NIST, 2024. [Online]. Available: https://csrc.nist.gov/projects/contingency-planning.</w:t>
                    </w:r>
                  </w:p>
                </w:tc>
              </w:tr>
              <w:tr w:rsidR="003220A6" w14:paraId="360865B0" w14:textId="77777777">
                <w:trPr>
                  <w:divId w:val="1026294516"/>
                  <w:tblCellSpacing w:w="15" w:type="dxa"/>
                </w:trPr>
                <w:tc>
                  <w:tcPr>
                    <w:tcW w:w="50" w:type="pct"/>
                    <w:hideMark/>
                  </w:tcPr>
                  <w:p w14:paraId="05C84E65" w14:textId="77777777" w:rsidR="003220A6" w:rsidRDefault="003220A6">
                    <w:pPr>
                      <w:pStyle w:val="Bibliography"/>
                      <w:rPr>
                        <w:noProof/>
                      </w:rPr>
                    </w:pPr>
                    <w:r>
                      <w:rPr>
                        <w:noProof/>
                      </w:rPr>
                      <w:t xml:space="preserve">[20] </w:t>
                    </w:r>
                  </w:p>
                </w:tc>
                <w:tc>
                  <w:tcPr>
                    <w:tcW w:w="0" w:type="auto"/>
                    <w:hideMark/>
                  </w:tcPr>
                  <w:p w14:paraId="70743B00" w14:textId="77777777" w:rsidR="003220A6" w:rsidRDefault="003220A6">
                    <w:pPr>
                      <w:pStyle w:val="Bibliography"/>
                      <w:rPr>
                        <w:noProof/>
                      </w:rPr>
                    </w:pPr>
                    <w:r>
                      <w:rPr>
                        <w:noProof/>
                      </w:rPr>
                      <w:t>National Institute of Standards and Technology (NIST), “Computer Security Incident Handling Guide (SP 800-61 Rev. 3),” NIST, 2025. [Online]. Available: https://csrc.nist.gov/pubs/sp/800/61/r3/final.</w:t>
                    </w:r>
                  </w:p>
                </w:tc>
              </w:tr>
              <w:tr w:rsidR="003220A6" w14:paraId="70383E03" w14:textId="77777777">
                <w:trPr>
                  <w:divId w:val="1026294516"/>
                  <w:tblCellSpacing w:w="15" w:type="dxa"/>
                </w:trPr>
                <w:tc>
                  <w:tcPr>
                    <w:tcW w:w="50" w:type="pct"/>
                    <w:hideMark/>
                  </w:tcPr>
                  <w:p w14:paraId="7B31DFFC" w14:textId="77777777" w:rsidR="003220A6" w:rsidRDefault="003220A6">
                    <w:pPr>
                      <w:pStyle w:val="Bibliography"/>
                      <w:rPr>
                        <w:noProof/>
                      </w:rPr>
                    </w:pPr>
                    <w:r>
                      <w:rPr>
                        <w:noProof/>
                      </w:rPr>
                      <w:t xml:space="preserve">[21] </w:t>
                    </w:r>
                  </w:p>
                </w:tc>
                <w:tc>
                  <w:tcPr>
                    <w:tcW w:w="0" w:type="auto"/>
                    <w:hideMark/>
                  </w:tcPr>
                  <w:p w14:paraId="436AB896" w14:textId="77777777" w:rsidR="003220A6" w:rsidRDefault="003220A6">
                    <w:pPr>
                      <w:pStyle w:val="Bibliography"/>
                      <w:rPr>
                        <w:noProof/>
                      </w:rPr>
                    </w:pPr>
                    <w:r>
                      <w:rPr>
                        <w:noProof/>
                      </w:rPr>
                      <w:t>National Cyber Security Centre (NCSC), “Logging Made Easy,” National Cyber Security Centre, 2023. [Online]. Available: https://www.ncsc.gov.uk/collection/logging-made-easy.</w:t>
                    </w:r>
                  </w:p>
                </w:tc>
              </w:tr>
              <w:tr w:rsidR="003220A6" w14:paraId="7A5730DA" w14:textId="77777777">
                <w:trPr>
                  <w:divId w:val="1026294516"/>
                  <w:tblCellSpacing w:w="15" w:type="dxa"/>
                </w:trPr>
                <w:tc>
                  <w:tcPr>
                    <w:tcW w:w="50" w:type="pct"/>
                    <w:hideMark/>
                  </w:tcPr>
                  <w:p w14:paraId="38AFEC08" w14:textId="77777777" w:rsidR="003220A6" w:rsidRDefault="003220A6">
                    <w:pPr>
                      <w:pStyle w:val="Bibliography"/>
                      <w:rPr>
                        <w:noProof/>
                      </w:rPr>
                    </w:pPr>
                    <w:r>
                      <w:rPr>
                        <w:noProof/>
                      </w:rPr>
                      <w:t xml:space="preserve">[22] </w:t>
                    </w:r>
                  </w:p>
                </w:tc>
                <w:tc>
                  <w:tcPr>
                    <w:tcW w:w="0" w:type="auto"/>
                    <w:hideMark/>
                  </w:tcPr>
                  <w:p w14:paraId="4FFEBAF5" w14:textId="77777777" w:rsidR="003220A6" w:rsidRDefault="003220A6">
                    <w:pPr>
                      <w:pStyle w:val="Bibliography"/>
                      <w:rPr>
                        <w:noProof/>
                      </w:rPr>
                    </w:pPr>
                    <w:r>
                      <w:rPr>
                        <w:noProof/>
                      </w:rPr>
                      <w:t>National Cyber Security Centre (NCSC), “Top Tips for Staff Training,” National Cyber Security Centre, 2023. [Online]. Available: https://www.ncsc.gov.uk/collection/top-tips-for-staff-training.</w:t>
                    </w:r>
                  </w:p>
                </w:tc>
              </w:tr>
              <w:tr w:rsidR="003220A6" w14:paraId="0DE31FAF" w14:textId="77777777">
                <w:trPr>
                  <w:divId w:val="1026294516"/>
                  <w:tblCellSpacing w:w="15" w:type="dxa"/>
                </w:trPr>
                <w:tc>
                  <w:tcPr>
                    <w:tcW w:w="50" w:type="pct"/>
                    <w:hideMark/>
                  </w:tcPr>
                  <w:p w14:paraId="7DFA11F4" w14:textId="77777777" w:rsidR="003220A6" w:rsidRDefault="003220A6">
                    <w:pPr>
                      <w:pStyle w:val="Bibliography"/>
                      <w:rPr>
                        <w:noProof/>
                      </w:rPr>
                    </w:pPr>
                    <w:r>
                      <w:rPr>
                        <w:noProof/>
                      </w:rPr>
                      <w:lastRenderedPageBreak/>
                      <w:t xml:space="preserve">[23] </w:t>
                    </w:r>
                  </w:p>
                </w:tc>
                <w:tc>
                  <w:tcPr>
                    <w:tcW w:w="0" w:type="auto"/>
                    <w:hideMark/>
                  </w:tcPr>
                  <w:p w14:paraId="7D8FBA18" w14:textId="77777777" w:rsidR="003220A6" w:rsidRDefault="003220A6">
                    <w:pPr>
                      <w:pStyle w:val="Bibliography"/>
                      <w:rPr>
                        <w:noProof/>
                      </w:rPr>
                    </w:pPr>
                    <w:r>
                      <w:rPr>
                        <w:noProof/>
                      </w:rPr>
                      <w:t>Cybersecurity and Infrastructure Security Agency (CISA), “Security Awareness Program,” CISA, 2023. [Online]. Available: https://www.cisa.gov/resources-tools/resources/security-awareness-program.</w:t>
                    </w:r>
                  </w:p>
                </w:tc>
              </w:tr>
              <w:tr w:rsidR="003220A6" w14:paraId="0538DDB0" w14:textId="77777777">
                <w:trPr>
                  <w:divId w:val="1026294516"/>
                  <w:tblCellSpacing w:w="15" w:type="dxa"/>
                </w:trPr>
                <w:tc>
                  <w:tcPr>
                    <w:tcW w:w="50" w:type="pct"/>
                    <w:hideMark/>
                  </w:tcPr>
                  <w:p w14:paraId="5D4344E1" w14:textId="77777777" w:rsidR="003220A6" w:rsidRDefault="003220A6">
                    <w:pPr>
                      <w:pStyle w:val="Bibliography"/>
                      <w:rPr>
                        <w:noProof/>
                      </w:rPr>
                    </w:pPr>
                    <w:r>
                      <w:rPr>
                        <w:noProof/>
                      </w:rPr>
                      <w:t xml:space="preserve">[24] </w:t>
                    </w:r>
                  </w:p>
                </w:tc>
                <w:tc>
                  <w:tcPr>
                    <w:tcW w:w="0" w:type="auto"/>
                    <w:hideMark/>
                  </w:tcPr>
                  <w:p w14:paraId="78B65070" w14:textId="77777777" w:rsidR="003220A6" w:rsidRDefault="003220A6">
                    <w:pPr>
                      <w:pStyle w:val="Bibliography"/>
                      <w:rPr>
                        <w:noProof/>
                      </w:rPr>
                    </w:pPr>
                    <w:r>
                      <w:rPr>
                        <w:noProof/>
                      </w:rPr>
                      <w:t>National Institute of Standards and Technology (NIST), “Cybersecurity Framework (CSF) 2.0,” NIST, 2024. [Online]. Available: https://www.nist.gov/cyberframework.</w:t>
                    </w:r>
                  </w:p>
                </w:tc>
              </w:tr>
            </w:tbl>
            <w:p w14:paraId="719D6C4C" w14:textId="77777777" w:rsidR="003220A6" w:rsidRDefault="003220A6">
              <w:pPr>
                <w:divId w:val="1026294516"/>
                <w:rPr>
                  <w:rFonts w:eastAsia="Times New Roman"/>
                  <w:noProof/>
                </w:rPr>
              </w:pPr>
            </w:p>
            <w:p w14:paraId="4DD3DF32" w14:textId="4C1708EC" w:rsidR="002B7E55" w:rsidRDefault="003220A6" w:rsidP="00713067">
              <w:r>
                <w:rPr>
                  <w:b/>
                  <w:bCs/>
                </w:rPr>
                <w:fldChar w:fldCharType="end"/>
              </w:r>
            </w:p>
          </w:sdtContent>
        </w:sdt>
      </w:sdtContent>
    </w:sdt>
    <w:p w14:paraId="5F839B44" w14:textId="524C5CD5" w:rsidR="002B7E55" w:rsidRDefault="002B7E55" w:rsidP="00D628F6">
      <w:pPr>
        <w:pStyle w:val="Heading2"/>
      </w:pPr>
      <w:bookmarkStart w:id="18" w:name="_Toc237467811"/>
      <w:r>
        <w:t>Appendix A – Board of Directors Presentation</w:t>
      </w:r>
      <w:bookmarkEnd w:id="18"/>
    </w:p>
    <w:p w14:paraId="1FF4BE7D" w14:textId="2BAF7116" w:rsidR="00D628F6" w:rsidRPr="00D628F6" w:rsidRDefault="00D628F6" w:rsidP="00D628F6">
      <w:proofErr w:type="spellStart"/>
      <w:r>
        <w:t>Slayt</w:t>
      </w:r>
      <w:proofErr w:type="spellEnd"/>
      <w:r>
        <w:t xml:space="preserve"> 1 </w:t>
      </w:r>
    </w:p>
    <w:p w14:paraId="2452E510" w14:textId="50453719" w:rsidR="00D628F6" w:rsidRDefault="00D628F6" w:rsidP="00D628F6">
      <w:r w:rsidRPr="00D628F6">
        <w:drawing>
          <wp:inline distT="0" distB="0" distL="0" distR="0" wp14:anchorId="0A5FAD8D" wp14:editId="42270330">
            <wp:extent cx="6125624" cy="3235254"/>
            <wp:effectExtent l="0" t="0" r="0" b="3810"/>
            <wp:docPr id="512022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22239" name=""/>
                    <pic:cNvPicPr/>
                  </pic:nvPicPr>
                  <pic:blipFill>
                    <a:blip r:embed="rId19"/>
                    <a:stretch>
                      <a:fillRect/>
                    </a:stretch>
                  </pic:blipFill>
                  <pic:spPr>
                    <a:xfrm>
                      <a:off x="0" y="0"/>
                      <a:ext cx="6171928" cy="3259709"/>
                    </a:xfrm>
                    <a:prstGeom prst="rect">
                      <a:avLst/>
                    </a:prstGeom>
                  </pic:spPr>
                </pic:pic>
              </a:graphicData>
            </a:graphic>
          </wp:inline>
        </w:drawing>
      </w:r>
    </w:p>
    <w:p w14:paraId="431D9001" w14:textId="71A3BD1C" w:rsidR="00D628F6" w:rsidRDefault="00D628F6" w:rsidP="00D628F6">
      <w:proofErr w:type="spellStart"/>
      <w:r>
        <w:lastRenderedPageBreak/>
        <w:t>Slayt</w:t>
      </w:r>
      <w:proofErr w:type="spellEnd"/>
      <w:r>
        <w:t xml:space="preserve"> 2 </w:t>
      </w:r>
      <w:r>
        <w:br/>
      </w:r>
      <w:r w:rsidRPr="00D628F6">
        <w:drawing>
          <wp:inline distT="0" distB="0" distL="0" distR="0" wp14:anchorId="319AD48F" wp14:editId="41BCA457">
            <wp:extent cx="6126480" cy="3681095"/>
            <wp:effectExtent l="0" t="0" r="7620" b="0"/>
            <wp:docPr id="1146865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865300" name=""/>
                    <pic:cNvPicPr/>
                  </pic:nvPicPr>
                  <pic:blipFill>
                    <a:blip r:embed="rId20"/>
                    <a:stretch>
                      <a:fillRect/>
                    </a:stretch>
                  </pic:blipFill>
                  <pic:spPr>
                    <a:xfrm>
                      <a:off x="0" y="0"/>
                      <a:ext cx="6126480" cy="3681095"/>
                    </a:xfrm>
                    <a:prstGeom prst="rect">
                      <a:avLst/>
                    </a:prstGeom>
                  </pic:spPr>
                </pic:pic>
              </a:graphicData>
            </a:graphic>
          </wp:inline>
        </w:drawing>
      </w:r>
    </w:p>
    <w:p w14:paraId="74CFD59A" w14:textId="7E4437CE" w:rsidR="00D628F6" w:rsidRPr="00D628F6" w:rsidRDefault="00D628F6" w:rsidP="00D628F6">
      <w:proofErr w:type="spellStart"/>
      <w:r>
        <w:t>Slayt</w:t>
      </w:r>
      <w:proofErr w:type="spellEnd"/>
      <w:r>
        <w:t xml:space="preserve"> 3</w:t>
      </w:r>
    </w:p>
    <w:p w14:paraId="2B6FEA44" w14:textId="226B0D66" w:rsidR="00CB3475" w:rsidRDefault="00D628F6">
      <w:r w:rsidRPr="00D628F6">
        <w:drawing>
          <wp:inline distT="0" distB="0" distL="0" distR="0" wp14:anchorId="7FEDBB12" wp14:editId="35BC3B10">
            <wp:extent cx="6126480" cy="3525520"/>
            <wp:effectExtent l="0" t="0" r="7620" b="0"/>
            <wp:docPr id="2047795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95495" name=""/>
                    <pic:cNvPicPr/>
                  </pic:nvPicPr>
                  <pic:blipFill>
                    <a:blip r:embed="rId21"/>
                    <a:stretch>
                      <a:fillRect/>
                    </a:stretch>
                  </pic:blipFill>
                  <pic:spPr>
                    <a:xfrm>
                      <a:off x="0" y="0"/>
                      <a:ext cx="6126480" cy="3525520"/>
                    </a:xfrm>
                    <a:prstGeom prst="rect">
                      <a:avLst/>
                    </a:prstGeom>
                  </pic:spPr>
                </pic:pic>
              </a:graphicData>
            </a:graphic>
          </wp:inline>
        </w:drawing>
      </w:r>
    </w:p>
    <w:p w14:paraId="07DD90F7" w14:textId="6478532D" w:rsidR="00D628F6" w:rsidRDefault="00D628F6">
      <w:proofErr w:type="spellStart"/>
      <w:r>
        <w:t>Slayt</w:t>
      </w:r>
      <w:proofErr w:type="spellEnd"/>
      <w:r>
        <w:t xml:space="preserve"> 4 </w:t>
      </w:r>
    </w:p>
    <w:p w14:paraId="02FBE28A" w14:textId="66BC7E9D" w:rsidR="00D628F6" w:rsidRDefault="00D628F6">
      <w:r w:rsidRPr="00D628F6">
        <w:lastRenderedPageBreak/>
        <w:drawing>
          <wp:inline distT="0" distB="0" distL="0" distR="0" wp14:anchorId="685248F7" wp14:editId="3FF75CF6">
            <wp:extent cx="6126480" cy="3725545"/>
            <wp:effectExtent l="0" t="0" r="7620" b="8255"/>
            <wp:docPr id="1258711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711569" name=""/>
                    <pic:cNvPicPr/>
                  </pic:nvPicPr>
                  <pic:blipFill>
                    <a:blip r:embed="rId22"/>
                    <a:stretch>
                      <a:fillRect/>
                    </a:stretch>
                  </pic:blipFill>
                  <pic:spPr>
                    <a:xfrm>
                      <a:off x="0" y="0"/>
                      <a:ext cx="6126480" cy="3725545"/>
                    </a:xfrm>
                    <a:prstGeom prst="rect">
                      <a:avLst/>
                    </a:prstGeom>
                  </pic:spPr>
                </pic:pic>
              </a:graphicData>
            </a:graphic>
          </wp:inline>
        </w:drawing>
      </w:r>
    </w:p>
    <w:p w14:paraId="58188972" w14:textId="77777777" w:rsidR="00D628F6" w:rsidRDefault="00D628F6"/>
    <w:p w14:paraId="6526BB4D" w14:textId="1C2951D7" w:rsidR="00D628F6" w:rsidRDefault="00D628F6">
      <w:proofErr w:type="spellStart"/>
      <w:r>
        <w:t>Slayt</w:t>
      </w:r>
      <w:proofErr w:type="spellEnd"/>
      <w:r>
        <w:t xml:space="preserve"> 5</w:t>
      </w:r>
    </w:p>
    <w:p w14:paraId="34545E1E" w14:textId="7875699B" w:rsidR="00D628F6" w:rsidRDefault="00D628F6">
      <w:r w:rsidRPr="00D628F6">
        <w:drawing>
          <wp:inline distT="0" distB="0" distL="0" distR="0" wp14:anchorId="4B615B3D" wp14:editId="21B93223">
            <wp:extent cx="6126480" cy="3655695"/>
            <wp:effectExtent l="0" t="0" r="7620" b="1905"/>
            <wp:docPr id="49573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73208" name=""/>
                    <pic:cNvPicPr/>
                  </pic:nvPicPr>
                  <pic:blipFill>
                    <a:blip r:embed="rId23"/>
                    <a:stretch>
                      <a:fillRect/>
                    </a:stretch>
                  </pic:blipFill>
                  <pic:spPr>
                    <a:xfrm>
                      <a:off x="0" y="0"/>
                      <a:ext cx="6126480" cy="3655695"/>
                    </a:xfrm>
                    <a:prstGeom prst="rect">
                      <a:avLst/>
                    </a:prstGeom>
                  </pic:spPr>
                </pic:pic>
              </a:graphicData>
            </a:graphic>
          </wp:inline>
        </w:drawing>
      </w:r>
    </w:p>
    <w:p w14:paraId="1ED41E96" w14:textId="26147933" w:rsidR="00D628F6" w:rsidRDefault="00D628F6">
      <w:proofErr w:type="spellStart"/>
      <w:r>
        <w:t>Slayt</w:t>
      </w:r>
      <w:proofErr w:type="spellEnd"/>
      <w:r>
        <w:t xml:space="preserve"> 6</w:t>
      </w:r>
    </w:p>
    <w:p w14:paraId="446F886D" w14:textId="37C44F74" w:rsidR="00D628F6" w:rsidRDefault="00D628F6">
      <w:r w:rsidRPr="00D628F6">
        <w:lastRenderedPageBreak/>
        <w:drawing>
          <wp:inline distT="0" distB="0" distL="0" distR="0" wp14:anchorId="0128EC5C" wp14:editId="6298DFDE">
            <wp:extent cx="6126480" cy="3625850"/>
            <wp:effectExtent l="0" t="0" r="7620" b="0"/>
            <wp:docPr id="467043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043598" name=""/>
                    <pic:cNvPicPr/>
                  </pic:nvPicPr>
                  <pic:blipFill>
                    <a:blip r:embed="rId24"/>
                    <a:stretch>
                      <a:fillRect/>
                    </a:stretch>
                  </pic:blipFill>
                  <pic:spPr>
                    <a:xfrm>
                      <a:off x="0" y="0"/>
                      <a:ext cx="6126480" cy="3625850"/>
                    </a:xfrm>
                    <a:prstGeom prst="rect">
                      <a:avLst/>
                    </a:prstGeom>
                  </pic:spPr>
                </pic:pic>
              </a:graphicData>
            </a:graphic>
          </wp:inline>
        </w:drawing>
      </w:r>
    </w:p>
    <w:p w14:paraId="7AD7BBCA" w14:textId="77777777" w:rsidR="00D628F6" w:rsidRDefault="00D628F6"/>
    <w:p w14:paraId="1FCA1B70" w14:textId="381730EE" w:rsidR="00D628F6" w:rsidRDefault="00D628F6">
      <w:proofErr w:type="spellStart"/>
      <w:r>
        <w:t>Slayt</w:t>
      </w:r>
      <w:proofErr w:type="spellEnd"/>
      <w:r>
        <w:t xml:space="preserve"> 7 </w:t>
      </w:r>
    </w:p>
    <w:p w14:paraId="2687F012" w14:textId="13F0A3A4" w:rsidR="00D628F6" w:rsidRDefault="00D628F6">
      <w:r w:rsidRPr="00D628F6">
        <w:drawing>
          <wp:inline distT="0" distB="0" distL="0" distR="0" wp14:anchorId="11C29609" wp14:editId="4C9AFBEB">
            <wp:extent cx="6126480" cy="3707130"/>
            <wp:effectExtent l="0" t="0" r="7620" b="7620"/>
            <wp:docPr id="1821856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856637" name=""/>
                    <pic:cNvPicPr/>
                  </pic:nvPicPr>
                  <pic:blipFill>
                    <a:blip r:embed="rId25"/>
                    <a:stretch>
                      <a:fillRect/>
                    </a:stretch>
                  </pic:blipFill>
                  <pic:spPr>
                    <a:xfrm>
                      <a:off x="0" y="0"/>
                      <a:ext cx="6126480" cy="3707130"/>
                    </a:xfrm>
                    <a:prstGeom prst="rect">
                      <a:avLst/>
                    </a:prstGeom>
                  </pic:spPr>
                </pic:pic>
              </a:graphicData>
            </a:graphic>
          </wp:inline>
        </w:drawing>
      </w:r>
    </w:p>
    <w:p w14:paraId="7303D550" w14:textId="01A2159F" w:rsidR="00D628F6" w:rsidRDefault="00D628F6">
      <w:proofErr w:type="spellStart"/>
      <w:r>
        <w:t>Slayt</w:t>
      </w:r>
      <w:proofErr w:type="spellEnd"/>
      <w:r>
        <w:t xml:space="preserve"> 8</w:t>
      </w:r>
    </w:p>
    <w:p w14:paraId="7FF4C028" w14:textId="252136B5" w:rsidR="00D628F6" w:rsidRDefault="00D628F6">
      <w:r w:rsidRPr="00D628F6">
        <w:lastRenderedPageBreak/>
        <w:drawing>
          <wp:inline distT="0" distB="0" distL="0" distR="0" wp14:anchorId="063C8AEF" wp14:editId="7895C188">
            <wp:extent cx="6126480" cy="3545840"/>
            <wp:effectExtent l="0" t="0" r="7620" b="0"/>
            <wp:docPr id="1411614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14243" name=""/>
                    <pic:cNvPicPr/>
                  </pic:nvPicPr>
                  <pic:blipFill>
                    <a:blip r:embed="rId26"/>
                    <a:stretch>
                      <a:fillRect/>
                    </a:stretch>
                  </pic:blipFill>
                  <pic:spPr>
                    <a:xfrm>
                      <a:off x="0" y="0"/>
                      <a:ext cx="6126480" cy="3545840"/>
                    </a:xfrm>
                    <a:prstGeom prst="rect">
                      <a:avLst/>
                    </a:prstGeom>
                  </pic:spPr>
                </pic:pic>
              </a:graphicData>
            </a:graphic>
          </wp:inline>
        </w:drawing>
      </w:r>
    </w:p>
    <w:p w14:paraId="26575CDF" w14:textId="77777777" w:rsidR="00D628F6" w:rsidRDefault="00D628F6"/>
    <w:p w14:paraId="15249D8E" w14:textId="5936A790" w:rsidR="00D628F6" w:rsidRDefault="00D628F6">
      <w:proofErr w:type="spellStart"/>
      <w:r>
        <w:t>Slayt</w:t>
      </w:r>
      <w:proofErr w:type="spellEnd"/>
      <w:r>
        <w:t xml:space="preserve"> 9 </w:t>
      </w:r>
    </w:p>
    <w:p w14:paraId="1036C930" w14:textId="5B48D057" w:rsidR="00D628F6" w:rsidRDefault="00D628F6">
      <w:r w:rsidRPr="00D628F6">
        <w:drawing>
          <wp:inline distT="0" distB="0" distL="0" distR="0" wp14:anchorId="136D819C" wp14:editId="73FFC6A4">
            <wp:extent cx="6126480" cy="3634105"/>
            <wp:effectExtent l="0" t="0" r="7620" b="4445"/>
            <wp:docPr id="1685804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804096" name=""/>
                    <pic:cNvPicPr/>
                  </pic:nvPicPr>
                  <pic:blipFill>
                    <a:blip r:embed="rId27"/>
                    <a:stretch>
                      <a:fillRect/>
                    </a:stretch>
                  </pic:blipFill>
                  <pic:spPr>
                    <a:xfrm>
                      <a:off x="0" y="0"/>
                      <a:ext cx="6126480" cy="3634105"/>
                    </a:xfrm>
                    <a:prstGeom prst="rect">
                      <a:avLst/>
                    </a:prstGeom>
                  </pic:spPr>
                </pic:pic>
              </a:graphicData>
            </a:graphic>
          </wp:inline>
        </w:drawing>
      </w:r>
    </w:p>
    <w:p w14:paraId="2B5F2CF7" w14:textId="71C3D6E3" w:rsidR="00D628F6" w:rsidRDefault="00D628F6">
      <w:proofErr w:type="spellStart"/>
      <w:r>
        <w:t>Slayt</w:t>
      </w:r>
      <w:proofErr w:type="spellEnd"/>
      <w:r>
        <w:t xml:space="preserve"> 10 </w:t>
      </w:r>
    </w:p>
    <w:p w14:paraId="07910C13" w14:textId="59B25C65" w:rsidR="00D628F6" w:rsidRDefault="00D628F6">
      <w:r w:rsidRPr="00D628F6">
        <w:lastRenderedPageBreak/>
        <w:drawing>
          <wp:inline distT="0" distB="0" distL="0" distR="0" wp14:anchorId="2A8F635D" wp14:editId="25C3925E">
            <wp:extent cx="6126480" cy="3801745"/>
            <wp:effectExtent l="0" t="0" r="7620" b="8255"/>
            <wp:docPr id="1541459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459424" name=""/>
                    <pic:cNvPicPr/>
                  </pic:nvPicPr>
                  <pic:blipFill>
                    <a:blip r:embed="rId28"/>
                    <a:stretch>
                      <a:fillRect/>
                    </a:stretch>
                  </pic:blipFill>
                  <pic:spPr>
                    <a:xfrm>
                      <a:off x="0" y="0"/>
                      <a:ext cx="6126480" cy="3801745"/>
                    </a:xfrm>
                    <a:prstGeom prst="rect">
                      <a:avLst/>
                    </a:prstGeom>
                  </pic:spPr>
                </pic:pic>
              </a:graphicData>
            </a:graphic>
          </wp:inline>
        </w:drawing>
      </w:r>
    </w:p>
    <w:p w14:paraId="69BC1CDE" w14:textId="77777777" w:rsidR="00D628F6" w:rsidRDefault="00D628F6"/>
    <w:p w14:paraId="1DCF0248" w14:textId="73B60D4D" w:rsidR="00D628F6" w:rsidRDefault="00D628F6">
      <w:proofErr w:type="spellStart"/>
      <w:r>
        <w:t>Slayt</w:t>
      </w:r>
      <w:proofErr w:type="spellEnd"/>
      <w:r>
        <w:t xml:space="preserve"> 11</w:t>
      </w:r>
    </w:p>
    <w:p w14:paraId="08261396" w14:textId="3A184CAE" w:rsidR="00D628F6" w:rsidRDefault="00D628F6">
      <w:r w:rsidRPr="00D628F6">
        <w:drawing>
          <wp:inline distT="0" distB="0" distL="0" distR="0" wp14:anchorId="51427112" wp14:editId="56E609BD">
            <wp:extent cx="6126480" cy="3710305"/>
            <wp:effectExtent l="0" t="0" r="7620" b="4445"/>
            <wp:docPr id="111852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527975" name=""/>
                    <pic:cNvPicPr/>
                  </pic:nvPicPr>
                  <pic:blipFill>
                    <a:blip r:embed="rId29"/>
                    <a:stretch>
                      <a:fillRect/>
                    </a:stretch>
                  </pic:blipFill>
                  <pic:spPr>
                    <a:xfrm>
                      <a:off x="0" y="0"/>
                      <a:ext cx="6126480" cy="3710305"/>
                    </a:xfrm>
                    <a:prstGeom prst="rect">
                      <a:avLst/>
                    </a:prstGeom>
                  </pic:spPr>
                </pic:pic>
              </a:graphicData>
            </a:graphic>
          </wp:inline>
        </w:drawing>
      </w:r>
    </w:p>
    <w:p w14:paraId="5E856EA6" w14:textId="77777777" w:rsidR="00D628F6" w:rsidRDefault="00D628F6"/>
    <w:p w14:paraId="600562F4" w14:textId="0913C305" w:rsidR="00D628F6" w:rsidRDefault="00D628F6">
      <w:proofErr w:type="spellStart"/>
      <w:r>
        <w:lastRenderedPageBreak/>
        <w:t>Slayt</w:t>
      </w:r>
      <w:proofErr w:type="spellEnd"/>
      <w:r>
        <w:t xml:space="preserve"> 12 </w:t>
      </w:r>
    </w:p>
    <w:p w14:paraId="22BE8E76" w14:textId="7A66B8D7" w:rsidR="00D628F6" w:rsidRDefault="00D628F6">
      <w:r w:rsidRPr="00D628F6">
        <w:drawing>
          <wp:inline distT="0" distB="0" distL="0" distR="0" wp14:anchorId="6A7D3A37" wp14:editId="15E960E0">
            <wp:extent cx="6126480" cy="3479800"/>
            <wp:effectExtent l="0" t="0" r="7620" b="6350"/>
            <wp:docPr id="1391088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088787" name=""/>
                    <pic:cNvPicPr/>
                  </pic:nvPicPr>
                  <pic:blipFill>
                    <a:blip r:embed="rId30"/>
                    <a:stretch>
                      <a:fillRect/>
                    </a:stretch>
                  </pic:blipFill>
                  <pic:spPr>
                    <a:xfrm>
                      <a:off x="0" y="0"/>
                      <a:ext cx="6126480" cy="3479800"/>
                    </a:xfrm>
                    <a:prstGeom prst="rect">
                      <a:avLst/>
                    </a:prstGeom>
                  </pic:spPr>
                </pic:pic>
              </a:graphicData>
            </a:graphic>
          </wp:inline>
        </w:drawing>
      </w:r>
    </w:p>
    <w:sectPr w:rsidR="00D628F6" w:rsidSect="002B7E55">
      <w:headerReference w:type="default" r:id="rId31"/>
      <w:footerReference w:type="default" r:id="rId32"/>
      <w:headerReference w:type="first" r:id="rId33"/>
      <w:footerReference w:type="first" r:id="rId34"/>
      <w:pgSz w:w="12240" w:h="15840"/>
      <w:pgMar w:top="1080" w:right="1296" w:bottom="1080" w:left="1296" w:header="432" w:footer="50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6128E5" w14:textId="77777777" w:rsidR="00860AA9" w:rsidRDefault="00860AA9">
      <w:pPr>
        <w:spacing w:after="0" w:line="240" w:lineRule="auto"/>
      </w:pPr>
      <w:r>
        <w:separator/>
      </w:r>
    </w:p>
  </w:endnote>
  <w:endnote w:type="continuationSeparator" w:id="0">
    <w:p w14:paraId="1C94976C" w14:textId="77777777" w:rsidR="00860AA9" w:rsidRDefault="00860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5187A8" w14:textId="77777777" w:rsidR="002B7E55" w:rsidRDefault="002B7E55">
    <w:pPr>
      <w:pStyle w:val="Footer"/>
      <w:jc w:val="center"/>
    </w:pPr>
    <w:proofErr w:type="spellStart"/>
    <w:r>
      <w:rPr>
        <w:color w:val="646464"/>
        <w:sz w:val="17"/>
      </w:rPr>
      <w:t>SteelForm</w:t>
    </w:r>
    <w:proofErr w:type="spellEnd"/>
    <w:r>
      <w:rPr>
        <w:color w:val="646464"/>
        <w:sz w:val="17"/>
      </w:rPr>
      <w:t xml:space="preserve"> Manufacturing </w:t>
    </w:r>
    <w:proofErr w:type="gramStart"/>
    <w:r>
      <w:rPr>
        <w:color w:val="646464"/>
        <w:sz w:val="17"/>
      </w:rPr>
      <w:t>Ltd  •</w:t>
    </w:r>
    <w:proofErr w:type="gramEnd"/>
    <w:r>
      <w:rPr>
        <w:color w:val="646464"/>
        <w:sz w:val="17"/>
      </w:rPr>
      <w:t xml:space="preserve">  </w:t>
    </w:r>
    <w:r>
      <w:fldChar w:fldCharType="begin"/>
    </w:r>
    <w:r>
      <w:instrText>PAGE</w:instrText>
    </w:r>
    <w:r>
      <w:fldChar w:fldCharType="separate"/>
    </w:r>
    <w:r>
      <w:rPr>
        <w:noProof/>
      </w:rPr>
      <w:t>2</w:t>
    </w:r>
    <w:r>
      <w:fldChar w:fldCharType="end"/>
    </w:r>
    <w:r>
      <w:t xml:space="preserve"> / </w:t>
    </w:r>
    <w:r>
      <w:fldChar w:fldCharType="begin"/>
    </w:r>
    <w:r>
      <w:instrText>NUMPAGES</w:instrText>
    </w:r>
    <w:r>
      <w:fldChar w:fldCharType="separate"/>
    </w:r>
    <w:r>
      <w:rPr>
        <w:noProof/>
      </w:rPr>
      <w:t>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EC7BFF" w14:textId="77777777" w:rsidR="002B7E55" w:rsidRDefault="002B7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C79627" w14:textId="77777777" w:rsidR="00860AA9" w:rsidRDefault="00860AA9">
      <w:pPr>
        <w:spacing w:after="0" w:line="240" w:lineRule="auto"/>
      </w:pPr>
      <w:r>
        <w:separator/>
      </w:r>
    </w:p>
  </w:footnote>
  <w:footnote w:type="continuationSeparator" w:id="0">
    <w:p w14:paraId="563EAD61" w14:textId="77777777" w:rsidR="00860AA9" w:rsidRDefault="00860A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680966" w14:textId="77777777" w:rsidR="002B7E55" w:rsidRDefault="002B7E55">
    <w:pPr>
      <w:pStyle w:val="Header"/>
      <w:jc w:val="right"/>
    </w:pPr>
    <w:r>
      <w:rPr>
        <w:color w:val="646464"/>
        <w:sz w:val="17"/>
      </w:rPr>
      <w:t>ACCA</w:t>
    </w:r>
    <w:proofErr w:type="gramStart"/>
    <w:r>
      <w:rPr>
        <w:color w:val="646464"/>
        <w:sz w:val="17"/>
      </w:rPr>
      <w:t>4024  |</w:t>
    </w:r>
    <w:proofErr w:type="gramEnd"/>
    <w:r>
      <w:rPr>
        <w:color w:val="646464"/>
        <w:sz w:val="17"/>
      </w:rPr>
      <w:t xml:space="preserve">  Networks and Cyber Security Essentials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EF48B" w14:textId="77777777" w:rsidR="002B7E55" w:rsidRDefault="002B7E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CB63DE"/>
    <w:multiLevelType w:val="hybridMultilevel"/>
    <w:tmpl w:val="92A8B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3934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475"/>
    <w:rsid w:val="001110E3"/>
    <w:rsid w:val="0017634C"/>
    <w:rsid w:val="001B0CDA"/>
    <w:rsid w:val="001F773B"/>
    <w:rsid w:val="002B7E55"/>
    <w:rsid w:val="003220A6"/>
    <w:rsid w:val="003F63AE"/>
    <w:rsid w:val="00422876"/>
    <w:rsid w:val="004666D2"/>
    <w:rsid w:val="004B6C1F"/>
    <w:rsid w:val="005A2B24"/>
    <w:rsid w:val="005D08FB"/>
    <w:rsid w:val="006847BE"/>
    <w:rsid w:val="006C3F28"/>
    <w:rsid w:val="006E402E"/>
    <w:rsid w:val="00713067"/>
    <w:rsid w:val="007D0EB8"/>
    <w:rsid w:val="008359CE"/>
    <w:rsid w:val="00860AA9"/>
    <w:rsid w:val="008E5915"/>
    <w:rsid w:val="00961197"/>
    <w:rsid w:val="00A92AA2"/>
    <w:rsid w:val="00B3166E"/>
    <w:rsid w:val="00B93FA1"/>
    <w:rsid w:val="00C31ED3"/>
    <w:rsid w:val="00C702E6"/>
    <w:rsid w:val="00CB3475"/>
    <w:rsid w:val="00CE57B6"/>
    <w:rsid w:val="00D12D5C"/>
    <w:rsid w:val="00D16049"/>
    <w:rsid w:val="00D628F6"/>
    <w:rsid w:val="00D65CEE"/>
    <w:rsid w:val="00D96FD6"/>
    <w:rsid w:val="00FA323F"/>
    <w:rsid w:val="00FD5F24"/>
    <w:rsid w:val="00FE5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E2BAD"/>
  <w15:chartTrackingRefBased/>
  <w15:docId w15:val="{16B40799-5D91-4BB5-90EE-4223E584F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E55"/>
    <w:pPr>
      <w:spacing w:after="120" w:line="360" w:lineRule="auto"/>
    </w:pPr>
    <w:rPr>
      <w:rFonts w:ascii="Aptos" w:eastAsiaTheme="minorEastAsia" w:hAnsi="Aptos"/>
      <w:kern w:val="0"/>
      <w:sz w:val="22"/>
      <w:szCs w:val="22"/>
      <w:lang w:val="en-US"/>
      <w14:ligatures w14:val="none"/>
    </w:rPr>
  </w:style>
  <w:style w:type="paragraph" w:styleId="Heading1">
    <w:name w:val="heading 1"/>
    <w:basedOn w:val="Normal"/>
    <w:next w:val="Normal"/>
    <w:link w:val="Heading1Char"/>
    <w:uiPriority w:val="9"/>
    <w:qFormat/>
    <w:rsid w:val="00CB34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34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4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4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4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4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4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4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4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4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34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4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4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4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4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4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4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475"/>
    <w:rPr>
      <w:rFonts w:eastAsiaTheme="majorEastAsia" w:cstheme="majorBidi"/>
      <w:color w:val="272727" w:themeColor="text1" w:themeTint="D8"/>
    </w:rPr>
  </w:style>
  <w:style w:type="paragraph" w:styleId="Title">
    <w:name w:val="Title"/>
    <w:basedOn w:val="Normal"/>
    <w:next w:val="Normal"/>
    <w:link w:val="TitleChar"/>
    <w:uiPriority w:val="10"/>
    <w:qFormat/>
    <w:rsid w:val="00CB34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4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4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4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475"/>
    <w:pPr>
      <w:spacing w:before="160"/>
      <w:jc w:val="center"/>
    </w:pPr>
    <w:rPr>
      <w:i/>
      <w:iCs/>
      <w:color w:val="404040" w:themeColor="text1" w:themeTint="BF"/>
    </w:rPr>
  </w:style>
  <w:style w:type="character" w:customStyle="1" w:styleId="QuoteChar">
    <w:name w:val="Quote Char"/>
    <w:basedOn w:val="DefaultParagraphFont"/>
    <w:link w:val="Quote"/>
    <w:uiPriority w:val="29"/>
    <w:rsid w:val="00CB3475"/>
    <w:rPr>
      <w:i/>
      <w:iCs/>
      <w:color w:val="404040" w:themeColor="text1" w:themeTint="BF"/>
    </w:rPr>
  </w:style>
  <w:style w:type="paragraph" w:styleId="ListParagraph">
    <w:name w:val="List Paragraph"/>
    <w:basedOn w:val="Normal"/>
    <w:uiPriority w:val="34"/>
    <w:qFormat/>
    <w:rsid w:val="00CB3475"/>
    <w:pPr>
      <w:ind w:left="720"/>
      <w:contextualSpacing/>
    </w:pPr>
  </w:style>
  <w:style w:type="character" w:styleId="IntenseEmphasis">
    <w:name w:val="Intense Emphasis"/>
    <w:basedOn w:val="DefaultParagraphFont"/>
    <w:uiPriority w:val="21"/>
    <w:qFormat/>
    <w:rsid w:val="00CB3475"/>
    <w:rPr>
      <w:i/>
      <w:iCs/>
      <w:color w:val="0F4761" w:themeColor="accent1" w:themeShade="BF"/>
    </w:rPr>
  </w:style>
  <w:style w:type="paragraph" w:styleId="IntenseQuote">
    <w:name w:val="Intense Quote"/>
    <w:basedOn w:val="Normal"/>
    <w:next w:val="Normal"/>
    <w:link w:val="IntenseQuoteChar"/>
    <w:uiPriority w:val="30"/>
    <w:qFormat/>
    <w:rsid w:val="00CB34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475"/>
    <w:rPr>
      <w:i/>
      <w:iCs/>
      <w:color w:val="0F4761" w:themeColor="accent1" w:themeShade="BF"/>
    </w:rPr>
  </w:style>
  <w:style w:type="character" w:styleId="IntenseReference">
    <w:name w:val="Intense Reference"/>
    <w:basedOn w:val="DefaultParagraphFont"/>
    <w:uiPriority w:val="32"/>
    <w:qFormat/>
    <w:rsid w:val="00CB3475"/>
    <w:rPr>
      <w:b/>
      <w:bCs/>
      <w:smallCaps/>
      <w:color w:val="0F4761" w:themeColor="accent1" w:themeShade="BF"/>
      <w:spacing w:val="5"/>
    </w:rPr>
  </w:style>
  <w:style w:type="paragraph" w:styleId="Header">
    <w:name w:val="header"/>
    <w:basedOn w:val="Normal"/>
    <w:link w:val="HeaderChar"/>
    <w:uiPriority w:val="99"/>
    <w:unhideWhenUsed/>
    <w:rsid w:val="002B7E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7E55"/>
    <w:rPr>
      <w:rFonts w:ascii="Aptos" w:eastAsiaTheme="minorEastAsia" w:hAnsi="Aptos"/>
      <w:kern w:val="0"/>
      <w:sz w:val="22"/>
      <w:szCs w:val="22"/>
      <w:lang w:val="en-US"/>
      <w14:ligatures w14:val="none"/>
    </w:rPr>
  </w:style>
  <w:style w:type="paragraph" w:styleId="Footer">
    <w:name w:val="footer"/>
    <w:basedOn w:val="Normal"/>
    <w:link w:val="FooterChar"/>
    <w:uiPriority w:val="99"/>
    <w:unhideWhenUsed/>
    <w:rsid w:val="002B7E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7E55"/>
    <w:rPr>
      <w:rFonts w:ascii="Aptos" w:eastAsiaTheme="minorEastAsia" w:hAnsi="Aptos"/>
      <w:kern w:val="0"/>
      <w:sz w:val="22"/>
      <w:szCs w:val="22"/>
      <w:lang w:val="en-US"/>
      <w14:ligatures w14:val="none"/>
    </w:rPr>
  </w:style>
  <w:style w:type="paragraph" w:styleId="TOCHeading">
    <w:name w:val="TOC Heading"/>
    <w:basedOn w:val="Heading1"/>
    <w:next w:val="Normal"/>
    <w:uiPriority w:val="39"/>
    <w:unhideWhenUsed/>
    <w:qFormat/>
    <w:rsid w:val="002B7E55"/>
    <w:pPr>
      <w:spacing w:before="480" w:after="0"/>
      <w:outlineLvl w:val="9"/>
    </w:pPr>
    <w:rPr>
      <w:b/>
      <w:bCs/>
      <w:color w:val="1C4257"/>
      <w:sz w:val="32"/>
      <w:szCs w:val="28"/>
    </w:rPr>
  </w:style>
  <w:style w:type="table" w:styleId="TableGrid">
    <w:name w:val="Table Grid"/>
    <w:basedOn w:val="TableNormal"/>
    <w:uiPriority w:val="59"/>
    <w:rsid w:val="002B7E55"/>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laceholder">
    <w:name w:val="Placeholder"/>
    <w:rsid w:val="002B7E55"/>
    <w:pPr>
      <w:spacing w:after="200" w:line="360" w:lineRule="auto"/>
    </w:pPr>
    <w:rPr>
      <w:rFonts w:ascii="Aptos" w:eastAsiaTheme="minorEastAsia" w:hAnsi="Aptos"/>
      <w:i/>
      <w:color w:val="696969"/>
      <w:kern w:val="0"/>
      <w:sz w:val="21"/>
      <w:szCs w:val="22"/>
      <w:lang w:val="en-US"/>
      <w14:ligatures w14:val="none"/>
    </w:rPr>
  </w:style>
  <w:style w:type="paragraph" w:customStyle="1" w:styleId="APAReference">
    <w:name w:val="APA Reference"/>
    <w:rsid w:val="002B7E55"/>
    <w:pPr>
      <w:spacing w:after="200" w:line="360" w:lineRule="auto"/>
      <w:ind w:left="720" w:hanging="720"/>
    </w:pPr>
    <w:rPr>
      <w:rFonts w:ascii="Aptos" w:eastAsiaTheme="minorEastAsia" w:hAnsi="Aptos"/>
      <w:kern w:val="0"/>
      <w:sz w:val="22"/>
      <w:szCs w:val="22"/>
      <w:lang w:val="en-US"/>
      <w14:ligatures w14:val="none"/>
    </w:rPr>
  </w:style>
  <w:style w:type="paragraph" w:styleId="TOC1">
    <w:name w:val="toc 1"/>
    <w:basedOn w:val="Normal"/>
    <w:next w:val="Normal"/>
    <w:autoRedefine/>
    <w:uiPriority w:val="39"/>
    <w:unhideWhenUsed/>
    <w:rsid w:val="002B7E55"/>
    <w:pPr>
      <w:spacing w:after="100"/>
    </w:pPr>
  </w:style>
  <w:style w:type="paragraph" w:styleId="TOC2">
    <w:name w:val="toc 2"/>
    <w:basedOn w:val="Normal"/>
    <w:next w:val="Normal"/>
    <w:autoRedefine/>
    <w:uiPriority w:val="39"/>
    <w:unhideWhenUsed/>
    <w:rsid w:val="002B7E55"/>
    <w:pPr>
      <w:spacing w:after="100"/>
      <w:ind w:left="220"/>
    </w:pPr>
  </w:style>
  <w:style w:type="character" w:styleId="Hyperlink">
    <w:name w:val="Hyperlink"/>
    <w:basedOn w:val="DefaultParagraphFont"/>
    <w:uiPriority w:val="99"/>
    <w:unhideWhenUsed/>
    <w:rsid w:val="002B7E55"/>
    <w:rPr>
      <w:color w:val="467886" w:themeColor="hyperlink"/>
      <w:u w:val="single"/>
    </w:rPr>
  </w:style>
  <w:style w:type="paragraph" w:styleId="Bibliography">
    <w:name w:val="Bibliography"/>
    <w:basedOn w:val="Normal"/>
    <w:next w:val="Normal"/>
    <w:uiPriority w:val="37"/>
    <w:unhideWhenUsed/>
    <w:rsid w:val="003220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1361">
      <w:bodyDiv w:val="1"/>
      <w:marLeft w:val="0"/>
      <w:marRight w:val="0"/>
      <w:marTop w:val="0"/>
      <w:marBottom w:val="0"/>
      <w:divBdr>
        <w:top w:val="none" w:sz="0" w:space="0" w:color="auto"/>
        <w:left w:val="none" w:sz="0" w:space="0" w:color="auto"/>
        <w:bottom w:val="none" w:sz="0" w:space="0" w:color="auto"/>
        <w:right w:val="none" w:sz="0" w:space="0" w:color="auto"/>
      </w:divBdr>
    </w:div>
    <w:div w:id="140194112">
      <w:bodyDiv w:val="1"/>
      <w:marLeft w:val="0"/>
      <w:marRight w:val="0"/>
      <w:marTop w:val="0"/>
      <w:marBottom w:val="0"/>
      <w:divBdr>
        <w:top w:val="none" w:sz="0" w:space="0" w:color="auto"/>
        <w:left w:val="none" w:sz="0" w:space="0" w:color="auto"/>
        <w:bottom w:val="none" w:sz="0" w:space="0" w:color="auto"/>
        <w:right w:val="none" w:sz="0" w:space="0" w:color="auto"/>
      </w:divBdr>
    </w:div>
    <w:div w:id="1026294516">
      <w:bodyDiv w:val="1"/>
      <w:marLeft w:val="0"/>
      <w:marRight w:val="0"/>
      <w:marTop w:val="0"/>
      <w:marBottom w:val="0"/>
      <w:divBdr>
        <w:top w:val="none" w:sz="0" w:space="0" w:color="auto"/>
        <w:left w:val="none" w:sz="0" w:space="0" w:color="auto"/>
        <w:bottom w:val="none" w:sz="0" w:space="0" w:color="auto"/>
        <w:right w:val="none" w:sz="0" w:space="0" w:color="auto"/>
      </w:divBdr>
    </w:div>
    <w:div w:id="1769041629">
      <w:bodyDiv w:val="1"/>
      <w:marLeft w:val="0"/>
      <w:marRight w:val="0"/>
      <w:marTop w:val="0"/>
      <w:marBottom w:val="0"/>
      <w:divBdr>
        <w:top w:val="none" w:sz="0" w:space="0" w:color="auto"/>
        <w:left w:val="none" w:sz="0" w:space="0" w:color="auto"/>
        <w:bottom w:val="none" w:sz="0" w:space="0" w:color="auto"/>
        <w:right w:val="none" w:sz="0" w:space="0" w:color="auto"/>
      </w:divBdr>
    </w:div>
    <w:div w:id="1947807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image" Target="media/image13.png"/><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diagramData" Target="diagrams/data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31165D-B3FE-420C-875E-95535789278B}" type="doc">
      <dgm:prSet loTypeId="urn:microsoft.com/office/officeart/2005/8/layout/process1" loCatId="process" qsTypeId="urn:microsoft.com/office/officeart/2005/8/quickstyle/simple1" qsCatId="simple" csTypeId="urn:microsoft.com/office/officeart/2005/8/colors/accent1_2" csCatId="accent1" phldr="1"/>
      <dgm:spPr/>
    </dgm:pt>
    <dgm:pt modelId="{1E116296-CF94-47D2-B772-0FA8F10C502B}">
      <dgm:prSet phldrT="[Text]"/>
      <dgm:spPr/>
      <dgm:t>
        <a:bodyPr/>
        <a:lstStyle/>
        <a:p>
          <a:pPr>
            <a:buNone/>
          </a:pPr>
          <a:r>
            <a:rPr lang="en-GB"/>
            <a:t>Recovery </a:t>
          </a:r>
        </a:p>
      </dgm:t>
    </dgm:pt>
    <dgm:pt modelId="{8ED7441F-2B44-4A87-A245-443F579793E0}" type="parTrans" cxnId="{5307FE02-4917-4119-91FE-BC248374E950}">
      <dgm:prSet/>
      <dgm:spPr/>
      <dgm:t>
        <a:bodyPr/>
        <a:lstStyle/>
        <a:p>
          <a:endParaRPr lang="en-GB"/>
        </a:p>
      </dgm:t>
    </dgm:pt>
    <dgm:pt modelId="{67168B67-C14C-409F-AA9B-014EB538592C}" type="sibTrans" cxnId="{5307FE02-4917-4119-91FE-BC248374E950}">
      <dgm:prSet/>
      <dgm:spPr/>
      <dgm:t>
        <a:bodyPr/>
        <a:lstStyle/>
        <a:p>
          <a:endParaRPr lang="en-GB"/>
        </a:p>
      </dgm:t>
    </dgm:pt>
    <dgm:pt modelId="{23CE24BC-8AB9-4542-84D5-B44337BAE348}">
      <dgm:prSet phldrT="[Text]"/>
      <dgm:spPr/>
      <dgm:t>
        <a:bodyPr/>
        <a:lstStyle/>
        <a:p>
          <a:pPr>
            <a:buNone/>
          </a:pPr>
          <a:r>
            <a:rPr lang="en-GB"/>
            <a:t>Eradication</a:t>
          </a:r>
        </a:p>
      </dgm:t>
    </dgm:pt>
    <dgm:pt modelId="{7D321AD8-B059-467F-8896-05A240E0DDB1}" type="parTrans" cxnId="{8568AABC-740A-4418-91D8-055A294F04C9}">
      <dgm:prSet/>
      <dgm:spPr/>
      <dgm:t>
        <a:bodyPr/>
        <a:lstStyle/>
        <a:p>
          <a:endParaRPr lang="en-GB"/>
        </a:p>
      </dgm:t>
    </dgm:pt>
    <dgm:pt modelId="{44054776-4210-4294-856A-1C80B3C63090}" type="sibTrans" cxnId="{8568AABC-740A-4418-91D8-055A294F04C9}">
      <dgm:prSet/>
      <dgm:spPr/>
      <dgm:t>
        <a:bodyPr/>
        <a:lstStyle/>
        <a:p>
          <a:endParaRPr lang="en-GB"/>
        </a:p>
      </dgm:t>
    </dgm:pt>
    <dgm:pt modelId="{57200C30-22CA-4A58-99A1-6289A7476358}">
      <dgm:prSet phldrT="[Text]"/>
      <dgm:spPr/>
      <dgm:t>
        <a:bodyPr/>
        <a:lstStyle/>
        <a:p>
          <a:pPr>
            <a:buNone/>
          </a:pPr>
          <a:r>
            <a:rPr lang="en-GB"/>
            <a:t>ontainment</a:t>
          </a:r>
        </a:p>
      </dgm:t>
    </dgm:pt>
    <dgm:pt modelId="{BDE5A42C-684A-478B-9EC1-1D7E8B9BB295}" type="parTrans" cxnId="{714AC2A0-7B9B-4BBC-801C-51AB0BFA3F5C}">
      <dgm:prSet/>
      <dgm:spPr/>
      <dgm:t>
        <a:bodyPr/>
        <a:lstStyle/>
        <a:p>
          <a:endParaRPr lang="en-GB"/>
        </a:p>
      </dgm:t>
    </dgm:pt>
    <dgm:pt modelId="{96495E5F-2180-4E2E-8410-A469AF693789}" type="sibTrans" cxnId="{714AC2A0-7B9B-4BBC-801C-51AB0BFA3F5C}">
      <dgm:prSet/>
      <dgm:spPr/>
      <dgm:t>
        <a:bodyPr/>
        <a:lstStyle/>
        <a:p>
          <a:endParaRPr lang="en-GB"/>
        </a:p>
      </dgm:t>
    </dgm:pt>
    <dgm:pt modelId="{2EBD00FB-8895-4655-B362-9D859388E82B}">
      <dgm:prSet/>
      <dgm:spPr/>
      <dgm:t>
        <a:bodyPr/>
        <a:lstStyle/>
        <a:p>
          <a:pPr>
            <a:buNone/>
          </a:pPr>
          <a:r>
            <a:rPr lang="en-GB"/>
            <a:t>Cyber Incident Detected</a:t>
          </a:r>
        </a:p>
      </dgm:t>
    </dgm:pt>
    <dgm:pt modelId="{CEAC45A9-CC66-47EB-9301-40C38CB169E6}" type="parTrans" cxnId="{C453A191-6D99-49D3-BB97-191864436F15}">
      <dgm:prSet/>
      <dgm:spPr/>
      <dgm:t>
        <a:bodyPr/>
        <a:lstStyle/>
        <a:p>
          <a:endParaRPr lang="en-GB"/>
        </a:p>
      </dgm:t>
    </dgm:pt>
    <dgm:pt modelId="{E26ACA51-362C-46FC-91AB-0E1E8E6E7B7C}" type="sibTrans" cxnId="{C453A191-6D99-49D3-BB97-191864436F15}">
      <dgm:prSet/>
      <dgm:spPr/>
      <dgm:t>
        <a:bodyPr/>
        <a:lstStyle/>
        <a:p>
          <a:endParaRPr lang="en-GB"/>
        </a:p>
      </dgm:t>
    </dgm:pt>
    <dgm:pt modelId="{04523EF7-05CE-455A-A6F3-E234C9085AA8}">
      <dgm:prSet/>
      <dgm:spPr/>
      <dgm:t>
        <a:bodyPr/>
        <a:lstStyle/>
        <a:p>
          <a:pPr>
            <a:buNone/>
          </a:pPr>
          <a:r>
            <a:rPr lang="en-GB"/>
            <a:t>Detection</a:t>
          </a:r>
        </a:p>
      </dgm:t>
    </dgm:pt>
    <dgm:pt modelId="{2144BB6A-CB4D-48A8-BAF3-A12544FF8DC1}" type="parTrans" cxnId="{F2AE2F94-37AC-4874-9107-C6D9FE9576C9}">
      <dgm:prSet/>
      <dgm:spPr/>
      <dgm:t>
        <a:bodyPr/>
        <a:lstStyle/>
        <a:p>
          <a:endParaRPr lang="en-GB"/>
        </a:p>
      </dgm:t>
    </dgm:pt>
    <dgm:pt modelId="{ECEDDCC8-EBBE-4136-9FC8-0923A53956F2}" type="sibTrans" cxnId="{F2AE2F94-37AC-4874-9107-C6D9FE9576C9}">
      <dgm:prSet/>
      <dgm:spPr/>
      <dgm:t>
        <a:bodyPr/>
        <a:lstStyle/>
        <a:p>
          <a:endParaRPr lang="en-GB"/>
        </a:p>
      </dgm:t>
    </dgm:pt>
    <dgm:pt modelId="{155B76A3-5DDF-4EF5-8BDE-4F469E55465F}">
      <dgm:prSet/>
      <dgm:spPr/>
      <dgm:t>
        <a:bodyPr/>
        <a:lstStyle/>
        <a:p>
          <a:pPr>
            <a:buNone/>
          </a:pPr>
          <a:r>
            <a:rPr lang="en-GB"/>
            <a:t>Analysis</a:t>
          </a:r>
        </a:p>
      </dgm:t>
    </dgm:pt>
    <dgm:pt modelId="{26BF9512-F7BD-4748-9D01-02C4582E552F}" type="parTrans" cxnId="{75D9EE28-DA16-4E69-9019-141E39EBF977}">
      <dgm:prSet/>
      <dgm:spPr/>
      <dgm:t>
        <a:bodyPr/>
        <a:lstStyle/>
        <a:p>
          <a:endParaRPr lang="en-GB"/>
        </a:p>
      </dgm:t>
    </dgm:pt>
    <dgm:pt modelId="{09C8A5F1-FC82-42F5-BDCA-6391EFF42672}" type="sibTrans" cxnId="{75D9EE28-DA16-4E69-9019-141E39EBF977}">
      <dgm:prSet/>
      <dgm:spPr/>
      <dgm:t>
        <a:bodyPr/>
        <a:lstStyle/>
        <a:p>
          <a:endParaRPr lang="en-GB"/>
        </a:p>
      </dgm:t>
    </dgm:pt>
    <dgm:pt modelId="{28E1C1F7-8725-4FC6-A4DE-1C62208A77B4}">
      <dgm:prSet/>
      <dgm:spPr/>
      <dgm:t>
        <a:bodyPr/>
        <a:lstStyle/>
        <a:p>
          <a:pPr>
            <a:buNone/>
          </a:pPr>
          <a:r>
            <a:rPr lang="en-GB"/>
            <a:t>Post-Incident Review</a:t>
          </a:r>
        </a:p>
      </dgm:t>
    </dgm:pt>
    <dgm:pt modelId="{9464D9FC-A6F8-47D7-97D6-A27144C6888B}" type="parTrans" cxnId="{97F4154E-E3A9-4DA1-AAE4-953D5FBD8E40}">
      <dgm:prSet/>
      <dgm:spPr/>
      <dgm:t>
        <a:bodyPr/>
        <a:lstStyle/>
        <a:p>
          <a:endParaRPr lang="en-GB"/>
        </a:p>
      </dgm:t>
    </dgm:pt>
    <dgm:pt modelId="{8EF0A294-451D-4A92-9A03-B8D7D927EC20}" type="sibTrans" cxnId="{97F4154E-E3A9-4DA1-AAE4-953D5FBD8E40}">
      <dgm:prSet/>
      <dgm:spPr/>
      <dgm:t>
        <a:bodyPr/>
        <a:lstStyle/>
        <a:p>
          <a:endParaRPr lang="en-GB"/>
        </a:p>
      </dgm:t>
    </dgm:pt>
    <dgm:pt modelId="{641B20A7-6F5B-446E-8C0D-5613B3B9D0A2}" type="pres">
      <dgm:prSet presAssocID="{9431165D-B3FE-420C-875E-95535789278B}" presName="Name0" presStyleCnt="0">
        <dgm:presLayoutVars>
          <dgm:dir/>
          <dgm:resizeHandles val="exact"/>
        </dgm:presLayoutVars>
      </dgm:prSet>
      <dgm:spPr/>
    </dgm:pt>
    <dgm:pt modelId="{2769922A-352D-4F28-B343-B68908046FA9}" type="pres">
      <dgm:prSet presAssocID="{2EBD00FB-8895-4655-B362-9D859388E82B}" presName="node" presStyleLbl="node1" presStyleIdx="0" presStyleCnt="7">
        <dgm:presLayoutVars>
          <dgm:bulletEnabled val="1"/>
        </dgm:presLayoutVars>
      </dgm:prSet>
      <dgm:spPr/>
    </dgm:pt>
    <dgm:pt modelId="{0FA03BC5-40B9-49F8-BCE7-06C7CC08D0F2}" type="pres">
      <dgm:prSet presAssocID="{E26ACA51-362C-46FC-91AB-0E1E8E6E7B7C}" presName="sibTrans" presStyleLbl="sibTrans2D1" presStyleIdx="0" presStyleCnt="6"/>
      <dgm:spPr/>
    </dgm:pt>
    <dgm:pt modelId="{6EC2D3FF-0354-45C4-9AC9-0F485639100D}" type="pres">
      <dgm:prSet presAssocID="{E26ACA51-362C-46FC-91AB-0E1E8E6E7B7C}" presName="connectorText" presStyleLbl="sibTrans2D1" presStyleIdx="0" presStyleCnt="6"/>
      <dgm:spPr/>
    </dgm:pt>
    <dgm:pt modelId="{F4A39952-486A-402F-A730-F7EBF0094CA4}" type="pres">
      <dgm:prSet presAssocID="{04523EF7-05CE-455A-A6F3-E234C9085AA8}" presName="node" presStyleLbl="node1" presStyleIdx="1" presStyleCnt="7">
        <dgm:presLayoutVars>
          <dgm:bulletEnabled val="1"/>
        </dgm:presLayoutVars>
      </dgm:prSet>
      <dgm:spPr/>
    </dgm:pt>
    <dgm:pt modelId="{CA475FD6-901B-42C9-8BD8-135DE540C62A}" type="pres">
      <dgm:prSet presAssocID="{ECEDDCC8-EBBE-4136-9FC8-0923A53956F2}" presName="sibTrans" presStyleLbl="sibTrans2D1" presStyleIdx="1" presStyleCnt="6"/>
      <dgm:spPr/>
    </dgm:pt>
    <dgm:pt modelId="{94929AE0-C910-46AE-BB5E-6A2BDA59DE31}" type="pres">
      <dgm:prSet presAssocID="{ECEDDCC8-EBBE-4136-9FC8-0923A53956F2}" presName="connectorText" presStyleLbl="sibTrans2D1" presStyleIdx="1" presStyleCnt="6"/>
      <dgm:spPr/>
    </dgm:pt>
    <dgm:pt modelId="{A444B93A-A66E-4720-8F7B-482C61E556FE}" type="pres">
      <dgm:prSet presAssocID="{155B76A3-5DDF-4EF5-8BDE-4F469E55465F}" presName="node" presStyleLbl="node1" presStyleIdx="2" presStyleCnt="7">
        <dgm:presLayoutVars>
          <dgm:bulletEnabled val="1"/>
        </dgm:presLayoutVars>
      </dgm:prSet>
      <dgm:spPr/>
    </dgm:pt>
    <dgm:pt modelId="{C9939F05-392B-49EB-99E1-81226F3B8869}" type="pres">
      <dgm:prSet presAssocID="{09C8A5F1-FC82-42F5-BDCA-6391EFF42672}" presName="sibTrans" presStyleLbl="sibTrans2D1" presStyleIdx="2" presStyleCnt="6"/>
      <dgm:spPr/>
    </dgm:pt>
    <dgm:pt modelId="{23C305B3-4B46-4960-B943-BB25C18AC2F4}" type="pres">
      <dgm:prSet presAssocID="{09C8A5F1-FC82-42F5-BDCA-6391EFF42672}" presName="connectorText" presStyleLbl="sibTrans2D1" presStyleIdx="2" presStyleCnt="6"/>
      <dgm:spPr/>
    </dgm:pt>
    <dgm:pt modelId="{0FA9D47B-773F-4F71-940C-3D57FAD3ABDB}" type="pres">
      <dgm:prSet presAssocID="{57200C30-22CA-4A58-99A1-6289A7476358}" presName="node" presStyleLbl="node1" presStyleIdx="3" presStyleCnt="7">
        <dgm:presLayoutVars>
          <dgm:bulletEnabled val="1"/>
        </dgm:presLayoutVars>
      </dgm:prSet>
      <dgm:spPr/>
    </dgm:pt>
    <dgm:pt modelId="{01F5AE8C-BBCD-4638-9924-23404EAE9CFA}" type="pres">
      <dgm:prSet presAssocID="{96495E5F-2180-4E2E-8410-A469AF693789}" presName="sibTrans" presStyleLbl="sibTrans2D1" presStyleIdx="3" presStyleCnt="6"/>
      <dgm:spPr/>
    </dgm:pt>
    <dgm:pt modelId="{9475AE26-DDD4-466D-A9A4-784686883B00}" type="pres">
      <dgm:prSet presAssocID="{96495E5F-2180-4E2E-8410-A469AF693789}" presName="connectorText" presStyleLbl="sibTrans2D1" presStyleIdx="3" presStyleCnt="6"/>
      <dgm:spPr/>
    </dgm:pt>
    <dgm:pt modelId="{5D652722-88C3-4D2F-A735-BA1097E91538}" type="pres">
      <dgm:prSet presAssocID="{23CE24BC-8AB9-4542-84D5-B44337BAE348}" presName="node" presStyleLbl="node1" presStyleIdx="4" presStyleCnt="7">
        <dgm:presLayoutVars>
          <dgm:bulletEnabled val="1"/>
        </dgm:presLayoutVars>
      </dgm:prSet>
      <dgm:spPr/>
    </dgm:pt>
    <dgm:pt modelId="{DB0713FB-0059-4BC0-8EE1-9B9CBC031313}" type="pres">
      <dgm:prSet presAssocID="{44054776-4210-4294-856A-1C80B3C63090}" presName="sibTrans" presStyleLbl="sibTrans2D1" presStyleIdx="4" presStyleCnt="6"/>
      <dgm:spPr/>
    </dgm:pt>
    <dgm:pt modelId="{FA2E74B0-3B06-47D2-8004-09F389966ADF}" type="pres">
      <dgm:prSet presAssocID="{44054776-4210-4294-856A-1C80B3C63090}" presName="connectorText" presStyleLbl="sibTrans2D1" presStyleIdx="4" presStyleCnt="6"/>
      <dgm:spPr/>
    </dgm:pt>
    <dgm:pt modelId="{BEDABAEB-9333-4852-855D-4692DE07BDE4}" type="pres">
      <dgm:prSet presAssocID="{1E116296-CF94-47D2-B772-0FA8F10C502B}" presName="node" presStyleLbl="node1" presStyleIdx="5" presStyleCnt="7">
        <dgm:presLayoutVars>
          <dgm:bulletEnabled val="1"/>
        </dgm:presLayoutVars>
      </dgm:prSet>
      <dgm:spPr/>
    </dgm:pt>
    <dgm:pt modelId="{3A179238-0483-4F0D-B3A8-D9E5B583C747}" type="pres">
      <dgm:prSet presAssocID="{67168B67-C14C-409F-AA9B-014EB538592C}" presName="sibTrans" presStyleLbl="sibTrans2D1" presStyleIdx="5" presStyleCnt="6"/>
      <dgm:spPr/>
    </dgm:pt>
    <dgm:pt modelId="{7AF3FCE5-BF11-4A7F-AF3F-B388D2A56A24}" type="pres">
      <dgm:prSet presAssocID="{67168B67-C14C-409F-AA9B-014EB538592C}" presName="connectorText" presStyleLbl="sibTrans2D1" presStyleIdx="5" presStyleCnt="6"/>
      <dgm:spPr/>
    </dgm:pt>
    <dgm:pt modelId="{ED421B50-FE40-451E-B135-7C7DE707D0F1}" type="pres">
      <dgm:prSet presAssocID="{28E1C1F7-8725-4FC6-A4DE-1C62208A77B4}" presName="node" presStyleLbl="node1" presStyleIdx="6" presStyleCnt="7">
        <dgm:presLayoutVars>
          <dgm:bulletEnabled val="1"/>
        </dgm:presLayoutVars>
      </dgm:prSet>
      <dgm:spPr/>
    </dgm:pt>
  </dgm:ptLst>
  <dgm:cxnLst>
    <dgm:cxn modelId="{9E75F300-6F49-4EDC-AFFF-6DE517BB7A62}" type="presOf" srcId="{67168B67-C14C-409F-AA9B-014EB538592C}" destId="{3A179238-0483-4F0D-B3A8-D9E5B583C747}" srcOrd="0" destOrd="0" presId="urn:microsoft.com/office/officeart/2005/8/layout/process1"/>
    <dgm:cxn modelId="{5307FE02-4917-4119-91FE-BC248374E950}" srcId="{9431165D-B3FE-420C-875E-95535789278B}" destId="{1E116296-CF94-47D2-B772-0FA8F10C502B}" srcOrd="5" destOrd="0" parTransId="{8ED7441F-2B44-4A87-A245-443F579793E0}" sibTransId="{67168B67-C14C-409F-AA9B-014EB538592C}"/>
    <dgm:cxn modelId="{90A5030D-4CE5-4A4C-B5AB-ABA3E244ACD9}" type="presOf" srcId="{ECEDDCC8-EBBE-4136-9FC8-0923A53956F2}" destId="{94929AE0-C910-46AE-BB5E-6A2BDA59DE31}" srcOrd="1" destOrd="0" presId="urn:microsoft.com/office/officeart/2005/8/layout/process1"/>
    <dgm:cxn modelId="{75D9EE28-DA16-4E69-9019-141E39EBF977}" srcId="{9431165D-B3FE-420C-875E-95535789278B}" destId="{155B76A3-5DDF-4EF5-8BDE-4F469E55465F}" srcOrd="2" destOrd="0" parTransId="{26BF9512-F7BD-4748-9D01-02C4582E552F}" sibTransId="{09C8A5F1-FC82-42F5-BDCA-6391EFF42672}"/>
    <dgm:cxn modelId="{47161D3B-3B2B-450A-ADEA-B98B3CE27B83}" type="presOf" srcId="{96495E5F-2180-4E2E-8410-A469AF693789}" destId="{01F5AE8C-BBCD-4638-9924-23404EAE9CFA}" srcOrd="0" destOrd="0" presId="urn:microsoft.com/office/officeart/2005/8/layout/process1"/>
    <dgm:cxn modelId="{328DF05C-CC40-414B-9BBB-A40972C7D7E7}" type="presOf" srcId="{57200C30-22CA-4A58-99A1-6289A7476358}" destId="{0FA9D47B-773F-4F71-940C-3D57FAD3ABDB}" srcOrd="0" destOrd="0" presId="urn:microsoft.com/office/officeart/2005/8/layout/process1"/>
    <dgm:cxn modelId="{4FADEE41-E89D-4C63-8016-BBFF4E6832A6}" type="presOf" srcId="{44054776-4210-4294-856A-1C80B3C63090}" destId="{FA2E74B0-3B06-47D2-8004-09F389966ADF}" srcOrd="1" destOrd="0" presId="urn:microsoft.com/office/officeart/2005/8/layout/process1"/>
    <dgm:cxn modelId="{83122168-F9AE-47DA-983B-7EF7599BCBDB}" type="presOf" srcId="{44054776-4210-4294-856A-1C80B3C63090}" destId="{DB0713FB-0059-4BC0-8EE1-9B9CBC031313}" srcOrd="0" destOrd="0" presId="urn:microsoft.com/office/officeart/2005/8/layout/process1"/>
    <dgm:cxn modelId="{97F4154E-E3A9-4DA1-AAE4-953D5FBD8E40}" srcId="{9431165D-B3FE-420C-875E-95535789278B}" destId="{28E1C1F7-8725-4FC6-A4DE-1C62208A77B4}" srcOrd="6" destOrd="0" parTransId="{9464D9FC-A6F8-47D7-97D6-A27144C6888B}" sibTransId="{8EF0A294-451D-4A92-9A03-B8D7D927EC20}"/>
    <dgm:cxn modelId="{1618C970-57E6-40A2-AAD9-5D7F5F625FCE}" type="presOf" srcId="{E26ACA51-362C-46FC-91AB-0E1E8E6E7B7C}" destId="{6EC2D3FF-0354-45C4-9AC9-0F485639100D}" srcOrd="1" destOrd="0" presId="urn:microsoft.com/office/officeart/2005/8/layout/process1"/>
    <dgm:cxn modelId="{40E1E374-49C4-47D8-AA23-BD37837BBD5D}" type="presOf" srcId="{ECEDDCC8-EBBE-4136-9FC8-0923A53956F2}" destId="{CA475FD6-901B-42C9-8BD8-135DE540C62A}" srcOrd="0" destOrd="0" presId="urn:microsoft.com/office/officeart/2005/8/layout/process1"/>
    <dgm:cxn modelId="{0AD02C7D-74C2-4625-AEA8-8BD1201E4AC9}" type="presOf" srcId="{28E1C1F7-8725-4FC6-A4DE-1C62208A77B4}" destId="{ED421B50-FE40-451E-B135-7C7DE707D0F1}" srcOrd="0" destOrd="0" presId="urn:microsoft.com/office/officeart/2005/8/layout/process1"/>
    <dgm:cxn modelId="{0840E287-7E4F-4E8F-B3DB-D3DCDBCB02A4}" type="presOf" srcId="{2EBD00FB-8895-4655-B362-9D859388E82B}" destId="{2769922A-352D-4F28-B343-B68908046FA9}" srcOrd="0" destOrd="0" presId="urn:microsoft.com/office/officeart/2005/8/layout/process1"/>
    <dgm:cxn modelId="{C453A191-6D99-49D3-BB97-191864436F15}" srcId="{9431165D-B3FE-420C-875E-95535789278B}" destId="{2EBD00FB-8895-4655-B362-9D859388E82B}" srcOrd="0" destOrd="0" parTransId="{CEAC45A9-CC66-47EB-9301-40C38CB169E6}" sibTransId="{E26ACA51-362C-46FC-91AB-0E1E8E6E7B7C}"/>
    <dgm:cxn modelId="{F2AE2F94-37AC-4874-9107-C6D9FE9576C9}" srcId="{9431165D-B3FE-420C-875E-95535789278B}" destId="{04523EF7-05CE-455A-A6F3-E234C9085AA8}" srcOrd="1" destOrd="0" parTransId="{2144BB6A-CB4D-48A8-BAF3-A12544FF8DC1}" sibTransId="{ECEDDCC8-EBBE-4136-9FC8-0923A53956F2}"/>
    <dgm:cxn modelId="{7C99719C-6EB9-4108-A79B-729D2AC3F3E1}" type="presOf" srcId="{1E116296-CF94-47D2-B772-0FA8F10C502B}" destId="{BEDABAEB-9333-4852-855D-4692DE07BDE4}" srcOrd="0" destOrd="0" presId="urn:microsoft.com/office/officeart/2005/8/layout/process1"/>
    <dgm:cxn modelId="{B76A079E-C415-4D07-A04B-9C427D1144C6}" type="presOf" srcId="{09C8A5F1-FC82-42F5-BDCA-6391EFF42672}" destId="{C9939F05-392B-49EB-99E1-81226F3B8869}" srcOrd="0" destOrd="0" presId="urn:microsoft.com/office/officeart/2005/8/layout/process1"/>
    <dgm:cxn modelId="{714AC2A0-7B9B-4BBC-801C-51AB0BFA3F5C}" srcId="{9431165D-B3FE-420C-875E-95535789278B}" destId="{57200C30-22CA-4A58-99A1-6289A7476358}" srcOrd="3" destOrd="0" parTransId="{BDE5A42C-684A-478B-9EC1-1D7E8B9BB295}" sibTransId="{96495E5F-2180-4E2E-8410-A469AF693789}"/>
    <dgm:cxn modelId="{F5AE86A1-B289-49CC-AB75-80FECF0CB5C7}" type="presOf" srcId="{04523EF7-05CE-455A-A6F3-E234C9085AA8}" destId="{F4A39952-486A-402F-A730-F7EBF0094CA4}" srcOrd="0" destOrd="0" presId="urn:microsoft.com/office/officeart/2005/8/layout/process1"/>
    <dgm:cxn modelId="{83E061A6-71E9-4807-909A-BCEC772273DA}" type="presOf" srcId="{09C8A5F1-FC82-42F5-BDCA-6391EFF42672}" destId="{23C305B3-4B46-4960-B943-BB25C18AC2F4}" srcOrd="1" destOrd="0" presId="urn:microsoft.com/office/officeart/2005/8/layout/process1"/>
    <dgm:cxn modelId="{D48DCDAD-5ACD-4478-B382-4CEF4614D10C}" type="presOf" srcId="{E26ACA51-362C-46FC-91AB-0E1E8E6E7B7C}" destId="{0FA03BC5-40B9-49F8-BCE7-06C7CC08D0F2}" srcOrd="0" destOrd="0" presId="urn:microsoft.com/office/officeart/2005/8/layout/process1"/>
    <dgm:cxn modelId="{CFF769B3-5696-4232-958F-2DBBE5794BDD}" type="presOf" srcId="{96495E5F-2180-4E2E-8410-A469AF693789}" destId="{9475AE26-DDD4-466D-A9A4-784686883B00}" srcOrd="1" destOrd="0" presId="urn:microsoft.com/office/officeart/2005/8/layout/process1"/>
    <dgm:cxn modelId="{04EB42B9-48FF-44A1-A390-D63795111264}" type="presOf" srcId="{155B76A3-5DDF-4EF5-8BDE-4F469E55465F}" destId="{A444B93A-A66E-4720-8F7B-482C61E556FE}" srcOrd="0" destOrd="0" presId="urn:microsoft.com/office/officeart/2005/8/layout/process1"/>
    <dgm:cxn modelId="{8568AABC-740A-4418-91D8-055A294F04C9}" srcId="{9431165D-B3FE-420C-875E-95535789278B}" destId="{23CE24BC-8AB9-4542-84D5-B44337BAE348}" srcOrd="4" destOrd="0" parTransId="{7D321AD8-B059-467F-8896-05A240E0DDB1}" sibTransId="{44054776-4210-4294-856A-1C80B3C63090}"/>
    <dgm:cxn modelId="{3F6DCBBC-5F7F-44EE-A95F-E3247EDE2185}" type="presOf" srcId="{67168B67-C14C-409F-AA9B-014EB538592C}" destId="{7AF3FCE5-BF11-4A7F-AF3F-B388D2A56A24}" srcOrd="1" destOrd="0" presId="urn:microsoft.com/office/officeart/2005/8/layout/process1"/>
    <dgm:cxn modelId="{A6C1B6CB-C5D7-4B30-9102-B6109E15883B}" type="presOf" srcId="{9431165D-B3FE-420C-875E-95535789278B}" destId="{641B20A7-6F5B-446E-8C0D-5613B3B9D0A2}" srcOrd="0" destOrd="0" presId="urn:microsoft.com/office/officeart/2005/8/layout/process1"/>
    <dgm:cxn modelId="{8B26E1D0-3F8C-489C-B5CD-41AFB52A4C0E}" type="presOf" srcId="{23CE24BC-8AB9-4542-84D5-B44337BAE348}" destId="{5D652722-88C3-4D2F-A735-BA1097E91538}" srcOrd="0" destOrd="0" presId="urn:microsoft.com/office/officeart/2005/8/layout/process1"/>
    <dgm:cxn modelId="{65F4E742-488D-4562-87DA-6D6426922471}" type="presParOf" srcId="{641B20A7-6F5B-446E-8C0D-5613B3B9D0A2}" destId="{2769922A-352D-4F28-B343-B68908046FA9}" srcOrd="0" destOrd="0" presId="urn:microsoft.com/office/officeart/2005/8/layout/process1"/>
    <dgm:cxn modelId="{5B98BEB6-2AFF-47ED-991B-3FCF79687537}" type="presParOf" srcId="{641B20A7-6F5B-446E-8C0D-5613B3B9D0A2}" destId="{0FA03BC5-40B9-49F8-BCE7-06C7CC08D0F2}" srcOrd="1" destOrd="0" presId="urn:microsoft.com/office/officeart/2005/8/layout/process1"/>
    <dgm:cxn modelId="{DD3DAF36-7572-4B3D-A07D-CC95A8CCCB10}" type="presParOf" srcId="{0FA03BC5-40B9-49F8-BCE7-06C7CC08D0F2}" destId="{6EC2D3FF-0354-45C4-9AC9-0F485639100D}" srcOrd="0" destOrd="0" presId="urn:microsoft.com/office/officeart/2005/8/layout/process1"/>
    <dgm:cxn modelId="{08EE5D87-880C-4BD1-9032-22654741AA31}" type="presParOf" srcId="{641B20A7-6F5B-446E-8C0D-5613B3B9D0A2}" destId="{F4A39952-486A-402F-A730-F7EBF0094CA4}" srcOrd="2" destOrd="0" presId="urn:microsoft.com/office/officeart/2005/8/layout/process1"/>
    <dgm:cxn modelId="{4B79C4A0-BF21-45CB-BF32-4DCD40C96F2B}" type="presParOf" srcId="{641B20A7-6F5B-446E-8C0D-5613B3B9D0A2}" destId="{CA475FD6-901B-42C9-8BD8-135DE540C62A}" srcOrd="3" destOrd="0" presId="urn:microsoft.com/office/officeart/2005/8/layout/process1"/>
    <dgm:cxn modelId="{FBE5F56E-E0D9-493F-9224-41FCBDCC8C65}" type="presParOf" srcId="{CA475FD6-901B-42C9-8BD8-135DE540C62A}" destId="{94929AE0-C910-46AE-BB5E-6A2BDA59DE31}" srcOrd="0" destOrd="0" presId="urn:microsoft.com/office/officeart/2005/8/layout/process1"/>
    <dgm:cxn modelId="{4A67173D-6591-49E4-BD82-83142C71B5A5}" type="presParOf" srcId="{641B20A7-6F5B-446E-8C0D-5613B3B9D0A2}" destId="{A444B93A-A66E-4720-8F7B-482C61E556FE}" srcOrd="4" destOrd="0" presId="urn:microsoft.com/office/officeart/2005/8/layout/process1"/>
    <dgm:cxn modelId="{2CDF945F-E08C-42E8-9786-3674311E9BB7}" type="presParOf" srcId="{641B20A7-6F5B-446E-8C0D-5613B3B9D0A2}" destId="{C9939F05-392B-49EB-99E1-81226F3B8869}" srcOrd="5" destOrd="0" presId="urn:microsoft.com/office/officeart/2005/8/layout/process1"/>
    <dgm:cxn modelId="{9FC0CC2F-1A14-46E5-A687-2F43D7772E65}" type="presParOf" srcId="{C9939F05-392B-49EB-99E1-81226F3B8869}" destId="{23C305B3-4B46-4960-B943-BB25C18AC2F4}" srcOrd="0" destOrd="0" presId="urn:microsoft.com/office/officeart/2005/8/layout/process1"/>
    <dgm:cxn modelId="{17CBD59E-E725-4D35-A037-63FBEB686A83}" type="presParOf" srcId="{641B20A7-6F5B-446E-8C0D-5613B3B9D0A2}" destId="{0FA9D47B-773F-4F71-940C-3D57FAD3ABDB}" srcOrd="6" destOrd="0" presId="urn:microsoft.com/office/officeart/2005/8/layout/process1"/>
    <dgm:cxn modelId="{C4722A2E-2FE5-4DC1-A619-5DC7FC08823A}" type="presParOf" srcId="{641B20A7-6F5B-446E-8C0D-5613B3B9D0A2}" destId="{01F5AE8C-BBCD-4638-9924-23404EAE9CFA}" srcOrd="7" destOrd="0" presId="urn:microsoft.com/office/officeart/2005/8/layout/process1"/>
    <dgm:cxn modelId="{9302A0D9-AB5B-461A-B131-2422DC18F6E5}" type="presParOf" srcId="{01F5AE8C-BBCD-4638-9924-23404EAE9CFA}" destId="{9475AE26-DDD4-466D-A9A4-784686883B00}" srcOrd="0" destOrd="0" presId="urn:microsoft.com/office/officeart/2005/8/layout/process1"/>
    <dgm:cxn modelId="{4C8F4EA9-87AC-4D6B-8E4D-31A72E3832D7}" type="presParOf" srcId="{641B20A7-6F5B-446E-8C0D-5613B3B9D0A2}" destId="{5D652722-88C3-4D2F-A735-BA1097E91538}" srcOrd="8" destOrd="0" presId="urn:microsoft.com/office/officeart/2005/8/layout/process1"/>
    <dgm:cxn modelId="{84E769E4-17FA-4013-8848-56E46C0AD984}" type="presParOf" srcId="{641B20A7-6F5B-446E-8C0D-5613B3B9D0A2}" destId="{DB0713FB-0059-4BC0-8EE1-9B9CBC031313}" srcOrd="9" destOrd="0" presId="urn:microsoft.com/office/officeart/2005/8/layout/process1"/>
    <dgm:cxn modelId="{48D98C22-7D35-4391-8FF2-7700F85ABEFF}" type="presParOf" srcId="{DB0713FB-0059-4BC0-8EE1-9B9CBC031313}" destId="{FA2E74B0-3B06-47D2-8004-09F389966ADF}" srcOrd="0" destOrd="0" presId="urn:microsoft.com/office/officeart/2005/8/layout/process1"/>
    <dgm:cxn modelId="{52C0683C-6C8B-4314-BD96-C354DD38F15F}" type="presParOf" srcId="{641B20A7-6F5B-446E-8C0D-5613B3B9D0A2}" destId="{BEDABAEB-9333-4852-855D-4692DE07BDE4}" srcOrd="10" destOrd="0" presId="urn:microsoft.com/office/officeart/2005/8/layout/process1"/>
    <dgm:cxn modelId="{0D9EFC26-05B0-4581-8FF3-74067EDB055F}" type="presParOf" srcId="{641B20A7-6F5B-446E-8C0D-5613B3B9D0A2}" destId="{3A179238-0483-4F0D-B3A8-D9E5B583C747}" srcOrd="11" destOrd="0" presId="urn:microsoft.com/office/officeart/2005/8/layout/process1"/>
    <dgm:cxn modelId="{E42D637F-CD2C-47AD-97A8-A8D80E132556}" type="presParOf" srcId="{3A179238-0483-4F0D-B3A8-D9E5B583C747}" destId="{7AF3FCE5-BF11-4A7F-AF3F-B388D2A56A24}" srcOrd="0" destOrd="0" presId="urn:microsoft.com/office/officeart/2005/8/layout/process1"/>
    <dgm:cxn modelId="{DE887A7E-7714-4759-A76A-7EB27276E7E8}" type="presParOf" srcId="{641B20A7-6F5B-446E-8C0D-5613B3B9D0A2}" destId="{ED421B50-FE40-451E-B135-7C7DE707D0F1}" srcOrd="12"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69922A-352D-4F28-B343-B68908046FA9}">
      <dsp:nvSpPr>
        <dsp:cNvPr id="0" name=""/>
        <dsp:cNvSpPr/>
      </dsp:nvSpPr>
      <dsp:spPr>
        <a:xfrm>
          <a:off x="1810"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Cyber Incident Detected</a:t>
          </a:r>
        </a:p>
      </dsp:txBody>
      <dsp:txXfrm>
        <a:off x="16118" y="305838"/>
        <a:ext cx="657001" cy="459886"/>
      </dsp:txXfrm>
    </dsp:sp>
    <dsp:sp modelId="{0FA03BC5-40B9-49F8-BCE7-06C7CC08D0F2}">
      <dsp:nvSpPr>
        <dsp:cNvPr id="0" name=""/>
        <dsp:cNvSpPr/>
      </dsp:nvSpPr>
      <dsp:spPr>
        <a:xfrm>
          <a:off x="755989"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755989" y="484771"/>
        <a:ext cx="101745" cy="102019"/>
      </dsp:txXfrm>
    </dsp:sp>
    <dsp:sp modelId="{F4A39952-486A-402F-A730-F7EBF0094CA4}">
      <dsp:nvSpPr>
        <dsp:cNvPr id="0" name=""/>
        <dsp:cNvSpPr/>
      </dsp:nvSpPr>
      <dsp:spPr>
        <a:xfrm>
          <a:off x="961674"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Detection</a:t>
          </a:r>
        </a:p>
      </dsp:txBody>
      <dsp:txXfrm>
        <a:off x="975982" y="305838"/>
        <a:ext cx="657001" cy="459886"/>
      </dsp:txXfrm>
    </dsp:sp>
    <dsp:sp modelId="{CA475FD6-901B-42C9-8BD8-135DE540C62A}">
      <dsp:nvSpPr>
        <dsp:cNvPr id="0" name=""/>
        <dsp:cNvSpPr/>
      </dsp:nvSpPr>
      <dsp:spPr>
        <a:xfrm>
          <a:off x="1715854"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715854" y="484771"/>
        <a:ext cx="101745" cy="102019"/>
      </dsp:txXfrm>
    </dsp:sp>
    <dsp:sp modelId="{A444B93A-A66E-4720-8F7B-482C61E556FE}">
      <dsp:nvSpPr>
        <dsp:cNvPr id="0" name=""/>
        <dsp:cNvSpPr/>
      </dsp:nvSpPr>
      <dsp:spPr>
        <a:xfrm>
          <a:off x="1921539"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1935847" y="305838"/>
        <a:ext cx="657001" cy="459886"/>
      </dsp:txXfrm>
    </dsp:sp>
    <dsp:sp modelId="{C9939F05-392B-49EB-99E1-81226F3B8869}">
      <dsp:nvSpPr>
        <dsp:cNvPr id="0" name=""/>
        <dsp:cNvSpPr/>
      </dsp:nvSpPr>
      <dsp:spPr>
        <a:xfrm>
          <a:off x="2675718"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675718" y="484771"/>
        <a:ext cx="101745" cy="102019"/>
      </dsp:txXfrm>
    </dsp:sp>
    <dsp:sp modelId="{0FA9D47B-773F-4F71-940C-3D57FAD3ABDB}">
      <dsp:nvSpPr>
        <dsp:cNvPr id="0" name=""/>
        <dsp:cNvSpPr/>
      </dsp:nvSpPr>
      <dsp:spPr>
        <a:xfrm>
          <a:off x="2881403"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ontainment</a:t>
          </a:r>
        </a:p>
      </dsp:txBody>
      <dsp:txXfrm>
        <a:off x="2895711" y="305838"/>
        <a:ext cx="657001" cy="459886"/>
      </dsp:txXfrm>
    </dsp:sp>
    <dsp:sp modelId="{01F5AE8C-BBCD-4638-9924-23404EAE9CFA}">
      <dsp:nvSpPr>
        <dsp:cNvPr id="0" name=""/>
        <dsp:cNvSpPr/>
      </dsp:nvSpPr>
      <dsp:spPr>
        <a:xfrm>
          <a:off x="3635582"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635582" y="484771"/>
        <a:ext cx="101745" cy="102019"/>
      </dsp:txXfrm>
    </dsp:sp>
    <dsp:sp modelId="{5D652722-88C3-4D2F-A735-BA1097E91538}">
      <dsp:nvSpPr>
        <dsp:cNvPr id="0" name=""/>
        <dsp:cNvSpPr/>
      </dsp:nvSpPr>
      <dsp:spPr>
        <a:xfrm>
          <a:off x="3841268"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Eradication</a:t>
          </a:r>
        </a:p>
      </dsp:txBody>
      <dsp:txXfrm>
        <a:off x="3855576" y="305838"/>
        <a:ext cx="657001" cy="459886"/>
      </dsp:txXfrm>
    </dsp:sp>
    <dsp:sp modelId="{DB0713FB-0059-4BC0-8EE1-9B9CBC031313}">
      <dsp:nvSpPr>
        <dsp:cNvPr id="0" name=""/>
        <dsp:cNvSpPr/>
      </dsp:nvSpPr>
      <dsp:spPr>
        <a:xfrm>
          <a:off x="4595447"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595447" y="484771"/>
        <a:ext cx="101745" cy="102019"/>
      </dsp:txXfrm>
    </dsp:sp>
    <dsp:sp modelId="{BEDABAEB-9333-4852-855D-4692DE07BDE4}">
      <dsp:nvSpPr>
        <dsp:cNvPr id="0" name=""/>
        <dsp:cNvSpPr/>
      </dsp:nvSpPr>
      <dsp:spPr>
        <a:xfrm>
          <a:off x="4801132"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Recovery </a:t>
          </a:r>
        </a:p>
      </dsp:txBody>
      <dsp:txXfrm>
        <a:off x="4815440" y="305838"/>
        <a:ext cx="657001" cy="459886"/>
      </dsp:txXfrm>
    </dsp:sp>
    <dsp:sp modelId="{3A179238-0483-4F0D-B3A8-D9E5B583C747}">
      <dsp:nvSpPr>
        <dsp:cNvPr id="0" name=""/>
        <dsp:cNvSpPr/>
      </dsp:nvSpPr>
      <dsp:spPr>
        <a:xfrm>
          <a:off x="5555311"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5555311" y="484771"/>
        <a:ext cx="101745" cy="102019"/>
      </dsp:txXfrm>
    </dsp:sp>
    <dsp:sp modelId="{ED421B50-FE40-451E-B135-7C7DE707D0F1}">
      <dsp:nvSpPr>
        <dsp:cNvPr id="0" name=""/>
        <dsp:cNvSpPr/>
      </dsp:nvSpPr>
      <dsp:spPr>
        <a:xfrm>
          <a:off x="5760997"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Post-Incident Review</a:t>
          </a:r>
        </a:p>
      </dsp:txBody>
      <dsp:txXfrm>
        <a:off x="5775305" y="305838"/>
        <a:ext cx="657001" cy="45988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Nat24</b:Tag>
    <b:SourceType>InternetSite</b:SourceType>
    <b:Guid>{AF3C1D38-8E46-46FF-A319-D7CFAA40032B}</b:Guid>
    <b:Author>
      <b:Author>
        <b:Corporate>National Institute of Standards and Technology (NIST)</b:Corporate>
      </b:Author>
    </b:Author>
    <b:Title>The NIST Cybersecurity Framework (CSF) 2.0</b:Title>
    <b:ProductionCompany>NIST</b:ProductionCompany>
    <b:Year>2024</b:Year>
    <b:URL>https://www.nist.gov/cyberframework</b:URL>
    <b:RefOrder>1</b:RefOrder>
  </b:Source>
  <b:Source>
    <b:Tag>Nat241</b:Tag>
    <b:SourceType>InternetSite</b:SourceType>
    <b:Guid>{3FA08DAE-865B-4013-9FB7-C259CC31BB45}</b:Guid>
    <b:Author>
      <b:Author>
        <b:Corporate>National Cyber Security Centre</b:Corporate>
      </b:Author>
    </b:Author>
    <b:Title>Secure Connectivity Principles for Operational Technology (OT)</b:Title>
    <b:ProductionCompany>National Cyber Security Centre</b:ProductionCompany>
    <b:Year>2024</b:Year>
    <b:URL>https://www.ncsc.gov.uk/collection/operational-technology/secure-connectivity</b:URL>
    <b:RefOrder>2</b:RefOrder>
  </b:Source>
  <b:Source>
    <b:Tag>Cyb23</b:Tag>
    <b:SourceType>InternetSite</b:SourceType>
    <b:Guid>{10C2AA11-B851-4920-A362-8293F3B328B4}</b:Guid>
    <b:Author>
      <b:Author>
        <b:Corporate>Cybersecurity and Infrastructure Security Agency (CISA)</b:Corporate>
      </b:Author>
    </b:Author>
    <b:Title>Cybersecurity Best Practices</b:Title>
    <b:ProductionCompany>CISA</b:ProductionCompany>
    <b:Year>2023</b:Year>
    <b:URL>https://www.cisa.gov/resources-tools/resources/cybersecurity-best-practices</b:URL>
    <b:RefOrder>3</b:RefOrder>
  </b:Source>
  <b:Source>
    <b:Tag>Nat20</b:Tag>
    <b:SourceType>InternetSite</b:SourceType>
    <b:Guid>{A68C83BA-8562-47A3-921E-7C31AC8DB5C1}</b:Guid>
    <b:Author>
      <b:Author>
        <b:Corporate>National Institute of Standards and Technology (NIST)</b:Corporate>
      </b:Author>
    </b:Author>
    <b:Title>Zero Trust Architecture</b:Title>
    <b:ProductionCompany>NIST</b:ProductionCompany>
    <b:Year>2020</b:Year>
    <b:URL>https://csrc.nist.gov/pubs/sp/800/207/final</b:URL>
    <b:RefOrder>4</b:RefOrder>
  </b:Source>
  <b:Source>
    <b:Tag>Nat201</b:Tag>
    <b:SourceType>InternetSite</b:SourceType>
    <b:Guid>{4F2D0C13-6F37-4C44-962A-64475556EA59}</b:Guid>
    <b:Author>
      <b:Author>
        <b:Corporate>National Institute of Standards and Technology (NIST)</b:Corporate>
      </b:Author>
    </b:Author>
    <b:Title>Security and Privacy Controls for Information Systems and Organizations (SP 800-53 Rev.5)</b:Title>
    <b:ProductionCompany>NIST</b:ProductionCompany>
    <b:Year>2020</b:Year>
    <b:URL>https://csrc.nist.gov/pubs/sp/800/53/r5/upd1/final</b:URL>
    <b:RefOrder>5</b:RefOrder>
  </b:Source>
  <b:Source>
    <b:Tag>Cyb24</b:Tag>
    <b:SourceType>InternetSite</b:SourceType>
    <b:Guid>{2FAF0389-EAD4-4C80-8729-26C3A08884DC}</b:Guid>
    <b:Author>
      <b:Author>
        <b:Corporate>Cybersecurity and Infrastructure Security Agency (CISA)</b:Corporate>
      </b:Author>
    </b:Author>
    <b:Title>Stop Ransomware</b:Title>
    <b:ProductionCompany>CISA</b:ProductionCompany>
    <b:Year>2024</b:Year>
    <b:URL>https://www.cisa.gov/stopransomware</b:URL>
    <b:RefOrder>6</b:RefOrder>
  </b:Source>
  <b:Source>
    <b:Tag>Nat23</b:Tag>
    <b:SourceType>InternetSite</b:SourceType>
    <b:Guid>{62394D84-69CE-4CDD-860E-D5589E52333E}</b:Guid>
    <b:Author>
      <b:Author>
        <b:Corporate>National Cyber Security Centre (NCSC)</b:Corporate>
      </b:Author>
    </b:Author>
    <b:Title>Phishing attacks: Defending your organisation</b:Title>
    <b:ProductionCompany>National Cyber Security Centre</b:ProductionCompany>
    <b:Year>2023</b:Year>
    <b:URL>https://www.ncsc.gov.uk/collection/phishing-scams</b:URL>
    <b:RefOrder>7</b:RefOrder>
  </b:Source>
  <b:Source>
    <b:Tag>Eur24</b:Tag>
    <b:SourceType>InternetSite</b:SourceType>
    <b:Guid>{F599B65D-83FF-4441-BC61-715CEA048E48}</b:Guid>
    <b:Author>
      <b:Author>
        <b:Corporate>European Union Agency for Cybersecurity (ENISA)</b:Corporate>
      </b:Author>
    </b:Author>
    <b:Title>ENISA Threat Landscape 2024</b:Title>
    <b:ProductionCompany>ENISA</b:ProductionCompany>
    <b:Year>2024</b:Year>
    <b:URL>https://www.enisa.europa.eu/publications/enisa-threat-landscape-2024</b:URL>
    <b:RefOrder>8</b:RefOrder>
  </b:Source>
  <b:Source>
    <b:Tag>Nat202</b:Tag>
    <b:SourceType>InternetSite</b:SourceType>
    <b:Guid>{DCCD6C72-3926-4824-B982-D9DC5F204E3B}</b:Guid>
    <b:Author>
      <b:Author>
        <b:Corporate>National Institute of Standards and Technology (NIST)</b:Corporate>
      </b:Author>
    </b:Author>
    <b:Title>Zero Trust Architecture</b:Title>
    <b:ProductionCompany>NIST</b:ProductionCompany>
    <b:Year>2020</b:Year>
    <b:URL>https://csrc.nist.gov/pubs/sp/800/207/final</b:URL>
    <b:RefOrder>9</b:RefOrder>
  </b:Source>
  <b:Source>
    <b:Tag>Cyb241</b:Tag>
    <b:SourceType>InternetSite</b:SourceType>
    <b:Guid>{BA7B552D-3E95-46CB-AFE9-91FCD31AD831}</b:Guid>
    <b:Author>
      <b:Author>
        <b:Corporate>Cybersecurity and Infrastructure Security Agency (CISA)</b:Corporate>
      </b:Author>
    </b:Author>
    <b:Title>Implementing Phishing-Resistant Multi-Factor Authentication</b:Title>
    <b:ProductionCompany>CISA</b:ProductionCompany>
    <b:Year>2024</b:Year>
    <b:URL>https://www.cisa.gov/resources-tools/resources/implementing-phishing-resistant-mfa</b:URL>
    <b:RefOrder>10</b:RefOrder>
  </b:Source>
  <b:Source>
    <b:Tag>Nat231</b:Tag>
    <b:SourceType>InternetSite</b:SourceType>
    <b:Guid>{46E17A30-2A81-4BA4-8277-5A4AFF0C3D22}</b:Guid>
    <b:Author>
      <b:Author>
        <b:Corporate>National Cyber Security Centre (NCSC)</b:Corporate>
      </b:Author>
    </b:Author>
    <b:Title>Network Security Collection</b:Title>
    <b:ProductionCompany>National Cyber Security Centre</b:ProductionCompany>
    <b:Year>2023</b:Year>
    <b:URL>https://www.ncsc.gov.uk/collection/network-security</b:URL>
    <b:RefOrder>11</b:RefOrder>
  </b:Source>
  <b:Source>
    <b:Tag>Inf24</b:Tag>
    <b:SourceType>InternetSite</b:SourceType>
    <b:Guid>{9F1875FE-6AAA-4D84-BDD7-FFD36A5A646D}</b:Guid>
    <b:Author>
      <b:Author>
        <b:Corporate>Information Commissioner's Office (ICO)</b:Corporate>
      </b:Author>
    </b:Author>
    <b:Title>Guide to UK GDPR</b:Title>
    <b:ProductionCompany>ICO</b:ProductionCompany>
    <b:Year>2024</b:Year>
    <b:URL>https://ico.org.uk/for-organisations/uk-gdpr-guidance-and-resources/</b:URL>
    <b:RefOrder>12</b:RefOrder>
  </b:Source>
  <b:Source>
    <b:Tag>Nat242</b:Tag>
    <b:SourceType>InternetSite</b:SourceType>
    <b:Guid>{6662BB95-9B8A-43BD-9496-EDCAB409ACD7}</b:Guid>
    <b:Author>
      <b:Author>
        <b:Corporate>National Cyber Security Centre (NCSC)</b:Corporate>
      </b:Author>
    </b:Author>
    <b:Title>Supply Chain Security Guidance</b:Title>
    <b:ProductionCompany>National Cyber Security Centre</b:ProductionCompany>
    <b:Year>2024</b:Year>
    <b:URL>https://www.ncsc.gov.uk/collection/supply-chain-security</b:URL>
    <b:RefOrder>13</b:RefOrder>
  </b:Source>
  <b:Source>
    <b:Tag>Nat243</b:Tag>
    <b:SourceType>InternetSite</b:SourceType>
    <b:Guid>{E4668893-56A1-4C85-BC0C-87C684381B21}</b:Guid>
    <b:Author>
      <b:Author>
        <b:Corporate>National Institute of Standards and Technology (NIST)</b:Corporate>
      </b:Author>
    </b:Author>
    <b:Title>Cybersecurity Framework (CSF) 2.0</b:Title>
    <b:ProductionCompany>NIST</b:ProductionCompany>
    <b:Year>2024</b:Year>
    <b:URL>https://www.nist.gov/cyberframework</b:URL>
    <b:RefOrder>14</b:RefOrder>
  </b:Source>
  <b:Source>
    <b:Tag>Nat232</b:Tag>
    <b:SourceType>InternetSite</b:SourceType>
    <b:Guid>{5D5101CD-74C6-4FD8-BC79-5B57B591AC0C}</b:Guid>
    <b:Author>
      <b:Author>
        <b:Corporate>National Cyber Security Centre (NCSC)</b:Corporate>
      </b:Author>
    </b:Author>
    <b:Title>Network Security Collection</b:Title>
    <b:ProductionCompany>NCSC</b:ProductionCompany>
    <b:Year>2023</b:Year>
    <b:URL>https://www.ncsc.gov.uk/collection/network-security</b:URL>
    <b:RefOrder>15</b:RefOrder>
  </b:Source>
  <b:Source>
    <b:Tag>Cyb242</b:Tag>
    <b:SourceType>InternetSite</b:SourceType>
    <b:Guid>{05443F7A-2081-4B1D-BF72-92F1BD0071D5}</b:Guid>
    <b:Author>
      <b:Author>
        <b:Corporate>Cybersecurity and Infrastructure Security Agency (CISA)</b:Corporate>
      </b:Author>
    </b:Author>
    <b:Title>Stop Ransomware Guide</b:Title>
    <b:ProductionCompany>CISA</b:ProductionCompany>
    <b:Year>2024</b:Year>
    <b:URL>https://www.cisa.gov/stopransomware</b:URL>
    <b:RefOrder>16</b:RefOrder>
  </b:Source>
  <b:Source>
    <b:Tag>Cen241</b:Tag>
    <b:SourceType>InternetSite</b:SourceType>
    <b:Guid>{4846751A-E520-464A-962C-F464429FD29E}</b:Guid>
    <b:Author>
      <b:Author>
        <b:Corporate>Center for Internet Security (CIS)</b:Corporate>
      </b:Author>
    </b:Author>
    <b:Title>CIS Critical Security Controls v8</b:Title>
    <b:ProductionCompany>CIS</b:ProductionCompany>
    <b:Year>2024</b:Year>
    <b:URL>https://www.cisecurity.org/controls</b:URL>
    <b:RefOrder>17</b:RefOrder>
  </b:Source>
  <b:Source>
    <b:Tag>Nat233</b:Tag>
    <b:SourceType>InternetSite</b:SourceType>
    <b:Guid>{64306F48-7001-4514-B96B-ABC73BCD48C0}</b:Guid>
    <b:Author>
      <b:Author>
        <b:Corporate>National Cyber Security Centre (NCSC)</b:Corporate>
      </b:Author>
    </b:Author>
    <b:Title>Board Toolkit – Cyber Security Governance</b:Title>
    <b:ProductionCompany>NCSC</b:ProductionCompany>
    <b:Year>2023</b:Year>
    <b:URL>https://www.ncsc.gov.uk/collection/board-toolkit</b:URL>
    <b:RefOrder>18</b:RefOrder>
  </b:Source>
  <b:Source>
    <b:Tag>Nat244</b:Tag>
    <b:SourceType>InternetSite</b:SourceType>
    <b:Guid>{D5C9B14C-B304-4E67-BEF6-E6541B8DEB4D}</b:Guid>
    <b:Author>
      <b:Author>
        <b:Corporate>National Institute of Standards and Technology (NIST)</b:Corporate>
      </b:Author>
    </b:Author>
    <b:Title>Contingency Planning Guide for Federal Information Systems</b:Title>
    <b:ProductionCompany>NIST</b:ProductionCompany>
    <b:Year>2024</b:Year>
    <b:URL>https://csrc.nist.gov/projects/contingency-planning</b:URL>
    <b:RefOrder>19</b:RefOrder>
  </b:Source>
  <b:Source>
    <b:Tag>Nat25</b:Tag>
    <b:SourceType>InternetSite</b:SourceType>
    <b:Guid>{BAFFC647-1D51-4061-B941-FFBC6A919563}</b:Guid>
    <b:Author>
      <b:Author>
        <b:Corporate>National Institute of Standards and Technology (NIST)</b:Corporate>
      </b:Author>
    </b:Author>
    <b:Title>Computer Security Incident Handling Guide (SP 800-61 Rev. 3)</b:Title>
    <b:ProductionCompany>NIST</b:ProductionCompany>
    <b:Year>2025</b:Year>
    <b:URL>https://csrc.nist.gov/pubs/sp/800/61/r3/final</b:URL>
    <b:RefOrder>20</b:RefOrder>
  </b:Source>
  <b:Source>
    <b:Tag>Nat235</b:Tag>
    <b:SourceType>InternetSite</b:SourceType>
    <b:Guid>{63BF9087-6DFA-4D15-AE9D-409A7F54ABE9}</b:Guid>
    <b:Author>
      <b:Author>
        <b:Corporate>National Cyber Security Centre (NCSC)</b:Corporate>
      </b:Author>
    </b:Author>
    <b:Title>Logging Made Easy</b:Title>
    <b:ProductionCompany>National Cyber Security Centre</b:ProductionCompany>
    <b:Year>2023</b:Year>
    <b:URL>https://www.ncsc.gov.uk/collection/logging-made-easy</b:URL>
    <b:RefOrder>21</b:RefOrder>
  </b:Source>
  <b:Source>
    <b:Tag>Nat236</b:Tag>
    <b:SourceType>InternetSite</b:SourceType>
    <b:Guid>{F9168B44-FBB9-41C6-9CED-DE791F696F98}</b:Guid>
    <b:Author>
      <b:Author>
        <b:Corporate>National Cyber Security Centre (NCSC)</b:Corporate>
      </b:Author>
    </b:Author>
    <b:Title>Top Tips for Staff Training</b:Title>
    <b:ProductionCompany>National Cyber Security Centre</b:ProductionCompany>
    <b:Year>2023</b:Year>
    <b:URL>https://www.ncsc.gov.uk/collection/top-tips-for-staff-training</b:URL>
    <b:RefOrder>22</b:RefOrder>
  </b:Source>
  <b:Source>
    <b:Tag>Cyb231</b:Tag>
    <b:SourceType>InternetSite</b:SourceType>
    <b:Guid>{332049A5-88E9-4C00-BF46-EAF9B223BEF5}</b:Guid>
    <b:Author>
      <b:Author>
        <b:Corporate>Cybersecurity and Infrastructure Security Agency (CISA)</b:Corporate>
      </b:Author>
    </b:Author>
    <b:Title>Security Awareness Program</b:Title>
    <b:ProductionCompany>CISA</b:ProductionCompany>
    <b:Year>2023</b:Year>
    <b:URL>https://www.cisa.gov/resources-tools/resources/security-awareness-program</b:URL>
    <b:RefOrder>23</b:RefOrder>
  </b:Source>
  <b:Source>
    <b:Tag>Nat245</b:Tag>
    <b:SourceType>InternetSite</b:SourceType>
    <b:Guid>{0BF31361-393A-4595-9D88-1DAF465C8315}</b:Guid>
    <b:Author>
      <b:Author>
        <b:Corporate>National Institute of Standards and Technology (NIST)</b:Corporate>
      </b:Author>
    </b:Author>
    <b:Title>Cybersecurity Framework (CSF) 2.0</b:Title>
    <b:ProductionCompany>NIST</b:ProductionCompany>
    <b:Year>2024</b:Year>
    <b:URL>https://www.nist.gov/cyberframework</b:URL>
    <b:RefOrder>24</b:RefOrder>
  </b:Source>
</b:Sources>
</file>

<file path=customXml/itemProps1.xml><?xml version="1.0" encoding="utf-8"?>
<ds:datastoreItem xmlns:ds="http://schemas.openxmlformats.org/officeDocument/2006/customXml" ds:itemID="{ADBD0C70-7274-41A2-B2C4-767EA6D30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3962</Words>
  <Characters>22588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Ramu ay</dc:creator>
  <cp:keywords/>
  <dc:description/>
  <cp:lastModifiedBy>Ramu ay</cp:lastModifiedBy>
  <cp:revision>9</cp:revision>
  <dcterms:created xsi:type="dcterms:W3CDTF">2026-08-12T21:53:00Z</dcterms:created>
  <dcterms:modified xsi:type="dcterms:W3CDTF">2026-08-12T21:58:00Z</dcterms:modified>
</cp:coreProperties>
</file>