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A95A0">
      <w:pPr>
        <w:jc w:val="center"/>
        <w:rPr>
          <w:sz w:val="24"/>
          <w:szCs w:val="24"/>
        </w:rPr>
      </w:pPr>
      <w:r>
        <w:rPr>
          <w:sz w:val="24"/>
          <w:szCs w:val="24"/>
        </w:rPr>
        <w:drawing>
          <wp:inline distT="0" distB="0" distL="114300" distR="114300">
            <wp:extent cx="2936875" cy="1311275"/>
            <wp:effectExtent l="0" t="0" r="4445" b="146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rcRect l="1343"/>
                    <a:stretch>
                      <a:fillRect/>
                    </a:stretch>
                  </pic:blipFill>
                  <pic:spPr>
                    <a:xfrm>
                      <a:off x="0" y="0"/>
                      <a:ext cx="2936875" cy="1311275"/>
                    </a:xfrm>
                    <a:prstGeom prst="rect">
                      <a:avLst/>
                    </a:prstGeom>
                    <a:noFill/>
                    <a:ln>
                      <a:noFill/>
                    </a:ln>
                  </pic:spPr>
                </pic:pic>
              </a:graphicData>
            </a:graphic>
          </wp:inline>
        </w:drawing>
      </w:r>
    </w:p>
    <w:tbl>
      <w:tblPr>
        <w:tblStyle w:val="8"/>
        <w:tblW w:w="9540" w:type="dxa"/>
        <w:jc w:val="center"/>
        <w:tblBorders>
          <w:top w:val="single" w:color="800000" w:sz="18"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15"/>
        <w:gridCol w:w="4625"/>
      </w:tblGrid>
      <w:tr w14:paraId="630E9FDB">
        <w:tblPrEx>
          <w:tblBorders>
            <w:top w:val="single" w:color="800000"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4915" w:type="dxa"/>
          </w:tcPr>
          <w:p w14:paraId="77B11C56">
            <w:pPr>
              <w:pageBreakBefore w:val="0"/>
              <w:kinsoku/>
              <w:wordWrap/>
              <w:overflowPunct/>
              <w:topLinePunct w:val="0"/>
              <w:autoSpaceDE/>
              <w:autoSpaceDN/>
              <w:bidi w:val="0"/>
              <w:adjustRightInd/>
              <w:spacing w:line="240" w:lineRule="auto"/>
              <w:jc w:val="center"/>
              <w:textAlignment w:val="auto"/>
              <w:rPr>
                <w:rFonts w:hint="default" w:eastAsia="楷体"/>
                <w:sz w:val="24"/>
                <w:szCs w:val="24"/>
                <w:highlight w:val="none"/>
                <w:lang w:val="en-US" w:eastAsia="zh-CN"/>
              </w:rPr>
            </w:pPr>
            <w:r>
              <w:rPr>
                <w:rFonts w:hint="eastAsia" w:ascii="Arial" w:hAnsi="Arial" w:cs="Arial"/>
                <w:b/>
                <w:sz w:val="24"/>
                <w:szCs w:val="24"/>
                <w:highlight w:val="none"/>
                <w:lang w:val="en-US" w:eastAsia="zh-CN"/>
              </w:rPr>
              <w:t>Module</w:t>
            </w:r>
            <w:r>
              <w:rPr>
                <w:rFonts w:ascii="Arial" w:hAnsi="Arial" w:cs="Arial"/>
                <w:b/>
                <w:sz w:val="24"/>
                <w:szCs w:val="24"/>
                <w:highlight w:val="none"/>
              </w:rPr>
              <w:t xml:space="preserve"> code:</w:t>
            </w:r>
            <w:r>
              <w:rPr>
                <w:rFonts w:ascii="Arial" w:hAnsi="Arial" w:cs="Arial"/>
                <w:b/>
                <w:color w:val="000000"/>
                <w:sz w:val="24"/>
                <w:szCs w:val="24"/>
                <w:highlight w:val="none"/>
              </w:rPr>
              <w:t xml:space="preserve"> </w:t>
            </w:r>
            <w:r>
              <w:rPr>
                <w:rFonts w:hint="eastAsia" w:ascii="Arial" w:hAnsi="Arial" w:cs="Arial"/>
                <w:b/>
                <w:color w:val="000000"/>
                <w:sz w:val="24"/>
                <w:szCs w:val="24"/>
                <w:highlight w:val="none"/>
              </w:rPr>
              <w:t>BMBM6</w:t>
            </w:r>
            <w:r>
              <w:rPr>
                <w:rFonts w:hint="eastAsia" w:ascii="Arial" w:hAnsi="Arial" w:cs="Arial"/>
                <w:b/>
                <w:color w:val="000000"/>
                <w:sz w:val="24"/>
                <w:szCs w:val="24"/>
                <w:highlight w:val="none"/>
                <w:lang w:val="en-US" w:eastAsia="zh-CN"/>
              </w:rPr>
              <w:t>008</w:t>
            </w:r>
          </w:p>
        </w:tc>
        <w:tc>
          <w:tcPr>
            <w:tcW w:w="4625" w:type="dxa"/>
          </w:tcPr>
          <w:p w14:paraId="01B66235">
            <w:pPr>
              <w:pageBreakBefore w:val="0"/>
              <w:kinsoku/>
              <w:wordWrap/>
              <w:overflowPunct/>
              <w:topLinePunct w:val="0"/>
              <w:autoSpaceDE/>
              <w:autoSpaceDN/>
              <w:bidi w:val="0"/>
              <w:adjustRightInd/>
              <w:spacing w:line="240" w:lineRule="auto"/>
              <w:ind w:firstLine="723" w:firstLineChars="300"/>
              <w:jc w:val="both"/>
              <w:textAlignment w:val="auto"/>
              <w:rPr>
                <w:rFonts w:hint="default" w:eastAsia="楷体"/>
                <w:sz w:val="24"/>
                <w:szCs w:val="24"/>
                <w:highlight w:val="none"/>
                <w:lang w:val="en-US" w:eastAsia="zh-CN"/>
              </w:rPr>
            </w:pPr>
            <w:r>
              <w:rPr>
                <w:rFonts w:hint="eastAsia" w:ascii="Arial" w:hAnsi="Arial" w:cs="Arial"/>
                <w:b/>
                <w:sz w:val="24"/>
                <w:szCs w:val="24"/>
                <w:highlight w:val="none"/>
                <w:lang w:val="en-US" w:eastAsia="zh-CN"/>
              </w:rPr>
              <w:t>Module</w:t>
            </w:r>
            <w:r>
              <w:rPr>
                <w:rFonts w:ascii="Arial" w:hAnsi="Arial" w:cs="Arial"/>
                <w:b/>
                <w:sz w:val="24"/>
                <w:szCs w:val="24"/>
                <w:highlight w:val="none"/>
              </w:rPr>
              <w:t xml:space="preserve">: </w:t>
            </w:r>
            <w:r>
              <w:rPr>
                <w:rFonts w:hint="eastAsia" w:ascii="Arial" w:hAnsi="Arial" w:cs="Arial"/>
                <w:b/>
                <w:sz w:val="24"/>
                <w:szCs w:val="24"/>
                <w:highlight w:val="none"/>
                <w:lang w:val="en-US" w:eastAsia="zh-CN"/>
              </w:rPr>
              <w:t>Global Ethics</w:t>
            </w:r>
          </w:p>
        </w:tc>
      </w:tr>
    </w:tbl>
    <w:p w14:paraId="15DCE15A">
      <w:pPr>
        <w:jc w:val="center"/>
        <w:rPr>
          <w:sz w:val="24"/>
          <w:szCs w:val="24"/>
        </w:rPr>
      </w:pPr>
    </w:p>
    <w:p w14:paraId="1394ABDE">
      <w:pPr>
        <w:jc w:val="both"/>
        <w:rPr>
          <w:sz w:val="28"/>
          <w:szCs w:val="28"/>
        </w:rPr>
      </w:pPr>
    </w:p>
    <w:p w14:paraId="3B5D889C">
      <w:pPr>
        <w:jc w:val="center"/>
        <w:rPr>
          <w:rFonts w:hint="eastAsia"/>
          <w:b/>
          <w:bCs/>
          <w:sz w:val="32"/>
          <w:szCs w:val="32"/>
          <w:lang w:val="en-US" w:eastAsia="zh-CN"/>
        </w:rPr>
      </w:pPr>
      <w:r>
        <w:rPr>
          <w:rFonts w:hint="eastAsia"/>
          <w:b/>
          <w:bCs/>
          <w:sz w:val="32"/>
          <w:szCs w:val="32"/>
          <w:lang w:val="en-US" w:eastAsia="zh-CN"/>
        </w:rPr>
        <w:t>Analysis of business ethical behavior</w:t>
      </w:r>
    </w:p>
    <w:p w14:paraId="29F5A554">
      <w:pPr>
        <w:jc w:val="center"/>
        <w:rPr>
          <w:rFonts w:hint="eastAsia"/>
          <w:b/>
          <w:bCs/>
          <w:sz w:val="32"/>
          <w:szCs w:val="32"/>
          <w:lang w:val="en-US" w:eastAsia="zh-CN"/>
        </w:rPr>
      </w:pPr>
      <w:r>
        <w:rPr>
          <w:rFonts w:hint="eastAsia"/>
          <w:b/>
          <w:bCs/>
          <w:sz w:val="32"/>
          <w:szCs w:val="32"/>
          <w:lang w:val="en-US" w:eastAsia="zh-CN"/>
        </w:rPr>
        <w:t>--Take the pollution case of American Pacific Power Gas Company as an example</w:t>
      </w:r>
    </w:p>
    <w:p w14:paraId="05CA31B8">
      <w:pPr>
        <w:jc w:val="center"/>
        <w:rPr>
          <w:rFonts w:hint="eastAsia"/>
          <w:b/>
          <w:bCs/>
          <w:sz w:val="32"/>
          <w:szCs w:val="32"/>
          <w:lang w:val="en-US" w:eastAsia="zh-CN"/>
        </w:rPr>
      </w:pPr>
    </w:p>
    <w:p w14:paraId="6800B4C7">
      <w:pPr>
        <w:jc w:val="center"/>
        <w:rPr>
          <w:rFonts w:ascii="宋体" w:hAnsi="宋体" w:eastAsia="宋体" w:cs="宋体"/>
          <w:sz w:val="24"/>
          <w:szCs w:val="24"/>
        </w:rPr>
      </w:pPr>
      <w:r>
        <w:rPr>
          <w:rFonts w:ascii="宋体" w:hAnsi="宋体" w:eastAsia="宋体" w:cs="宋体"/>
          <w:sz w:val="24"/>
          <w:szCs w:val="24"/>
        </w:rPr>
        <w:drawing>
          <wp:inline distT="0" distB="0" distL="114300" distR="114300">
            <wp:extent cx="3121660" cy="1781810"/>
            <wp:effectExtent l="0" t="0" r="2540" b="127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3121660" cy="1781810"/>
                    </a:xfrm>
                    <a:prstGeom prst="rect">
                      <a:avLst/>
                    </a:prstGeom>
                    <a:noFill/>
                    <a:ln w="9525">
                      <a:noFill/>
                    </a:ln>
                  </pic:spPr>
                </pic:pic>
              </a:graphicData>
            </a:graphic>
          </wp:inline>
        </w:drawing>
      </w:r>
    </w:p>
    <w:p w14:paraId="1833C1EB">
      <w:pPr>
        <w:jc w:val="center"/>
        <w:rPr>
          <w:rFonts w:hint="default" w:ascii="宋体" w:hAnsi="宋体" w:eastAsia="宋体" w:cs="宋体"/>
          <w:sz w:val="24"/>
          <w:szCs w:val="24"/>
        </w:rPr>
      </w:pPr>
    </w:p>
    <w:p w14:paraId="1D5FEF78">
      <w:pPr>
        <w:jc w:val="center"/>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w:t xml:space="preserve">Name: </w:t>
      </w:r>
      <w:r>
        <w:rPr>
          <w:rFonts w:hint="eastAsia" w:eastAsia="宋体" w:cs="Times New Roman"/>
          <w:sz w:val="28"/>
          <w:szCs w:val="28"/>
          <w:lang w:val="en-US" w:eastAsia="zh-CN"/>
        </w:rPr>
        <w:t>Jian Huang</w:t>
      </w:r>
    </w:p>
    <w:p w14:paraId="2BCDC18F">
      <w:pPr>
        <w:jc w:val="center"/>
        <w:rPr>
          <w:rFonts w:hint="default" w:ascii="Times New Roman" w:hAnsi="Times New Roman" w:eastAsia="宋体" w:cs="Times New Roman"/>
          <w:sz w:val="28"/>
          <w:szCs w:val="28"/>
          <w:lang w:val="en-US" w:eastAsia="zh-CN"/>
        </w:rPr>
      </w:pPr>
      <w:r>
        <w:rPr>
          <w:rFonts w:hint="eastAsia" w:eastAsia="宋体" w:cs="Times New Roman"/>
          <w:sz w:val="28"/>
          <w:szCs w:val="28"/>
          <w:lang w:val="en-US" w:eastAsia="zh-CN"/>
        </w:rPr>
        <w:t>Student number</w:t>
      </w:r>
      <w:r>
        <w:rPr>
          <w:rFonts w:hint="default" w:ascii="Times New Roman" w:hAnsi="Times New Roman" w:eastAsia="宋体" w:cs="Times New Roman"/>
          <w:sz w:val="28"/>
          <w:szCs w:val="28"/>
        </w:rPr>
        <w:t xml:space="preserve">: </w:t>
      </w:r>
      <w:r>
        <w:rPr>
          <w:rFonts w:hint="eastAsia" w:eastAsia="宋体" w:cs="Times New Roman"/>
          <w:sz w:val="28"/>
          <w:szCs w:val="28"/>
          <w:lang w:val="en-US" w:eastAsia="zh-CN"/>
        </w:rPr>
        <w:t>2400261</w:t>
      </w:r>
    </w:p>
    <w:p w14:paraId="0781A9D8">
      <w:pPr>
        <w:jc w:val="center"/>
        <w:rPr>
          <w:rFonts w:hint="default" w:ascii="Times New Roman" w:hAnsi="Times New Roman" w:eastAsia="宋体" w:cs="Times New Roman"/>
          <w:sz w:val="28"/>
          <w:szCs w:val="28"/>
          <w:lang w:val="en-US" w:eastAsia="zh-CN"/>
        </w:rPr>
      </w:pPr>
      <w:r>
        <w:rPr>
          <w:rFonts w:hint="eastAsia" w:eastAsia="宋体" w:cs="Times New Roman"/>
          <w:sz w:val="28"/>
          <w:szCs w:val="28"/>
          <w:lang w:val="en-US" w:eastAsia="zh-CN"/>
        </w:rPr>
        <w:t>Lecturer</w:t>
      </w:r>
      <w:r>
        <w:rPr>
          <w:rFonts w:hint="default" w:ascii="Times New Roman" w:hAnsi="Times New Roman" w:eastAsia="宋体" w:cs="Times New Roman"/>
          <w:sz w:val="28"/>
          <w:szCs w:val="28"/>
        </w:rPr>
        <w:t xml:space="preserve">: </w:t>
      </w:r>
      <w:r>
        <w:rPr>
          <w:rFonts w:hint="eastAsia" w:eastAsia="宋体" w:cs="Times New Roman"/>
          <w:sz w:val="28"/>
          <w:szCs w:val="28"/>
          <w:lang w:val="en-US" w:eastAsia="zh-CN"/>
        </w:rPr>
        <w:t>Arpu Kumar</w:t>
      </w:r>
    </w:p>
    <w:p w14:paraId="7598C06E">
      <w:pPr>
        <w:jc w:val="center"/>
        <w:rPr>
          <w:rFonts w:hint="default" w:eastAsia="宋体" w:cs="Times New Roman"/>
          <w:sz w:val="28"/>
          <w:szCs w:val="28"/>
          <w:highlight w:val="none"/>
          <w:lang w:val="en-US" w:eastAsia="zh-CN"/>
        </w:rPr>
      </w:pPr>
      <w:r>
        <w:rPr>
          <w:rFonts w:hint="default" w:ascii="Times New Roman" w:hAnsi="Times New Roman" w:eastAsia="宋体" w:cs="Times New Roman"/>
          <w:sz w:val="28"/>
          <w:szCs w:val="28"/>
          <w:highlight w:val="none"/>
        </w:rPr>
        <w:t>Submission Date: 202</w:t>
      </w:r>
      <w:r>
        <w:rPr>
          <w:rFonts w:hint="eastAsia" w:eastAsia="宋体" w:cs="Times New Roman"/>
          <w:sz w:val="28"/>
          <w:szCs w:val="28"/>
          <w:highlight w:val="none"/>
          <w:lang w:val="en-US" w:eastAsia="zh-CN"/>
        </w:rPr>
        <w:t>5.1.9</w:t>
      </w:r>
      <w:bookmarkStart w:id="15" w:name="_GoBack"/>
      <w:bookmarkEnd w:id="15"/>
    </w:p>
    <w:p w14:paraId="11116561">
      <w:pPr>
        <w:jc w:val="center"/>
        <w:rPr>
          <w:rFonts w:hint="default" w:eastAsia="宋体" w:cs="Times New Roman"/>
          <w:sz w:val="28"/>
          <w:szCs w:val="28"/>
          <w:lang w:val="en-US" w:eastAsia="zh-CN"/>
        </w:rPr>
      </w:pPr>
      <w:r>
        <w:rPr>
          <w:rFonts w:hint="eastAsia" w:eastAsia="宋体" w:cs="Times New Roman"/>
          <w:sz w:val="28"/>
          <w:szCs w:val="28"/>
          <w:lang w:val="en-US" w:eastAsia="zh-CN"/>
        </w:rPr>
        <w:t>Words account: 3088 words</w:t>
      </w:r>
    </w:p>
    <w:p w14:paraId="772B54AD">
      <w:pPr>
        <w:jc w:val="both"/>
        <w:rPr>
          <w:rFonts w:hint="eastAsia" w:eastAsia="宋体" w:cs="Times New Roman"/>
          <w:sz w:val="28"/>
          <w:szCs w:val="28"/>
          <w:lang w:val="en-US" w:eastAsia="zh-CN"/>
        </w:rPr>
      </w:pPr>
    </w:p>
    <w:p w14:paraId="5CE84CB9">
      <w:pPr>
        <w:jc w:val="center"/>
        <w:rPr>
          <w:rFonts w:hint="default" w:ascii="Arial" w:hAnsi="Arial" w:eastAsia="宋体" w:cs="Arial"/>
          <w:sz w:val="28"/>
          <w:szCs w:val="28"/>
          <w:lang w:val="en-US" w:eastAsia="zh-CN"/>
        </w:rPr>
      </w:pPr>
      <w:r>
        <w:rPr>
          <w:rFonts w:hint="default" w:ascii="Arial" w:hAnsi="Arial" w:eastAsia="宋体" w:cs="Arial"/>
          <w:sz w:val="28"/>
          <w:szCs w:val="28"/>
          <w:lang w:val="en-US" w:eastAsia="zh-CN"/>
        </w:rPr>
        <w:t>University of Wales Trinity Saint David</w:t>
      </w:r>
    </w:p>
    <w:p w14:paraId="36B09387">
      <w:pPr>
        <w:rPr>
          <w:rFonts w:hint="default" w:ascii="Arial" w:hAnsi="Arial" w:eastAsia="宋体" w:cs="Arial"/>
          <w:sz w:val="28"/>
          <w:szCs w:val="28"/>
          <w:lang w:val="en-US" w:eastAsia="zh-CN"/>
        </w:rPr>
      </w:pPr>
      <w:r>
        <w:rPr>
          <w:rFonts w:hint="default" w:ascii="Arial" w:hAnsi="Arial" w:eastAsia="宋体" w:cs="Arial"/>
          <w:sz w:val="28"/>
          <w:szCs w:val="28"/>
          <w:lang w:val="en-US" w:eastAsia="zh-CN"/>
        </w:rPr>
        <w:br w:type="page"/>
      </w:r>
    </w:p>
    <w:p w14:paraId="10C23295">
      <w:pPr>
        <w:spacing w:line="480" w:lineRule="auto"/>
        <w:jc w:val="center"/>
        <w:rPr>
          <w:rFonts w:hint="default" w:ascii="Arial" w:hAnsi="Arial" w:eastAsia="宋体" w:cs="Arial"/>
          <w:b/>
          <w:bCs/>
          <w:sz w:val="36"/>
          <w:szCs w:val="36"/>
          <w:lang w:val="en-US" w:eastAsia="zh-CN"/>
        </w:rPr>
      </w:pPr>
      <w:r>
        <w:rPr>
          <w:rFonts w:hint="default" w:ascii="Arial" w:hAnsi="Arial" w:eastAsia="宋体" w:cs="Arial"/>
          <w:b/>
          <w:bCs/>
          <w:sz w:val="36"/>
          <w:szCs w:val="36"/>
          <w:lang w:val="en-US" w:eastAsia="zh-CN"/>
        </w:rPr>
        <w:t>Executive summary</w:t>
      </w:r>
    </w:p>
    <w:p w14:paraId="01B99B01">
      <w:pPr>
        <w:spacing w:line="480" w:lineRule="auto"/>
        <w:rPr>
          <w:rFonts w:hint="default" w:ascii="Arial" w:hAnsi="Arial" w:eastAsia="宋体" w:cs="Arial"/>
          <w:sz w:val="24"/>
          <w:szCs w:val="24"/>
          <w:lang w:val="en-US" w:eastAsia="zh-CN"/>
        </w:rPr>
      </w:pPr>
    </w:p>
    <w:p w14:paraId="673521E2">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This report is divided into three main parts. First, in the first part, the discharge of sewage into the ocean is analyzed through the perspective of cultural relativity. Under the cultural background, under the influence of value conflict and respect and understanding, enterprises pay too much attention to the acquisition of benefits and ignore the responsibility. </w:t>
      </w:r>
    </w:p>
    <w:p w14:paraId="6F48139A">
      <w:pPr>
        <w:spacing w:line="480" w:lineRule="auto"/>
        <w:rPr>
          <w:rFonts w:hint="default" w:ascii="Arial" w:hAnsi="Arial" w:eastAsia="宋体" w:cs="Arial"/>
          <w:sz w:val="24"/>
          <w:szCs w:val="24"/>
          <w:lang w:val="en-US" w:eastAsia="zh-CN"/>
        </w:rPr>
      </w:pPr>
    </w:p>
    <w:p w14:paraId="7A64B927">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Secondly, in the second part, the Carroll-pyramid theory is mainly used as a theoretical model for the analysis. The business ethical conduct of sewage discharge. Finally, the corresponding feasible suggestions for the moral behavior problems of the Pacific Company, hoping that the Pacific Company and related enterprises can learn from the experience.</w:t>
      </w:r>
      <w:r>
        <w:rPr>
          <w:rFonts w:hint="default" w:ascii="Arial" w:hAnsi="Arial" w:eastAsia="宋体" w:cs="Arial"/>
          <w:sz w:val="24"/>
          <w:szCs w:val="24"/>
          <w:lang w:val="en-US" w:eastAsia="zh-CN"/>
        </w:rPr>
        <w:br w:type="page"/>
      </w:r>
    </w:p>
    <w:p w14:paraId="47FF2080">
      <w:pPr>
        <w:spacing w:line="480" w:lineRule="auto"/>
        <w:jc w:val="center"/>
        <w:rPr>
          <w:rFonts w:hint="default" w:ascii="Arial" w:hAnsi="Arial" w:eastAsia="宋体" w:cs="Arial"/>
          <w:b/>
          <w:bCs/>
          <w:sz w:val="36"/>
          <w:szCs w:val="36"/>
          <w:lang w:val="en-US" w:eastAsia="zh-CN"/>
        </w:rPr>
      </w:pPr>
      <w:r>
        <w:rPr>
          <w:rFonts w:hint="default" w:ascii="Arial" w:hAnsi="Arial" w:eastAsia="宋体" w:cs="Arial"/>
          <w:b/>
          <w:bCs/>
          <w:sz w:val="36"/>
          <w:szCs w:val="36"/>
          <w:lang w:val="en-US" w:eastAsia="zh-CN"/>
        </w:rPr>
        <w:t>Content</w:t>
      </w:r>
    </w:p>
    <w:p w14:paraId="1002C691">
      <w:pPr>
        <w:pStyle w:val="6"/>
        <w:tabs>
          <w:tab w:val="right" w:leader="dot" w:pos="8306"/>
        </w:tabs>
        <w:rPr>
          <w:rFonts w:hint="default" w:ascii="Arial" w:hAnsi="Arial" w:cs="Arial"/>
          <w:sz w:val="28"/>
          <w:szCs w:val="28"/>
        </w:rPr>
      </w:pPr>
      <w:r>
        <w:rPr>
          <w:rFonts w:hint="default" w:ascii="Arial" w:hAnsi="Arial" w:eastAsia="宋体" w:cs="Arial"/>
          <w:b/>
          <w:bCs/>
          <w:sz w:val="36"/>
          <w:szCs w:val="36"/>
          <w:lang w:val="en-US" w:eastAsia="zh-CN"/>
        </w:rPr>
        <w:fldChar w:fldCharType="begin"/>
      </w:r>
      <w:r>
        <w:rPr>
          <w:rFonts w:hint="default" w:ascii="Arial" w:hAnsi="Arial" w:eastAsia="宋体" w:cs="Arial"/>
          <w:b/>
          <w:bCs/>
          <w:sz w:val="36"/>
          <w:szCs w:val="36"/>
          <w:lang w:val="en-US" w:eastAsia="zh-CN"/>
        </w:rPr>
        <w:instrText xml:space="preserve">TOC \o "1-3" \h \u </w:instrText>
      </w:r>
      <w:r>
        <w:rPr>
          <w:rFonts w:hint="default" w:ascii="Arial" w:hAnsi="Arial" w:eastAsia="宋体" w:cs="Arial"/>
          <w:b/>
          <w:bCs/>
          <w:sz w:val="36"/>
          <w:szCs w:val="36"/>
          <w:lang w:val="en-US" w:eastAsia="zh-CN"/>
        </w:rPr>
        <w:fldChar w:fldCharType="separate"/>
      </w: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_Toc7049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1.0 Introduction</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_Toc7049 \h </w:instrText>
      </w:r>
      <w:r>
        <w:rPr>
          <w:rFonts w:hint="default" w:ascii="Arial" w:hAnsi="Arial" w:cs="Arial"/>
          <w:sz w:val="28"/>
          <w:szCs w:val="28"/>
        </w:rPr>
        <w:fldChar w:fldCharType="separate"/>
      </w:r>
      <w:r>
        <w:rPr>
          <w:rFonts w:hint="default" w:ascii="Arial" w:hAnsi="Arial" w:cs="Arial"/>
          <w:sz w:val="28"/>
          <w:szCs w:val="28"/>
        </w:rPr>
        <w:t>1</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64955989">
      <w:pPr>
        <w:pStyle w:val="6"/>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_Toc5946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2.0 Analysis of cultural relativism perspective</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_Toc5946 \h </w:instrText>
      </w:r>
      <w:r>
        <w:rPr>
          <w:rFonts w:hint="default" w:ascii="Arial" w:hAnsi="Arial" w:cs="Arial"/>
          <w:sz w:val="28"/>
          <w:szCs w:val="28"/>
        </w:rPr>
        <w:fldChar w:fldCharType="separate"/>
      </w:r>
      <w:r>
        <w:rPr>
          <w:rFonts w:hint="default" w:ascii="Arial" w:hAnsi="Arial" w:cs="Arial"/>
          <w:sz w:val="28"/>
          <w:szCs w:val="28"/>
        </w:rPr>
        <w:t>2</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2D4C405C">
      <w:pPr>
        <w:pStyle w:val="7"/>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_Toc2779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2.1 Cultural background</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_Toc2779 \h </w:instrText>
      </w:r>
      <w:r>
        <w:rPr>
          <w:rFonts w:hint="default" w:ascii="Arial" w:hAnsi="Arial" w:cs="Arial"/>
          <w:sz w:val="28"/>
          <w:szCs w:val="28"/>
        </w:rPr>
        <w:fldChar w:fldCharType="separate"/>
      </w:r>
      <w:r>
        <w:rPr>
          <w:rFonts w:hint="default" w:ascii="Arial" w:hAnsi="Arial" w:cs="Arial"/>
          <w:sz w:val="28"/>
          <w:szCs w:val="28"/>
        </w:rPr>
        <w:t>2</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298A1767">
      <w:pPr>
        <w:pStyle w:val="7"/>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_Toc10760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2.2 Values conflict</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_Toc10760 \h </w:instrText>
      </w:r>
      <w:r>
        <w:rPr>
          <w:rFonts w:hint="default" w:ascii="Arial" w:hAnsi="Arial" w:cs="Arial"/>
          <w:sz w:val="28"/>
          <w:szCs w:val="28"/>
        </w:rPr>
        <w:fldChar w:fldCharType="separate"/>
      </w:r>
      <w:r>
        <w:rPr>
          <w:rFonts w:hint="default" w:ascii="Arial" w:hAnsi="Arial" w:cs="Arial"/>
          <w:sz w:val="28"/>
          <w:szCs w:val="28"/>
        </w:rPr>
        <w:t>3</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37C89691">
      <w:pPr>
        <w:pStyle w:val="7"/>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_Toc5062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2.3 Respect and understanding</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_Toc5062 \h </w:instrText>
      </w:r>
      <w:r>
        <w:rPr>
          <w:rFonts w:hint="default" w:ascii="Arial" w:hAnsi="Arial" w:cs="Arial"/>
          <w:sz w:val="28"/>
          <w:szCs w:val="28"/>
        </w:rPr>
        <w:fldChar w:fldCharType="separate"/>
      </w:r>
      <w:r>
        <w:rPr>
          <w:rFonts w:hint="default" w:ascii="Arial" w:hAnsi="Arial" w:cs="Arial"/>
          <w:sz w:val="28"/>
          <w:szCs w:val="28"/>
        </w:rPr>
        <w:t>5</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70366BEB">
      <w:pPr>
        <w:pStyle w:val="6"/>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_Toc8304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3.0 Carroll's corporate social responsibility pyramid analysis</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_Toc8304 \h </w:instrText>
      </w:r>
      <w:r>
        <w:rPr>
          <w:rFonts w:hint="default" w:ascii="Arial" w:hAnsi="Arial" w:cs="Arial"/>
          <w:sz w:val="28"/>
          <w:szCs w:val="28"/>
        </w:rPr>
        <w:fldChar w:fldCharType="separate"/>
      </w:r>
      <w:r>
        <w:rPr>
          <w:rFonts w:hint="default" w:ascii="Arial" w:hAnsi="Arial" w:cs="Arial"/>
          <w:sz w:val="28"/>
          <w:szCs w:val="28"/>
        </w:rPr>
        <w:t>6</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1E841CFB">
      <w:pPr>
        <w:pStyle w:val="7"/>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_Toc32183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3.1 Financial responsibility</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_Toc32183 \h </w:instrText>
      </w:r>
      <w:r>
        <w:rPr>
          <w:rFonts w:hint="default" w:ascii="Arial" w:hAnsi="Arial" w:cs="Arial"/>
          <w:sz w:val="28"/>
          <w:szCs w:val="28"/>
        </w:rPr>
        <w:fldChar w:fldCharType="separate"/>
      </w:r>
      <w:r>
        <w:rPr>
          <w:rFonts w:hint="default" w:ascii="Arial" w:hAnsi="Arial" w:cs="Arial"/>
          <w:sz w:val="28"/>
          <w:szCs w:val="28"/>
        </w:rPr>
        <w:t>7</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3CA92B10">
      <w:pPr>
        <w:pStyle w:val="7"/>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_Toc31041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3.2 Legal responsibility</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_Toc31041 \h </w:instrText>
      </w:r>
      <w:r>
        <w:rPr>
          <w:rFonts w:hint="default" w:ascii="Arial" w:hAnsi="Arial" w:cs="Arial"/>
          <w:sz w:val="28"/>
          <w:szCs w:val="28"/>
        </w:rPr>
        <w:fldChar w:fldCharType="separate"/>
      </w:r>
      <w:r>
        <w:rPr>
          <w:rFonts w:hint="default" w:ascii="Arial" w:hAnsi="Arial" w:cs="Arial"/>
          <w:sz w:val="28"/>
          <w:szCs w:val="28"/>
        </w:rPr>
        <w:t>8</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7442EFD4">
      <w:pPr>
        <w:pStyle w:val="7"/>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_Toc13557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3.3 Ethical responsibility</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_Toc13557 \h </w:instrText>
      </w:r>
      <w:r>
        <w:rPr>
          <w:rFonts w:hint="default" w:ascii="Arial" w:hAnsi="Arial" w:cs="Arial"/>
          <w:sz w:val="28"/>
          <w:szCs w:val="28"/>
        </w:rPr>
        <w:fldChar w:fldCharType="separate"/>
      </w:r>
      <w:r>
        <w:rPr>
          <w:rFonts w:hint="default" w:ascii="Arial" w:hAnsi="Arial" w:cs="Arial"/>
          <w:sz w:val="28"/>
          <w:szCs w:val="28"/>
        </w:rPr>
        <w:t>10</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103503FD">
      <w:pPr>
        <w:pStyle w:val="7"/>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_Toc32145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3.4 Charity responsibility</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_Toc32145 \h </w:instrText>
      </w:r>
      <w:r>
        <w:rPr>
          <w:rFonts w:hint="default" w:ascii="Arial" w:hAnsi="Arial" w:cs="Arial"/>
          <w:sz w:val="28"/>
          <w:szCs w:val="28"/>
        </w:rPr>
        <w:fldChar w:fldCharType="separate"/>
      </w:r>
      <w:r>
        <w:rPr>
          <w:rFonts w:hint="default" w:ascii="Arial" w:hAnsi="Arial" w:cs="Arial"/>
          <w:sz w:val="28"/>
          <w:szCs w:val="28"/>
        </w:rPr>
        <w:t>11</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057F4F33">
      <w:pPr>
        <w:pStyle w:val="6"/>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_Toc23679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4.0 Conclusion</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_Toc23679 \h </w:instrText>
      </w:r>
      <w:r>
        <w:rPr>
          <w:rFonts w:hint="default" w:ascii="Arial" w:hAnsi="Arial" w:cs="Arial"/>
          <w:sz w:val="28"/>
          <w:szCs w:val="28"/>
        </w:rPr>
        <w:fldChar w:fldCharType="separate"/>
      </w:r>
      <w:r>
        <w:rPr>
          <w:rFonts w:hint="default" w:ascii="Arial" w:hAnsi="Arial" w:cs="Arial"/>
          <w:sz w:val="28"/>
          <w:szCs w:val="28"/>
        </w:rPr>
        <w:t>13</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47CBEAC4">
      <w:pPr>
        <w:pStyle w:val="6"/>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_Toc20897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5.0 Recommendation</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_Toc20897 \h </w:instrText>
      </w:r>
      <w:r>
        <w:rPr>
          <w:rFonts w:hint="default" w:ascii="Arial" w:hAnsi="Arial" w:cs="Arial"/>
          <w:sz w:val="28"/>
          <w:szCs w:val="28"/>
        </w:rPr>
        <w:fldChar w:fldCharType="separate"/>
      </w:r>
      <w:r>
        <w:rPr>
          <w:rFonts w:hint="default" w:ascii="Arial" w:hAnsi="Arial" w:cs="Arial"/>
          <w:sz w:val="28"/>
          <w:szCs w:val="28"/>
        </w:rPr>
        <w:t>14</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587F94C5">
      <w:pPr>
        <w:pStyle w:val="7"/>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_Toc18406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5.1 Strengthen the awareness of environmental protection</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_Toc18406 \h </w:instrText>
      </w:r>
      <w:r>
        <w:rPr>
          <w:rFonts w:hint="default" w:ascii="Arial" w:hAnsi="Arial" w:cs="Arial"/>
          <w:sz w:val="28"/>
          <w:szCs w:val="28"/>
        </w:rPr>
        <w:fldChar w:fldCharType="separate"/>
      </w:r>
      <w:r>
        <w:rPr>
          <w:rFonts w:hint="default" w:ascii="Arial" w:hAnsi="Arial" w:cs="Arial"/>
          <w:sz w:val="28"/>
          <w:szCs w:val="28"/>
        </w:rPr>
        <w:t>14</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6F9AC26D">
      <w:pPr>
        <w:pStyle w:val="7"/>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_Toc453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5.2 Abide by laws and regulations</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_Toc453 \h </w:instrText>
      </w:r>
      <w:r>
        <w:rPr>
          <w:rFonts w:hint="default" w:ascii="Arial" w:hAnsi="Arial" w:cs="Arial"/>
          <w:sz w:val="28"/>
          <w:szCs w:val="28"/>
        </w:rPr>
        <w:fldChar w:fldCharType="separate"/>
      </w:r>
      <w:r>
        <w:rPr>
          <w:rFonts w:hint="default" w:ascii="Arial" w:hAnsi="Arial" w:cs="Arial"/>
          <w:sz w:val="28"/>
          <w:szCs w:val="28"/>
        </w:rPr>
        <w:t>15</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4988C7A9">
      <w:pPr>
        <w:pStyle w:val="6"/>
        <w:tabs>
          <w:tab w:val="right" w:leader="dot" w:pos="8306"/>
        </w:tabs>
        <w:rPr>
          <w:rFonts w:hint="default" w:ascii="Arial" w:hAnsi="Arial" w:cs="Arial"/>
          <w:sz w:val="28"/>
          <w:szCs w:val="28"/>
        </w:rPr>
      </w:pPr>
      <w:r>
        <w:rPr>
          <w:rFonts w:hint="default" w:ascii="Arial" w:hAnsi="Arial" w:eastAsia="宋体" w:cs="Arial"/>
          <w:bCs/>
          <w:sz w:val="28"/>
          <w:szCs w:val="36"/>
          <w:lang w:val="en-US" w:eastAsia="zh-CN"/>
        </w:rPr>
        <w:fldChar w:fldCharType="begin"/>
      </w:r>
      <w:r>
        <w:rPr>
          <w:rFonts w:hint="default" w:ascii="Arial" w:hAnsi="Arial" w:eastAsia="宋体" w:cs="Arial"/>
          <w:bCs/>
          <w:sz w:val="28"/>
          <w:szCs w:val="36"/>
          <w:lang w:val="en-US" w:eastAsia="zh-CN"/>
        </w:rPr>
        <w:instrText xml:space="preserve"> HYPERLINK \l _Toc25875 </w:instrText>
      </w:r>
      <w:r>
        <w:rPr>
          <w:rFonts w:hint="default" w:ascii="Arial" w:hAnsi="Arial" w:eastAsia="宋体" w:cs="Arial"/>
          <w:bCs/>
          <w:sz w:val="28"/>
          <w:szCs w:val="36"/>
          <w:lang w:val="en-US" w:eastAsia="zh-CN"/>
        </w:rPr>
        <w:fldChar w:fldCharType="separate"/>
      </w:r>
      <w:r>
        <w:rPr>
          <w:rFonts w:hint="default" w:ascii="Arial" w:hAnsi="Arial" w:cs="Arial"/>
          <w:sz w:val="28"/>
          <w:szCs w:val="28"/>
          <w:lang w:val="en-US" w:eastAsia="zh-CN"/>
        </w:rPr>
        <w:t>Reference</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_Toc25875 \h </w:instrText>
      </w:r>
      <w:r>
        <w:rPr>
          <w:rFonts w:hint="default" w:ascii="Arial" w:hAnsi="Arial" w:cs="Arial"/>
          <w:sz w:val="28"/>
          <w:szCs w:val="28"/>
        </w:rPr>
        <w:fldChar w:fldCharType="separate"/>
      </w:r>
      <w:r>
        <w:rPr>
          <w:rFonts w:hint="default" w:ascii="Arial" w:hAnsi="Arial" w:cs="Arial"/>
          <w:sz w:val="28"/>
          <w:szCs w:val="28"/>
        </w:rPr>
        <w:t>16</w:t>
      </w:r>
      <w:r>
        <w:rPr>
          <w:rFonts w:hint="default" w:ascii="Arial" w:hAnsi="Arial" w:cs="Arial"/>
          <w:sz w:val="28"/>
          <w:szCs w:val="28"/>
        </w:rPr>
        <w:fldChar w:fldCharType="end"/>
      </w:r>
      <w:r>
        <w:rPr>
          <w:rFonts w:hint="default" w:ascii="Arial" w:hAnsi="Arial" w:eastAsia="宋体" w:cs="Arial"/>
          <w:bCs/>
          <w:sz w:val="28"/>
          <w:szCs w:val="36"/>
          <w:lang w:val="en-US" w:eastAsia="zh-CN"/>
        </w:rPr>
        <w:fldChar w:fldCharType="end"/>
      </w:r>
    </w:p>
    <w:p w14:paraId="65406F7F">
      <w:pPr>
        <w:spacing w:line="480" w:lineRule="auto"/>
        <w:jc w:val="left"/>
        <w:rPr>
          <w:rFonts w:hint="default" w:ascii="Arial" w:hAnsi="Arial" w:eastAsia="宋体" w:cs="Arial"/>
          <w:b/>
          <w:bCs/>
          <w:sz w:val="32"/>
          <w:szCs w:val="32"/>
          <w:lang w:val="en-US" w:eastAsia="zh-CN"/>
        </w:rPr>
        <w:sectPr>
          <w:pgSz w:w="11906" w:h="16838"/>
          <w:pgMar w:top="1440" w:right="1800" w:bottom="1440" w:left="1800" w:header="851" w:footer="992" w:gutter="0"/>
          <w:cols w:space="0" w:num="1"/>
          <w:rtlGutter w:val="0"/>
          <w:docGrid w:type="lines" w:linePitch="312" w:charSpace="0"/>
        </w:sectPr>
      </w:pPr>
      <w:r>
        <w:rPr>
          <w:rFonts w:hint="default" w:ascii="Arial" w:hAnsi="Arial" w:eastAsia="宋体" w:cs="Arial"/>
          <w:bCs/>
          <w:sz w:val="28"/>
          <w:szCs w:val="36"/>
          <w:lang w:val="en-US" w:eastAsia="zh-CN"/>
        </w:rPr>
        <w:fldChar w:fldCharType="end"/>
      </w:r>
    </w:p>
    <w:p w14:paraId="4D614203">
      <w:pPr>
        <w:pStyle w:val="2"/>
        <w:bidi w:val="0"/>
        <w:spacing w:line="480" w:lineRule="auto"/>
        <w:rPr>
          <w:rFonts w:hint="default" w:ascii="Arial" w:hAnsi="Arial" w:cs="Arial"/>
          <w:sz w:val="24"/>
          <w:szCs w:val="24"/>
          <w:lang w:val="en-US" w:eastAsia="zh-CN"/>
        </w:rPr>
      </w:pPr>
      <w:bookmarkStart w:id="0" w:name="_Toc7049"/>
      <w:r>
        <w:rPr>
          <w:rFonts w:hint="default" w:ascii="Arial" w:hAnsi="Arial" w:cs="Arial"/>
          <w:sz w:val="24"/>
          <w:szCs w:val="24"/>
          <w:lang w:val="en-US" w:eastAsia="zh-CN"/>
        </w:rPr>
        <w:t>1.0 Introduction</w:t>
      </w:r>
      <w:bookmarkEnd w:id="0"/>
    </w:p>
    <w:p w14:paraId="05E80773">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1996, a serious chromium pollution incident occurred in the small town of Sinkley, California. The incident is the Pacific Power Gas Company, which has long dumped harmful industrial waste underground, leading to severe pollution of local water sources. Local residents have frequent health problems, including respiratory diseases, skin diseases, kidney diseases, and a variety of cancers. The pollution incident attracted widespread public attention and eventually triggered a massive class-action lawsuit. Local residents received $330 million in compensation after a long fight. However, behind the compensation is the long-term health problems and psychological shadow of the residents. In this case, the Pacific Company has exposed its serious lack of environmental protection and corporate social responsibility.</w:t>
      </w:r>
    </w:p>
    <w:p w14:paraId="70EF3599">
      <w:pPr>
        <w:spacing w:line="480" w:lineRule="auto"/>
        <w:rPr>
          <w:rFonts w:hint="default" w:ascii="Arial" w:hAnsi="Arial" w:cs="Arial"/>
          <w:sz w:val="24"/>
          <w:szCs w:val="24"/>
          <w:lang w:val="en-US" w:eastAsia="zh-CN"/>
        </w:rPr>
      </w:pPr>
    </w:p>
    <w:p w14:paraId="1640444F">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This report aims to explore business ethical behavior by analyzing the pollution cases of American Pacific Power Gas Company (hereinafter referred to as "Pacific Company"). In the analysis process, the perspective of cultural relativism and Carroll's corporate social responsibility pyramid theory will be used to provide a comprehensive and deep understanding of the ethical behavior and responsibility of enterprises.</w:t>
      </w:r>
      <w:r>
        <w:rPr>
          <w:rFonts w:hint="default" w:ascii="Arial" w:hAnsi="Arial" w:cs="Arial"/>
          <w:sz w:val="24"/>
          <w:szCs w:val="24"/>
          <w:lang w:val="en-US" w:eastAsia="zh-CN"/>
        </w:rPr>
        <w:br w:type="page"/>
      </w:r>
    </w:p>
    <w:p w14:paraId="5F9DCCFA">
      <w:pPr>
        <w:pStyle w:val="2"/>
        <w:bidi w:val="0"/>
        <w:spacing w:line="480" w:lineRule="auto"/>
        <w:rPr>
          <w:rFonts w:hint="default" w:ascii="Arial" w:hAnsi="Arial" w:cs="Arial"/>
          <w:sz w:val="24"/>
          <w:szCs w:val="24"/>
          <w:lang w:val="en-US" w:eastAsia="zh-CN"/>
        </w:rPr>
      </w:pPr>
      <w:bookmarkStart w:id="1" w:name="_Toc5946"/>
      <w:r>
        <w:rPr>
          <w:rFonts w:hint="default" w:ascii="Arial" w:hAnsi="Arial" w:cs="Arial"/>
          <w:sz w:val="24"/>
          <w:szCs w:val="24"/>
          <w:lang w:val="en-US" w:eastAsia="zh-CN"/>
        </w:rPr>
        <w:t>2.0 Analysis of cultural relativism perspective</w:t>
      </w:r>
      <w:bookmarkEnd w:id="1"/>
    </w:p>
    <w:p w14:paraId="7A79CF28">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According to cultural relativism, moral behavior differs among cultures and what is seen right in one may be viewed as bad in another (Nickerson, 2023). This demonstrates how every culture has distinct ideals and ways of acting. Instead of employing external criteria, one should begin the analysis of a particular cultural occurrence by examining the norms and context of the culture itself. Furthermore, we should take into account the interdependent influence of various cultures when examining the cultural connotation of cultural relativism. Anthropology, for instance, has a significant impact on relativism (Osterman, 2021).</w:t>
      </w:r>
    </w:p>
    <w:p w14:paraId="5304191C">
      <w:pPr>
        <w:pStyle w:val="3"/>
        <w:bidi w:val="0"/>
        <w:spacing w:line="480" w:lineRule="auto"/>
        <w:rPr>
          <w:rFonts w:hint="default" w:ascii="Arial" w:hAnsi="Arial" w:cs="Arial"/>
          <w:sz w:val="24"/>
          <w:szCs w:val="24"/>
          <w:lang w:val="en-US" w:eastAsia="zh-CN"/>
        </w:rPr>
      </w:pPr>
      <w:bookmarkStart w:id="2" w:name="_Toc2779"/>
      <w:r>
        <w:rPr>
          <w:rFonts w:hint="default" w:ascii="Arial" w:hAnsi="Arial" w:cs="Arial"/>
          <w:sz w:val="24"/>
          <w:szCs w:val="24"/>
          <w:lang w:val="en-US" w:eastAsia="zh-CN"/>
        </w:rPr>
        <w:t>2.1 Cultural background</w:t>
      </w:r>
      <w:bookmarkEnd w:id="2"/>
    </w:p>
    <w:p w14:paraId="6E8C345B">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emphasis on individuals and the free market is one of its most notable aspects. Stovall (2021) demonstrates how the white identity is the focal point of the core essence of the western conception of freedom. Although it disregards significant developments brought about by modern social governance, this viewpoint supports the strong liberal ideas held by the majority-white America. However, cultural issues like white supremacy and racial discrimination remain major issues in the United States, and they will also affect moral principles and commercial ethics. Since the United States' current cultural backdrop has greatly influenced social values and the corporate environment, business operations are frequently prioritized over social responsibility and environmental preservation. As a result, businesses frequently regard profit maximization as their first priority, sometimes ignoring their social and environmental obligations in the process. This propensity is not malicious; rather, it is greatly impacted by the pressures of market rivalry and cultural background.</w:t>
      </w:r>
    </w:p>
    <w:p w14:paraId="2E7A317F">
      <w:pPr>
        <w:spacing w:line="480" w:lineRule="auto"/>
        <w:rPr>
          <w:rFonts w:hint="default" w:ascii="Arial" w:hAnsi="Arial" w:cs="Arial"/>
          <w:sz w:val="24"/>
          <w:szCs w:val="24"/>
          <w:lang w:val="en-US" w:eastAsia="zh-CN"/>
        </w:rPr>
      </w:pPr>
    </w:p>
    <w:p w14:paraId="17ED3DC9">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This American cultural foundation also has a significant impact on the Pacific corporation's operating approach as a major energy corporation.</w:t>
      </w:r>
      <w:r>
        <w:rPr>
          <w:rFonts w:hint="eastAsia" w:ascii="Arial" w:hAnsi="Arial" w:cs="Arial"/>
          <w:sz w:val="24"/>
          <w:szCs w:val="24"/>
          <w:lang w:val="en-US" w:eastAsia="zh-CN"/>
        </w:rPr>
        <w:t xml:space="preserve"> </w:t>
      </w:r>
      <w:r>
        <w:rPr>
          <w:rFonts w:hint="default" w:ascii="Arial" w:hAnsi="Arial" w:cs="Arial"/>
          <w:sz w:val="24"/>
          <w:szCs w:val="24"/>
          <w:lang w:val="en-US" w:eastAsia="zh-CN"/>
        </w:rPr>
        <w:t>Pacific Company will focus more on how to cut expenses and boost productivity in order to optimize profits as it pursues market share and financial gains. This strategic approach, nevertheless, occasionally results in a lack of corporate commitment in social responsibility and environmental preservation. Businesses have a duty to strike a balance between economic gains and social and environmental obligations, but in reality, this is frequently challenging due to cultural differences and competitive markets, making it difficult for Pacific companies and others of a similar nature to fulfill their social and environmental obligations.</w:t>
      </w:r>
    </w:p>
    <w:p w14:paraId="08051FA0">
      <w:pPr>
        <w:pStyle w:val="3"/>
        <w:bidi w:val="0"/>
        <w:spacing w:line="480" w:lineRule="auto"/>
        <w:rPr>
          <w:rFonts w:hint="default" w:ascii="Arial" w:hAnsi="Arial" w:cs="Arial"/>
          <w:sz w:val="24"/>
          <w:szCs w:val="24"/>
          <w:lang w:val="en-US" w:eastAsia="zh-CN"/>
        </w:rPr>
      </w:pPr>
      <w:bookmarkStart w:id="3" w:name="_Toc10760"/>
      <w:r>
        <w:rPr>
          <w:rFonts w:hint="default" w:ascii="Arial" w:hAnsi="Arial" w:cs="Arial"/>
          <w:sz w:val="24"/>
          <w:szCs w:val="24"/>
          <w:lang w:val="en-US" w:eastAsia="zh-CN"/>
        </w:rPr>
        <w:t>2.2 Values conflict</w:t>
      </w:r>
      <w:bookmarkEnd w:id="3"/>
    </w:p>
    <w:p w14:paraId="4542AA7E">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Without a doubt, the Pacific Company's actions go against the morals and principles that society as a whole accepts. It manifests itself in ways that are in opposition to the societally promoted ideas of sustainable development, justice and fairness, and humanistic care, such as environmental contamination, unfair competition, disregard for worker welfare, etc. The ultimate objective of society and ultimately the entire globe has always been sustainable development (Halkos &amp; Gkampoura, 2021). Sustainable development is an issue and task of concern to modern civilization, as noted by Castro and Lopes (2022). Good governance is essential to the efficient management of many resources, especially natural resources, for the benefit of current and future generations, whether in developed or developing nations. This </w:t>
      </w:r>
      <w:r>
        <w:rPr>
          <w:rFonts w:hint="eastAsia" w:ascii="Arial" w:hAnsi="Arial" w:cs="Arial"/>
          <w:sz w:val="24"/>
          <w:szCs w:val="24"/>
          <w:lang w:val="en-US" w:eastAsia="zh-CN"/>
        </w:rPr>
        <w:t xml:space="preserve">paraphrases </w:t>
      </w:r>
      <w:r>
        <w:rPr>
          <w:rFonts w:hint="default" w:ascii="Arial" w:hAnsi="Arial" w:cs="Arial"/>
          <w:sz w:val="24"/>
          <w:szCs w:val="24"/>
          <w:lang w:val="en-US" w:eastAsia="zh-CN"/>
        </w:rPr>
        <w:t xml:space="preserve">the importance of sustainable development for people, society, and even the entire planet. Sustainable development should be implemented by individuals, society, businesses, and other stakeholders rather than being viewed as a catchphrase. </w:t>
      </w:r>
      <w:r>
        <w:rPr>
          <w:rFonts w:hint="eastAsia" w:ascii="Arial" w:hAnsi="Arial" w:cs="Arial"/>
          <w:sz w:val="24"/>
          <w:szCs w:val="24"/>
          <w:lang w:val="en-US" w:eastAsia="zh-CN"/>
        </w:rPr>
        <w:t>Generally</w:t>
      </w:r>
      <w:r>
        <w:rPr>
          <w:rFonts w:hint="default" w:ascii="Arial" w:hAnsi="Arial" w:cs="Arial"/>
          <w:sz w:val="24"/>
          <w:szCs w:val="24"/>
          <w:lang w:val="en-US" w:eastAsia="zh-CN"/>
        </w:rPr>
        <w:t>, society expects businesses to pursue economic gains while assuming commensurate social responsibilities and protecting the public interest. But Pacific has blatantly fallen short of this expectation, drawing a lot of criticism and mistrust.</w:t>
      </w:r>
    </w:p>
    <w:p w14:paraId="27CF7FE4">
      <w:pPr>
        <w:spacing w:line="480" w:lineRule="auto"/>
        <w:rPr>
          <w:rFonts w:hint="default" w:ascii="Arial" w:hAnsi="Arial" w:cs="Arial"/>
          <w:sz w:val="24"/>
          <w:szCs w:val="24"/>
          <w:lang w:val="en-US" w:eastAsia="zh-CN"/>
        </w:rPr>
      </w:pPr>
    </w:p>
    <w:p w14:paraId="3C7067C0">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Pacific Company's actions also partially reflect its unique cultural values, according to the theory of cultural relativism. Profit maximization is the primary motivator for enterprise development and the highest standard for business operations in Pacific. According to Ferrell (2021), increasing numbers of businesses view maximizing profits as their ultimate objective. This point of view fails to recognize that businesses may disregard certain moral issues in the pursuit of maximizing their advantages, and that doing so through unlawful or irrational ways is undesirable and goes against the fundamental business ethics of the company. That being said, concentrating on how to maximize profit does not imply that it is improper. Social responsibility and environmental preservation, for example, can be viewed in this cultural framework as extra or secondary duties rather than as central to business operations. Historical context, industry traits, market conditions, and other elements may all play a role in the development of such values. Such values have the rationale and interpretability of their existence in a particular cultural context, despite the fact that they are in opposition to the values that society generally recognizes.</w:t>
      </w:r>
    </w:p>
    <w:p w14:paraId="17AE4D27">
      <w:pPr>
        <w:pStyle w:val="3"/>
        <w:bidi w:val="0"/>
        <w:spacing w:line="480" w:lineRule="auto"/>
        <w:rPr>
          <w:rFonts w:hint="default" w:ascii="Arial" w:hAnsi="Arial" w:cs="Arial"/>
          <w:sz w:val="24"/>
          <w:szCs w:val="24"/>
          <w:lang w:val="en-US" w:eastAsia="zh-CN"/>
        </w:rPr>
      </w:pPr>
      <w:bookmarkStart w:id="4" w:name="_Toc5062"/>
      <w:r>
        <w:rPr>
          <w:rFonts w:hint="default" w:ascii="Arial" w:hAnsi="Arial" w:cs="Arial"/>
          <w:sz w:val="24"/>
          <w:szCs w:val="24"/>
          <w:lang w:val="en-US" w:eastAsia="zh-CN"/>
        </w:rPr>
        <w:t>2.3 Respect and understanding</w:t>
      </w:r>
      <w:bookmarkEnd w:id="4"/>
    </w:p>
    <w:p w14:paraId="3BD34DF2">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the context of globalization, cultural relativism places a strong emphasis on respecting and appreciating the diversity of other cultures. This implies that we should try to analyze and comprehend a behavior or phenomena from the viewpoint of other cultures in order to evaluate it beyond the confines of our own. According to Gaitho (2022), moral authenticity is determined by culture. This point of view highlights how moral notions are shaped by culture. However, rationality and emotion can also have an impact on morality (Gao, Ma, Bai, Li, &amp; Liu , 2021). The motivations and goals underlying Pacific's acts are deserving of careful consideration, even though some of them are against our dominant cultural values and may even be against the law and ethical standards. By comprehending the reasoning behind the action under various cultural contexts, this type of reflection seeks to advance cross-cultural communication and understanding rather than condoning inappropriate behavior.</w:t>
      </w:r>
    </w:p>
    <w:p w14:paraId="3E938420">
      <w:pPr>
        <w:spacing w:line="480" w:lineRule="auto"/>
        <w:rPr>
          <w:rFonts w:hint="default" w:ascii="Arial" w:hAnsi="Arial" w:cs="Arial"/>
          <w:sz w:val="24"/>
          <w:szCs w:val="24"/>
          <w:lang w:val="en-US" w:eastAsia="zh-CN"/>
        </w:rPr>
      </w:pPr>
    </w:p>
    <w:p w14:paraId="247D574E">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Further, understanding the cultural background and values of an enterprise is crucial to explore the root causes and drivers of enterprise ethical behavior. Through an analysis of these cultural backgrounds and values, we can see more clearly the logical chain behind corporate decisions and how these decisions are rationalized within a specific cultural framework. This understanding not only helps us to evaluate the behavior of enterprises more comprehensively, but also provides a useful reference for the formulation of more scientific and reasonable enterprise ethics norms. Therefore, under the guidance of cultural relativism, we should examine and understand the corporate behavior in different cultural backgrounds with an open and inclusive mind, in order to achieve better cross-cultural exchanges and cooperation.</w:t>
      </w:r>
    </w:p>
    <w:p w14:paraId="6C6068BB">
      <w:pPr>
        <w:pStyle w:val="2"/>
        <w:bidi w:val="0"/>
        <w:spacing w:line="480" w:lineRule="auto"/>
        <w:rPr>
          <w:rFonts w:hint="default" w:ascii="Arial" w:hAnsi="Arial" w:cs="Arial"/>
          <w:sz w:val="24"/>
          <w:szCs w:val="24"/>
          <w:lang w:val="en-US" w:eastAsia="zh-CN"/>
        </w:rPr>
      </w:pPr>
      <w:bookmarkStart w:id="5" w:name="_Toc8304"/>
      <w:r>
        <w:rPr>
          <w:rFonts w:hint="default" w:ascii="Arial" w:hAnsi="Arial" w:cs="Arial"/>
          <w:sz w:val="24"/>
          <w:szCs w:val="24"/>
          <w:lang w:val="en-US" w:eastAsia="zh-CN"/>
        </w:rPr>
        <w:t>3.0 Carroll's corporate social responsibility pyramid analysis</w:t>
      </w:r>
      <w:bookmarkEnd w:id="5"/>
    </w:p>
    <w:p w14:paraId="7C45F72C">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Carroll's pyramid of corporate social responsibility divides corporate social responsibility into four levels: economic, legal, moral and charitable responsibility (Silva Junior, Martins-Silva, Coelho, &amp; Sousa, 2023). Andriukaitiene (2023) points out that the CSR pyramid is an important tool for using environmentally friendly production processes, organic supply chain management, and environmentally friendly products, and believes that companies should simultaneously make appropriate decisions, actions, policies, and practices that meet all the requirements.</w:t>
      </w:r>
    </w:p>
    <w:p w14:paraId="021DDD65">
      <w:pPr>
        <w:pStyle w:val="3"/>
        <w:bidi w:val="0"/>
        <w:spacing w:line="480" w:lineRule="auto"/>
        <w:rPr>
          <w:rFonts w:hint="default" w:ascii="Arial" w:hAnsi="Arial" w:cs="Arial"/>
          <w:sz w:val="24"/>
          <w:szCs w:val="24"/>
          <w:lang w:val="en-US" w:eastAsia="zh-CN"/>
        </w:rPr>
      </w:pPr>
      <w:bookmarkStart w:id="6" w:name="_Toc32183"/>
      <w:r>
        <w:rPr>
          <w:rFonts w:hint="default" w:ascii="Arial" w:hAnsi="Arial" w:cs="Arial"/>
          <w:sz w:val="24"/>
          <w:szCs w:val="24"/>
          <w:lang w:val="en-US" w:eastAsia="zh-CN"/>
        </w:rPr>
        <w:t>3.1 Financial responsibility</w:t>
      </w:r>
      <w:bookmarkEnd w:id="6"/>
      <w:r>
        <w:rPr>
          <w:rFonts w:hint="default" w:ascii="Arial" w:hAnsi="Arial" w:cs="Arial"/>
          <w:sz w:val="24"/>
          <w:szCs w:val="24"/>
          <w:lang w:val="en-US" w:eastAsia="zh-CN"/>
        </w:rPr>
        <w:t xml:space="preserve"> </w:t>
      </w:r>
    </w:p>
    <w:p w14:paraId="656E0E11">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foundation of an organization's existence and growth is economic responsibility. It addresses the fundamental needs of increasing profits and guaranteeing fair returns for investors. According to stakeholder theory, an organization's stakeholders are not limited to its investors and stockholders (Okafor, Adeleye, &amp; Adusei, 2021). According to Stout (2021), shareholder primacy has had a number of negative effects on the business, the economy, and society. This demonstrates that there will be negative effects if businesses operate with the exclusive goal of making money for their stakeholders and neglect their social obligations. As a large enterprise with significant influence in the energy field, the primary strategic goal of the Pacific Company is undoubtedly to pursue profit maximization, which is not only the essence of enterprise operation, but also the key to maintain the long-term competitiveness and sustainable development of the company. However, seeking to improve the economic benefits in the fierce market competition does not mean that enterprises can ignore their social role and environmental responsibility.</w:t>
      </w:r>
    </w:p>
    <w:p w14:paraId="13DDF9F7">
      <w:pPr>
        <w:spacing w:line="480" w:lineRule="auto"/>
        <w:rPr>
          <w:rFonts w:hint="default" w:ascii="Arial" w:hAnsi="Arial" w:cs="Arial"/>
          <w:sz w:val="24"/>
          <w:szCs w:val="24"/>
          <w:lang w:val="en-US" w:eastAsia="zh-CN"/>
        </w:rPr>
      </w:pPr>
    </w:p>
    <w:p w14:paraId="442F9A59">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Pacific Company has disregarded its enormous obligation to preserve the ecological environment and safeguard the health of the local populace in the course of aggressively pursuing economic interests. This disregard is seen in the disdain for the potential for environmental harm as well as the underestimation of possible health hazards. The most crucial element in environmental behavior is managers' environmental responsibility. Senior management and stakeholders influence businesses to support their green development (Bakos, Siu, Orengo, &amp; Kasiri, 2020). This demonstrates that businesses must have a strong understanding of the role that green development plays in increasing profits. There is no doubt that businesses are seriously deviating from their economic responsibilities if their production activities do not adequately account for the possible harm to the local population's quality of life or the absence of efficient controls on the overuse of natural resources and pollution emissions. The Pacific Company's actions clearly go against the fundamental definition of economic responsibility, which is not just about financial performance but also about how to create economic value while balancing harmonious coexistence with society and the environment.</w:t>
      </w:r>
    </w:p>
    <w:p w14:paraId="20CCC0BE">
      <w:pPr>
        <w:pStyle w:val="3"/>
        <w:bidi w:val="0"/>
        <w:spacing w:line="480" w:lineRule="auto"/>
        <w:rPr>
          <w:rFonts w:hint="default" w:ascii="Arial" w:hAnsi="Arial" w:cs="Arial"/>
          <w:sz w:val="24"/>
          <w:szCs w:val="24"/>
          <w:lang w:val="en-US" w:eastAsia="zh-CN"/>
        </w:rPr>
      </w:pPr>
      <w:bookmarkStart w:id="7" w:name="_Toc31041"/>
      <w:r>
        <w:rPr>
          <w:rFonts w:hint="default" w:ascii="Arial" w:hAnsi="Arial" w:cs="Arial"/>
          <w:sz w:val="24"/>
          <w:szCs w:val="24"/>
          <w:lang w:val="en-US" w:eastAsia="zh-CN"/>
        </w:rPr>
        <w:t>3.2 Legal responsibility</w:t>
      </w:r>
      <w:bookmarkEnd w:id="7"/>
      <w:r>
        <w:rPr>
          <w:rFonts w:hint="default" w:ascii="Arial" w:hAnsi="Arial" w:cs="Arial"/>
          <w:sz w:val="24"/>
          <w:szCs w:val="24"/>
          <w:lang w:val="en-US" w:eastAsia="zh-CN"/>
        </w:rPr>
        <w:t xml:space="preserve"> </w:t>
      </w:r>
    </w:p>
    <w:p w14:paraId="0BEFFA7D">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Legal responsibility is an indispensable part of the operation of enterprises, which requires enterprises to strictly abide by the laws and regulations and internal rules and regulations formulated by the state. These legal frameworks not only regulate the market behavior of enterprises, but also ensure fair competition and the protection of consumers' rights and interests. They are also an important cornerstone for maintaining social order and public interests. China Pacific's recent pollution exposure clearly violates a number of relevant laws and regulations, including the Environmental Protection Law, which is not only a blatant contempt for the law, but also exposes the neglect of its legal obligations in the pursuit of economic interests.</w:t>
      </w:r>
    </w:p>
    <w:p w14:paraId="59B659A9">
      <w:pPr>
        <w:spacing w:line="480" w:lineRule="auto"/>
        <w:rPr>
          <w:rFonts w:hint="default" w:ascii="Arial" w:hAnsi="Arial" w:cs="Arial"/>
          <w:sz w:val="24"/>
          <w:szCs w:val="24"/>
          <w:lang w:val="en-US" w:eastAsia="zh-CN"/>
        </w:rPr>
      </w:pPr>
    </w:p>
    <w:p w14:paraId="1DF4DE82">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Pacific company—— risks severe legal repercussions for this infringement, which might limit its future expansion and investment plans in addition to having immediate and serious effects on the company's financial stability. Furthermore, after the pollution issue was made public, Pacific Pacific's brand image and reputation suffered an unparalleled setback. According to Mai, Nguyen, and Nguyen (2021), taking on the appropriate legal duty contributes to the enterprise's positive reputation. This demonstrates how businesses can demonstrate to customers that they are genuinely upholding ethical standards by aggressively accepting legal responsibility. On the contrary, once an enterprise makes inappropriate business behavior, it will hinder its development, such as selling unsafe products or engaging in 'sweatshop' manufacturing result in stakeholder pressure (Lantos, 2001). Nowadays, with the increasing public awareness of environmental protection, the environmental behavior of enterprises has become an important measure to measure their social responsibility. The lack of legal responsibility of the Pacific Company not only makes it fall into serious legal risks, but also causes a widespread crisis of public trust, which is an extremely unfavorable situation for any enterprise seeking long-term development.</w:t>
      </w:r>
    </w:p>
    <w:p w14:paraId="64385F2F">
      <w:pPr>
        <w:pStyle w:val="3"/>
        <w:bidi w:val="0"/>
        <w:spacing w:line="480" w:lineRule="auto"/>
        <w:rPr>
          <w:rFonts w:hint="default" w:ascii="Arial" w:hAnsi="Arial" w:cs="Arial"/>
          <w:sz w:val="24"/>
          <w:szCs w:val="24"/>
          <w:lang w:val="en-US" w:eastAsia="zh-CN"/>
        </w:rPr>
      </w:pPr>
      <w:bookmarkStart w:id="8" w:name="_Toc13557"/>
      <w:r>
        <w:rPr>
          <w:rFonts w:hint="default" w:ascii="Arial" w:hAnsi="Arial" w:cs="Arial"/>
          <w:sz w:val="24"/>
          <w:szCs w:val="24"/>
          <w:lang w:val="en-US" w:eastAsia="zh-CN"/>
        </w:rPr>
        <w:t>3.3 Ethical responsibility</w:t>
      </w:r>
      <w:bookmarkEnd w:id="8"/>
    </w:p>
    <w:p w14:paraId="12E52B18">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 set of moral standards and ethical guidelines that businesses should deliberately adhere to in their social endeavors is known as moral responsibility. Beyond the bare minimum required by law, it shows how much businesses value and care for stakeholders, the environment, and society. In addition to making contributions to society, managers and leaders should follow the law and carry out their moral obligations</w:t>
      </w:r>
      <w:r>
        <w:rPr>
          <w:rFonts w:hint="eastAsia" w:ascii="Arial" w:hAnsi="Arial" w:cs="Arial"/>
          <w:sz w:val="24"/>
          <w:szCs w:val="24"/>
          <w:lang w:val="en-US" w:eastAsia="zh-CN"/>
        </w:rPr>
        <w:t xml:space="preserve"> </w:t>
      </w:r>
      <w:r>
        <w:rPr>
          <w:rFonts w:hint="default" w:ascii="Arial" w:hAnsi="Arial" w:cs="Arial"/>
          <w:sz w:val="24"/>
          <w:szCs w:val="24"/>
          <w:lang w:val="en-US" w:eastAsia="zh-CN"/>
        </w:rPr>
        <w:t>(Truong An, Thanh Hang, &amp; Khuong, 2021). In addition to directing the company's day-to-day actions, these ethical standards also influence the company's public perception and cultural foundation. But in addition to flagrantly breaking national laws and regulations, the Pacific Company's polluting practices also go against the moral standards that society typically accepts. In order to pursue short-term economic benefit maximization, enterprises do not hesitate to sacrifice the health and natural environment of local residents. This short-sighted behavior obviously violates the moral responsibility that enterprises should bear, and shows the disregard and alienation of social responsibility.</w:t>
      </w:r>
    </w:p>
    <w:p w14:paraId="339D694B">
      <w:pPr>
        <w:spacing w:line="480" w:lineRule="auto"/>
        <w:rPr>
          <w:rFonts w:hint="default" w:ascii="Arial" w:hAnsi="Arial" w:cs="Arial"/>
          <w:sz w:val="24"/>
          <w:szCs w:val="24"/>
          <w:lang w:val="en-US" w:eastAsia="zh-CN"/>
        </w:rPr>
      </w:pPr>
    </w:p>
    <w:p w14:paraId="403DC6CB">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addition to being illegal and punishable, a lack of moral responsibility has a deeper effect of severely undermining public support and confidence in the business. Even though they may not yet be enshrined in laws or regulations, businesses must take on ethical obligations to adhere to norms and behaviors that society either expects or prohibits (Carroll, 2021). The ethical conduct of businesses becomes a crucial metric to assess their societal worth in a setting where information is transparent and public involvement is growing. After the pollution incident of Pacific Company was exposed, it quickly aroused widespread concern and strong dissatisfaction from all walks of life, which not only led to a sharp decline in corporate image, but also likely to cause a series of chain reactions such as consumer boycott and partnership tension, which posed a severe challenge to the long-term development of the enterprise. Therefore, the fulfillment of moral responsibility is not only the basis of the legal operation of enterprises, but also a necessary condition to win the public trust and achieve sustainable development.</w:t>
      </w:r>
    </w:p>
    <w:p w14:paraId="6BB095AA">
      <w:pPr>
        <w:pStyle w:val="3"/>
        <w:bidi w:val="0"/>
        <w:spacing w:line="480" w:lineRule="auto"/>
        <w:rPr>
          <w:rFonts w:hint="default" w:ascii="Arial" w:hAnsi="Arial" w:cs="Arial"/>
          <w:sz w:val="24"/>
          <w:szCs w:val="24"/>
          <w:lang w:val="en-US" w:eastAsia="zh-CN"/>
        </w:rPr>
      </w:pPr>
      <w:bookmarkStart w:id="9" w:name="_Toc32145"/>
      <w:r>
        <w:rPr>
          <w:rFonts w:hint="default" w:ascii="Arial" w:hAnsi="Arial" w:cs="Arial"/>
          <w:sz w:val="24"/>
          <w:szCs w:val="24"/>
          <w:lang w:val="en-US" w:eastAsia="zh-CN"/>
        </w:rPr>
        <w:t>3.4 Charity responsibility</w:t>
      </w:r>
      <w:bookmarkEnd w:id="9"/>
    </w:p>
    <w:p w14:paraId="17716519">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Charity responsibility, as an important form of corporate social responsibility and public welfare responsibility, emphasizes the voluntary help and support to the society and vulnerable groups. It not only reflects the economic strength of the enterprise, but also highlights the moral concept and humanistic care of the enterprise. However, in the Pacific company facing pollution incidents, although the company in the event took a series of compensation and remedial measures, strive to reduce the damage to the environment and the affected groups, but these measures are largely out of legal coercion and the double pressure of public opinion, rather than from the enterprise internal consciousness and active behavior. This passive response method makes the image of enterprises in the public mind greatly reduced.</w:t>
      </w:r>
    </w:p>
    <w:p w14:paraId="181A12A5">
      <w:pPr>
        <w:spacing w:line="480" w:lineRule="auto"/>
        <w:rPr>
          <w:rFonts w:hint="default" w:ascii="Arial" w:hAnsi="Arial" w:cs="Arial"/>
          <w:sz w:val="24"/>
          <w:szCs w:val="24"/>
          <w:lang w:val="en-US" w:eastAsia="zh-CN"/>
        </w:rPr>
      </w:pPr>
    </w:p>
    <w:p w14:paraId="46EA57E2">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lack of charitable responsibility, for Pacific, represents an important link in the field of social responsibility. This not only limits the establishment of closer and positive ties with all sectors of society, but also makes the enterprise encounter considerable challenges in building a good social image and brand value. In the increasingly competitive market environment, the social image and brand value of enterprises are their intangible assets, which are of great significance for enhancing the market competitiveness and winning the trust of consumers. The lack of charity responsibility will undoubtedly make the enterprise in this aspect with half the effort, it is difficult to achieve the expected effect. Therefore, for Pacific Company, how to truly integrate charity responsibility into its corporate culture and become a conscious behavior in the future development will be an important issue for it.</w:t>
      </w:r>
    </w:p>
    <w:p w14:paraId="5C317761">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br w:type="page"/>
      </w:r>
    </w:p>
    <w:p w14:paraId="77B2FBBB">
      <w:pPr>
        <w:pStyle w:val="2"/>
        <w:bidi w:val="0"/>
        <w:spacing w:line="480" w:lineRule="auto"/>
        <w:rPr>
          <w:rFonts w:hint="default" w:ascii="Arial" w:hAnsi="Arial" w:cs="Arial"/>
          <w:sz w:val="24"/>
          <w:szCs w:val="24"/>
          <w:lang w:val="en-US" w:eastAsia="zh-CN"/>
        </w:rPr>
      </w:pPr>
      <w:bookmarkStart w:id="10" w:name="_Toc23679"/>
      <w:r>
        <w:rPr>
          <w:rFonts w:hint="default" w:ascii="Arial" w:hAnsi="Arial" w:cs="Arial"/>
          <w:sz w:val="24"/>
          <w:szCs w:val="24"/>
          <w:lang w:val="en-US" w:eastAsia="zh-CN"/>
        </w:rPr>
        <w:t>4.0 Conclusion</w:t>
      </w:r>
      <w:bookmarkEnd w:id="10"/>
    </w:p>
    <w:p w14:paraId="54538E72">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The </w:t>
      </w:r>
      <w:r>
        <w:rPr>
          <w:rFonts w:hint="eastAsia" w:ascii="Arial" w:hAnsi="Arial" w:cs="Arial"/>
          <w:sz w:val="24"/>
          <w:szCs w:val="24"/>
          <w:lang w:val="en-US" w:eastAsia="zh-CN"/>
        </w:rPr>
        <w:t xml:space="preserve">report </w:t>
      </w:r>
      <w:r>
        <w:rPr>
          <w:rFonts w:hint="default" w:ascii="Arial" w:hAnsi="Arial" w:cs="Arial"/>
          <w:sz w:val="24"/>
          <w:szCs w:val="24"/>
          <w:lang w:val="en-US" w:eastAsia="zh-CN"/>
        </w:rPr>
        <w:t>is an analysis of the pollution case filed by the US Pacific Power Gas Company. In 1996, Pacific Power Gas Company's long-term dumping of harmful industrial waste underground severely polluting water in the town of Sinkley, California, causing frequent health problems and large-scale class action lawsuits. The case eventually awarded residents $330 million in compensation, but it also exposed the Pacific's serious lack of environmental protection and corporate social responsibility. The report aims to explore business ethics by analyzing the pollution case.</w:t>
      </w:r>
    </w:p>
    <w:p w14:paraId="0D8AF742">
      <w:pPr>
        <w:spacing w:line="480" w:lineRule="auto"/>
        <w:rPr>
          <w:rFonts w:hint="default" w:ascii="Arial" w:hAnsi="Arial" w:cs="Arial"/>
          <w:sz w:val="24"/>
          <w:szCs w:val="24"/>
          <w:lang w:val="en-US" w:eastAsia="zh-CN"/>
        </w:rPr>
      </w:pPr>
    </w:p>
    <w:p w14:paraId="4471C159">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Using cultural relativism, the report points out that the American cultural context emphasizes free markets and individualism, with business practices often placed above environmental protection and social responsibility. Influenced by this cultural background, The Pacific Company has neglected its environmental protection and social responsibility in the pursuit of economic benefits. At the same time, using Carroll's corporate social responsibility pyramid theory, Pacific Company analyzes the lack of economic responsibility, legal responsibility, moral responsibility and charitable responsibility, emphasizing that enterprises should balance the harmonious coexistence with the society and the environment while creating economic value.</w:t>
      </w:r>
    </w:p>
    <w:p w14:paraId="46892081">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br w:type="page"/>
      </w:r>
    </w:p>
    <w:p w14:paraId="4D4AD9AB">
      <w:pPr>
        <w:pStyle w:val="2"/>
        <w:bidi w:val="0"/>
        <w:spacing w:line="480" w:lineRule="auto"/>
        <w:rPr>
          <w:rFonts w:hint="default" w:ascii="Arial" w:hAnsi="Arial" w:cs="Arial"/>
          <w:sz w:val="24"/>
          <w:szCs w:val="24"/>
          <w:lang w:val="en-US" w:eastAsia="zh-CN"/>
        </w:rPr>
      </w:pPr>
      <w:bookmarkStart w:id="11" w:name="_Toc20897"/>
      <w:r>
        <w:rPr>
          <w:rFonts w:hint="default" w:ascii="Arial" w:hAnsi="Arial" w:cs="Arial"/>
          <w:sz w:val="24"/>
          <w:szCs w:val="24"/>
          <w:lang w:val="en-US" w:eastAsia="zh-CN"/>
        </w:rPr>
        <w:t>5.0 Recommendation</w:t>
      </w:r>
      <w:bookmarkEnd w:id="11"/>
    </w:p>
    <w:p w14:paraId="684829C5">
      <w:pPr>
        <w:pStyle w:val="3"/>
        <w:bidi w:val="0"/>
        <w:spacing w:line="480" w:lineRule="auto"/>
        <w:rPr>
          <w:rFonts w:hint="default" w:ascii="Arial" w:hAnsi="Arial" w:cs="Arial"/>
          <w:sz w:val="24"/>
          <w:szCs w:val="24"/>
          <w:lang w:val="en-US" w:eastAsia="zh-CN"/>
        </w:rPr>
      </w:pPr>
      <w:bookmarkStart w:id="12" w:name="_Toc18406"/>
      <w:r>
        <w:rPr>
          <w:rFonts w:hint="default" w:ascii="Arial" w:hAnsi="Arial" w:cs="Arial"/>
          <w:sz w:val="24"/>
          <w:szCs w:val="24"/>
          <w:lang w:val="en-US" w:eastAsia="zh-CN"/>
        </w:rPr>
        <w:t>5.1 Strengthen the awareness of environmental protection</w:t>
      </w:r>
      <w:bookmarkEnd w:id="12"/>
    </w:p>
    <w:p w14:paraId="7809EFF4">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Enterprises should be deeply aware of the importance of environmental protection, and take it as a key element to promote the sustainable development of enterprises, and formally included in the important agenda of enterprise development. This means that enterprises should not only pursue the growth of economic benefits, but also take into account their social responsibilities to ensure that their production and operation activities are coordinated with environmental protection goals. Zhang et al. (2019) pointed out that, according to environmental regulations, the government has embedded environmental protection into the development of enterprises, and the internalization of such external environmental costs directly affects the investment decisions of enterprises. </w:t>
      </w:r>
    </w:p>
    <w:p w14:paraId="709B484A">
      <w:pPr>
        <w:spacing w:line="480" w:lineRule="auto"/>
        <w:rPr>
          <w:rFonts w:hint="default" w:ascii="Arial" w:hAnsi="Arial" w:cs="Arial"/>
          <w:sz w:val="24"/>
          <w:szCs w:val="24"/>
          <w:lang w:val="en-US" w:eastAsia="zh-CN"/>
        </w:rPr>
      </w:pPr>
    </w:p>
    <w:p w14:paraId="053800F2">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In addition, strengthening the environmental protection training and education of employees is also an indispensable part. Fang et al. (2021) shows that environmental awareness affects the green innovation ability of listed companies in heavy pollution industries. This shows that enterprises should regularly organize training courses related to environmental protection, covering environmental laws and regulations, energy conservation and emission reduction skills, pollution prevention measures and other contents, so as to improve employees' understanding level of environmental protection and practical operation ability. </w:t>
      </w:r>
    </w:p>
    <w:p w14:paraId="751D4258">
      <w:pPr>
        <w:pStyle w:val="3"/>
        <w:bidi w:val="0"/>
        <w:spacing w:line="480" w:lineRule="auto"/>
        <w:rPr>
          <w:rFonts w:hint="default" w:ascii="Arial" w:hAnsi="Arial" w:cs="Arial"/>
          <w:sz w:val="24"/>
          <w:szCs w:val="24"/>
          <w:lang w:val="en-US" w:eastAsia="zh-CN"/>
        </w:rPr>
      </w:pPr>
      <w:bookmarkStart w:id="13" w:name="_Toc453"/>
      <w:r>
        <w:rPr>
          <w:rFonts w:hint="default" w:ascii="Arial" w:hAnsi="Arial" w:cs="Arial"/>
          <w:sz w:val="24"/>
          <w:szCs w:val="24"/>
          <w:lang w:val="en-US" w:eastAsia="zh-CN"/>
        </w:rPr>
        <w:t>5.2 Abide by laws and regulations</w:t>
      </w:r>
      <w:bookmarkEnd w:id="13"/>
    </w:p>
    <w:p w14:paraId="4F135320">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Enterprises should always regard compliance with laws and regulations as the cornerstone of their operations, and ensure that all production and business activities strictly comply with national and local laws and regulations. This is not only related to the moral responsibility of enterprises, but also the premise of the steady development of enterprises. In order to achieve this goal, enterprises need to establish a sound legal compliance system and process, clearly define the legal boundary of various businesses, standardize the operation process, and prevent the economic losses and reputation damage caused by violations of laws and regulations. </w:t>
      </w:r>
    </w:p>
    <w:p w14:paraId="4C914C1B">
      <w:pPr>
        <w:spacing w:line="480" w:lineRule="auto"/>
        <w:rPr>
          <w:rFonts w:hint="default" w:ascii="Arial" w:hAnsi="Arial" w:cs="Arial"/>
          <w:sz w:val="24"/>
          <w:szCs w:val="24"/>
          <w:lang w:val="en-US" w:eastAsia="zh-CN"/>
        </w:rPr>
      </w:pPr>
    </w:p>
    <w:p w14:paraId="608850CA">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enterprise legal department or compliance team shall be responsible for monitoring the latest developments of laws and regulations, timely adjusting the enterprise policies, and ensuring that the enterprise rules and regulations are consistent with the latest regulations. At the same time, we should strengthen the prevention and control of legal risks in enterprises, conduct regular internal legal audit and risk assessment, and timely find and correct potential legal problems, so as to ensure that enterprises can move forward steadily in a complex and changeable legal environment.</w:t>
      </w:r>
      <w:r>
        <w:rPr>
          <w:rFonts w:hint="default" w:ascii="Arial" w:hAnsi="Arial" w:cs="Arial"/>
          <w:sz w:val="24"/>
          <w:szCs w:val="24"/>
          <w:lang w:val="en-US" w:eastAsia="zh-CN"/>
        </w:rPr>
        <w:br w:type="page"/>
      </w:r>
    </w:p>
    <w:p w14:paraId="6BBFCCE3">
      <w:pPr>
        <w:pStyle w:val="2"/>
        <w:bidi w:val="0"/>
        <w:spacing w:line="480" w:lineRule="auto"/>
        <w:jc w:val="center"/>
        <w:rPr>
          <w:rFonts w:hint="default" w:ascii="Arial" w:hAnsi="Arial" w:eastAsia="宋体" w:cs="Arial"/>
          <w:sz w:val="24"/>
          <w:szCs w:val="24"/>
        </w:rPr>
      </w:pPr>
      <w:bookmarkStart w:id="14" w:name="_Toc25875"/>
      <w:r>
        <w:rPr>
          <w:rFonts w:hint="default" w:ascii="Arial" w:hAnsi="Arial" w:cs="Arial"/>
          <w:sz w:val="24"/>
          <w:szCs w:val="24"/>
          <w:lang w:val="en-US" w:eastAsia="zh-CN"/>
        </w:rPr>
        <w:t>Reference</w:t>
      </w:r>
      <w:bookmarkEnd w:id="14"/>
    </w:p>
    <w:p w14:paraId="7392622F">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Andriukaitiene, R. (2023). Corporate social responsibility: new approaches to the application of the Carroll CSR pyramid.</w:t>
      </w:r>
    </w:p>
    <w:p w14:paraId="3C7FE73F">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Bakos, J., Siu, M., Orengo, A., &amp; Kasiri, N. (2020). An analysis of environmental sustainability in small &amp; medium‐sized enterprises: Patterns and trends. Business Strategy and the Environment, 29(3), 1285-1296.</w:t>
      </w:r>
    </w:p>
    <w:p w14:paraId="307E4111">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Carroll, A. B. (2021). Corporate social responsibility (CSR) and the COVID-19 pandemic: Organizational and managerial implications. Journal of Strategy and Management, 14(3), 315-330.</w:t>
      </w:r>
    </w:p>
    <w:p w14:paraId="19FFE8E5">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Castro, C., &amp; Lopes, C. (2022). Digital government and sustainable development. Journal of the Knowledge Economy, 13(2), 880-903.</w:t>
      </w:r>
    </w:p>
    <w:p w14:paraId="326AEE7B">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Chen, C. H. (2022). The mediating effect of corporate culture on the relationship between business model innovation and corporate social responsibility: A perspective from small-and medium-sized enterprises. Asia Pacific Management Review, 27(4), 312-319.</w:t>
      </w:r>
    </w:p>
    <w:p w14:paraId="2B860052">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Chufama, M., Sithole, F., &amp; Utaumire, Y. (2021). A review of corporate social responsibility theories and models. International Journal of Economics, Commerce and Management IX, 9(3), 104-19.</w:t>
      </w:r>
    </w:p>
    <w:p w14:paraId="6FBE5426">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Fang, Z., Kong, X., Sensoy, A., Cui, X., &amp; Cheng, F. (2021). Government’s awareness of environmental protection and corporate green innovation: A natural experiment from the new environmental protection law in China. Economic Analysis and Policy, 70, 294-312.</w:t>
      </w:r>
    </w:p>
    <w:p w14:paraId="4E00BB0F">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Ferrell, O. C. (2021). Addressing socio-ecological issues in marketing: environmental, social and governance (ESG). AMS review, 11(1), 140-144.</w:t>
      </w:r>
    </w:p>
    <w:p w14:paraId="06256823">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Gaitho, N. (2022). Critical Analysis of the prevailing worldviews and value systems in relation to how they are shaped by culture and identity. European Journal of Social Sciences Studies, 7(2).</w:t>
      </w:r>
    </w:p>
    <w:p w14:paraId="16073ED1">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Gao, Y., Ma, Y., Bai, K., Li, Y., &amp; Liu, X. (2021). Which factors influence individual pro-environmental behavior in the tourism context: rationality, affect, or morality?. Asia Pacific Journal of Tourism Research, 26(5), 516-538.</w:t>
      </w:r>
    </w:p>
    <w:p w14:paraId="4C2DD0D6">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Halkos, G., &amp; Gkampoura, E. C. (2021). Where do we stand on the 17 Sustainable Development Goals? An overview on progress. Economic Analysis and Policy, 70, 94-122.</w:t>
      </w:r>
    </w:p>
    <w:p w14:paraId="22316EED">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Haski-Leventhal, D. (2021). Strategic corporate social responsibility: A holistic approach to responsible and sustainable Business.</w:t>
      </w:r>
    </w:p>
    <w:p w14:paraId="03AF2DBE">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Huong, N. N. B. T., Thang, N. Q., Le Oanh, D., &amp; Nga, V. T. (2023). Corporate Social Responsibility for Consumer Protection from the Perspective of Competition Law. In Laws on Corporate Social Responsibility and the Developmental Trend in Vietnam (pp. 171-185). Singapore: Springer Nature Singapore.</w:t>
      </w:r>
    </w:p>
    <w:p w14:paraId="510B66A7">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Khuong, M. N., Truong An, N. K., &amp; Thanh Hang, T. T. (2021). Stakeholders and Corporate Social Responsibility (CSR) programme as key sustainable development strategies to promote corporate reputation—evidence from vietnam. Cogent Business &amp; Management, 8(1), 1917333.</w:t>
      </w:r>
    </w:p>
    <w:p w14:paraId="380FFF68">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Kong, L., Sial, M. S., Ahmad, N., Sehleanu, M., Li, Z., Zia-Ud-Din, M., &amp; Badulescu, D. (2021). CSR as a potential motivator to shape employees’ view towards nature for a sustainable workplace environment. Sustainability, 13(3), 1499.</w:t>
      </w:r>
    </w:p>
    <w:p w14:paraId="262C1E00">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 xml:space="preserve">Lantos, G. P. (2001). The boundaries of strategic corporate social responsibility. Journal of Consumer Marketing, 18 (7), 595–632. </w:t>
      </w:r>
      <w:r>
        <w:rPr>
          <w:rFonts w:hint="default" w:ascii="Arial" w:hAnsi="Arial" w:eastAsia="宋体" w:cs="Arial"/>
          <w:sz w:val="24"/>
          <w:szCs w:val="24"/>
        </w:rPr>
        <w:fldChar w:fldCharType="begin"/>
      </w:r>
      <w:r>
        <w:rPr>
          <w:rFonts w:hint="default" w:ascii="Arial" w:hAnsi="Arial" w:eastAsia="宋体" w:cs="Arial"/>
          <w:sz w:val="24"/>
          <w:szCs w:val="24"/>
        </w:rPr>
        <w:instrText xml:space="preserve"> HYPERLINK "http://dx.doi.org/10.1108/07363760110410281" </w:instrText>
      </w:r>
      <w:r>
        <w:rPr>
          <w:rFonts w:hint="default" w:ascii="Arial" w:hAnsi="Arial" w:eastAsia="宋体" w:cs="Arial"/>
          <w:sz w:val="24"/>
          <w:szCs w:val="24"/>
        </w:rPr>
        <w:fldChar w:fldCharType="separate"/>
      </w:r>
      <w:r>
        <w:rPr>
          <w:rStyle w:val="11"/>
          <w:rFonts w:hint="default" w:ascii="Arial" w:hAnsi="Arial" w:eastAsia="宋体" w:cs="Arial"/>
          <w:sz w:val="24"/>
          <w:szCs w:val="24"/>
        </w:rPr>
        <w:t>http://dx.doi.org/10.1108/07363760110410281</w:t>
      </w:r>
      <w:r>
        <w:rPr>
          <w:rFonts w:hint="default" w:ascii="Arial" w:hAnsi="Arial" w:eastAsia="宋体" w:cs="Arial"/>
          <w:sz w:val="24"/>
          <w:szCs w:val="24"/>
        </w:rPr>
        <w:fldChar w:fldCharType="end"/>
      </w:r>
    </w:p>
    <w:p w14:paraId="08F14290">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Mai, N. K., Nguyen, A. K. T., &amp; Nguyen, T. T. (2021). Implementation of corporate social responsibility strategy to enhance firm reputation and competitive advantage. Journal of Competitiveness, (4).</w:t>
      </w:r>
    </w:p>
    <w:p w14:paraId="4E2B273C">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Markovic, S., Iglesias, O., Qiu, Y., &amp; Bagherzadeh, M. (2022). The CSR imperative: How CSR influences word-of-mouth considering the roles of authenticity and alternative attractiveness. Business &amp; Society, 61(7), 1773-1803.</w:t>
      </w:r>
    </w:p>
    <w:p w14:paraId="74622D1B">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Matthews, L., &amp; Ingram, C. (2024). Corporate social responsibility. In Concise Encyclopedia of Corporate Social Responsibility (pp. 43-54). Edward Elgar Publishing.</w:t>
      </w:r>
    </w:p>
    <w:p w14:paraId="03B1C5F1">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Nickerson, C. (2023). Cultural relativism: Definition and examples. Simply Psychology.</w:t>
      </w:r>
    </w:p>
    <w:p w14:paraId="74570DD3">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Okafor, A., Adeleye, B. N., &amp; Adusei, M. (2021). Corporate social responsibility and financial performance: Evidence from US tech firms. Journal of cleaner production, 292, 126078.</w:t>
      </w:r>
    </w:p>
    <w:p w14:paraId="10DB2385">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Österman, T. (2021). Cultural relativism and understanding difference. Language &amp; Communication, 80, 124-135.</w:t>
      </w:r>
    </w:p>
    <w:p w14:paraId="79C07B45">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Silva Junior, A. D., Martins-Silva, P. D. O., Coelho, V. D., &amp; Sousa, A. F. D. (2023). The corporate social responsibility pyramid: its evolution and the proposal of the spinner, a theoretical refinement. Social Responsibility Journal, 19(2), 358-376.</w:t>
      </w:r>
    </w:p>
    <w:p w14:paraId="6E9A7338">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Stout, L. A. (2012). The Shareholder Value Myth: How Putting Shareholders First Harms Investors, Corporations, and the Public.</w:t>
      </w:r>
    </w:p>
    <w:p w14:paraId="6538DD65">
      <w:pPr>
        <w:numPr>
          <w:ilvl w:val="0"/>
          <w:numId w:val="1"/>
        </w:numPr>
        <w:spacing w:line="480" w:lineRule="auto"/>
        <w:ind w:left="425" w:leftChars="0" w:hanging="425" w:firstLineChars="0"/>
        <w:rPr>
          <w:rFonts w:hint="default" w:ascii="Arial" w:hAnsi="Arial" w:cs="Arial"/>
          <w:sz w:val="24"/>
          <w:szCs w:val="24"/>
        </w:rPr>
      </w:pPr>
      <w:r>
        <w:rPr>
          <w:rFonts w:hint="default" w:ascii="Arial" w:hAnsi="Arial" w:cs="Arial"/>
          <w:sz w:val="24"/>
          <w:szCs w:val="24"/>
        </w:rPr>
        <w:t>Stovall, T. (2021). White freedom: The racial history of an idea. Princeton University Press.</w:t>
      </w:r>
    </w:p>
    <w:p w14:paraId="013B5E72">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Zhang, L., Cao, C., Tang, F., He, J., &amp; Li, D. (2019). Does China’s emissions trading system foster corporate green innovation? Evidence from regulating listed companies. Technology Analysis &amp; Strategic Management, 31(2), 199-212.</w:t>
      </w:r>
    </w:p>
    <w:p w14:paraId="7C4B470B">
      <w:pPr>
        <w:numPr>
          <w:ilvl w:val="0"/>
          <w:numId w:val="1"/>
        </w:numPr>
        <w:spacing w:line="480" w:lineRule="auto"/>
        <w:ind w:left="425" w:leftChars="0" w:hanging="425" w:firstLineChars="0"/>
        <w:rPr>
          <w:rFonts w:hint="default" w:ascii="Arial" w:hAnsi="Arial" w:eastAsia="宋体" w:cs="Arial"/>
          <w:sz w:val="24"/>
          <w:szCs w:val="24"/>
        </w:rPr>
      </w:pPr>
      <w:r>
        <w:rPr>
          <w:rFonts w:hint="default" w:ascii="Arial" w:hAnsi="Arial" w:eastAsia="宋体" w:cs="Arial"/>
          <w:sz w:val="24"/>
          <w:szCs w:val="24"/>
        </w:rPr>
        <w:t>Zhang, T. (2023). A Study of the Impact of Corporate Social Responsibility on Organisational Performance. Journal of Progress in Engineering and Physical Science, 2(2), 40-47.</w:t>
      </w:r>
    </w:p>
    <w:p w14:paraId="2E48B7EC">
      <w:pPr>
        <w:rPr>
          <w:rFonts w:hint="default"/>
          <w:lang w:val="en-US" w:eastAsia="zh-CN"/>
        </w:rPr>
      </w:pPr>
    </w:p>
    <w:sectPr>
      <w:footerReference r:id="rId3" w:type="default"/>
      <w:pgSz w:w="11906" w:h="16838"/>
      <w:pgMar w:top="1440" w:right="1800" w:bottom="1440" w:left="1800" w:header="851" w:footer="992"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81922">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EDADF7">
                          <w:pPr>
                            <w:pStyle w:val="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2EDADF7">
                    <w:pPr>
                      <w:pStyle w:val="4"/>
                    </w:pPr>
                    <w:r>
                      <w:fldChar w:fldCharType="begin"/>
                    </w:r>
                    <w:r>
                      <w:instrText xml:space="preserve"> PAGE  \* MERGEFORMAT </w:instrText>
                    </w:r>
                    <w:r>
                      <w:fldChar w:fldCharType="separate"/>
                    </w:r>
                    <w: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B97AAB"/>
    <w:multiLevelType w:val="singleLevel"/>
    <w:tmpl w:val="7EB97AAB"/>
    <w:lvl w:ilvl="0" w:tentative="0">
      <w:start w:val="1"/>
      <w:numFmt w:val="decimal"/>
      <w:lvlText w:val="【%1】"/>
      <w:lvlJc w:val="left"/>
      <w:pPr>
        <w:tabs>
          <w:tab w:val="left" w:pos="420"/>
        </w:tabs>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80873"/>
    <w:rsid w:val="01053D4B"/>
    <w:rsid w:val="0ED91C40"/>
    <w:rsid w:val="10EC0376"/>
    <w:rsid w:val="126660CC"/>
    <w:rsid w:val="17A056D1"/>
    <w:rsid w:val="22885E13"/>
    <w:rsid w:val="237464B5"/>
    <w:rsid w:val="2D686926"/>
    <w:rsid w:val="3D1D6D77"/>
    <w:rsid w:val="3E741203"/>
    <w:rsid w:val="3F8D6285"/>
    <w:rsid w:val="40471FFA"/>
    <w:rsid w:val="418B58D5"/>
    <w:rsid w:val="51DB2E3D"/>
    <w:rsid w:val="5715646F"/>
    <w:rsid w:val="5A86312A"/>
    <w:rsid w:val="5F7858AF"/>
    <w:rsid w:val="63647537"/>
    <w:rsid w:val="7F635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 w:cs="Times New Roman"/>
      <w:spacing w:val="0"/>
      <w:kern w:val="21"/>
      <w:position w:val="0"/>
      <w:sz w:val="24"/>
      <w:szCs w:val="24"/>
      <w:u w:val="none" w:color="FF0000"/>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楷体"/>
      <w:b/>
      <w:sz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table" w:styleId="9">
    <w:name w:val="Table Grid"/>
    <w:basedOn w:val="8"/>
    <w:qFormat/>
    <w:uiPriority w:val="39"/>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3366</Words>
  <Characters>20140</Characters>
  <Lines>0</Lines>
  <Paragraphs>0</Paragraphs>
  <TotalTime>41</TotalTime>
  <ScaleCrop>false</ScaleCrop>
  <LinksUpToDate>false</LinksUpToDate>
  <CharactersWithSpaces>23440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2022-01-05T06:20:00Z</dcterms:created>
  <dc:creator>HONOR</dc:creator>
  <cp:lastModifiedBy>。</cp:lastModifiedBy>
  <dcterms:modified xsi:type="dcterms:W3CDTF">2025-01-09T20:35:20Z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2D0D256DE78D4F7BAD3938ADB08E94D7</vt:lpwstr>
  </property>
  <property fmtid="{D5CDD505-2E9C-101B-9397-08002B2CF9AE}" pid="4" name="KSOTemplateDocerSaveRecord">
    <vt:lpwstr>eyJoZGlkIjoiN2YzNjBkOTgyNWQ1YTMxYzM3MzMwNWFiODNmOWIzYWMiLCJ1c2VySWQiOiI0MTIyMTExMDkifQ==</vt:lpwstr>
  </property>
</Properties>
</file>