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4542" w:rsidRDefault="00F5613C" w:rsidP="00F5613C">
      <w:pPr>
        <w:rPr>
          <w:b/>
          <w:bCs/>
          <w:sz w:val="32"/>
          <w:szCs w:val="32"/>
        </w:rPr>
      </w:pPr>
      <w:r w:rsidRPr="00F5613C">
        <w:rPr>
          <w:b/>
          <w:bCs/>
          <w:noProof/>
          <w:sz w:val="32"/>
          <w:szCs w:val="32"/>
          <w:lang w:eastAsia="en-US" w:bidi="ar-SA"/>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A24542" w:rsidRDefault="00A24542">
      <w:pPr>
        <w:jc w:val="center"/>
        <w:rPr>
          <w:b/>
          <w:bCs/>
          <w:sz w:val="32"/>
          <w:szCs w:val="32"/>
        </w:rPr>
      </w:pPr>
    </w:p>
    <w:p w:rsidR="00A24542" w:rsidRDefault="00A24542">
      <w:pPr>
        <w:jc w:val="center"/>
        <w:rPr>
          <w:b/>
          <w:bCs/>
          <w:sz w:val="32"/>
          <w:szCs w:val="32"/>
        </w:rPr>
      </w:pPr>
    </w:p>
    <w:p w:rsidR="00A24542" w:rsidRDefault="00A24542">
      <w:pPr>
        <w:jc w:val="center"/>
        <w:rPr>
          <w:b/>
          <w:bCs/>
          <w:sz w:val="32"/>
          <w:szCs w:val="32"/>
        </w:rPr>
      </w:pPr>
    </w:p>
    <w:p w:rsidR="00F5613C" w:rsidRPr="0073759D" w:rsidRDefault="0073759D"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sidRPr="0073759D">
        <w:rPr>
          <w:rFonts w:asciiTheme="minorHAnsi" w:eastAsia="Times New Roman" w:hAnsiTheme="minorHAnsi" w:cs="Times New Roman"/>
          <w:b/>
          <w:bCs/>
          <w:color w:val="222222"/>
          <w:sz w:val="32"/>
          <w:szCs w:val="32"/>
          <w:highlight w:val="white"/>
        </w:rPr>
        <w:t xml:space="preserve">Module Code </w:t>
      </w:r>
      <w:r w:rsidR="00F5613C" w:rsidRPr="0073759D">
        <w:rPr>
          <w:rFonts w:asciiTheme="minorHAnsi" w:eastAsia="Times New Roman" w:hAnsiTheme="minorHAnsi" w:cs="Times New Roman"/>
          <w:b/>
          <w:bCs/>
          <w:color w:val="222222"/>
          <w:sz w:val="32"/>
          <w:szCs w:val="32"/>
          <w:highlight w:val="white"/>
        </w:rPr>
        <w:t>: LCMB7002</w:t>
      </w:r>
    </w:p>
    <w:p w:rsidR="00F5613C" w:rsidRPr="0073759D" w:rsidRDefault="0073759D"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Pr>
          <w:rFonts w:asciiTheme="minorHAnsi" w:eastAsia="Times New Roman" w:hAnsiTheme="minorHAnsi" w:cs="Times New Roman"/>
          <w:b/>
          <w:bCs/>
          <w:color w:val="222222"/>
          <w:sz w:val="32"/>
          <w:szCs w:val="32"/>
          <w:highlight w:val="white"/>
        </w:rPr>
        <w:t xml:space="preserve">Module Name </w:t>
      </w:r>
      <w:r w:rsidR="00F5613C" w:rsidRPr="0073759D">
        <w:rPr>
          <w:rFonts w:asciiTheme="minorHAnsi" w:eastAsia="Times New Roman" w:hAnsiTheme="minorHAnsi" w:cs="Times New Roman"/>
          <w:b/>
          <w:bCs/>
          <w:color w:val="222222"/>
          <w:sz w:val="32"/>
          <w:szCs w:val="32"/>
          <w:highlight w:val="white"/>
        </w:rPr>
        <w:t xml:space="preserve">: Financial Management </w:t>
      </w:r>
    </w:p>
    <w:p w:rsidR="00F5613C" w:rsidRPr="0073759D" w:rsidRDefault="0073759D"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Pr>
          <w:rFonts w:asciiTheme="minorHAnsi" w:eastAsia="Times New Roman" w:hAnsiTheme="minorHAnsi" w:cs="Times New Roman"/>
          <w:b/>
          <w:bCs/>
          <w:color w:val="222222"/>
          <w:sz w:val="32"/>
          <w:szCs w:val="32"/>
          <w:highlight w:val="white"/>
        </w:rPr>
        <w:t>Topic: Assessment Component</w:t>
      </w:r>
      <w:r w:rsidR="00F5613C" w:rsidRPr="0073759D">
        <w:rPr>
          <w:rFonts w:asciiTheme="minorHAnsi" w:eastAsia="Times New Roman" w:hAnsiTheme="minorHAnsi" w:cs="Times New Roman"/>
          <w:b/>
          <w:bCs/>
          <w:color w:val="222222"/>
          <w:sz w:val="32"/>
          <w:szCs w:val="32"/>
          <w:highlight w:val="white"/>
        </w:rPr>
        <w:t xml:space="preserve"> : Financial Performance and Management</w:t>
      </w:r>
    </w:p>
    <w:p w:rsidR="00F5613C" w:rsidRPr="0073759D" w:rsidRDefault="0073759D"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Pr>
          <w:rFonts w:asciiTheme="minorHAnsi" w:eastAsia="Times New Roman" w:hAnsiTheme="minorHAnsi" w:cs="Times New Roman"/>
          <w:b/>
          <w:bCs/>
          <w:color w:val="222222"/>
          <w:sz w:val="32"/>
          <w:szCs w:val="32"/>
          <w:highlight w:val="white"/>
        </w:rPr>
        <w:t>Student ID: 2508635</w:t>
      </w:r>
    </w:p>
    <w:p w:rsidR="00F5613C" w:rsidRPr="0073759D" w:rsidRDefault="00F5613C"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sidRPr="0073759D">
        <w:rPr>
          <w:rFonts w:asciiTheme="minorHAnsi" w:eastAsia="Times New Roman" w:hAnsiTheme="minorHAnsi" w:cs="Times New Roman"/>
          <w:b/>
          <w:bCs/>
          <w:color w:val="222222"/>
          <w:sz w:val="32"/>
          <w:szCs w:val="32"/>
          <w:highlight w:val="white"/>
        </w:rPr>
        <w:t xml:space="preserve">Student Name: </w:t>
      </w:r>
      <w:r w:rsidR="0073759D">
        <w:rPr>
          <w:rFonts w:asciiTheme="minorHAnsi" w:eastAsia="Times New Roman" w:hAnsiTheme="minorHAnsi" w:cs="Times New Roman"/>
          <w:b/>
          <w:bCs/>
          <w:color w:val="222222"/>
          <w:sz w:val="32"/>
          <w:szCs w:val="32"/>
          <w:highlight w:val="white"/>
        </w:rPr>
        <w:t>Deep Jitubhai Viththani</w:t>
      </w:r>
    </w:p>
    <w:p w:rsidR="00F5613C" w:rsidRPr="0073759D" w:rsidRDefault="0073759D"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Pr>
          <w:rFonts w:asciiTheme="minorHAnsi" w:eastAsia="Times New Roman" w:hAnsiTheme="minorHAnsi" w:cs="Times New Roman"/>
          <w:b/>
          <w:bCs/>
          <w:color w:val="222222"/>
          <w:sz w:val="32"/>
          <w:szCs w:val="32"/>
          <w:highlight w:val="white"/>
        </w:rPr>
        <w:t>Programme : Master of Business Administration</w:t>
      </w:r>
    </w:p>
    <w:p w:rsidR="00F5613C" w:rsidRPr="0073759D" w:rsidRDefault="0073759D"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Pr>
          <w:rFonts w:asciiTheme="minorHAnsi" w:eastAsia="Times New Roman" w:hAnsiTheme="minorHAnsi" w:cs="Times New Roman"/>
          <w:b/>
          <w:bCs/>
          <w:color w:val="222222"/>
          <w:sz w:val="32"/>
          <w:szCs w:val="32"/>
          <w:highlight w:val="white"/>
        </w:rPr>
        <w:t>Lecturer</w:t>
      </w:r>
      <w:r w:rsidR="00F5613C" w:rsidRPr="0073759D">
        <w:rPr>
          <w:rFonts w:asciiTheme="minorHAnsi" w:eastAsia="Times New Roman" w:hAnsiTheme="minorHAnsi" w:cs="Times New Roman"/>
          <w:b/>
          <w:bCs/>
          <w:color w:val="222222"/>
          <w:sz w:val="32"/>
          <w:szCs w:val="32"/>
          <w:highlight w:val="white"/>
        </w:rPr>
        <w:t xml:space="preserve"> : Isaiah Oino</w:t>
      </w:r>
    </w:p>
    <w:p w:rsidR="00F5613C" w:rsidRPr="0073759D" w:rsidRDefault="00F5613C" w:rsidP="00F5613C">
      <w:pPr>
        <w:pStyle w:val="normal0"/>
        <w:spacing w:before="240" w:after="240" w:line="360" w:lineRule="auto"/>
        <w:jc w:val="center"/>
        <w:rPr>
          <w:rFonts w:asciiTheme="minorHAnsi" w:eastAsia="Times New Roman" w:hAnsiTheme="minorHAnsi" w:cs="Times New Roman"/>
          <w:b/>
          <w:bCs/>
          <w:color w:val="222222"/>
          <w:sz w:val="32"/>
          <w:szCs w:val="32"/>
          <w:highlight w:val="white"/>
        </w:rPr>
      </w:pPr>
      <w:r w:rsidRPr="0073759D">
        <w:rPr>
          <w:rFonts w:asciiTheme="minorHAnsi" w:eastAsia="Times New Roman" w:hAnsiTheme="minorHAnsi" w:cs="Times New Roman"/>
          <w:b/>
          <w:bCs/>
          <w:color w:val="222222"/>
          <w:sz w:val="32"/>
          <w:szCs w:val="32"/>
          <w:highlight w:val="white"/>
        </w:rPr>
        <w:t>Word Count: 5,000</w:t>
      </w:r>
    </w:p>
    <w:p w:rsidR="00A24542" w:rsidRDefault="00A24542" w:rsidP="00F5613C">
      <w:pPr>
        <w:jc w:val="left"/>
        <w:rPr>
          <w:b/>
          <w:bCs/>
          <w:sz w:val="32"/>
          <w:szCs w:val="32"/>
        </w:rPr>
      </w:pPr>
    </w:p>
    <w:p w:rsidR="00A24542" w:rsidRDefault="00A24542" w:rsidP="00F5613C">
      <w:pPr>
        <w:rPr>
          <w:b/>
          <w:bCs/>
          <w:sz w:val="32"/>
          <w:szCs w:val="32"/>
        </w:rPr>
      </w:pPr>
    </w:p>
    <w:p w:rsidR="00A24542" w:rsidRDefault="00A24542"/>
    <w:p w:rsidR="00A24542" w:rsidRDefault="00A24542">
      <w:pPr>
        <w:pStyle w:val="Heading2"/>
        <w:keepNext w:val="0"/>
        <w:keepLines w:val="0"/>
        <w:spacing w:before="0" w:after="0"/>
        <w:rPr>
          <w:sz w:val="24"/>
          <w:szCs w:val="24"/>
        </w:rPr>
      </w:pPr>
      <w:bookmarkStart w:id="0" w:name="_kof34yoo3g9d" w:colFirst="0" w:colLast="0"/>
      <w:bookmarkEnd w:id="0"/>
    </w:p>
    <w:p w:rsidR="00A24542" w:rsidRDefault="00F5613C">
      <w:pPr>
        <w:pStyle w:val="Heading2"/>
        <w:keepNext w:val="0"/>
        <w:keepLines w:val="0"/>
        <w:spacing w:before="0" w:after="0"/>
        <w:rPr>
          <w:sz w:val="24"/>
          <w:szCs w:val="24"/>
        </w:rPr>
      </w:pPr>
      <w:bookmarkStart w:id="1" w:name="_Toc217243029"/>
      <w:r>
        <w:rPr>
          <w:sz w:val="24"/>
          <w:szCs w:val="24"/>
        </w:rPr>
        <w:t>Executive Summary</w:t>
      </w:r>
      <w:bookmarkEnd w:id="1"/>
      <w:r>
        <w:rPr>
          <w:sz w:val="24"/>
          <w:szCs w:val="24"/>
        </w:rPr>
        <w:t xml:space="preserve"> </w:t>
      </w:r>
    </w:p>
    <w:p w:rsidR="00A24542" w:rsidRDefault="00F5613C">
      <w:r>
        <w:t>Based on financial information from 2020 to 2024, the report evaluates the company's liquidity condition, its financial results, and investment strategy choices. According to the financial health report, profitability has drastically decreased over that time. In 2023 and 2024, the operating margin, earnings per share, return on equity, and net profit margin all turned negative. This confirms extreme decadence in earnings. Although the current and quick ratios were trending downward, indicating increasing short-term financial strain, liquidity was not at the minimal safety levels. Efficiency ratios show how poor turnover of inventories and slow receivables collection undermine operating cash flows. The interest coverage turned negative, a sign of severe financial difficulty, while the debt-to-equity ratio sharply rose. The Altman Z-score demonstrates that the business is in a distressed location and faces a significant default risk. According to the working capital analysis, the cash operating cycle is lengthy and inefficient, peaking at 140 days before slightly declining to 115 days in 2024. Cost effectiveness and market strength can both be enhanced by a smart merger. The recovery of leverage and solvency depends heavily on the capital infusion. International and ethical concerns including taxes, currency risk, inflation, and corporate social responsibility are also taken into account by the strategies. According to the investment analysis based on PBP, ARR, NPV, PI, and IRR, Project C is the most feasible investment. Despite having a longer payback period, it provides the best NPV and ARR. Because Project C maximizes shareholder value and contributes to long-term financial recovery, it is recommended under capital rationing.</w:t>
      </w:r>
    </w:p>
    <w:p w:rsidR="00A24542" w:rsidRDefault="00F5613C">
      <w:pPr>
        <w:pStyle w:val="Heading1"/>
      </w:pPr>
      <w:bookmarkStart w:id="2" w:name="_d1blil33gqsz" w:colFirst="0" w:colLast="0"/>
      <w:bookmarkEnd w:id="2"/>
      <w:r>
        <w:br w:type="page"/>
      </w:r>
    </w:p>
    <w:p w:rsidR="00A24542" w:rsidRDefault="00F5613C">
      <w:pPr>
        <w:jc w:val="center"/>
        <w:rPr>
          <w:b/>
          <w:bCs/>
          <w:sz w:val="32"/>
          <w:szCs w:val="32"/>
        </w:rPr>
      </w:pPr>
      <w:r>
        <w:rPr>
          <w:b/>
          <w:bCs/>
          <w:sz w:val="32"/>
          <w:szCs w:val="32"/>
        </w:rPr>
        <w:lastRenderedPageBreak/>
        <w:t>Table of contents</w:t>
      </w:r>
    </w:p>
    <w:sdt>
      <w:sdtPr>
        <w:rPr>
          <w:rFonts w:ascii="Times New Roman" w:eastAsia="Times New Roman" w:hAnsi="Times New Roman" w:cs="Times New Roman"/>
          <w:b w:val="0"/>
          <w:bCs w:val="0"/>
          <w:color w:val="auto"/>
          <w:sz w:val="24"/>
          <w:szCs w:val="24"/>
          <w:lang w:eastAsia="en-IN" w:bidi="hi-IN"/>
        </w:rPr>
        <w:id w:val="319044891"/>
        <w:docPartObj>
          <w:docPartGallery w:val="Table of Contents"/>
          <w:docPartUnique/>
        </w:docPartObj>
      </w:sdtPr>
      <w:sdtContent>
        <w:p w:rsidR="00F5613C" w:rsidRDefault="00F5613C">
          <w:pPr>
            <w:pStyle w:val="TOCHeading"/>
          </w:pPr>
          <w:r>
            <w:t>Table of Contents</w:t>
          </w:r>
        </w:p>
        <w:p w:rsidR="00F5613C" w:rsidRDefault="000D7359">
          <w:pPr>
            <w:pStyle w:val="TOC2"/>
            <w:tabs>
              <w:tab w:val="right" w:leader="dot" w:pos="9350"/>
            </w:tabs>
            <w:rPr>
              <w:noProof/>
            </w:rPr>
          </w:pPr>
          <w:r w:rsidRPr="000D7359">
            <w:fldChar w:fldCharType="begin"/>
          </w:r>
          <w:r w:rsidR="00F5613C">
            <w:instrText xml:space="preserve"> TOC \o "1-3" \h \z \u </w:instrText>
          </w:r>
          <w:r w:rsidRPr="000D7359">
            <w:fldChar w:fldCharType="separate"/>
          </w:r>
          <w:hyperlink w:anchor="_Toc217243029" w:history="1">
            <w:r w:rsidR="00F5613C" w:rsidRPr="00917248">
              <w:rPr>
                <w:rStyle w:val="Hyperlink"/>
                <w:noProof/>
              </w:rPr>
              <w:t>Executive Summary</w:t>
            </w:r>
            <w:r w:rsidR="00F5613C">
              <w:rPr>
                <w:noProof/>
                <w:webHidden/>
              </w:rPr>
              <w:tab/>
            </w:r>
            <w:r>
              <w:rPr>
                <w:noProof/>
                <w:webHidden/>
              </w:rPr>
              <w:fldChar w:fldCharType="begin"/>
            </w:r>
            <w:r w:rsidR="00F5613C">
              <w:rPr>
                <w:noProof/>
                <w:webHidden/>
              </w:rPr>
              <w:instrText xml:space="preserve"> PAGEREF _Toc217243029 \h </w:instrText>
            </w:r>
            <w:r>
              <w:rPr>
                <w:noProof/>
                <w:webHidden/>
              </w:rPr>
            </w:r>
            <w:r>
              <w:rPr>
                <w:noProof/>
                <w:webHidden/>
              </w:rPr>
              <w:fldChar w:fldCharType="separate"/>
            </w:r>
            <w:r w:rsidR="00F5613C">
              <w:rPr>
                <w:noProof/>
                <w:webHidden/>
              </w:rPr>
              <w:t>1</w:t>
            </w:r>
            <w:r>
              <w:rPr>
                <w:noProof/>
                <w:webHidden/>
              </w:rPr>
              <w:fldChar w:fldCharType="end"/>
            </w:r>
          </w:hyperlink>
        </w:p>
        <w:p w:rsidR="00F5613C" w:rsidRDefault="000D7359">
          <w:pPr>
            <w:pStyle w:val="TOC1"/>
            <w:tabs>
              <w:tab w:val="right" w:leader="dot" w:pos="9350"/>
            </w:tabs>
            <w:rPr>
              <w:noProof/>
            </w:rPr>
          </w:pPr>
          <w:hyperlink w:anchor="_Toc217243030" w:history="1">
            <w:r w:rsidR="00F5613C" w:rsidRPr="00917248">
              <w:rPr>
                <w:rStyle w:val="Hyperlink"/>
                <w:noProof/>
              </w:rPr>
              <w:t>1. Financial Health Analysis</w:t>
            </w:r>
            <w:r w:rsidR="00F5613C">
              <w:rPr>
                <w:noProof/>
                <w:webHidden/>
              </w:rPr>
              <w:tab/>
            </w:r>
            <w:r>
              <w:rPr>
                <w:noProof/>
                <w:webHidden/>
              </w:rPr>
              <w:fldChar w:fldCharType="begin"/>
            </w:r>
            <w:r w:rsidR="00F5613C">
              <w:rPr>
                <w:noProof/>
                <w:webHidden/>
              </w:rPr>
              <w:instrText xml:space="preserve"> PAGEREF _Toc217243030 \h </w:instrText>
            </w:r>
            <w:r>
              <w:rPr>
                <w:noProof/>
                <w:webHidden/>
              </w:rPr>
            </w:r>
            <w:r>
              <w:rPr>
                <w:noProof/>
                <w:webHidden/>
              </w:rPr>
              <w:fldChar w:fldCharType="separate"/>
            </w:r>
            <w:r w:rsidR="00F5613C">
              <w:rPr>
                <w:noProof/>
                <w:webHidden/>
              </w:rPr>
              <w:t>4</w:t>
            </w:r>
            <w:r>
              <w:rPr>
                <w:noProof/>
                <w:webHidden/>
              </w:rPr>
              <w:fldChar w:fldCharType="end"/>
            </w:r>
          </w:hyperlink>
        </w:p>
        <w:p w:rsidR="00F5613C" w:rsidRDefault="000D7359">
          <w:pPr>
            <w:pStyle w:val="TOC2"/>
            <w:tabs>
              <w:tab w:val="right" w:leader="dot" w:pos="9350"/>
            </w:tabs>
            <w:rPr>
              <w:noProof/>
            </w:rPr>
          </w:pPr>
          <w:hyperlink w:anchor="_Toc217243031" w:history="1">
            <w:r w:rsidR="00F5613C" w:rsidRPr="00917248">
              <w:rPr>
                <w:rStyle w:val="Hyperlink"/>
                <w:noProof/>
              </w:rPr>
              <w:t>1.1. Introduction to financial analysis</w:t>
            </w:r>
            <w:r w:rsidR="00F5613C">
              <w:rPr>
                <w:noProof/>
                <w:webHidden/>
              </w:rPr>
              <w:tab/>
            </w:r>
            <w:r>
              <w:rPr>
                <w:noProof/>
                <w:webHidden/>
              </w:rPr>
              <w:fldChar w:fldCharType="begin"/>
            </w:r>
            <w:r w:rsidR="00F5613C">
              <w:rPr>
                <w:noProof/>
                <w:webHidden/>
              </w:rPr>
              <w:instrText xml:space="preserve"> PAGEREF _Toc217243031 \h </w:instrText>
            </w:r>
            <w:r>
              <w:rPr>
                <w:noProof/>
                <w:webHidden/>
              </w:rPr>
            </w:r>
            <w:r>
              <w:rPr>
                <w:noProof/>
                <w:webHidden/>
              </w:rPr>
              <w:fldChar w:fldCharType="separate"/>
            </w:r>
            <w:r w:rsidR="00F5613C">
              <w:rPr>
                <w:noProof/>
                <w:webHidden/>
              </w:rPr>
              <w:t>4</w:t>
            </w:r>
            <w:r>
              <w:rPr>
                <w:noProof/>
                <w:webHidden/>
              </w:rPr>
              <w:fldChar w:fldCharType="end"/>
            </w:r>
          </w:hyperlink>
        </w:p>
        <w:p w:rsidR="00F5613C" w:rsidRDefault="000D7359">
          <w:pPr>
            <w:pStyle w:val="TOC2"/>
            <w:tabs>
              <w:tab w:val="right" w:leader="dot" w:pos="9350"/>
            </w:tabs>
            <w:rPr>
              <w:noProof/>
            </w:rPr>
          </w:pPr>
          <w:hyperlink w:anchor="_Toc217243032" w:history="1">
            <w:r w:rsidR="00F5613C" w:rsidRPr="00917248">
              <w:rPr>
                <w:rStyle w:val="Hyperlink"/>
                <w:noProof/>
              </w:rPr>
              <w:t>1.2. Ratio analysis</w:t>
            </w:r>
            <w:r w:rsidR="00F5613C">
              <w:rPr>
                <w:noProof/>
                <w:webHidden/>
              </w:rPr>
              <w:tab/>
            </w:r>
            <w:r>
              <w:rPr>
                <w:noProof/>
                <w:webHidden/>
              </w:rPr>
              <w:fldChar w:fldCharType="begin"/>
            </w:r>
            <w:r w:rsidR="00F5613C">
              <w:rPr>
                <w:noProof/>
                <w:webHidden/>
              </w:rPr>
              <w:instrText xml:space="preserve"> PAGEREF _Toc217243032 \h </w:instrText>
            </w:r>
            <w:r>
              <w:rPr>
                <w:noProof/>
                <w:webHidden/>
              </w:rPr>
            </w:r>
            <w:r>
              <w:rPr>
                <w:noProof/>
                <w:webHidden/>
              </w:rPr>
              <w:fldChar w:fldCharType="separate"/>
            </w:r>
            <w:r w:rsidR="00F5613C">
              <w:rPr>
                <w:noProof/>
                <w:webHidden/>
              </w:rPr>
              <w:t>4</w:t>
            </w:r>
            <w:r>
              <w:rPr>
                <w:noProof/>
                <w:webHidden/>
              </w:rPr>
              <w:fldChar w:fldCharType="end"/>
            </w:r>
          </w:hyperlink>
        </w:p>
        <w:p w:rsidR="00F5613C" w:rsidRDefault="000D7359">
          <w:pPr>
            <w:pStyle w:val="TOC3"/>
            <w:tabs>
              <w:tab w:val="right" w:leader="dot" w:pos="9350"/>
            </w:tabs>
            <w:rPr>
              <w:noProof/>
            </w:rPr>
          </w:pPr>
          <w:hyperlink w:anchor="_Toc217243033" w:history="1">
            <w:r w:rsidR="00F5613C" w:rsidRPr="00917248">
              <w:rPr>
                <w:rStyle w:val="Hyperlink"/>
                <w:noProof/>
              </w:rPr>
              <w:t>Net Profit Margin</w:t>
            </w:r>
            <w:r w:rsidR="00F5613C">
              <w:rPr>
                <w:noProof/>
                <w:webHidden/>
              </w:rPr>
              <w:tab/>
            </w:r>
            <w:r>
              <w:rPr>
                <w:noProof/>
                <w:webHidden/>
              </w:rPr>
              <w:fldChar w:fldCharType="begin"/>
            </w:r>
            <w:r w:rsidR="00F5613C">
              <w:rPr>
                <w:noProof/>
                <w:webHidden/>
              </w:rPr>
              <w:instrText xml:space="preserve"> PAGEREF _Toc217243033 \h </w:instrText>
            </w:r>
            <w:r>
              <w:rPr>
                <w:noProof/>
                <w:webHidden/>
              </w:rPr>
            </w:r>
            <w:r>
              <w:rPr>
                <w:noProof/>
                <w:webHidden/>
              </w:rPr>
              <w:fldChar w:fldCharType="separate"/>
            </w:r>
            <w:r w:rsidR="00F5613C">
              <w:rPr>
                <w:noProof/>
                <w:webHidden/>
              </w:rPr>
              <w:t>4</w:t>
            </w:r>
            <w:r>
              <w:rPr>
                <w:noProof/>
                <w:webHidden/>
              </w:rPr>
              <w:fldChar w:fldCharType="end"/>
            </w:r>
          </w:hyperlink>
        </w:p>
        <w:p w:rsidR="00F5613C" w:rsidRDefault="000D7359">
          <w:pPr>
            <w:pStyle w:val="TOC3"/>
            <w:tabs>
              <w:tab w:val="right" w:leader="dot" w:pos="9350"/>
            </w:tabs>
            <w:rPr>
              <w:noProof/>
            </w:rPr>
          </w:pPr>
          <w:hyperlink w:anchor="_Toc217243034" w:history="1">
            <w:r w:rsidR="00F5613C" w:rsidRPr="00917248">
              <w:rPr>
                <w:rStyle w:val="Hyperlink"/>
                <w:noProof/>
              </w:rPr>
              <w:t>Operating Profit Margin</w:t>
            </w:r>
            <w:r w:rsidR="00F5613C">
              <w:rPr>
                <w:noProof/>
                <w:webHidden/>
              </w:rPr>
              <w:tab/>
            </w:r>
            <w:r>
              <w:rPr>
                <w:noProof/>
                <w:webHidden/>
              </w:rPr>
              <w:fldChar w:fldCharType="begin"/>
            </w:r>
            <w:r w:rsidR="00F5613C">
              <w:rPr>
                <w:noProof/>
                <w:webHidden/>
              </w:rPr>
              <w:instrText xml:space="preserve"> PAGEREF _Toc217243034 \h </w:instrText>
            </w:r>
            <w:r>
              <w:rPr>
                <w:noProof/>
                <w:webHidden/>
              </w:rPr>
            </w:r>
            <w:r>
              <w:rPr>
                <w:noProof/>
                <w:webHidden/>
              </w:rPr>
              <w:fldChar w:fldCharType="separate"/>
            </w:r>
            <w:r w:rsidR="00F5613C">
              <w:rPr>
                <w:noProof/>
                <w:webHidden/>
              </w:rPr>
              <w:t>4</w:t>
            </w:r>
            <w:r>
              <w:rPr>
                <w:noProof/>
                <w:webHidden/>
              </w:rPr>
              <w:fldChar w:fldCharType="end"/>
            </w:r>
          </w:hyperlink>
        </w:p>
        <w:p w:rsidR="00F5613C" w:rsidRDefault="000D7359">
          <w:pPr>
            <w:pStyle w:val="TOC3"/>
            <w:tabs>
              <w:tab w:val="right" w:leader="dot" w:pos="9350"/>
            </w:tabs>
            <w:rPr>
              <w:noProof/>
            </w:rPr>
          </w:pPr>
          <w:hyperlink w:anchor="_Toc217243035" w:history="1">
            <w:r w:rsidR="00F5613C" w:rsidRPr="00917248">
              <w:rPr>
                <w:rStyle w:val="Hyperlink"/>
                <w:noProof/>
              </w:rPr>
              <w:t>Current Ratio</w:t>
            </w:r>
            <w:r w:rsidR="00F5613C">
              <w:rPr>
                <w:noProof/>
                <w:webHidden/>
              </w:rPr>
              <w:tab/>
            </w:r>
            <w:r>
              <w:rPr>
                <w:noProof/>
                <w:webHidden/>
              </w:rPr>
              <w:fldChar w:fldCharType="begin"/>
            </w:r>
            <w:r w:rsidR="00F5613C">
              <w:rPr>
                <w:noProof/>
                <w:webHidden/>
              </w:rPr>
              <w:instrText xml:space="preserve"> PAGEREF _Toc217243035 \h </w:instrText>
            </w:r>
            <w:r>
              <w:rPr>
                <w:noProof/>
                <w:webHidden/>
              </w:rPr>
            </w:r>
            <w:r>
              <w:rPr>
                <w:noProof/>
                <w:webHidden/>
              </w:rPr>
              <w:fldChar w:fldCharType="separate"/>
            </w:r>
            <w:r w:rsidR="00F5613C">
              <w:rPr>
                <w:noProof/>
                <w:webHidden/>
              </w:rPr>
              <w:t>4</w:t>
            </w:r>
            <w:r>
              <w:rPr>
                <w:noProof/>
                <w:webHidden/>
              </w:rPr>
              <w:fldChar w:fldCharType="end"/>
            </w:r>
          </w:hyperlink>
        </w:p>
        <w:p w:rsidR="00F5613C" w:rsidRDefault="000D7359">
          <w:pPr>
            <w:pStyle w:val="TOC3"/>
            <w:tabs>
              <w:tab w:val="right" w:leader="dot" w:pos="9350"/>
            </w:tabs>
            <w:rPr>
              <w:noProof/>
            </w:rPr>
          </w:pPr>
          <w:hyperlink w:anchor="_Toc217243036" w:history="1">
            <w:r w:rsidR="00F5613C" w:rsidRPr="00917248">
              <w:rPr>
                <w:rStyle w:val="Hyperlink"/>
                <w:noProof/>
              </w:rPr>
              <w:t>Quick Ratio</w:t>
            </w:r>
            <w:r w:rsidR="00F5613C">
              <w:rPr>
                <w:noProof/>
                <w:webHidden/>
              </w:rPr>
              <w:tab/>
            </w:r>
            <w:r>
              <w:rPr>
                <w:noProof/>
                <w:webHidden/>
              </w:rPr>
              <w:fldChar w:fldCharType="begin"/>
            </w:r>
            <w:r w:rsidR="00F5613C">
              <w:rPr>
                <w:noProof/>
                <w:webHidden/>
              </w:rPr>
              <w:instrText xml:space="preserve"> PAGEREF _Toc217243036 \h </w:instrText>
            </w:r>
            <w:r>
              <w:rPr>
                <w:noProof/>
                <w:webHidden/>
              </w:rPr>
            </w:r>
            <w:r>
              <w:rPr>
                <w:noProof/>
                <w:webHidden/>
              </w:rPr>
              <w:fldChar w:fldCharType="separate"/>
            </w:r>
            <w:r w:rsidR="00F5613C">
              <w:rPr>
                <w:noProof/>
                <w:webHidden/>
              </w:rPr>
              <w:t>4</w:t>
            </w:r>
            <w:r>
              <w:rPr>
                <w:noProof/>
                <w:webHidden/>
              </w:rPr>
              <w:fldChar w:fldCharType="end"/>
            </w:r>
          </w:hyperlink>
        </w:p>
        <w:p w:rsidR="00F5613C" w:rsidRDefault="000D7359">
          <w:pPr>
            <w:pStyle w:val="TOC3"/>
            <w:tabs>
              <w:tab w:val="right" w:leader="dot" w:pos="9350"/>
            </w:tabs>
            <w:rPr>
              <w:noProof/>
            </w:rPr>
          </w:pPr>
          <w:hyperlink w:anchor="_Toc217243037" w:history="1">
            <w:r w:rsidR="00F5613C" w:rsidRPr="00917248">
              <w:rPr>
                <w:rStyle w:val="Hyperlink"/>
                <w:noProof/>
              </w:rPr>
              <w:t>Inventory Turnover Ratio</w:t>
            </w:r>
            <w:r w:rsidR="00F5613C">
              <w:rPr>
                <w:noProof/>
                <w:webHidden/>
              </w:rPr>
              <w:tab/>
            </w:r>
            <w:r>
              <w:rPr>
                <w:noProof/>
                <w:webHidden/>
              </w:rPr>
              <w:fldChar w:fldCharType="begin"/>
            </w:r>
            <w:r w:rsidR="00F5613C">
              <w:rPr>
                <w:noProof/>
                <w:webHidden/>
              </w:rPr>
              <w:instrText xml:space="preserve"> PAGEREF _Toc217243037 \h </w:instrText>
            </w:r>
            <w:r>
              <w:rPr>
                <w:noProof/>
                <w:webHidden/>
              </w:rPr>
            </w:r>
            <w:r>
              <w:rPr>
                <w:noProof/>
                <w:webHidden/>
              </w:rPr>
              <w:fldChar w:fldCharType="separate"/>
            </w:r>
            <w:r w:rsidR="00F5613C">
              <w:rPr>
                <w:noProof/>
                <w:webHidden/>
              </w:rPr>
              <w:t>5</w:t>
            </w:r>
            <w:r>
              <w:rPr>
                <w:noProof/>
                <w:webHidden/>
              </w:rPr>
              <w:fldChar w:fldCharType="end"/>
            </w:r>
          </w:hyperlink>
        </w:p>
        <w:p w:rsidR="00F5613C" w:rsidRDefault="000D7359">
          <w:pPr>
            <w:pStyle w:val="TOC3"/>
            <w:tabs>
              <w:tab w:val="right" w:leader="dot" w:pos="9350"/>
            </w:tabs>
            <w:rPr>
              <w:noProof/>
            </w:rPr>
          </w:pPr>
          <w:hyperlink w:anchor="_Toc217243038" w:history="1">
            <w:r w:rsidR="00F5613C" w:rsidRPr="00917248">
              <w:rPr>
                <w:rStyle w:val="Hyperlink"/>
                <w:noProof/>
              </w:rPr>
              <w:t>Receivable Turnover Ratio</w:t>
            </w:r>
            <w:r w:rsidR="00F5613C">
              <w:rPr>
                <w:noProof/>
                <w:webHidden/>
              </w:rPr>
              <w:tab/>
            </w:r>
            <w:r>
              <w:rPr>
                <w:noProof/>
                <w:webHidden/>
              </w:rPr>
              <w:fldChar w:fldCharType="begin"/>
            </w:r>
            <w:r w:rsidR="00F5613C">
              <w:rPr>
                <w:noProof/>
                <w:webHidden/>
              </w:rPr>
              <w:instrText xml:space="preserve"> PAGEREF _Toc217243038 \h </w:instrText>
            </w:r>
            <w:r>
              <w:rPr>
                <w:noProof/>
                <w:webHidden/>
              </w:rPr>
            </w:r>
            <w:r>
              <w:rPr>
                <w:noProof/>
                <w:webHidden/>
              </w:rPr>
              <w:fldChar w:fldCharType="separate"/>
            </w:r>
            <w:r w:rsidR="00F5613C">
              <w:rPr>
                <w:noProof/>
                <w:webHidden/>
              </w:rPr>
              <w:t>5</w:t>
            </w:r>
            <w:r>
              <w:rPr>
                <w:noProof/>
                <w:webHidden/>
              </w:rPr>
              <w:fldChar w:fldCharType="end"/>
            </w:r>
          </w:hyperlink>
        </w:p>
        <w:p w:rsidR="00F5613C" w:rsidRDefault="000D7359">
          <w:pPr>
            <w:pStyle w:val="TOC3"/>
            <w:tabs>
              <w:tab w:val="right" w:leader="dot" w:pos="9350"/>
            </w:tabs>
            <w:rPr>
              <w:noProof/>
            </w:rPr>
          </w:pPr>
          <w:hyperlink w:anchor="_Toc217243039" w:history="1">
            <w:r w:rsidR="00F5613C" w:rsidRPr="00917248">
              <w:rPr>
                <w:rStyle w:val="Hyperlink"/>
                <w:noProof/>
              </w:rPr>
              <w:t>Debt-to-Equity Ratio</w:t>
            </w:r>
            <w:r w:rsidR="00F5613C">
              <w:rPr>
                <w:noProof/>
                <w:webHidden/>
              </w:rPr>
              <w:tab/>
            </w:r>
            <w:r>
              <w:rPr>
                <w:noProof/>
                <w:webHidden/>
              </w:rPr>
              <w:fldChar w:fldCharType="begin"/>
            </w:r>
            <w:r w:rsidR="00F5613C">
              <w:rPr>
                <w:noProof/>
                <w:webHidden/>
              </w:rPr>
              <w:instrText xml:space="preserve"> PAGEREF _Toc217243039 \h </w:instrText>
            </w:r>
            <w:r>
              <w:rPr>
                <w:noProof/>
                <w:webHidden/>
              </w:rPr>
            </w:r>
            <w:r>
              <w:rPr>
                <w:noProof/>
                <w:webHidden/>
              </w:rPr>
              <w:fldChar w:fldCharType="separate"/>
            </w:r>
            <w:r w:rsidR="00F5613C">
              <w:rPr>
                <w:noProof/>
                <w:webHidden/>
              </w:rPr>
              <w:t>5</w:t>
            </w:r>
            <w:r>
              <w:rPr>
                <w:noProof/>
                <w:webHidden/>
              </w:rPr>
              <w:fldChar w:fldCharType="end"/>
            </w:r>
          </w:hyperlink>
        </w:p>
        <w:p w:rsidR="00F5613C" w:rsidRDefault="000D7359">
          <w:pPr>
            <w:pStyle w:val="TOC3"/>
            <w:tabs>
              <w:tab w:val="right" w:leader="dot" w:pos="9350"/>
            </w:tabs>
            <w:rPr>
              <w:noProof/>
            </w:rPr>
          </w:pPr>
          <w:hyperlink w:anchor="_Toc217243040" w:history="1">
            <w:r w:rsidR="00F5613C" w:rsidRPr="00917248">
              <w:rPr>
                <w:rStyle w:val="Hyperlink"/>
                <w:noProof/>
              </w:rPr>
              <w:t>Interest Coverage Ratio</w:t>
            </w:r>
            <w:r w:rsidR="00F5613C">
              <w:rPr>
                <w:noProof/>
                <w:webHidden/>
              </w:rPr>
              <w:tab/>
            </w:r>
            <w:r>
              <w:rPr>
                <w:noProof/>
                <w:webHidden/>
              </w:rPr>
              <w:fldChar w:fldCharType="begin"/>
            </w:r>
            <w:r w:rsidR="00F5613C">
              <w:rPr>
                <w:noProof/>
                <w:webHidden/>
              </w:rPr>
              <w:instrText xml:space="preserve"> PAGEREF _Toc217243040 \h </w:instrText>
            </w:r>
            <w:r>
              <w:rPr>
                <w:noProof/>
                <w:webHidden/>
              </w:rPr>
            </w:r>
            <w:r>
              <w:rPr>
                <w:noProof/>
                <w:webHidden/>
              </w:rPr>
              <w:fldChar w:fldCharType="separate"/>
            </w:r>
            <w:r w:rsidR="00F5613C">
              <w:rPr>
                <w:noProof/>
                <w:webHidden/>
              </w:rPr>
              <w:t>5</w:t>
            </w:r>
            <w:r>
              <w:rPr>
                <w:noProof/>
                <w:webHidden/>
              </w:rPr>
              <w:fldChar w:fldCharType="end"/>
            </w:r>
          </w:hyperlink>
        </w:p>
        <w:p w:rsidR="00F5613C" w:rsidRDefault="000D7359">
          <w:pPr>
            <w:pStyle w:val="TOC3"/>
            <w:tabs>
              <w:tab w:val="right" w:leader="dot" w:pos="9350"/>
            </w:tabs>
            <w:rPr>
              <w:noProof/>
            </w:rPr>
          </w:pPr>
          <w:hyperlink w:anchor="_Toc217243041" w:history="1">
            <w:r w:rsidR="00F5613C" w:rsidRPr="00917248">
              <w:rPr>
                <w:rStyle w:val="Hyperlink"/>
                <w:noProof/>
              </w:rPr>
              <w:t>Return on Equity (ROE)</w:t>
            </w:r>
            <w:r w:rsidR="00F5613C">
              <w:rPr>
                <w:noProof/>
                <w:webHidden/>
              </w:rPr>
              <w:tab/>
            </w:r>
            <w:r>
              <w:rPr>
                <w:noProof/>
                <w:webHidden/>
              </w:rPr>
              <w:fldChar w:fldCharType="begin"/>
            </w:r>
            <w:r w:rsidR="00F5613C">
              <w:rPr>
                <w:noProof/>
                <w:webHidden/>
              </w:rPr>
              <w:instrText xml:space="preserve"> PAGEREF _Toc217243041 \h </w:instrText>
            </w:r>
            <w:r>
              <w:rPr>
                <w:noProof/>
                <w:webHidden/>
              </w:rPr>
            </w:r>
            <w:r>
              <w:rPr>
                <w:noProof/>
                <w:webHidden/>
              </w:rPr>
              <w:fldChar w:fldCharType="separate"/>
            </w:r>
            <w:r w:rsidR="00F5613C">
              <w:rPr>
                <w:noProof/>
                <w:webHidden/>
              </w:rPr>
              <w:t>5</w:t>
            </w:r>
            <w:r>
              <w:rPr>
                <w:noProof/>
                <w:webHidden/>
              </w:rPr>
              <w:fldChar w:fldCharType="end"/>
            </w:r>
          </w:hyperlink>
        </w:p>
        <w:p w:rsidR="00F5613C" w:rsidRDefault="000D7359">
          <w:pPr>
            <w:pStyle w:val="TOC3"/>
            <w:tabs>
              <w:tab w:val="right" w:leader="dot" w:pos="9350"/>
            </w:tabs>
            <w:rPr>
              <w:noProof/>
            </w:rPr>
          </w:pPr>
          <w:hyperlink w:anchor="_Toc217243042" w:history="1">
            <w:r w:rsidR="00F5613C" w:rsidRPr="00917248">
              <w:rPr>
                <w:rStyle w:val="Hyperlink"/>
                <w:noProof/>
              </w:rPr>
              <w:t>Earnings Per Share (EPS)</w:t>
            </w:r>
            <w:r w:rsidR="00F5613C">
              <w:rPr>
                <w:noProof/>
                <w:webHidden/>
              </w:rPr>
              <w:tab/>
            </w:r>
            <w:r>
              <w:rPr>
                <w:noProof/>
                <w:webHidden/>
              </w:rPr>
              <w:fldChar w:fldCharType="begin"/>
            </w:r>
            <w:r w:rsidR="00F5613C">
              <w:rPr>
                <w:noProof/>
                <w:webHidden/>
              </w:rPr>
              <w:instrText xml:space="preserve"> PAGEREF _Toc217243042 \h </w:instrText>
            </w:r>
            <w:r>
              <w:rPr>
                <w:noProof/>
                <w:webHidden/>
              </w:rPr>
            </w:r>
            <w:r>
              <w:rPr>
                <w:noProof/>
                <w:webHidden/>
              </w:rPr>
              <w:fldChar w:fldCharType="separate"/>
            </w:r>
            <w:r w:rsidR="00F5613C">
              <w:rPr>
                <w:noProof/>
                <w:webHidden/>
              </w:rPr>
              <w:t>6</w:t>
            </w:r>
            <w:r>
              <w:rPr>
                <w:noProof/>
                <w:webHidden/>
              </w:rPr>
              <w:fldChar w:fldCharType="end"/>
            </w:r>
          </w:hyperlink>
        </w:p>
        <w:p w:rsidR="00F5613C" w:rsidRDefault="000D7359">
          <w:pPr>
            <w:pStyle w:val="TOC3"/>
            <w:tabs>
              <w:tab w:val="right" w:leader="dot" w:pos="9350"/>
            </w:tabs>
            <w:rPr>
              <w:noProof/>
            </w:rPr>
          </w:pPr>
          <w:hyperlink w:anchor="_Toc217243043" w:history="1">
            <w:r w:rsidR="00F5613C" w:rsidRPr="00917248">
              <w:rPr>
                <w:rStyle w:val="Hyperlink"/>
                <w:noProof/>
              </w:rPr>
              <w:t>Operating Cash Flow Margin</w:t>
            </w:r>
            <w:r w:rsidR="00F5613C">
              <w:rPr>
                <w:noProof/>
                <w:webHidden/>
              </w:rPr>
              <w:tab/>
            </w:r>
            <w:r>
              <w:rPr>
                <w:noProof/>
                <w:webHidden/>
              </w:rPr>
              <w:fldChar w:fldCharType="begin"/>
            </w:r>
            <w:r w:rsidR="00F5613C">
              <w:rPr>
                <w:noProof/>
                <w:webHidden/>
              </w:rPr>
              <w:instrText xml:space="preserve"> PAGEREF _Toc217243043 \h </w:instrText>
            </w:r>
            <w:r>
              <w:rPr>
                <w:noProof/>
                <w:webHidden/>
              </w:rPr>
            </w:r>
            <w:r>
              <w:rPr>
                <w:noProof/>
                <w:webHidden/>
              </w:rPr>
              <w:fldChar w:fldCharType="separate"/>
            </w:r>
            <w:r w:rsidR="00F5613C">
              <w:rPr>
                <w:noProof/>
                <w:webHidden/>
              </w:rPr>
              <w:t>6</w:t>
            </w:r>
            <w:r>
              <w:rPr>
                <w:noProof/>
                <w:webHidden/>
              </w:rPr>
              <w:fldChar w:fldCharType="end"/>
            </w:r>
          </w:hyperlink>
        </w:p>
        <w:p w:rsidR="00F5613C" w:rsidRDefault="000D7359">
          <w:pPr>
            <w:pStyle w:val="TOC3"/>
            <w:tabs>
              <w:tab w:val="right" w:leader="dot" w:pos="9350"/>
            </w:tabs>
            <w:rPr>
              <w:noProof/>
            </w:rPr>
          </w:pPr>
          <w:hyperlink w:anchor="_Toc217243044" w:history="1">
            <w:r w:rsidR="00F5613C" w:rsidRPr="00917248">
              <w:rPr>
                <w:rStyle w:val="Hyperlink"/>
                <w:noProof/>
              </w:rPr>
              <w:t>Free Cash Flow Margin</w:t>
            </w:r>
            <w:r w:rsidR="00F5613C">
              <w:rPr>
                <w:noProof/>
                <w:webHidden/>
              </w:rPr>
              <w:tab/>
            </w:r>
            <w:r>
              <w:rPr>
                <w:noProof/>
                <w:webHidden/>
              </w:rPr>
              <w:fldChar w:fldCharType="begin"/>
            </w:r>
            <w:r w:rsidR="00F5613C">
              <w:rPr>
                <w:noProof/>
                <w:webHidden/>
              </w:rPr>
              <w:instrText xml:space="preserve"> PAGEREF _Toc217243044 \h </w:instrText>
            </w:r>
            <w:r>
              <w:rPr>
                <w:noProof/>
                <w:webHidden/>
              </w:rPr>
            </w:r>
            <w:r>
              <w:rPr>
                <w:noProof/>
                <w:webHidden/>
              </w:rPr>
              <w:fldChar w:fldCharType="separate"/>
            </w:r>
            <w:r w:rsidR="00F5613C">
              <w:rPr>
                <w:noProof/>
                <w:webHidden/>
              </w:rPr>
              <w:t>6</w:t>
            </w:r>
            <w:r>
              <w:rPr>
                <w:noProof/>
                <w:webHidden/>
              </w:rPr>
              <w:fldChar w:fldCharType="end"/>
            </w:r>
          </w:hyperlink>
        </w:p>
        <w:p w:rsidR="00F5613C" w:rsidRDefault="000D7359">
          <w:pPr>
            <w:pStyle w:val="TOC2"/>
            <w:tabs>
              <w:tab w:val="right" w:leader="dot" w:pos="9350"/>
            </w:tabs>
            <w:rPr>
              <w:noProof/>
            </w:rPr>
          </w:pPr>
          <w:hyperlink w:anchor="_Toc217243045" w:history="1">
            <w:r w:rsidR="00F5613C" w:rsidRPr="00917248">
              <w:rPr>
                <w:rStyle w:val="Hyperlink"/>
                <w:noProof/>
              </w:rPr>
              <w:t>1.3 Trend Analysis Summary (3–5 Years)</w:t>
            </w:r>
            <w:r w:rsidR="00F5613C">
              <w:rPr>
                <w:noProof/>
                <w:webHidden/>
              </w:rPr>
              <w:tab/>
            </w:r>
            <w:r>
              <w:rPr>
                <w:noProof/>
                <w:webHidden/>
              </w:rPr>
              <w:fldChar w:fldCharType="begin"/>
            </w:r>
            <w:r w:rsidR="00F5613C">
              <w:rPr>
                <w:noProof/>
                <w:webHidden/>
              </w:rPr>
              <w:instrText xml:space="preserve"> PAGEREF _Toc217243045 \h </w:instrText>
            </w:r>
            <w:r>
              <w:rPr>
                <w:noProof/>
                <w:webHidden/>
              </w:rPr>
            </w:r>
            <w:r>
              <w:rPr>
                <w:noProof/>
                <w:webHidden/>
              </w:rPr>
              <w:fldChar w:fldCharType="separate"/>
            </w:r>
            <w:r w:rsidR="00F5613C">
              <w:rPr>
                <w:noProof/>
                <w:webHidden/>
              </w:rPr>
              <w:t>6</w:t>
            </w:r>
            <w:r>
              <w:rPr>
                <w:noProof/>
                <w:webHidden/>
              </w:rPr>
              <w:fldChar w:fldCharType="end"/>
            </w:r>
          </w:hyperlink>
        </w:p>
        <w:p w:rsidR="00F5613C" w:rsidRDefault="000D7359">
          <w:pPr>
            <w:pStyle w:val="TOC3"/>
            <w:tabs>
              <w:tab w:val="right" w:leader="dot" w:pos="9350"/>
            </w:tabs>
            <w:rPr>
              <w:noProof/>
            </w:rPr>
          </w:pPr>
          <w:hyperlink w:anchor="_Toc217243046" w:history="1">
            <w:r w:rsidR="00F5613C" w:rsidRPr="00917248">
              <w:rPr>
                <w:rStyle w:val="Hyperlink"/>
                <w:noProof/>
              </w:rPr>
              <w:t>Revenue Growth</w:t>
            </w:r>
            <w:r w:rsidR="00F5613C">
              <w:rPr>
                <w:noProof/>
                <w:webHidden/>
              </w:rPr>
              <w:tab/>
            </w:r>
            <w:r>
              <w:rPr>
                <w:noProof/>
                <w:webHidden/>
              </w:rPr>
              <w:fldChar w:fldCharType="begin"/>
            </w:r>
            <w:r w:rsidR="00F5613C">
              <w:rPr>
                <w:noProof/>
                <w:webHidden/>
              </w:rPr>
              <w:instrText xml:space="preserve"> PAGEREF _Toc217243046 \h </w:instrText>
            </w:r>
            <w:r>
              <w:rPr>
                <w:noProof/>
                <w:webHidden/>
              </w:rPr>
            </w:r>
            <w:r>
              <w:rPr>
                <w:noProof/>
                <w:webHidden/>
              </w:rPr>
              <w:fldChar w:fldCharType="separate"/>
            </w:r>
            <w:r w:rsidR="00F5613C">
              <w:rPr>
                <w:noProof/>
                <w:webHidden/>
              </w:rPr>
              <w:t>6</w:t>
            </w:r>
            <w:r>
              <w:rPr>
                <w:noProof/>
                <w:webHidden/>
              </w:rPr>
              <w:fldChar w:fldCharType="end"/>
            </w:r>
          </w:hyperlink>
        </w:p>
        <w:p w:rsidR="00F5613C" w:rsidRDefault="000D7359">
          <w:pPr>
            <w:pStyle w:val="TOC3"/>
            <w:tabs>
              <w:tab w:val="right" w:leader="dot" w:pos="9350"/>
            </w:tabs>
            <w:rPr>
              <w:noProof/>
            </w:rPr>
          </w:pPr>
          <w:hyperlink w:anchor="_Toc217243047" w:history="1">
            <w:r w:rsidR="00F5613C" w:rsidRPr="00917248">
              <w:rPr>
                <w:rStyle w:val="Hyperlink"/>
                <w:noProof/>
              </w:rPr>
              <w:t>Cost Control</w:t>
            </w:r>
            <w:r w:rsidR="00F5613C">
              <w:rPr>
                <w:noProof/>
                <w:webHidden/>
              </w:rPr>
              <w:tab/>
            </w:r>
            <w:r>
              <w:rPr>
                <w:noProof/>
                <w:webHidden/>
              </w:rPr>
              <w:fldChar w:fldCharType="begin"/>
            </w:r>
            <w:r w:rsidR="00F5613C">
              <w:rPr>
                <w:noProof/>
                <w:webHidden/>
              </w:rPr>
              <w:instrText xml:space="preserve"> PAGEREF _Toc217243047 \h </w:instrText>
            </w:r>
            <w:r>
              <w:rPr>
                <w:noProof/>
                <w:webHidden/>
              </w:rPr>
            </w:r>
            <w:r>
              <w:rPr>
                <w:noProof/>
                <w:webHidden/>
              </w:rPr>
              <w:fldChar w:fldCharType="separate"/>
            </w:r>
            <w:r w:rsidR="00F5613C">
              <w:rPr>
                <w:noProof/>
                <w:webHidden/>
              </w:rPr>
              <w:t>6</w:t>
            </w:r>
            <w:r>
              <w:rPr>
                <w:noProof/>
                <w:webHidden/>
              </w:rPr>
              <w:fldChar w:fldCharType="end"/>
            </w:r>
          </w:hyperlink>
        </w:p>
        <w:p w:rsidR="00F5613C" w:rsidRDefault="000D7359">
          <w:pPr>
            <w:pStyle w:val="TOC3"/>
            <w:tabs>
              <w:tab w:val="right" w:leader="dot" w:pos="9350"/>
            </w:tabs>
            <w:rPr>
              <w:noProof/>
            </w:rPr>
          </w:pPr>
          <w:hyperlink w:anchor="_Toc217243048" w:history="1">
            <w:r w:rsidR="00F5613C" w:rsidRPr="00917248">
              <w:rPr>
                <w:rStyle w:val="Hyperlink"/>
                <w:noProof/>
              </w:rPr>
              <w:t>Profit Stability</w:t>
            </w:r>
            <w:r w:rsidR="00F5613C">
              <w:rPr>
                <w:noProof/>
                <w:webHidden/>
              </w:rPr>
              <w:tab/>
            </w:r>
            <w:r>
              <w:rPr>
                <w:noProof/>
                <w:webHidden/>
              </w:rPr>
              <w:fldChar w:fldCharType="begin"/>
            </w:r>
            <w:r w:rsidR="00F5613C">
              <w:rPr>
                <w:noProof/>
                <w:webHidden/>
              </w:rPr>
              <w:instrText xml:space="preserve"> PAGEREF _Toc217243048 \h </w:instrText>
            </w:r>
            <w:r>
              <w:rPr>
                <w:noProof/>
                <w:webHidden/>
              </w:rPr>
            </w:r>
            <w:r>
              <w:rPr>
                <w:noProof/>
                <w:webHidden/>
              </w:rPr>
              <w:fldChar w:fldCharType="separate"/>
            </w:r>
            <w:r w:rsidR="00F5613C">
              <w:rPr>
                <w:noProof/>
                <w:webHidden/>
              </w:rPr>
              <w:t>7</w:t>
            </w:r>
            <w:r>
              <w:rPr>
                <w:noProof/>
                <w:webHidden/>
              </w:rPr>
              <w:fldChar w:fldCharType="end"/>
            </w:r>
          </w:hyperlink>
        </w:p>
        <w:p w:rsidR="00F5613C" w:rsidRDefault="000D7359">
          <w:pPr>
            <w:pStyle w:val="TOC3"/>
            <w:tabs>
              <w:tab w:val="right" w:leader="dot" w:pos="9350"/>
            </w:tabs>
            <w:rPr>
              <w:noProof/>
            </w:rPr>
          </w:pPr>
          <w:hyperlink w:anchor="_Toc217243049" w:history="1">
            <w:r w:rsidR="00F5613C" w:rsidRPr="00917248">
              <w:rPr>
                <w:rStyle w:val="Hyperlink"/>
                <w:noProof/>
              </w:rPr>
              <w:t>Asset Efficiency</w:t>
            </w:r>
            <w:r w:rsidR="00F5613C">
              <w:rPr>
                <w:noProof/>
                <w:webHidden/>
              </w:rPr>
              <w:tab/>
            </w:r>
            <w:r>
              <w:rPr>
                <w:noProof/>
                <w:webHidden/>
              </w:rPr>
              <w:fldChar w:fldCharType="begin"/>
            </w:r>
            <w:r w:rsidR="00F5613C">
              <w:rPr>
                <w:noProof/>
                <w:webHidden/>
              </w:rPr>
              <w:instrText xml:space="preserve"> PAGEREF _Toc217243049 \h </w:instrText>
            </w:r>
            <w:r>
              <w:rPr>
                <w:noProof/>
                <w:webHidden/>
              </w:rPr>
            </w:r>
            <w:r>
              <w:rPr>
                <w:noProof/>
                <w:webHidden/>
              </w:rPr>
              <w:fldChar w:fldCharType="separate"/>
            </w:r>
            <w:r w:rsidR="00F5613C">
              <w:rPr>
                <w:noProof/>
                <w:webHidden/>
              </w:rPr>
              <w:t>7</w:t>
            </w:r>
            <w:r>
              <w:rPr>
                <w:noProof/>
                <w:webHidden/>
              </w:rPr>
              <w:fldChar w:fldCharType="end"/>
            </w:r>
          </w:hyperlink>
        </w:p>
        <w:p w:rsidR="00F5613C" w:rsidRDefault="000D7359">
          <w:pPr>
            <w:pStyle w:val="TOC3"/>
            <w:tabs>
              <w:tab w:val="right" w:leader="dot" w:pos="9350"/>
            </w:tabs>
            <w:rPr>
              <w:noProof/>
            </w:rPr>
          </w:pPr>
          <w:hyperlink w:anchor="_Toc217243050" w:history="1">
            <w:r w:rsidR="00F5613C" w:rsidRPr="00917248">
              <w:rPr>
                <w:rStyle w:val="Hyperlink"/>
                <w:noProof/>
              </w:rPr>
              <w:t>Capital Structure Movement</w:t>
            </w:r>
            <w:r w:rsidR="00F5613C">
              <w:rPr>
                <w:noProof/>
                <w:webHidden/>
              </w:rPr>
              <w:tab/>
            </w:r>
            <w:r>
              <w:rPr>
                <w:noProof/>
                <w:webHidden/>
              </w:rPr>
              <w:fldChar w:fldCharType="begin"/>
            </w:r>
            <w:r w:rsidR="00F5613C">
              <w:rPr>
                <w:noProof/>
                <w:webHidden/>
              </w:rPr>
              <w:instrText xml:space="preserve"> PAGEREF _Toc217243050 \h </w:instrText>
            </w:r>
            <w:r>
              <w:rPr>
                <w:noProof/>
                <w:webHidden/>
              </w:rPr>
            </w:r>
            <w:r>
              <w:rPr>
                <w:noProof/>
                <w:webHidden/>
              </w:rPr>
              <w:fldChar w:fldCharType="separate"/>
            </w:r>
            <w:r w:rsidR="00F5613C">
              <w:rPr>
                <w:noProof/>
                <w:webHidden/>
              </w:rPr>
              <w:t>7</w:t>
            </w:r>
            <w:r>
              <w:rPr>
                <w:noProof/>
                <w:webHidden/>
              </w:rPr>
              <w:fldChar w:fldCharType="end"/>
            </w:r>
          </w:hyperlink>
        </w:p>
        <w:p w:rsidR="00F5613C" w:rsidRDefault="000D7359">
          <w:pPr>
            <w:pStyle w:val="TOC2"/>
            <w:tabs>
              <w:tab w:val="right" w:leader="dot" w:pos="9350"/>
            </w:tabs>
            <w:rPr>
              <w:noProof/>
            </w:rPr>
          </w:pPr>
          <w:hyperlink w:anchor="_Toc217243051" w:history="1">
            <w:r w:rsidR="00F5613C" w:rsidRPr="00917248">
              <w:rPr>
                <w:rStyle w:val="Hyperlink"/>
                <w:noProof/>
              </w:rPr>
              <w:t>1.4. Corporate Failure Prediction – Altman Z-Score</w:t>
            </w:r>
            <w:r w:rsidR="00F5613C">
              <w:rPr>
                <w:noProof/>
                <w:webHidden/>
              </w:rPr>
              <w:tab/>
            </w:r>
            <w:r>
              <w:rPr>
                <w:noProof/>
                <w:webHidden/>
              </w:rPr>
              <w:fldChar w:fldCharType="begin"/>
            </w:r>
            <w:r w:rsidR="00F5613C">
              <w:rPr>
                <w:noProof/>
                <w:webHidden/>
              </w:rPr>
              <w:instrText xml:space="preserve"> PAGEREF _Toc217243051 \h </w:instrText>
            </w:r>
            <w:r>
              <w:rPr>
                <w:noProof/>
                <w:webHidden/>
              </w:rPr>
            </w:r>
            <w:r>
              <w:rPr>
                <w:noProof/>
                <w:webHidden/>
              </w:rPr>
              <w:fldChar w:fldCharType="separate"/>
            </w:r>
            <w:r w:rsidR="00F5613C">
              <w:rPr>
                <w:noProof/>
                <w:webHidden/>
              </w:rPr>
              <w:t>7</w:t>
            </w:r>
            <w:r>
              <w:rPr>
                <w:noProof/>
                <w:webHidden/>
              </w:rPr>
              <w:fldChar w:fldCharType="end"/>
            </w:r>
          </w:hyperlink>
        </w:p>
        <w:p w:rsidR="00F5613C" w:rsidRDefault="000D7359">
          <w:pPr>
            <w:pStyle w:val="TOC1"/>
            <w:tabs>
              <w:tab w:val="right" w:leader="dot" w:pos="9350"/>
            </w:tabs>
            <w:rPr>
              <w:noProof/>
            </w:rPr>
          </w:pPr>
          <w:hyperlink w:anchor="_Toc217243052" w:history="1">
            <w:r w:rsidR="00F5613C" w:rsidRPr="00917248">
              <w:rPr>
                <w:rStyle w:val="Hyperlink"/>
                <w:noProof/>
              </w:rPr>
              <w:t>2. Working Capital Management Analysis</w:t>
            </w:r>
            <w:r w:rsidR="00F5613C">
              <w:rPr>
                <w:noProof/>
                <w:webHidden/>
              </w:rPr>
              <w:tab/>
            </w:r>
            <w:r>
              <w:rPr>
                <w:noProof/>
                <w:webHidden/>
              </w:rPr>
              <w:fldChar w:fldCharType="begin"/>
            </w:r>
            <w:r w:rsidR="00F5613C">
              <w:rPr>
                <w:noProof/>
                <w:webHidden/>
              </w:rPr>
              <w:instrText xml:space="preserve"> PAGEREF _Toc217243052 \h </w:instrText>
            </w:r>
            <w:r>
              <w:rPr>
                <w:noProof/>
                <w:webHidden/>
              </w:rPr>
            </w:r>
            <w:r>
              <w:rPr>
                <w:noProof/>
                <w:webHidden/>
              </w:rPr>
              <w:fldChar w:fldCharType="separate"/>
            </w:r>
            <w:r w:rsidR="00F5613C">
              <w:rPr>
                <w:noProof/>
                <w:webHidden/>
              </w:rPr>
              <w:t>8</w:t>
            </w:r>
            <w:r>
              <w:rPr>
                <w:noProof/>
                <w:webHidden/>
              </w:rPr>
              <w:fldChar w:fldCharType="end"/>
            </w:r>
          </w:hyperlink>
        </w:p>
        <w:p w:rsidR="00F5613C" w:rsidRDefault="000D7359">
          <w:pPr>
            <w:pStyle w:val="TOC2"/>
            <w:tabs>
              <w:tab w:val="right" w:leader="dot" w:pos="9350"/>
            </w:tabs>
            <w:rPr>
              <w:noProof/>
            </w:rPr>
          </w:pPr>
          <w:hyperlink w:anchor="_Toc217243053" w:history="1">
            <w:r w:rsidR="00F5613C" w:rsidRPr="00917248">
              <w:rPr>
                <w:rStyle w:val="Hyperlink"/>
                <w:noProof/>
              </w:rPr>
              <w:t>2.1. Assess the cash operating cycle</w:t>
            </w:r>
            <w:r w:rsidR="00F5613C">
              <w:rPr>
                <w:noProof/>
                <w:webHidden/>
              </w:rPr>
              <w:tab/>
            </w:r>
            <w:r>
              <w:rPr>
                <w:noProof/>
                <w:webHidden/>
              </w:rPr>
              <w:fldChar w:fldCharType="begin"/>
            </w:r>
            <w:r w:rsidR="00F5613C">
              <w:rPr>
                <w:noProof/>
                <w:webHidden/>
              </w:rPr>
              <w:instrText xml:space="preserve"> PAGEREF _Toc217243053 \h </w:instrText>
            </w:r>
            <w:r>
              <w:rPr>
                <w:noProof/>
                <w:webHidden/>
              </w:rPr>
            </w:r>
            <w:r>
              <w:rPr>
                <w:noProof/>
                <w:webHidden/>
              </w:rPr>
              <w:fldChar w:fldCharType="separate"/>
            </w:r>
            <w:r w:rsidR="00F5613C">
              <w:rPr>
                <w:noProof/>
                <w:webHidden/>
              </w:rPr>
              <w:t>8</w:t>
            </w:r>
            <w:r>
              <w:rPr>
                <w:noProof/>
                <w:webHidden/>
              </w:rPr>
              <w:fldChar w:fldCharType="end"/>
            </w:r>
          </w:hyperlink>
        </w:p>
        <w:p w:rsidR="00F5613C" w:rsidRDefault="000D7359">
          <w:pPr>
            <w:pStyle w:val="TOC2"/>
            <w:tabs>
              <w:tab w:val="right" w:leader="dot" w:pos="9350"/>
            </w:tabs>
            <w:rPr>
              <w:noProof/>
            </w:rPr>
          </w:pPr>
          <w:hyperlink w:anchor="_Toc217243054" w:history="1">
            <w:r w:rsidR="00F5613C" w:rsidRPr="00917248">
              <w:rPr>
                <w:rStyle w:val="Hyperlink"/>
                <w:noProof/>
              </w:rPr>
              <w:t>2.2. Recommend strategies to improve liquidity through working capital reforms</w:t>
            </w:r>
            <w:r w:rsidR="00F5613C">
              <w:rPr>
                <w:noProof/>
                <w:webHidden/>
              </w:rPr>
              <w:tab/>
            </w:r>
            <w:r>
              <w:rPr>
                <w:noProof/>
                <w:webHidden/>
              </w:rPr>
              <w:fldChar w:fldCharType="begin"/>
            </w:r>
            <w:r w:rsidR="00F5613C">
              <w:rPr>
                <w:noProof/>
                <w:webHidden/>
              </w:rPr>
              <w:instrText xml:space="preserve"> PAGEREF _Toc217243054 \h </w:instrText>
            </w:r>
            <w:r>
              <w:rPr>
                <w:noProof/>
                <w:webHidden/>
              </w:rPr>
            </w:r>
            <w:r>
              <w:rPr>
                <w:noProof/>
                <w:webHidden/>
              </w:rPr>
              <w:fldChar w:fldCharType="separate"/>
            </w:r>
            <w:r w:rsidR="00F5613C">
              <w:rPr>
                <w:noProof/>
                <w:webHidden/>
              </w:rPr>
              <w:t>9</w:t>
            </w:r>
            <w:r>
              <w:rPr>
                <w:noProof/>
                <w:webHidden/>
              </w:rPr>
              <w:fldChar w:fldCharType="end"/>
            </w:r>
          </w:hyperlink>
        </w:p>
        <w:p w:rsidR="00F5613C" w:rsidRDefault="000D7359">
          <w:pPr>
            <w:pStyle w:val="TOC2"/>
            <w:tabs>
              <w:tab w:val="right" w:leader="dot" w:pos="9350"/>
            </w:tabs>
            <w:rPr>
              <w:noProof/>
            </w:rPr>
          </w:pPr>
          <w:hyperlink w:anchor="_Toc217243055" w:history="1">
            <w:r w:rsidR="00F5613C" w:rsidRPr="00917248">
              <w:rPr>
                <w:rStyle w:val="Hyperlink"/>
                <w:noProof/>
              </w:rPr>
              <w:t>2.3. Compare short-term vs long-term financing options</w:t>
            </w:r>
            <w:r w:rsidR="00F5613C">
              <w:rPr>
                <w:noProof/>
                <w:webHidden/>
              </w:rPr>
              <w:tab/>
            </w:r>
            <w:r>
              <w:rPr>
                <w:noProof/>
                <w:webHidden/>
              </w:rPr>
              <w:fldChar w:fldCharType="begin"/>
            </w:r>
            <w:r w:rsidR="00F5613C">
              <w:rPr>
                <w:noProof/>
                <w:webHidden/>
              </w:rPr>
              <w:instrText xml:space="preserve"> PAGEREF _Toc217243055 \h </w:instrText>
            </w:r>
            <w:r>
              <w:rPr>
                <w:noProof/>
                <w:webHidden/>
              </w:rPr>
            </w:r>
            <w:r>
              <w:rPr>
                <w:noProof/>
                <w:webHidden/>
              </w:rPr>
              <w:fldChar w:fldCharType="separate"/>
            </w:r>
            <w:r w:rsidR="00F5613C">
              <w:rPr>
                <w:noProof/>
                <w:webHidden/>
              </w:rPr>
              <w:t>9</w:t>
            </w:r>
            <w:r>
              <w:rPr>
                <w:noProof/>
                <w:webHidden/>
              </w:rPr>
              <w:fldChar w:fldCharType="end"/>
            </w:r>
          </w:hyperlink>
        </w:p>
        <w:p w:rsidR="00F5613C" w:rsidRDefault="000D7359">
          <w:pPr>
            <w:pStyle w:val="TOC1"/>
            <w:tabs>
              <w:tab w:val="right" w:leader="dot" w:pos="9350"/>
            </w:tabs>
            <w:rPr>
              <w:noProof/>
            </w:rPr>
          </w:pPr>
          <w:hyperlink w:anchor="_Toc217243056" w:history="1">
            <w:r w:rsidR="00F5613C" w:rsidRPr="00917248">
              <w:rPr>
                <w:rStyle w:val="Hyperlink"/>
                <w:noProof/>
              </w:rPr>
              <w:t>3. Strategic Financial Restructuring Plan</w:t>
            </w:r>
            <w:r w:rsidR="00F5613C">
              <w:rPr>
                <w:noProof/>
                <w:webHidden/>
              </w:rPr>
              <w:tab/>
            </w:r>
            <w:r>
              <w:rPr>
                <w:noProof/>
                <w:webHidden/>
              </w:rPr>
              <w:fldChar w:fldCharType="begin"/>
            </w:r>
            <w:r w:rsidR="00F5613C">
              <w:rPr>
                <w:noProof/>
                <w:webHidden/>
              </w:rPr>
              <w:instrText xml:space="preserve"> PAGEREF _Toc217243056 \h </w:instrText>
            </w:r>
            <w:r>
              <w:rPr>
                <w:noProof/>
                <w:webHidden/>
              </w:rPr>
            </w:r>
            <w:r>
              <w:rPr>
                <w:noProof/>
                <w:webHidden/>
              </w:rPr>
              <w:fldChar w:fldCharType="separate"/>
            </w:r>
            <w:r w:rsidR="00F5613C">
              <w:rPr>
                <w:noProof/>
                <w:webHidden/>
              </w:rPr>
              <w:t>13</w:t>
            </w:r>
            <w:r>
              <w:rPr>
                <w:noProof/>
                <w:webHidden/>
              </w:rPr>
              <w:fldChar w:fldCharType="end"/>
            </w:r>
          </w:hyperlink>
        </w:p>
        <w:p w:rsidR="00F5613C" w:rsidRDefault="000D7359">
          <w:pPr>
            <w:pStyle w:val="TOC2"/>
            <w:tabs>
              <w:tab w:val="right" w:leader="dot" w:pos="9350"/>
            </w:tabs>
            <w:rPr>
              <w:noProof/>
            </w:rPr>
          </w:pPr>
          <w:hyperlink w:anchor="_Toc217243057" w:history="1">
            <w:r w:rsidR="00F5613C" w:rsidRPr="00917248">
              <w:rPr>
                <w:rStyle w:val="Hyperlink"/>
                <w:noProof/>
              </w:rPr>
              <w:t>3.1. Recommend financial restructuring options</w:t>
            </w:r>
            <w:r w:rsidR="00F5613C">
              <w:rPr>
                <w:noProof/>
                <w:webHidden/>
              </w:rPr>
              <w:tab/>
            </w:r>
            <w:r>
              <w:rPr>
                <w:noProof/>
                <w:webHidden/>
              </w:rPr>
              <w:fldChar w:fldCharType="begin"/>
            </w:r>
            <w:r w:rsidR="00F5613C">
              <w:rPr>
                <w:noProof/>
                <w:webHidden/>
              </w:rPr>
              <w:instrText xml:space="preserve"> PAGEREF _Toc217243057 \h </w:instrText>
            </w:r>
            <w:r>
              <w:rPr>
                <w:noProof/>
                <w:webHidden/>
              </w:rPr>
            </w:r>
            <w:r>
              <w:rPr>
                <w:noProof/>
                <w:webHidden/>
              </w:rPr>
              <w:fldChar w:fldCharType="separate"/>
            </w:r>
            <w:r w:rsidR="00F5613C">
              <w:rPr>
                <w:noProof/>
                <w:webHidden/>
              </w:rPr>
              <w:t>13</w:t>
            </w:r>
            <w:r>
              <w:rPr>
                <w:noProof/>
                <w:webHidden/>
              </w:rPr>
              <w:fldChar w:fldCharType="end"/>
            </w:r>
          </w:hyperlink>
        </w:p>
        <w:p w:rsidR="00F5613C" w:rsidRDefault="000D7359">
          <w:pPr>
            <w:pStyle w:val="TOC3"/>
            <w:tabs>
              <w:tab w:val="right" w:leader="dot" w:pos="9350"/>
            </w:tabs>
            <w:rPr>
              <w:noProof/>
            </w:rPr>
          </w:pPr>
          <w:hyperlink w:anchor="_Toc217243058" w:history="1">
            <w:r w:rsidR="00F5613C" w:rsidRPr="00917248">
              <w:rPr>
                <w:rStyle w:val="Hyperlink"/>
                <w:noProof/>
              </w:rPr>
              <w:t>(a) Divestiture – Financial Restructuring Option</w:t>
            </w:r>
            <w:r w:rsidR="00F5613C">
              <w:rPr>
                <w:noProof/>
                <w:webHidden/>
              </w:rPr>
              <w:tab/>
            </w:r>
            <w:r>
              <w:rPr>
                <w:noProof/>
                <w:webHidden/>
              </w:rPr>
              <w:fldChar w:fldCharType="begin"/>
            </w:r>
            <w:r w:rsidR="00F5613C">
              <w:rPr>
                <w:noProof/>
                <w:webHidden/>
              </w:rPr>
              <w:instrText xml:space="preserve"> PAGEREF _Toc217243058 \h </w:instrText>
            </w:r>
            <w:r>
              <w:rPr>
                <w:noProof/>
                <w:webHidden/>
              </w:rPr>
            </w:r>
            <w:r>
              <w:rPr>
                <w:noProof/>
                <w:webHidden/>
              </w:rPr>
              <w:fldChar w:fldCharType="separate"/>
            </w:r>
            <w:r w:rsidR="00F5613C">
              <w:rPr>
                <w:noProof/>
                <w:webHidden/>
              </w:rPr>
              <w:t>13</w:t>
            </w:r>
            <w:r>
              <w:rPr>
                <w:noProof/>
                <w:webHidden/>
              </w:rPr>
              <w:fldChar w:fldCharType="end"/>
            </w:r>
          </w:hyperlink>
        </w:p>
        <w:p w:rsidR="00F5613C" w:rsidRDefault="000D7359">
          <w:pPr>
            <w:pStyle w:val="TOC3"/>
            <w:tabs>
              <w:tab w:val="right" w:leader="dot" w:pos="9350"/>
            </w:tabs>
            <w:rPr>
              <w:noProof/>
            </w:rPr>
          </w:pPr>
          <w:hyperlink w:anchor="_Toc217243059" w:history="1">
            <w:r w:rsidR="00F5613C" w:rsidRPr="00917248">
              <w:rPr>
                <w:rStyle w:val="Hyperlink"/>
                <w:noProof/>
              </w:rPr>
              <w:t>(b) Merger – Financial Restructuring Option</w:t>
            </w:r>
            <w:r w:rsidR="00F5613C">
              <w:rPr>
                <w:noProof/>
                <w:webHidden/>
              </w:rPr>
              <w:tab/>
            </w:r>
            <w:r>
              <w:rPr>
                <w:noProof/>
                <w:webHidden/>
              </w:rPr>
              <w:fldChar w:fldCharType="begin"/>
            </w:r>
            <w:r w:rsidR="00F5613C">
              <w:rPr>
                <w:noProof/>
                <w:webHidden/>
              </w:rPr>
              <w:instrText xml:space="preserve"> PAGEREF _Toc217243059 \h </w:instrText>
            </w:r>
            <w:r>
              <w:rPr>
                <w:noProof/>
                <w:webHidden/>
              </w:rPr>
            </w:r>
            <w:r>
              <w:rPr>
                <w:noProof/>
                <w:webHidden/>
              </w:rPr>
              <w:fldChar w:fldCharType="separate"/>
            </w:r>
            <w:r w:rsidR="00F5613C">
              <w:rPr>
                <w:noProof/>
                <w:webHidden/>
              </w:rPr>
              <w:t>13</w:t>
            </w:r>
            <w:r>
              <w:rPr>
                <w:noProof/>
                <w:webHidden/>
              </w:rPr>
              <w:fldChar w:fldCharType="end"/>
            </w:r>
          </w:hyperlink>
        </w:p>
        <w:p w:rsidR="00F5613C" w:rsidRDefault="000D7359">
          <w:pPr>
            <w:pStyle w:val="TOC3"/>
            <w:tabs>
              <w:tab w:val="right" w:leader="dot" w:pos="9350"/>
            </w:tabs>
            <w:rPr>
              <w:noProof/>
            </w:rPr>
          </w:pPr>
          <w:hyperlink w:anchor="_Toc217243060" w:history="1">
            <w:r w:rsidR="00F5613C" w:rsidRPr="00917248">
              <w:rPr>
                <w:rStyle w:val="Hyperlink"/>
                <w:noProof/>
              </w:rPr>
              <w:t>(c) Equity Injection – Financial Restructuring Option</w:t>
            </w:r>
            <w:r w:rsidR="00F5613C">
              <w:rPr>
                <w:noProof/>
                <w:webHidden/>
              </w:rPr>
              <w:tab/>
            </w:r>
            <w:r>
              <w:rPr>
                <w:noProof/>
                <w:webHidden/>
              </w:rPr>
              <w:fldChar w:fldCharType="begin"/>
            </w:r>
            <w:r w:rsidR="00F5613C">
              <w:rPr>
                <w:noProof/>
                <w:webHidden/>
              </w:rPr>
              <w:instrText xml:space="preserve"> PAGEREF _Toc217243060 \h </w:instrText>
            </w:r>
            <w:r>
              <w:rPr>
                <w:noProof/>
                <w:webHidden/>
              </w:rPr>
            </w:r>
            <w:r>
              <w:rPr>
                <w:noProof/>
                <w:webHidden/>
              </w:rPr>
              <w:fldChar w:fldCharType="separate"/>
            </w:r>
            <w:r w:rsidR="00F5613C">
              <w:rPr>
                <w:noProof/>
                <w:webHidden/>
              </w:rPr>
              <w:t>14</w:t>
            </w:r>
            <w:r>
              <w:rPr>
                <w:noProof/>
                <w:webHidden/>
              </w:rPr>
              <w:fldChar w:fldCharType="end"/>
            </w:r>
          </w:hyperlink>
        </w:p>
        <w:p w:rsidR="00F5613C" w:rsidRDefault="000D7359">
          <w:pPr>
            <w:pStyle w:val="TOC2"/>
            <w:tabs>
              <w:tab w:val="right" w:leader="dot" w:pos="9350"/>
            </w:tabs>
            <w:rPr>
              <w:noProof/>
            </w:rPr>
          </w:pPr>
          <w:hyperlink w:anchor="_Toc217243061" w:history="1">
            <w:r w:rsidR="00F5613C" w:rsidRPr="00917248">
              <w:rPr>
                <w:rStyle w:val="Hyperlink"/>
                <w:noProof/>
              </w:rPr>
              <w:t>3.2. impact on shareholder value, debt structure, and operational flexibility</w:t>
            </w:r>
            <w:r w:rsidR="00F5613C">
              <w:rPr>
                <w:noProof/>
                <w:webHidden/>
              </w:rPr>
              <w:tab/>
            </w:r>
            <w:r>
              <w:rPr>
                <w:noProof/>
                <w:webHidden/>
              </w:rPr>
              <w:fldChar w:fldCharType="begin"/>
            </w:r>
            <w:r w:rsidR="00F5613C">
              <w:rPr>
                <w:noProof/>
                <w:webHidden/>
              </w:rPr>
              <w:instrText xml:space="preserve"> PAGEREF _Toc217243061 \h </w:instrText>
            </w:r>
            <w:r>
              <w:rPr>
                <w:noProof/>
                <w:webHidden/>
              </w:rPr>
            </w:r>
            <w:r>
              <w:rPr>
                <w:noProof/>
                <w:webHidden/>
              </w:rPr>
              <w:fldChar w:fldCharType="separate"/>
            </w:r>
            <w:r w:rsidR="00F5613C">
              <w:rPr>
                <w:noProof/>
                <w:webHidden/>
              </w:rPr>
              <w:t>14</w:t>
            </w:r>
            <w:r>
              <w:rPr>
                <w:noProof/>
                <w:webHidden/>
              </w:rPr>
              <w:fldChar w:fldCharType="end"/>
            </w:r>
          </w:hyperlink>
        </w:p>
        <w:p w:rsidR="00F5613C" w:rsidRDefault="000D7359">
          <w:pPr>
            <w:pStyle w:val="TOC3"/>
            <w:tabs>
              <w:tab w:val="right" w:leader="dot" w:pos="9350"/>
            </w:tabs>
            <w:rPr>
              <w:noProof/>
            </w:rPr>
          </w:pPr>
          <w:hyperlink w:anchor="_Toc217243062" w:history="1">
            <w:r w:rsidR="00F5613C" w:rsidRPr="00917248">
              <w:rPr>
                <w:rStyle w:val="Hyperlink"/>
                <w:noProof/>
              </w:rPr>
              <w:t>(a) Impact on Shareholder Value</w:t>
            </w:r>
            <w:r w:rsidR="00F5613C">
              <w:rPr>
                <w:noProof/>
                <w:webHidden/>
              </w:rPr>
              <w:tab/>
            </w:r>
            <w:r>
              <w:rPr>
                <w:noProof/>
                <w:webHidden/>
              </w:rPr>
              <w:fldChar w:fldCharType="begin"/>
            </w:r>
            <w:r w:rsidR="00F5613C">
              <w:rPr>
                <w:noProof/>
                <w:webHidden/>
              </w:rPr>
              <w:instrText xml:space="preserve"> PAGEREF _Toc217243062 \h </w:instrText>
            </w:r>
            <w:r>
              <w:rPr>
                <w:noProof/>
                <w:webHidden/>
              </w:rPr>
            </w:r>
            <w:r>
              <w:rPr>
                <w:noProof/>
                <w:webHidden/>
              </w:rPr>
              <w:fldChar w:fldCharType="separate"/>
            </w:r>
            <w:r w:rsidR="00F5613C">
              <w:rPr>
                <w:noProof/>
                <w:webHidden/>
              </w:rPr>
              <w:t>14</w:t>
            </w:r>
            <w:r>
              <w:rPr>
                <w:noProof/>
                <w:webHidden/>
              </w:rPr>
              <w:fldChar w:fldCharType="end"/>
            </w:r>
          </w:hyperlink>
        </w:p>
        <w:p w:rsidR="00F5613C" w:rsidRDefault="000D7359">
          <w:pPr>
            <w:pStyle w:val="TOC3"/>
            <w:tabs>
              <w:tab w:val="right" w:leader="dot" w:pos="9350"/>
            </w:tabs>
            <w:rPr>
              <w:noProof/>
            </w:rPr>
          </w:pPr>
          <w:hyperlink w:anchor="_Toc217243063" w:history="1">
            <w:r w:rsidR="00F5613C" w:rsidRPr="00917248">
              <w:rPr>
                <w:rStyle w:val="Hyperlink"/>
                <w:noProof/>
              </w:rPr>
              <w:t>(b) Impact on Debt Structure</w:t>
            </w:r>
            <w:r w:rsidR="00F5613C">
              <w:rPr>
                <w:noProof/>
                <w:webHidden/>
              </w:rPr>
              <w:tab/>
            </w:r>
            <w:r>
              <w:rPr>
                <w:noProof/>
                <w:webHidden/>
              </w:rPr>
              <w:fldChar w:fldCharType="begin"/>
            </w:r>
            <w:r w:rsidR="00F5613C">
              <w:rPr>
                <w:noProof/>
                <w:webHidden/>
              </w:rPr>
              <w:instrText xml:space="preserve"> PAGEREF _Toc217243063 \h </w:instrText>
            </w:r>
            <w:r>
              <w:rPr>
                <w:noProof/>
                <w:webHidden/>
              </w:rPr>
            </w:r>
            <w:r>
              <w:rPr>
                <w:noProof/>
                <w:webHidden/>
              </w:rPr>
              <w:fldChar w:fldCharType="separate"/>
            </w:r>
            <w:r w:rsidR="00F5613C">
              <w:rPr>
                <w:noProof/>
                <w:webHidden/>
              </w:rPr>
              <w:t>15</w:t>
            </w:r>
            <w:r>
              <w:rPr>
                <w:noProof/>
                <w:webHidden/>
              </w:rPr>
              <w:fldChar w:fldCharType="end"/>
            </w:r>
          </w:hyperlink>
        </w:p>
        <w:p w:rsidR="00F5613C" w:rsidRDefault="000D7359">
          <w:pPr>
            <w:pStyle w:val="TOC3"/>
            <w:tabs>
              <w:tab w:val="right" w:leader="dot" w:pos="9350"/>
            </w:tabs>
            <w:rPr>
              <w:noProof/>
            </w:rPr>
          </w:pPr>
          <w:hyperlink w:anchor="_Toc217243064" w:history="1">
            <w:r w:rsidR="00F5613C" w:rsidRPr="00917248">
              <w:rPr>
                <w:rStyle w:val="Hyperlink"/>
                <w:noProof/>
              </w:rPr>
              <w:t>(c) Impact on Operational Flexibility</w:t>
            </w:r>
            <w:r w:rsidR="00F5613C">
              <w:rPr>
                <w:noProof/>
                <w:webHidden/>
              </w:rPr>
              <w:tab/>
            </w:r>
            <w:r>
              <w:rPr>
                <w:noProof/>
                <w:webHidden/>
              </w:rPr>
              <w:fldChar w:fldCharType="begin"/>
            </w:r>
            <w:r w:rsidR="00F5613C">
              <w:rPr>
                <w:noProof/>
                <w:webHidden/>
              </w:rPr>
              <w:instrText xml:space="preserve"> PAGEREF _Toc217243064 \h </w:instrText>
            </w:r>
            <w:r>
              <w:rPr>
                <w:noProof/>
                <w:webHidden/>
              </w:rPr>
            </w:r>
            <w:r>
              <w:rPr>
                <w:noProof/>
                <w:webHidden/>
              </w:rPr>
              <w:fldChar w:fldCharType="separate"/>
            </w:r>
            <w:r w:rsidR="00F5613C">
              <w:rPr>
                <w:noProof/>
                <w:webHidden/>
              </w:rPr>
              <w:t>15</w:t>
            </w:r>
            <w:r>
              <w:rPr>
                <w:noProof/>
                <w:webHidden/>
              </w:rPr>
              <w:fldChar w:fldCharType="end"/>
            </w:r>
          </w:hyperlink>
        </w:p>
        <w:p w:rsidR="00F5613C" w:rsidRDefault="000D7359">
          <w:pPr>
            <w:pStyle w:val="TOC1"/>
            <w:tabs>
              <w:tab w:val="right" w:leader="dot" w:pos="9350"/>
            </w:tabs>
            <w:rPr>
              <w:noProof/>
            </w:rPr>
          </w:pPr>
          <w:hyperlink w:anchor="_Toc217243065" w:history="1">
            <w:r w:rsidR="00F5613C" w:rsidRPr="00917248">
              <w:rPr>
                <w:rStyle w:val="Hyperlink"/>
                <w:noProof/>
              </w:rPr>
              <w:t>4. Investment Appraisal &amp; Capital Budgeting</w:t>
            </w:r>
            <w:r w:rsidR="00F5613C">
              <w:rPr>
                <w:noProof/>
                <w:webHidden/>
              </w:rPr>
              <w:tab/>
            </w:r>
            <w:r>
              <w:rPr>
                <w:noProof/>
                <w:webHidden/>
              </w:rPr>
              <w:fldChar w:fldCharType="begin"/>
            </w:r>
            <w:r w:rsidR="00F5613C">
              <w:rPr>
                <w:noProof/>
                <w:webHidden/>
              </w:rPr>
              <w:instrText xml:space="preserve"> PAGEREF _Toc217243065 \h </w:instrText>
            </w:r>
            <w:r>
              <w:rPr>
                <w:noProof/>
                <w:webHidden/>
              </w:rPr>
            </w:r>
            <w:r>
              <w:rPr>
                <w:noProof/>
                <w:webHidden/>
              </w:rPr>
              <w:fldChar w:fldCharType="separate"/>
            </w:r>
            <w:r w:rsidR="00F5613C">
              <w:rPr>
                <w:noProof/>
                <w:webHidden/>
              </w:rPr>
              <w:t>16</w:t>
            </w:r>
            <w:r>
              <w:rPr>
                <w:noProof/>
                <w:webHidden/>
              </w:rPr>
              <w:fldChar w:fldCharType="end"/>
            </w:r>
          </w:hyperlink>
        </w:p>
        <w:p w:rsidR="00F5613C" w:rsidRDefault="000D7359">
          <w:pPr>
            <w:pStyle w:val="TOC2"/>
            <w:tabs>
              <w:tab w:val="right" w:leader="dot" w:pos="9350"/>
            </w:tabs>
            <w:rPr>
              <w:noProof/>
            </w:rPr>
          </w:pPr>
          <w:hyperlink w:anchor="_Toc217243066" w:history="1">
            <w:r w:rsidR="00F5613C" w:rsidRPr="00917248">
              <w:rPr>
                <w:rStyle w:val="Hyperlink"/>
                <w:noProof/>
              </w:rPr>
              <w:t>4.1. PBP</w:t>
            </w:r>
            <w:r w:rsidR="00F5613C">
              <w:rPr>
                <w:noProof/>
                <w:webHidden/>
              </w:rPr>
              <w:tab/>
            </w:r>
            <w:r>
              <w:rPr>
                <w:noProof/>
                <w:webHidden/>
              </w:rPr>
              <w:fldChar w:fldCharType="begin"/>
            </w:r>
            <w:r w:rsidR="00F5613C">
              <w:rPr>
                <w:noProof/>
                <w:webHidden/>
              </w:rPr>
              <w:instrText xml:space="preserve"> PAGEREF _Toc217243066 \h </w:instrText>
            </w:r>
            <w:r>
              <w:rPr>
                <w:noProof/>
                <w:webHidden/>
              </w:rPr>
            </w:r>
            <w:r>
              <w:rPr>
                <w:noProof/>
                <w:webHidden/>
              </w:rPr>
              <w:fldChar w:fldCharType="separate"/>
            </w:r>
            <w:r w:rsidR="00F5613C">
              <w:rPr>
                <w:noProof/>
                <w:webHidden/>
              </w:rPr>
              <w:t>16</w:t>
            </w:r>
            <w:r>
              <w:rPr>
                <w:noProof/>
                <w:webHidden/>
              </w:rPr>
              <w:fldChar w:fldCharType="end"/>
            </w:r>
          </w:hyperlink>
        </w:p>
        <w:p w:rsidR="00F5613C" w:rsidRDefault="000D7359">
          <w:pPr>
            <w:pStyle w:val="TOC2"/>
            <w:tabs>
              <w:tab w:val="right" w:leader="dot" w:pos="9350"/>
            </w:tabs>
            <w:rPr>
              <w:noProof/>
            </w:rPr>
          </w:pPr>
          <w:hyperlink w:anchor="_Toc217243067" w:history="1">
            <w:r w:rsidR="00F5613C" w:rsidRPr="00917248">
              <w:rPr>
                <w:rStyle w:val="Hyperlink"/>
                <w:noProof/>
              </w:rPr>
              <w:t>4.2. ARR</w:t>
            </w:r>
            <w:r w:rsidR="00F5613C">
              <w:rPr>
                <w:noProof/>
                <w:webHidden/>
              </w:rPr>
              <w:tab/>
            </w:r>
            <w:r>
              <w:rPr>
                <w:noProof/>
                <w:webHidden/>
              </w:rPr>
              <w:fldChar w:fldCharType="begin"/>
            </w:r>
            <w:r w:rsidR="00F5613C">
              <w:rPr>
                <w:noProof/>
                <w:webHidden/>
              </w:rPr>
              <w:instrText xml:space="preserve"> PAGEREF _Toc217243067 \h </w:instrText>
            </w:r>
            <w:r>
              <w:rPr>
                <w:noProof/>
                <w:webHidden/>
              </w:rPr>
            </w:r>
            <w:r>
              <w:rPr>
                <w:noProof/>
                <w:webHidden/>
              </w:rPr>
              <w:fldChar w:fldCharType="separate"/>
            </w:r>
            <w:r w:rsidR="00F5613C">
              <w:rPr>
                <w:noProof/>
                <w:webHidden/>
              </w:rPr>
              <w:t>16</w:t>
            </w:r>
            <w:r>
              <w:rPr>
                <w:noProof/>
                <w:webHidden/>
              </w:rPr>
              <w:fldChar w:fldCharType="end"/>
            </w:r>
          </w:hyperlink>
        </w:p>
        <w:p w:rsidR="00F5613C" w:rsidRDefault="000D7359">
          <w:pPr>
            <w:pStyle w:val="TOC2"/>
            <w:tabs>
              <w:tab w:val="right" w:leader="dot" w:pos="9350"/>
            </w:tabs>
            <w:rPr>
              <w:noProof/>
            </w:rPr>
          </w:pPr>
          <w:hyperlink w:anchor="_Toc217243068" w:history="1">
            <w:r w:rsidR="00F5613C" w:rsidRPr="00917248">
              <w:rPr>
                <w:rStyle w:val="Hyperlink"/>
                <w:noProof/>
              </w:rPr>
              <w:t>4.3. NPV</w:t>
            </w:r>
            <w:r w:rsidR="00F5613C">
              <w:rPr>
                <w:noProof/>
                <w:webHidden/>
              </w:rPr>
              <w:tab/>
            </w:r>
            <w:r>
              <w:rPr>
                <w:noProof/>
                <w:webHidden/>
              </w:rPr>
              <w:fldChar w:fldCharType="begin"/>
            </w:r>
            <w:r w:rsidR="00F5613C">
              <w:rPr>
                <w:noProof/>
                <w:webHidden/>
              </w:rPr>
              <w:instrText xml:space="preserve"> PAGEREF _Toc217243068 \h </w:instrText>
            </w:r>
            <w:r>
              <w:rPr>
                <w:noProof/>
                <w:webHidden/>
              </w:rPr>
            </w:r>
            <w:r>
              <w:rPr>
                <w:noProof/>
                <w:webHidden/>
              </w:rPr>
              <w:fldChar w:fldCharType="separate"/>
            </w:r>
            <w:r w:rsidR="00F5613C">
              <w:rPr>
                <w:noProof/>
                <w:webHidden/>
              </w:rPr>
              <w:t>17</w:t>
            </w:r>
            <w:r>
              <w:rPr>
                <w:noProof/>
                <w:webHidden/>
              </w:rPr>
              <w:fldChar w:fldCharType="end"/>
            </w:r>
          </w:hyperlink>
        </w:p>
        <w:p w:rsidR="00F5613C" w:rsidRDefault="000D7359">
          <w:pPr>
            <w:pStyle w:val="TOC2"/>
            <w:tabs>
              <w:tab w:val="right" w:leader="dot" w:pos="9350"/>
            </w:tabs>
            <w:rPr>
              <w:noProof/>
            </w:rPr>
          </w:pPr>
          <w:hyperlink w:anchor="_Toc217243069" w:history="1">
            <w:r w:rsidR="00F5613C" w:rsidRPr="00917248">
              <w:rPr>
                <w:rStyle w:val="Hyperlink"/>
                <w:noProof/>
              </w:rPr>
              <w:t>4.4.  PI</w:t>
            </w:r>
            <w:r w:rsidR="00F5613C">
              <w:rPr>
                <w:noProof/>
                <w:webHidden/>
              </w:rPr>
              <w:tab/>
            </w:r>
            <w:r>
              <w:rPr>
                <w:noProof/>
                <w:webHidden/>
              </w:rPr>
              <w:fldChar w:fldCharType="begin"/>
            </w:r>
            <w:r w:rsidR="00F5613C">
              <w:rPr>
                <w:noProof/>
                <w:webHidden/>
              </w:rPr>
              <w:instrText xml:space="preserve"> PAGEREF _Toc217243069 \h </w:instrText>
            </w:r>
            <w:r>
              <w:rPr>
                <w:noProof/>
                <w:webHidden/>
              </w:rPr>
            </w:r>
            <w:r>
              <w:rPr>
                <w:noProof/>
                <w:webHidden/>
              </w:rPr>
              <w:fldChar w:fldCharType="separate"/>
            </w:r>
            <w:r w:rsidR="00F5613C">
              <w:rPr>
                <w:noProof/>
                <w:webHidden/>
              </w:rPr>
              <w:t>17</w:t>
            </w:r>
            <w:r>
              <w:rPr>
                <w:noProof/>
                <w:webHidden/>
              </w:rPr>
              <w:fldChar w:fldCharType="end"/>
            </w:r>
          </w:hyperlink>
        </w:p>
        <w:p w:rsidR="00F5613C" w:rsidRDefault="000D7359">
          <w:pPr>
            <w:pStyle w:val="TOC2"/>
            <w:tabs>
              <w:tab w:val="right" w:leader="dot" w:pos="9350"/>
            </w:tabs>
            <w:rPr>
              <w:noProof/>
            </w:rPr>
          </w:pPr>
          <w:hyperlink w:anchor="_Toc217243070" w:history="1">
            <w:r w:rsidR="00F5613C" w:rsidRPr="00917248">
              <w:rPr>
                <w:rStyle w:val="Hyperlink"/>
                <w:noProof/>
              </w:rPr>
              <w:t>4.5. IRR</w:t>
            </w:r>
            <w:r w:rsidR="00F5613C">
              <w:rPr>
                <w:noProof/>
                <w:webHidden/>
              </w:rPr>
              <w:tab/>
            </w:r>
            <w:r>
              <w:rPr>
                <w:noProof/>
                <w:webHidden/>
              </w:rPr>
              <w:fldChar w:fldCharType="begin"/>
            </w:r>
            <w:r w:rsidR="00F5613C">
              <w:rPr>
                <w:noProof/>
                <w:webHidden/>
              </w:rPr>
              <w:instrText xml:space="preserve"> PAGEREF _Toc217243070 \h </w:instrText>
            </w:r>
            <w:r>
              <w:rPr>
                <w:noProof/>
                <w:webHidden/>
              </w:rPr>
            </w:r>
            <w:r>
              <w:rPr>
                <w:noProof/>
                <w:webHidden/>
              </w:rPr>
              <w:fldChar w:fldCharType="separate"/>
            </w:r>
            <w:r w:rsidR="00F5613C">
              <w:rPr>
                <w:noProof/>
                <w:webHidden/>
              </w:rPr>
              <w:t>18</w:t>
            </w:r>
            <w:r>
              <w:rPr>
                <w:noProof/>
                <w:webHidden/>
              </w:rPr>
              <w:fldChar w:fldCharType="end"/>
            </w:r>
          </w:hyperlink>
        </w:p>
        <w:p w:rsidR="00F5613C" w:rsidRDefault="000D7359">
          <w:pPr>
            <w:pStyle w:val="TOC2"/>
            <w:tabs>
              <w:tab w:val="right" w:leader="dot" w:pos="9350"/>
            </w:tabs>
            <w:rPr>
              <w:noProof/>
            </w:rPr>
          </w:pPr>
          <w:hyperlink w:anchor="_Toc217243071" w:history="1">
            <w:r w:rsidR="00F5613C" w:rsidRPr="00917248">
              <w:rPr>
                <w:rStyle w:val="Hyperlink"/>
                <w:noProof/>
              </w:rPr>
              <w:t>Final investment recommendation</w:t>
            </w:r>
            <w:r w:rsidR="00F5613C">
              <w:rPr>
                <w:noProof/>
                <w:webHidden/>
              </w:rPr>
              <w:tab/>
            </w:r>
            <w:r>
              <w:rPr>
                <w:noProof/>
                <w:webHidden/>
              </w:rPr>
              <w:fldChar w:fldCharType="begin"/>
            </w:r>
            <w:r w:rsidR="00F5613C">
              <w:rPr>
                <w:noProof/>
                <w:webHidden/>
              </w:rPr>
              <w:instrText xml:space="preserve"> PAGEREF _Toc217243071 \h </w:instrText>
            </w:r>
            <w:r>
              <w:rPr>
                <w:noProof/>
                <w:webHidden/>
              </w:rPr>
            </w:r>
            <w:r>
              <w:rPr>
                <w:noProof/>
                <w:webHidden/>
              </w:rPr>
              <w:fldChar w:fldCharType="separate"/>
            </w:r>
            <w:r w:rsidR="00F5613C">
              <w:rPr>
                <w:noProof/>
                <w:webHidden/>
              </w:rPr>
              <w:t>18</w:t>
            </w:r>
            <w:r>
              <w:rPr>
                <w:noProof/>
                <w:webHidden/>
              </w:rPr>
              <w:fldChar w:fldCharType="end"/>
            </w:r>
          </w:hyperlink>
        </w:p>
        <w:p w:rsidR="00F5613C" w:rsidRDefault="000D7359">
          <w:pPr>
            <w:pStyle w:val="TOC1"/>
            <w:tabs>
              <w:tab w:val="right" w:leader="dot" w:pos="9350"/>
            </w:tabs>
            <w:rPr>
              <w:noProof/>
            </w:rPr>
          </w:pPr>
          <w:hyperlink w:anchor="_Toc217243072" w:history="1">
            <w:r w:rsidR="00F5613C" w:rsidRPr="00917248">
              <w:rPr>
                <w:rStyle w:val="Hyperlink"/>
                <w:noProof/>
              </w:rPr>
              <w:t>Reference</w:t>
            </w:r>
            <w:r w:rsidR="00F5613C">
              <w:rPr>
                <w:noProof/>
                <w:webHidden/>
              </w:rPr>
              <w:tab/>
            </w:r>
            <w:r>
              <w:rPr>
                <w:noProof/>
                <w:webHidden/>
              </w:rPr>
              <w:fldChar w:fldCharType="begin"/>
            </w:r>
            <w:r w:rsidR="00F5613C">
              <w:rPr>
                <w:noProof/>
                <w:webHidden/>
              </w:rPr>
              <w:instrText xml:space="preserve"> PAGEREF _Toc217243072 \h </w:instrText>
            </w:r>
            <w:r>
              <w:rPr>
                <w:noProof/>
                <w:webHidden/>
              </w:rPr>
            </w:r>
            <w:r>
              <w:rPr>
                <w:noProof/>
                <w:webHidden/>
              </w:rPr>
              <w:fldChar w:fldCharType="separate"/>
            </w:r>
            <w:r w:rsidR="00F5613C">
              <w:rPr>
                <w:noProof/>
                <w:webHidden/>
              </w:rPr>
              <w:t>19</w:t>
            </w:r>
            <w:r>
              <w:rPr>
                <w:noProof/>
                <w:webHidden/>
              </w:rPr>
              <w:fldChar w:fldCharType="end"/>
            </w:r>
          </w:hyperlink>
        </w:p>
        <w:p w:rsidR="00F5613C" w:rsidRDefault="000D7359">
          <w:pPr>
            <w:pStyle w:val="TOC1"/>
            <w:tabs>
              <w:tab w:val="right" w:leader="dot" w:pos="9350"/>
            </w:tabs>
            <w:rPr>
              <w:noProof/>
            </w:rPr>
          </w:pPr>
          <w:hyperlink w:anchor="_Toc217243073" w:history="1">
            <w:r w:rsidR="00F5613C" w:rsidRPr="00917248">
              <w:rPr>
                <w:rStyle w:val="Hyperlink"/>
                <w:noProof/>
              </w:rPr>
              <w:t>Appendix</w:t>
            </w:r>
            <w:r w:rsidR="00F5613C">
              <w:rPr>
                <w:noProof/>
                <w:webHidden/>
              </w:rPr>
              <w:tab/>
            </w:r>
            <w:r>
              <w:rPr>
                <w:noProof/>
                <w:webHidden/>
              </w:rPr>
              <w:fldChar w:fldCharType="begin"/>
            </w:r>
            <w:r w:rsidR="00F5613C">
              <w:rPr>
                <w:noProof/>
                <w:webHidden/>
              </w:rPr>
              <w:instrText xml:space="preserve"> PAGEREF _Toc217243073 \h </w:instrText>
            </w:r>
            <w:r>
              <w:rPr>
                <w:noProof/>
                <w:webHidden/>
              </w:rPr>
            </w:r>
            <w:r>
              <w:rPr>
                <w:noProof/>
                <w:webHidden/>
              </w:rPr>
              <w:fldChar w:fldCharType="separate"/>
            </w:r>
            <w:r w:rsidR="00F5613C">
              <w:rPr>
                <w:noProof/>
                <w:webHidden/>
              </w:rPr>
              <w:t>24</w:t>
            </w:r>
            <w:r>
              <w:rPr>
                <w:noProof/>
                <w:webHidden/>
              </w:rPr>
              <w:fldChar w:fldCharType="end"/>
            </w:r>
          </w:hyperlink>
        </w:p>
        <w:p w:rsidR="00F5613C" w:rsidRDefault="000D7359">
          <w:r>
            <w:fldChar w:fldCharType="end"/>
          </w:r>
        </w:p>
      </w:sdtContent>
    </w:sdt>
    <w:p w:rsidR="00A24542" w:rsidRDefault="00F5613C">
      <w:pPr>
        <w:jc w:val="center"/>
      </w:pPr>
      <w:r>
        <w:br w:type="page"/>
      </w:r>
    </w:p>
    <w:p w:rsidR="00A24542" w:rsidRDefault="00F5613C">
      <w:pPr>
        <w:pStyle w:val="Heading1"/>
      </w:pPr>
      <w:bookmarkStart w:id="3" w:name="_Toc217243030"/>
      <w:r>
        <w:lastRenderedPageBreak/>
        <w:t>1. Financial Health Analysis</w:t>
      </w:r>
      <w:bookmarkEnd w:id="3"/>
    </w:p>
    <w:p w:rsidR="00A24542" w:rsidRDefault="00F5613C">
      <w:pPr>
        <w:pStyle w:val="Heading2"/>
        <w:jc w:val="left"/>
      </w:pPr>
      <w:bookmarkStart w:id="4" w:name="_Toc217243031"/>
      <w:r>
        <w:t>1.1. Introduction to financial analysis</w:t>
      </w:r>
      <w:bookmarkEnd w:id="4"/>
    </w:p>
    <w:p w:rsidR="00A24542" w:rsidRDefault="00F5613C">
      <w:r>
        <w:t>This financial health analysis will attempt to track the overall financial performance, stability and risk profile of the company. It assists in determining the important strengths and weaknesses. It also points out the possible financial distress areas. The analysis will help managers and investors to make informed decisions. The analysis is carried out using the financial statements of the company published. These are the income statement, balance sheet and cash flow statement. The time frame of the study is five years (2020-2024). This period gives time to meaningful trend analysis and performance comparison. The multi-ratio analysis method is used to give an overall evaluation. The ratios that are included in the analysis are profitability, liquidity, efficiency, gearing, investment, and cash flow ratios. This is done in a structured manner where one has a balanced and credible assessment of financial health.</w:t>
      </w:r>
    </w:p>
    <w:p w:rsidR="00A24542" w:rsidRDefault="00F5613C">
      <w:pPr>
        <w:pStyle w:val="Heading2"/>
        <w:keepNext w:val="0"/>
        <w:keepLines w:val="0"/>
        <w:spacing w:before="0" w:after="0"/>
      </w:pPr>
      <w:bookmarkStart w:id="5" w:name="_Toc217243032"/>
      <w:r>
        <w:t>1.2. Ratio analysis</w:t>
      </w:r>
      <w:bookmarkEnd w:id="5"/>
    </w:p>
    <w:p w:rsidR="00A24542" w:rsidRDefault="00F5613C">
      <w:pPr>
        <w:pStyle w:val="Heading3"/>
        <w:keepNext w:val="0"/>
        <w:keepLines w:val="0"/>
      </w:pPr>
      <w:bookmarkStart w:id="6" w:name="_Toc217243033"/>
      <w:r>
        <w:t>Net Profit Margin</w:t>
      </w:r>
      <w:bookmarkEnd w:id="6"/>
    </w:p>
    <w:p w:rsidR="00A24542" w:rsidRDefault="00F5613C">
      <w:r>
        <w:t>Net profit margin reflects the amount of profit that has not been used in all the costs (BDC, 2025). The margin of the firm declined significantly and became very negative in 2023 and 2024. This result will mean cost increases. Weaker demand is also reflected in it. The cost mismanagement also helped in the decline in the overall profitability over the past operating periods.</w:t>
      </w:r>
    </w:p>
    <w:p w:rsidR="00A24542" w:rsidRDefault="00F5613C">
      <w:pPr>
        <w:pStyle w:val="Heading3"/>
        <w:keepNext w:val="0"/>
        <w:keepLines w:val="0"/>
      </w:pPr>
      <w:bookmarkStart w:id="7" w:name="_Toc217243034"/>
      <w:r>
        <w:t>Operating Profit Margin</w:t>
      </w:r>
      <w:bookmarkEnd w:id="7"/>
    </w:p>
    <w:p w:rsidR="00A24542" w:rsidRDefault="00F5613C">
      <w:r>
        <w:t>Operating profit margin is used to indicate how effectively the core business can make profits without including interest and tax (Andoko and Angeline, 2023). The margin shifted to positive values due to major losses in 2023 and 2024. This tendency shows the low level of operational effectiveness and increased operating costs of recent periods.</w:t>
      </w:r>
    </w:p>
    <w:p w:rsidR="00A24542" w:rsidRDefault="00F5613C">
      <w:pPr>
        <w:pStyle w:val="Heading3"/>
        <w:keepNext w:val="0"/>
        <w:keepLines w:val="0"/>
      </w:pPr>
      <w:bookmarkStart w:id="8" w:name="_Toc217243035"/>
      <w:r>
        <w:t>Current Ratio</w:t>
      </w:r>
      <w:bookmarkEnd w:id="8"/>
    </w:p>
    <w:p w:rsidR="00A24542" w:rsidRDefault="00F5613C">
      <w:r>
        <w:t>The current ratio is used to assess the capability of the firm to cover the short-term liabilities with the help of current assets (Corporate Finance Institute, 2024). The ratio also exhibited a progressive decrease, although it has been above 1.5 during the time. The trend suggests a poor liquidity position. It also implies that the short-term financial buffer of the firm is decreased.</w:t>
      </w:r>
    </w:p>
    <w:p w:rsidR="00A24542" w:rsidRDefault="00F5613C">
      <w:pPr>
        <w:pStyle w:val="Heading3"/>
        <w:keepNext w:val="0"/>
        <w:keepLines w:val="0"/>
      </w:pPr>
      <w:bookmarkStart w:id="9" w:name="_Toc217243036"/>
      <w:r>
        <w:t>Quick Ratio</w:t>
      </w:r>
      <w:bookmarkEnd w:id="9"/>
    </w:p>
    <w:p w:rsidR="00A24542" w:rsidRDefault="00F5613C">
      <w:r>
        <w:lastRenderedPageBreak/>
        <w:t>The quick ratio examines the short-term solvency by locking out inventory in current assets (Gunawan, 2023). The ratio was a little more than 1 throughout the period. The declining trend, however, is an indicator of diminishing quick assets. This implies increased dependency on inventory or a slower increase in cash and receivables.</w:t>
      </w:r>
    </w:p>
    <w:p w:rsidR="00A24542" w:rsidRDefault="00F5613C">
      <w:pPr>
        <w:pStyle w:val="Heading3"/>
        <w:keepNext w:val="0"/>
        <w:keepLines w:val="0"/>
      </w:pPr>
      <w:bookmarkStart w:id="10" w:name="_Toc217243037"/>
      <w:r>
        <w:t>Inventory Turnover Ratio</w:t>
      </w:r>
      <w:bookmarkEnd w:id="10"/>
    </w:p>
    <w:p w:rsidR="00A24542" w:rsidRDefault="00F5613C">
      <w:r>
        <w:t>Inventory turnover is used to determine the speed at which inventory is converted into sales within a period (Netsuite, 2025). The ratio varied and dropped to the lowest point in 2022. This indicates slower stock turnover and low demand. The low increase in 2024 indicates an improvement in the inventory management or sales performance.</w:t>
      </w:r>
    </w:p>
    <w:p w:rsidR="00A24542" w:rsidRDefault="00F5613C">
      <w:pPr>
        <w:pStyle w:val="Heading3"/>
        <w:keepNext w:val="0"/>
        <w:keepLines w:val="0"/>
      </w:pPr>
      <w:bookmarkStart w:id="11" w:name="_Toc217243038"/>
      <w:r>
        <w:t>Receivable Turnover Ratio</w:t>
      </w:r>
      <w:bookmarkEnd w:id="11"/>
    </w:p>
    <w:p w:rsidR="00A24542" w:rsidRDefault="00F5613C">
      <w:r>
        <w:t>Receivable turnover is used to determine the speed with which customers pay their balance (Ekayani et al., 2022). The reduction that is recorded in the time frame 2020/2024 is an indication of slower receivable collection. This enhances the risk of cash flow. It also indicates aower credit management and collection efficiency.</w:t>
      </w:r>
    </w:p>
    <w:p w:rsidR="00A24542" w:rsidRDefault="00F5613C">
      <w:pPr>
        <w:pStyle w:val="Heading3"/>
        <w:keepNext w:val="0"/>
        <w:keepLines w:val="0"/>
      </w:pPr>
      <w:bookmarkStart w:id="12" w:name="_Toc217243039"/>
      <w:r>
        <w:t>Debt-to-Equity Ratio</w:t>
      </w:r>
      <w:bookmarkEnd w:id="12"/>
    </w:p>
    <w:p w:rsidR="00A24542" w:rsidRDefault="00F5613C">
      <w:r>
        <w:t>The debt-to-equity ratio is used to determine the degree of financial leverage, in terms of total liabilities and the equity of shareholders ( Debt to Equity Ratio, 2023). The reliance on debt financing is higher, as indicated by the rise to 1.11 in 2024. Increased leverage increases the interest requirements. It also makes the firm more financially risky and exposed to the volatility of earnings.</w:t>
      </w:r>
    </w:p>
    <w:p w:rsidR="00A24542" w:rsidRDefault="00F5613C">
      <w:pPr>
        <w:pStyle w:val="Heading3"/>
        <w:keepNext w:val="0"/>
        <w:keepLines w:val="0"/>
      </w:pPr>
      <w:bookmarkStart w:id="13" w:name="_Toc217243040"/>
      <w:r>
        <w:t>Interest Coverage Ratio</w:t>
      </w:r>
      <w:bookmarkEnd w:id="13"/>
    </w:p>
    <w:p w:rsidR="00A24542" w:rsidRDefault="00F5613C">
      <w:r>
        <w:t>Interest coverage ratios are used to assess the capacity of an organisation to cover interest expenses with the use of operating income (Kollruss, 2023). The negative values of 2023 and 2024 show operational losses. Such losses were not enough to replaceiinterestpayable. This is a sign of extremely poor performance and an increase in the chances of default.</w:t>
      </w:r>
    </w:p>
    <w:p w:rsidR="00A24542" w:rsidRDefault="00F5613C">
      <w:pPr>
        <w:pStyle w:val="Heading3"/>
        <w:keepNext w:val="0"/>
        <w:keepLines w:val="0"/>
      </w:pPr>
      <w:bookmarkStart w:id="14" w:name="_Toc217243041"/>
      <w:r>
        <w:t>Return on Equity (ROE)</w:t>
      </w:r>
      <w:bookmarkEnd w:id="14"/>
      <w:r>
        <w:t xml:space="preserve"> </w:t>
      </w:r>
    </w:p>
    <w:p w:rsidR="00A24542" w:rsidRDefault="00F5613C">
      <w:r>
        <w:t>Return on equity will determine the efficiency used by the shareholders in generating profits (Corporate Finance Institute, 2024). The change of the values to negative indicates a drastic drop in performance. This is a loss experienced by shareholders since 2020. The negative ROE means that equity capital is not spent efficiently. It is also an indication of loss of shareholder value in the long run.</w:t>
      </w:r>
    </w:p>
    <w:p w:rsidR="00A24542" w:rsidRDefault="00F5613C">
      <w:pPr>
        <w:pStyle w:val="Heading3"/>
        <w:keepNext w:val="0"/>
        <w:keepLines w:val="0"/>
      </w:pPr>
      <w:bookmarkStart w:id="15" w:name="_Toc217243042"/>
      <w:r>
        <w:lastRenderedPageBreak/>
        <w:t>Earnings Per Share (EPS)</w:t>
      </w:r>
      <w:bookmarkEnd w:id="15"/>
      <w:r>
        <w:t xml:space="preserve"> </w:t>
      </w:r>
    </w:p>
    <w:p w:rsidR="00A24542" w:rsidRDefault="00F5613C">
      <w:r>
        <w:t>Earnings per share indicate the amount of profit per share of the ordinary share (Pikūnas, 2023). The drop to negative figures indicates that the shareholders made huge losses. Such a downward trend on a regular basis indicates low quality of earnings. It also signifies a general poor business performance as well as decreased returns of investors.</w:t>
      </w:r>
    </w:p>
    <w:p w:rsidR="00A24542" w:rsidRDefault="00F5613C">
      <w:pPr>
        <w:pStyle w:val="Heading3"/>
        <w:keepNext w:val="0"/>
        <w:keepLines w:val="0"/>
      </w:pPr>
      <w:bookmarkStart w:id="16" w:name="_Toc217243043"/>
      <w:r>
        <w:t>Operating Cash Flow Margin</w:t>
      </w:r>
      <w:bookmarkEnd w:id="16"/>
    </w:p>
    <w:p w:rsidR="00A24542" w:rsidRDefault="00F5613C">
      <w:r>
        <w:t>This ratio is used to assess the ratio of revenue that is turned into operating cash flow (Wallstreetprep, 2024). The falling of 11.94 to 3.75 shows that cash generation is becoming weak. It shows increased operating expenses. It also brings out the effect of decreasing profitability on operating cash flows.</w:t>
      </w:r>
    </w:p>
    <w:p w:rsidR="00A24542" w:rsidRDefault="00F5613C">
      <w:pPr>
        <w:pStyle w:val="Heading3"/>
        <w:keepNext w:val="0"/>
        <w:keepLines w:val="0"/>
      </w:pPr>
      <w:bookmarkStart w:id="17" w:name="_Toc217243044"/>
      <w:r>
        <w:t>Free Cash Flow Margin</w:t>
      </w:r>
      <w:bookmarkEnd w:id="17"/>
      <w:r>
        <w:t xml:space="preserve"> </w:t>
      </w:r>
    </w:p>
    <w:p w:rsidR="00A24542" w:rsidRDefault="00F5613C">
      <w:r>
        <w:t>The free cash flow margin is the money left after the capital expenditure (Hersi, 2021). The negative figure in 2022 is significant, which means that there is intense strain on cash resources. This is an indication of high investment required or poor operating cash flow. The fact that in the later years there are still low margins implies a low ability to repay debt. They also limit the financial capabilities of the firm to finance its expansion in the future.</w:t>
      </w:r>
    </w:p>
    <w:p w:rsidR="00A24542" w:rsidRDefault="00F5613C">
      <w:pPr>
        <w:pStyle w:val="Heading2"/>
        <w:keepNext w:val="0"/>
        <w:keepLines w:val="0"/>
      </w:pPr>
      <w:bookmarkStart w:id="18" w:name="_Toc217243045"/>
      <w:r>
        <w:t>1.3 Trend Analysis Summary (3–5 Years)</w:t>
      </w:r>
      <w:bookmarkEnd w:id="18"/>
    </w:p>
    <w:p w:rsidR="00A24542" w:rsidRDefault="00F5613C">
      <w:pPr>
        <w:pStyle w:val="Heading3"/>
        <w:keepNext w:val="0"/>
        <w:keepLines w:val="0"/>
        <w:rPr>
          <w:color w:val="000000"/>
        </w:rPr>
      </w:pPr>
      <w:bookmarkStart w:id="19" w:name="_Toc217243046"/>
      <w:r>
        <w:rPr>
          <w:color w:val="000000"/>
        </w:rPr>
        <w:t>Revenue Growth</w:t>
      </w:r>
      <w:bookmarkEnd w:id="19"/>
    </w:p>
    <w:p w:rsidR="00A24542" w:rsidRDefault="00F5613C">
      <w:r>
        <w:t>The trend of the revenue is evidently negative between 2020 and 2024. In 2020, the sales reached their highest point of 614,680 million, and they began to decrease continuously to 394,879 million in 2024. This direction is an indicator of declining market demand and the risk of losing a competitive advantage. This plummet in 2021 is indicative of exogenous economic forces and endogenous strategic issues. Reduction in revenue directly cuts off profitability and operating cash flows. The decreasing levels of sales also added to the lowering operating margin. Altogether, the continuous decrease in revenues denotes the shrinkage of business volume and reduced growth opportunities. (Muthusamy and Kannan, 2023).</w:t>
      </w:r>
    </w:p>
    <w:p w:rsidR="00A24542" w:rsidRDefault="00F5613C">
      <w:pPr>
        <w:pStyle w:val="Heading3"/>
        <w:keepNext w:val="0"/>
        <w:keepLines w:val="0"/>
        <w:rPr>
          <w:color w:val="000000"/>
        </w:rPr>
      </w:pPr>
      <w:bookmarkStart w:id="20" w:name="_Toc217243047"/>
      <w:r>
        <w:rPr>
          <w:color w:val="000000"/>
        </w:rPr>
        <w:t>Cost Control</w:t>
      </w:r>
      <w:bookmarkEnd w:id="20"/>
    </w:p>
    <w:p w:rsidR="00A24542" w:rsidRDefault="00F5613C">
      <w:r>
        <w:t xml:space="preserve">Cost management has worsened to a great extent. Both operating and net profit margins became negative in both 2023 and 2024. This indicates that the cost increase was more than the revenue increase. This was aggravated by the increasing operating costs, ineffective manufacturing, and </w:t>
      </w:r>
      <w:r>
        <w:lastRenderedPageBreak/>
        <w:t>increased finances. The losses were growing because expenditures were not reduced proportionately to the falling revenue. Poor cost discipline minimised the operating efficiency. There was also poor cost control, which limited the generation of cash flow. The operating losses have been persistent, which means that the firm is structurally cost inefficient (Anuruddika, 2020).</w:t>
      </w:r>
    </w:p>
    <w:p w:rsidR="00A24542" w:rsidRDefault="00F5613C">
      <w:pPr>
        <w:pStyle w:val="Heading3"/>
        <w:keepNext w:val="0"/>
        <w:keepLines w:val="0"/>
        <w:rPr>
          <w:color w:val="000000"/>
        </w:rPr>
      </w:pPr>
      <w:bookmarkStart w:id="21" w:name="_Toc217243048"/>
      <w:r>
        <w:rPr>
          <w:color w:val="000000"/>
        </w:rPr>
        <w:t>Profit Stability</w:t>
      </w:r>
      <w:bookmarkEnd w:id="21"/>
    </w:p>
    <w:p w:rsidR="00A24542" w:rsidRDefault="00F5613C">
      <w:r>
        <w:t>The profit stability in the period of five years has been very weak. In 2020 and 2021, the company made a profit. The margins deteriorated particularly in 2022. Massive losses were experienced in 2023 and went on to 2024. The net profit margin dropped significantly and reached negative values in 2023 and fell to -6.09% in 2024. Earnings per share and return on equity went back to negative. This trend indicates very volatile revenues and decreasing predictability (Sustainability-directory, 2025).</w:t>
      </w:r>
    </w:p>
    <w:p w:rsidR="00A24542" w:rsidRDefault="00F5613C">
      <w:pPr>
        <w:pStyle w:val="Heading3"/>
        <w:keepNext w:val="0"/>
        <w:keepLines w:val="0"/>
        <w:rPr>
          <w:color w:val="000000"/>
        </w:rPr>
      </w:pPr>
      <w:bookmarkStart w:id="22" w:name="_Toc217243049"/>
      <w:r>
        <w:rPr>
          <w:color w:val="000000"/>
        </w:rPr>
        <w:t>Asset Efficiency</w:t>
      </w:r>
      <w:bookmarkEnd w:id="22"/>
    </w:p>
    <w:p w:rsidR="00A24542" w:rsidRDefault="00F5613C">
      <w:r>
        <w:t>The efficiency of assets was decreasing gradually. The inventory turnover is strongly decreasing in 2022, which is a sign of slower stock turnover. The performance improvement was not consistently great, even though it was a bit better in 2024. The turnover of receivables was also deteriorating constantly between 4.75 and 3.46. This is an indication of delayed customer payments and poor credit management. Less efficiency of assets curtailed cash inflows. The use of inventory and receivables was inefficient, thus exerting pressure on working capital. Liquidity of operations was undermined by the slower conversion of assets (AWEDA, 2023).</w:t>
      </w:r>
    </w:p>
    <w:p w:rsidR="00A24542" w:rsidRDefault="00F5613C">
      <w:pPr>
        <w:pStyle w:val="Heading3"/>
        <w:keepNext w:val="0"/>
        <w:keepLines w:val="0"/>
        <w:rPr>
          <w:color w:val="000000"/>
        </w:rPr>
      </w:pPr>
      <w:bookmarkStart w:id="23" w:name="_Toc217243050"/>
      <w:r>
        <w:rPr>
          <w:color w:val="000000"/>
        </w:rPr>
        <w:t>Capital Structure Movement</w:t>
      </w:r>
      <w:bookmarkEnd w:id="23"/>
    </w:p>
    <w:p w:rsidR="00A24542" w:rsidRDefault="00F5613C">
      <w:r>
        <w:t>The capital structure of the company was changed in a drastic manner towards increased levels of debt. The debt-to-equity ratio increased to 1.11 in 2024 as opposed to 0.63 in 2020. This indicates greater financial flexibility and dependence on foreign lending. Interest coverage became negative in 2023 and 2024 following a negative operating loss. This indicates that operating income was not adequate to pay debt. An increase in leverage enhanced the risk and exposure to default (OECD, 2025).</w:t>
      </w:r>
    </w:p>
    <w:p w:rsidR="00A24542" w:rsidRDefault="00F5613C">
      <w:pPr>
        <w:pStyle w:val="Heading2"/>
        <w:keepNext w:val="0"/>
        <w:keepLines w:val="0"/>
      </w:pPr>
      <w:bookmarkStart w:id="24" w:name="_Toc217243051"/>
      <w:r>
        <w:t>1.4. Corporate Failure Prediction – Altman Z-Score</w:t>
      </w:r>
      <w:bookmarkEnd w:id="24"/>
    </w:p>
    <w:p w:rsidR="00A24542" w:rsidRDefault="00F5613C">
      <w:r>
        <w:t xml:space="preserve">The Altman Z-Score is a quantitative model that is applied to estimate the probability of a corporate bankruptcy based on crucial financial ratios (Mattio, 2024). It is a combination of five </w:t>
      </w:r>
      <w:r>
        <w:lastRenderedPageBreak/>
        <w:t>weighted variables into one index. These are working capital to total assets, retained earnings to total assets, earnings before interest and tax to total assets, market value of equity to total liabilities and net sales to total assets.</w:t>
      </w:r>
    </w:p>
    <w:p w:rsidR="00A24542" w:rsidRDefault="00F5613C">
      <w:r>
        <w:rPr>
          <w:b/>
          <w:bCs/>
        </w:rPr>
        <w:t xml:space="preserve"> Z = 1.2X₁ + 1.4X₂ + 3.3X₃ + 0.6X₄ + 1.0X₅.</w:t>
      </w:r>
    </w:p>
    <w:p w:rsidR="00A24542" w:rsidRDefault="00F5613C">
      <w:pPr>
        <w:numPr>
          <w:ilvl w:val="0"/>
          <w:numId w:val="1"/>
        </w:numPr>
      </w:pPr>
      <w:r>
        <w:t>Working income/Total assets = 0.26.</w:t>
      </w:r>
    </w:p>
    <w:p w:rsidR="00A24542" w:rsidRDefault="00F5613C">
      <w:pPr>
        <w:numPr>
          <w:ilvl w:val="0"/>
          <w:numId w:val="1"/>
        </w:numPr>
      </w:pPr>
      <w:r>
        <w:t>Retained earnings/ Total Assets = -0.07.</w:t>
      </w:r>
    </w:p>
    <w:p w:rsidR="00A24542" w:rsidRDefault="00F5613C">
      <w:pPr>
        <w:numPr>
          <w:ilvl w:val="0"/>
          <w:numId w:val="1"/>
        </w:numPr>
      </w:pPr>
      <w:r>
        <w:rPr>
          <w:rFonts w:ascii="Gungsuh" w:eastAsia="Gungsuh" w:hAnsi="Gungsuh" w:cs="Gungsuh"/>
        </w:rPr>
        <w:t>EBIT/Total Assets = −0.05</w:t>
      </w:r>
    </w:p>
    <w:p w:rsidR="00A24542" w:rsidRDefault="00F5613C">
      <w:pPr>
        <w:numPr>
          <w:ilvl w:val="0"/>
          <w:numId w:val="1"/>
        </w:numPr>
      </w:pPr>
      <w:r>
        <w:t>Market Value of Equity/Total Liabilities = 0.90</w:t>
      </w:r>
    </w:p>
    <w:p w:rsidR="00A24542" w:rsidRDefault="00F5613C">
      <w:pPr>
        <w:numPr>
          <w:ilvl w:val="0"/>
          <w:numId w:val="1"/>
        </w:numPr>
      </w:pPr>
      <w:r>
        <w:t>Sales/Total Assets = 1.22</w:t>
      </w:r>
    </w:p>
    <w:p w:rsidR="00A24542" w:rsidRDefault="00F5613C">
      <w:pPr>
        <w:rPr>
          <w:b/>
          <w:bCs/>
        </w:rPr>
      </w:pPr>
      <w:r>
        <w:rPr>
          <w:rFonts w:ascii="Gungsuh" w:eastAsia="Gungsuh" w:hAnsi="Gungsuh" w:cs="Gungsuh"/>
          <w:b/>
          <w:bCs/>
        </w:rPr>
        <w:t>Hence, Z = (1.2×0.26) + (1.4×−0.07) + (3.3×−0.05) + (0.6×0.90) + (1.0×1.22) = 1.44.</w:t>
      </w:r>
    </w:p>
    <w:p w:rsidR="00A24542" w:rsidRDefault="00F5613C">
      <w:r>
        <w:t>Altman categorises firms having a Z-score below 1.8 as companies that are in the distress zone, and there are high chances of financial failure. General Electronics had a Z-score of 1.44, and this indicates that it fits well in this category of high-risk. This outcome is consistent with decreasing profitability, negative equity payback, and leverage increment. The score supports the fears of the financial instability of the company. It also emphasises the pressing necessity of restructuring on the strategic level. Some of the suggested measures would be to dispose of nonperforming assets, manage working capital better, and maintain liquidity to increase solvency ability and regain investor trust (Accaglobal, 2025).</w:t>
      </w:r>
    </w:p>
    <w:p w:rsidR="00A24542" w:rsidRDefault="00A24542">
      <w:pPr>
        <w:pStyle w:val="Heading2"/>
        <w:keepNext w:val="0"/>
        <w:keepLines w:val="0"/>
        <w:spacing w:before="0" w:after="0"/>
        <w:rPr>
          <w:sz w:val="24"/>
          <w:szCs w:val="24"/>
        </w:rPr>
      </w:pPr>
      <w:bookmarkStart w:id="25" w:name="_ww3zahpxgm41" w:colFirst="0" w:colLast="0"/>
      <w:bookmarkEnd w:id="25"/>
    </w:p>
    <w:p w:rsidR="00A24542" w:rsidRDefault="00F5613C">
      <w:pPr>
        <w:pStyle w:val="Heading1"/>
        <w:keepNext w:val="0"/>
        <w:keepLines w:val="0"/>
      </w:pPr>
      <w:bookmarkStart w:id="26" w:name="_Toc217243052"/>
      <w:r>
        <w:t>2. Working Capital Management Analysis</w:t>
      </w:r>
      <w:bookmarkEnd w:id="26"/>
    </w:p>
    <w:p w:rsidR="00A24542" w:rsidRDefault="00F5613C">
      <w:pPr>
        <w:pStyle w:val="Heading2"/>
        <w:spacing w:before="0" w:after="0"/>
        <w:jc w:val="left"/>
        <w:rPr>
          <w:sz w:val="24"/>
          <w:szCs w:val="24"/>
        </w:rPr>
      </w:pPr>
      <w:bookmarkStart w:id="27" w:name="_Toc217243053"/>
      <w:r>
        <w:rPr>
          <w:sz w:val="24"/>
          <w:szCs w:val="24"/>
        </w:rPr>
        <w:t>2.1. Assess the cash operating cycle</w:t>
      </w:r>
      <w:bookmarkEnd w:id="27"/>
    </w:p>
    <w:p w:rsidR="00A24542" w:rsidRDefault="00F5613C">
      <w:r>
        <w:t>The period-wise operating cash cross-period of the cycle was inefficient. It almost doubled to almost 140 days in 2022 and remained high at approximately 115 days in 2024. The increase was largely due to reduced inventory turnover and decreased collection of receivables. Even though recovery can be traced, the cycle is still very long. This implies that there are sluggish working processes and slow cash realisation. A long cycle process results in greater dependency on external funding and strains short-term liquidity. It also increases the working capital risk and instability of cash flow (Reyad et al., 2022).</w:t>
      </w:r>
    </w:p>
    <w:p w:rsidR="00A24542" w:rsidRDefault="00F5613C">
      <w:pPr>
        <w:pStyle w:val="Heading2"/>
        <w:spacing w:before="0" w:after="0"/>
        <w:jc w:val="left"/>
        <w:rPr>
          <w:sz w:val="24"/>
          <w:szCs w:val="24"/>
        </w:rPr>
      </w:pPr>
      <w:bookmarkStart w:id="28" w:name="_Toc217243054"/>
      <w:r>
        <w:rPr>
          <w:sz w:val="24"/>
          <w:szCs w:val="24"/>
        </w:rPr>
        <w:lastRenderedPageBreak/>
        <w:t>2.2. Recommend strategies to improve liquidity through working capital reforms</w:t>
      </w:r>
      <w:bookmarkEnd w:id="28"/>
    </w:p>
    <w:p w:rsidR="00A24542" w:rsidRDefault="00F5613C">
      <w:r>
        <w:t xml:space="preserve">This can be done by improving liquidity by decreasing inventory. The company needs to decrease inventory and implement demand-based forecasting techniques (Diva-portal, 2025). Just-in-time may also be used to unlock cash that is stored in stock. The stricter credit policies and the acceleration of the billing need to be enhanced to manage receivables. The payment of customers can be expedited by the payment of early discounts. Credit monitoring through programmed software is also going to minimize risk of default. Optimisation of the payables should not harm the supplier relationships. Retention of cash can be done by negotiating longer payment terms of payments with major suppliers. More daily liquidity planning should be done through cash budgeting. The idle balances should be prevented by centralising excess cash. Electronic working capital systems have the potential to facilitate real-time monitoring of cash. Disposal should be considered in case of non-core and non-operational assets. These will reduce the cash operating cycle. </w:t>
      </w:r>
    </w:p>
    <w:p w:rsidR="00A24542" w:rsidRDefault="00F5613C">
      <w:pPr>
        <w:pStyle w:val="Heading2"/>
      </w:pPr>
      <w:bookmarkStart w:id="29" w:name="_Toc217243055"/>
      <w:r>
        <w:t>2.3. Compare short-term vs long-term financing options</w:t>
      </w:r>
      <w:bookmarkEnd w:id="29"/>
    </w:p>
    <w:tbl>
      <w:tblPr>
        <w:tblStyle w:val="a"/>
        <w:tblW w:w="10245" w:type="dxa"/>
        <w:jc w:val="center"/>
        <w:tblInd w:w="0" w:type="dxa"/>
        <w:tblBorders>
          <w:top w:val="nil"/>
          <w:left w:val="nil"/>
          <w:bottom w:val="nil"/>
          <w:right w:val="nil"/>
          <w:insideH w:val="nil"/>
          <w:insideV w:val="nil"/>
        </w:tblBorders>
        <w:tblLayout w:type="fixed"/>
        <w:tblLook w:val="0600"/>
      </w:tblPr>
      <w:tblGrid>
        <w:gridCol w:w="2190"/>
        <w:gridCol w:w="4035"/>
        <w:gridCol w:w="4020"/>
      </w:tblGrid>
      <w:tr w:rsidR="00A24542">
        <w:trPr>
          <w:trHeight w:val="100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rPr>
                <w:b/>
                <w:bCs/>
              </w:rPr>
            </w:pPr>
            <w:r>
              <w:rPr>
                <w:b/>
                <w:bCs/>
              </w:rPr>
              <w:t>Basis of Comparison</w:t>
            </w:r>
          </w:p>
        </w:tc>
        <w:tc>
          <w:tcPr>
            <w:tcW w:w="403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rsidR="00A24542" w:rsidRDefault="00F5613C">
            <w:pPr>
              <w:widowControl w:val="0"/>
              <w:ind w:left="-9360" w:right="-9360"/>
              <w:jc w:val="center"/>
              <w:rPr>
                <w:b/>
                <w:bCs/>
              </w:rPr>
            </w:pPr>
            <w:r>
              <w:rPr>
                <w:b/>
                <w:bCs/>
              </w:rPr>
              <w:t>Long-Term Financing</w:t>
            </w:r>
          </w:p>
        </w:tc>
        <w:tc>
          <w:tcPr>
            <w:tcW w:w="40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Short-Term Financing</w:t>
            </w:r>
          </w:p>
        </w:tc>
      </w:tr>
      <w:tr w:rsidR="00A24542">
        <w:trPr>
          <w:trHeight w:val="430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A24542" w:rsidRDefault="00F5613C">
            <w:pPr>
              <w:widowControl w:val="0"/>
              <w:jc w:val="left"/>
              <w:rPr>
                <w:b/>
                <w:bCs/>
              </w:rPr>
            </w:pPr>
            <w:r>
              <w:rPr>
                <w:b/>
                <w:bCs/>
              </w:rPr>
              <w:t>1. Purpose and Use</w:t>
            </w:r>
          </w:p>
        </w:tc>
        <w:tc>
          <w:tcPr>
            <w:tcW w:w="403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rsidR="00A24542" w:rsidRDefault="00F5613C">
            <w:r>
              <w:t>Fixed assets, expansion of a business and big-time restructuring are financed through long term financing. It promotes long term development policies and investments. This financing is not used forthe daday-to-dayperations. Rather, it is used in projects that give benefits for a number of years. This financing allows for enhancing the financial stability and sustainability in the long run.</w:t>
            </w:r>
          </w:p>
        </w:tc>
        <w:tc>
          <w:tcPr>
            <w:tcW w:w="40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r>
              <w:t>Short-term financing is primarily applied to fulfilurgent working capital requirements. It helps in the running of the business on its daily activities l,ike order of inventory, payable settlement, and seasonal cash flow shortages. This type of financing is working. It is concerned with the short-term liquidity needs and not with the long-term business growth or development (Gandhi and Nasit, 2022).</w:t>
            </w:r>
          </w:p>
        </w:tc>
      </w:tr>
      <w:tr w:rsidR="00A24542">
        <w:trPr>
          <w:trHeight w:val="445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A24542" w:rsidRDefault="00F5613C">
            <w:pPr>
              <w:widowControl w:val="0"/>
              <w:jc w:val="left"/>
              <w:rPr>
                <w:b/>
                <w:bCs/>
              </w:rPr>
            </w:pPr>
            <w:r>
              <w:rPr>
                <w:b/>
                <w:bCs/>
              </w:rPr>
              <w:lastRenderedPageBreak/>
              <w:t>2. Sources, Accessibility, and Cost</w:t>
            </w:r>
          </w:p>
        </w:tc>
        <w:tc>
          <w:tcPr>
            <w:tcW w:w="403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rsidR="00A24542" w:rsidRDefault="00F5613C">
            <w:r>
              <w:t>Bank loans, bonds, and debentures, as well as equity capital, under long-term debt financing, are used to finance long-term assets. It is associated with long approval procedures and conditions. The greater the risk exposure, the greater the interest rate will be. This funding is expensive but offers the long-term operations and significant restructuring of finances over the long term of the large business organisations with predictable and stable funds (Iiflhomeloans, 2025).</w:t>
            </w:r>
          </w:p>
        </w:tc>
        <w:tc>
          <w:tcPr>
            <w:tcW w:w="40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r>
              <w:t>The typical short-term sources of finance include overdrafts, trade credit, short-term bank loans and credit lines. They can be acquired with ease and processed fast with minimal formalities. Interest rates are, in most ccaseses low. Nevertheless, excessive reliance on this kind of borrowing results in dependence on banks and the firms are subjected to the abrupt loss of credit facilities.</w:t>
            </w:r>
          </w:p>
        </w:tc>
      </w:tr>
      <w:tr w:rsidR="00A24542">
        <w:trPr>
          <w:trHeight w:val="4500"/>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A24542" w:rsidRDefault="00F5613C">
            <w:pPr>
              <w:widowControl w:val="0"/>
              <w:jc w:val="left"/>
              <w:rPr>
                <w:b/>
                <w:bCs/>
              </w:rPr>
            </w:pPr>
            <w:r>
              <w:rPr>
                <w:b/>
                <w:bCs/>
              </w:rPr>
              <w:t>3. Repayment Pressure and Interest Rate Risk</w:t>
            </w:r>
          </w:p>
        </w:tc>
        <w:tc>
          <w:tcPr>
            <w:tcW w:w="403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rsidR="00A24542" w:rsidRDefault="00F5613C">
            <w:r>
              <w:t>Long-term finance comes with long-term repayments with instalments. This lowers short run repayment burden. It also cushions firms against the short-term changes in interest rates. Financial planning can be structured with the help of stable interest rates. Nevertheless, longer maturities enhance aggregate debt and future diminishes borrowing ability.</w:t>
            </w:r>
          </w:p>
        </w:tc>
        <w:tc>
          <w:tcPr>
            <w:tcW w:w="40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r>
              <w:t>Short-term borrowings are to be repaid in a short period of time, and they have to be frequently renewed. This puts constant pressure on repayment. It also subjects the firms to refinancing risk. Short-term finance is a very sensitive area in interest rate variations. Unexpected increases in the rates may increase finance costs and undermine short-term liquidity.</w:t>
            </w:r>
          </w:p>
        </w:tc>
      </w:tr>
      <w:tr w:rsidR="00A24542">
        <w:trPr>
          <w:trHeight w:val="3870"/>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A24542" w:rsidRDefault="00F5613C">
            <w:pPr>
              <w:widowControl w:val="0"/>
              <w:jc w:val="left"/>
              <w:rPr>
                <w:b/>
                <w:bCs/>
              </w:rPr>
            </w:pPr>
            <w:r>
              <w:rPr>
                <w:b/>
                <w:bCs/>
              </w:rPr>
              <w:lastRenderedPageBreak/>
              <w:t>4. Impact on Liquidity, Solvency, and Risk</w:t>
            </w:r>
          </w:p>
        </w:tc>
        <w:tc>
          <w:tcPr>
            <w:tcW w:w="403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rsidR="00A24542" w:rsidRDefault="00F5613C">
            <w:r>
              <w:t>The long-term funds enhance the stability of liquidity with a long repayment period of repayment. It enhances solvency through augmenting permanent capital. Risk of default in the short-term is minimised. Nevertheless, long-term debt amplifies the financial risk of the organisation. It is also subject to securing future cash flows to settle interest and principal requirements. (Edmans et al., 2022).</w:t>
            </w:r>
          </w:p>
        </w:tc>
        <w:tc>
          <w:tcPr>
            <w:tcW w:w="40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r>
              <w:t>Liquidity and solvency pressurareis due to high dependence on short-term funding. Debt repayment is hard since it lacks profitability. The risk of rollover becomes high,h e,r and the likelihood of financial distress is heightened. High levels of short-term borrowing also undermine credit ratings and the confidence of lenders.</w:t>
            </w:r>
          </w:p>
        </w:tc>
      </w:tr>
      <w:tr w:rsidR="00A24542">
        <w:trPr>
          <w:trHeight w:val="481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A24542" w:rsidRDefault="00F5613C">
            <w:pPr>
              <w:widowControl w:val="0"/>
              <w:jc w:val="left"/>
              <w:rPr>
                <w:b/>
                <w:bCs/>
              </w:rPr>
            </w:pPr>
            <w:r>
              <w:rPr>
                <w:b/>
                <w:bCs/>
              </w:rPr>
              <w:t>5. Ownership, Earnings, and Control</w:t>
            </w:r>
          </w:p>
        </w:tc>
        <w:tc>
          <w:tcPr>
            <w:tcW w:w="403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rsidR="00A24542" w:rsidRDefault="00F5613C">
            <w:r>
              <w:t>Equity financing over the long run waters down ownership and decreases the control of shareholders. It could reduce the earnings per share because of the increased shares. It, however, lacks any obligatory repayments. Long-term debt retains ownership but adds up to interest. The two forms of financing have far-reaching implications for shareholder value in the long run.</w:t>
            </w:r>
          </w:p>
        </w:tc>
        <w:tc>
          <w:tcPr>
            <w:tcW w:w="40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r>
              <w:t>Short-term financing does not change the ownership structure of a firm. Power is in the hands of current shareholders. The earnings per share are not very affected except when there is an increase in the borrowing costs. Increased interest cost may decrease net profits. It will not lead to dilution of equity and is desirable when companies are interested in remaining in ownership (Hempel et al, 2024).</w:t>
            </w:r>
          </w:p>
        </w:tc>
      </w:tr>
      <w:tr w:rsidR="00A24542">
        <w:trPr>
          <w:trHeight w:val="4320"/>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rsidR="00A24542" w:rsidRDefault="00F5613C">
            <w:pPr>
              <w:widowControl w:val="0"/>
              <w:rPr>
                <w:b/>
                <w:bCs/>
              </w:rPr>
            </w:pPr>
            <w:r>
              <w:rPr>
                <w:b/>
                <w:bCs/>
              </w:rPr>
              <w:lastRenderedPageBreak/>
              <w:t>6. Relevance to the Company &amp; Strategic Fit</w:t>
            </w:r>
          </w:p>
        </w:tc>
        <w:tc>
          <w:tcPr>
            <w:tcW w:w="403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rsidR="00A24542" w:rsidRDefault="00F5613C">
            <w:r>
              <w:t>The more appropriate method the company needs is long-term financing. The short-term debt can be refinanced with the help of long-term loans to mminimisethe pressure to pay them immediately. Injections of equity are capable of making operations stable and regaining investor confidence. The long-term funds can be used to support restructuring and also offer long-term financial stability in business recovery  (Hackbarth et al, 2022).</w:t>
            </w:r>
          </w:p>
        </w:tc>
        <w:tc>
          <w:tcPr>
            <w:tcW w:w="40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r>
              <w:t>In the case of this firm, short-term financing is risky as the leverage is high and the interest cover is weak,  with poor performance. High dependence leads to pressure on default and refinancing risk. But it may be applied with precaution in order to facilitate short-term operational flexibility and emergency working capital requirements.</w:t>
            </w:r>
          </w:p>
        </w:tc>
      </w:tr>
    </w:tbl>
    <w:p w:rsidR="00A24542" w:rsidRDefault="00F5613C">
      <w:pPr>
        <w:pStyle w:val="Heading2"/>
        <w:keepNext w:val="0"/>
        <w:keepLines w:val="0"/>
        <w:spacing w:before="0" w:after="0"/>
        <w:rPr>
          <w:sz w:val="24"/>
          <w:szCs w:val="24"/>
        </w:rPr>
      </w:pPr>
      <w:bookmarkStart w:id="30" w:name="_i6e5a1hfw5m2" w:colFirst="0" w:colLast="0"/>
      <w:bookmarkEnd w:id="30"/>
      <w:r>
        <w:br w:type="page"/>
      </w:r>
    </w:p>
    <w:p w:rsidR="00A24542" w:rsidRDefault="00F5613C">
      <w:pPr>
        <w:pStyle w:val="Heading1"/>
        <w:keepNext w:val="0"/>
        <w:keepLines w:val="0"/>
      </w:pPr>
      <w:bookmarkStart w:id="31" w:name="_Toc217243056"/>
      <w:r>
        <w:lastRenderedPageBreak/>
        <w:t>3. Strategic Financial Restructuring Plan</w:t>
      </w:r>
      <w:bookmarkEnd w:id="31"/>
    </w:p>
    <w:p w:rsidR="00A24542" w:rsidRDefault="00F5613C">
      <w:pPr>
        <w:pStyle w:val="Heading2"/>
        <w:spacing w:before="0" w:after="0"/>
        <w:jc w:val="left"/>
        <w:rPr>
          <w:sz w:val="24"/>
          <w:szCs w:val="24"/>
        </w:rPr>
      </w:pPr>
      <w:bookmarkStart w:id="32" w:name="_Toc217243057"/>
      <w:r>
        <w:rPr>
          <w:sz w:val="24"/>
          <w:szCs w:val="24"/>
        </w:rPr>
        <w:t>3.1. Recommend financial restructuring options</w:t>
      </w:r>
      <w:bookmarkEnd w:id="32"/>
    </w:p>
    <w:p w:rsidR="00A24542" w:rsidRDefault="00F5613C">
      <w:pPr>
        <w:pStyle w:val="Heading3"/>
        <w:keepNext w:val="0"/>
        <w:keepLines w:val="0"/>
      </w:pPr>
      <w:bookmarkStart w:id="33" w:name="_Toc217243058"/>
      <w:r>
        <w:t>(a) Divestiture – Financial Restructuring Option</w:t>
      </w:r>
      <w:bookmarkEnd w:id="33"/>
    </w:p>
    <w:p w:rsidR="00A24542" w:rsidRDefault="00F5613C">
      <w:r>
        <w:t xml:space="preserve">Divestiture is the process of strategic sale onon-corere or non-performing assets to earn a quick cash flow and increase financial position. Disposing of the unprofitable divisions of the firm enables it to unleash the trapped capital, cut down operating costs and enhance managerial focus. Liquidity increases basthe cash flows to the company, and the balance sheet becomes stronger with the decrease in debt levels and the solvency ratios. This can then shift the attention of the management to profitable and value-creating activities that can sustain long term efficiency and competitiveness. There are, however, er other risks such as exchange rate volatility, capital gains taxation and regulatory complexity that are introduced by international divestitures. Realised proceeds can be decreased by currency movements as well as foreign earnings converted, and the real value can be further degraded by inflation and delays in execution. Ethical analysis is also important, especially on the impact of layoffs on the community of employees and environmental concerns. Restructuring needs to be done responsibly through open communication, favourable severance agreements in accordancwithto labour laws and in line with corporate social responsibility undertaking. They ought to dispose of environmentally sensitive assets according to the sustainability standards and regulatory expectations. Even though divestiture has the potential to cut down revenue in the short-run, it can reflect operational efficiency and financial strength in the long-run. </w:t>
      </w:r>
    </w:p>
    <w:p w:rsidR="00A24542" w:rsidRDefault="00F5613C">
      <w:pPr>
        <w:pStyle w:val="Heading3"/>
        <w:keepNext w:val="0"/>
        <w:keepLines w:val="0"/>
      </w:pPr>
      <w:bookmarkStart w:id="34" w:name="_Toc217243059"/>
      <w:r>
        <w:t>(b) Merger – Financial Restructuring Option</w:t>
      </w:r>
      <w:bookmarkEnd w:id="34"/>
    </w:p>
    <w:p w:rsidR="00A24542" w:rsidRDefault="00F5613C">
      <w:r>
        <w:t xml:space="preserve">A merger enables one firm to share synergies with another company to enjoy economies of scale, cost efficiency, and market growth(Ray, 2022). SA strategicmerger is well planned and can potentially enhance market position and competitiveness in terms of cost, and stabilise cash flows. Shared technology, distribution network and managerial expertise can generate synergies to increase profitability. The international mergers, however,r lead to firms being exposed tcross-borderer tax, transfer pricing rules, and foreign exchange risk. Exchange rates may impact post merger earnings and company valuation. Differences in the inflation rates in the countries can also bring about distortions in the cost structures and anticipated savings. The rationalisation of the workforce, the replacement of suppliers and the possible market dominance are the ethical issues. Corporate social responsibility entails treating the employees fairly, protecting </w:t>
      </w:r>
      <w:r>
        <w:lastRenderedPageBreak/>
        <w:t>competition, aand adheringto the environment. Lack of integration and low planning may ruin shareholder value and add more disruption to operations. Conversely, good integration can help in cutting on operations, enhancing the use of assets, and regaining financial health. Mergers also enable entry to foreign markets and revenue diversification. This diversification minimises the risk of the business as well as enhancing stability in the long term.</w:t>
      </w:r>
    </w:p>
    <w:p w:rsidR="00A24542" w:rsidRDefault="00F5613C">
      <w:pPr>
        <w:pStyle w:val="Heading3"/>
        <w:keepNext w:val="0"/>
        <w:keepLines w:val="0"/>
      </w:pPr>
      <w:bookmarkStart w:id="35" w:name="_Toc217243060"/>
      <w:r>
        <w:t>(c) Equity Injection – Financial Restructuring Option</w:t>
      </w:r>
      <w:bookmarkEnd w:id="35"/>
    </w:p>
    <w:p w:rsidR="00A24542" w:rsidRDefault="00F5613C">
      <w:r>
        <w:t xml:space="preserve">Equity injection entails an increase of new capital by way of fresh share issues or strategic investors. It is one of the instruments of rebuilding solvency in times of high leverage and poor profitability (Corporate Finance Institute, 2022). In the case of this firm, equity financing may minimise the use of debt, enhance the debt equity ratio and increase long term financial stability. Compared to debt, equity does not have rigid payments, and this relieves strains on the cash flows and liquidity. In global terms, foreign investment presents the company to foreign exchange risk and foreign ownership laws. Taxation of dividends in foreign countries can have an impact on attractiveness to investors and returns. A decline in real shareholder value can arise in case the growth in revenues fails to match the increase in prices. Some of the ethical issues are ownership dilution, valuation transparency of new shares, and minority shareholder fair treatment. Corporate social responsibility demands a selective choice of investors and the sustainable use of capital. Equity injection will decrease the earnings per share in the short run; however, the better solvency, creditworthiness and investor confidence will factor in the recovery in the long run. </w:t>
      </w:r>
    </w:p>
    <w:p w:rsidR="00A24542" w:rsidRDefault="00F5613C">
      <w:pPr>
        <w:pStyle w:val="Heading2"/>
        <w:spacing w:before="0" w:after="0"/>
        <w:rPr>
          <w:sz w:val="24"/>
          <w:szCs w:val="24"/>
        </w:rPr>
      </w:pPr>
      <w:bookmarkStart w:id="36" w:name="_Toc217243061"/>
      <w:r>
        <w:rPr>
          <w:sz w:val="24"/>
          <w:szCs w:val="24"/>
        </w:rPr>
        <w:t>3.2. impact on shareholder value, debt structure, and operational flexibility</w:t>
      </w:r>
      <w:bookmarkEnd w:id="36"/>
    </w:p>
    <w:p w:rsidR="00A24542" w:rsidRDefault="00F5613C">
      <w:pPr>
        <w:pStyle w:val="Heading3"/>
        <w:keepNext w:val="0"/>
        <w:keepLines w:val="0"/>
      </w:pPr>
      <w:bookmarkStart w:id="37" w:name="_Toc217243062"/>
      <w:r>
        <w:t>(a) Impact on Shareholder Value</w:t>
      </w:r>
      <w:bookmarkEnd w:id="37"/>
    </w:p>
    <w:p w:rsidR="00A24542" w:rsidRDefault="00F5613C">
      <w:pPr>
        <w:spacing w:before="240" w:after="240"/>
      </w:pPr>
      <w:r>
        <w:t xml:space="preserve">The immediate impact of financial restructuring on shareholder value is a modification in the profitability, rrisksk and market confidence (Joshi, 2022). Divestiture refers to an activity that is carried out because of strategic reasons to enhance value through the sale of loss-making or non-core assets and realising immediate cash. This procedure would be able to solidify liquidity and redirect the business to lucrative operations. Operational synergies and cost efficiencies, as well as access to the market,,t can also be used to generate shareholder valuthroughby mergers. But ill-conceived or ill-coordinated mergers can be value-destroying and add uncertainty. The first effect of equity injection is that it decreases the earnings per share as a result of dilution of ownership. This notwithstanding, it enhances capital structure, reduces financial risk and </w:t>
      </w:r>
      <w:r>
        <w:lastRenderedPageBreak/>
        <w:t xml:space="preserve">promotes the potential of long term growth. In an international sense, the movements in the exchange rate change shareholders' returns in the form of earnings and valuations. Investor attractiveness is also determined by cross-border dividend taxation. Inflation lowers the real shareholder wealth when returns do not make appropriate adjustments. Ethical governance is important in ensuring trust among shareholders. Fair financial reporting, fair valuation practices and sound capital allocation. High corporate social responsibility enhances the reputation and sustainable value creation. Allwell-coordinated sstructuringould bring about temporary fluctuations in returns. </w:t>
      </w:r>
    </w:p>
    <w:p w:rsidR="00A24542" w:rsidRDefault="00A24542"/>
    <w:p w:rsidR="00A24542" w:rsidRDefault="00F5613C">
      <w:pPr>
        <w:pStyle w:val="Heading3"/>
        <w:keepNext w:val="0"/>
        <w:keepLines w:val="0"/>
      </w:pPr>
      <w:bookmarkStart w:id="38" w:name="_Toc217243063"/>
      <w:r>
        <w:t>(b) Impact on Debt Structure</w:t>
      </w:r>
      <w:bookmarkEnd w:id="38"/>
    </w:p>
    <w:p w:rsidR="00A24542" w:rsidRDefault="00F5613C">
      <w:r>
        <w:t xml:space="preserve">A restructuring leads to a radical reorganisation of the debt structure of a company and its financial risk profile. The cash obtained through divestiture will be used to pay off the expensive short-term liabilities to decrease the price of interest and default risk. The mergers may lead to a combination of debts, and thus the refinancing will be available at lower rates depending on better combined credit ratings (NexuscorporateSolutions, 2025). However, the debt can also be increased with borrowings that are used to finance the merger. Equity injection directly decreases leverage as it increases theshareholders'f funds of the shareholders and improves the debt-to-equity ratio. The foreign borrowing will also subject the firm to currency risks and changing regimes of interest internationally. Inflation affects the value of real debt, but raises nominal repayment cost. The deductions of interest and the choice of financing are also dependent on taxation. Ethical responsibility is not to incur excessive debt, which will compromise long-run solvency and the safety of stakeholders. </w:t>
      </w:r>
    </w:p>
    <w:p w:rsidR="00A24542" w:rsidRDefault="00F5613C">
      <w:pPr>
        <w:pStyle w:val="Heading3"/>
        <w:keepNext w:val="0"/>
        <w:keepLines w:val="0"/>
      </w:pPr>
      <w:bookmarkStart w:id="39" w:name="_Toc217243064"/>
      <w:r>
        <w:t>(c) Impact on Operational Flexibility</w:t>
      </w:r>
      <w:bookmarkEnd w:id="39"/>
    </w:p>
    <w:p w:rsidR="00A24542" w:rsidRDefault="00F5613C">
      <w:r>
        <w:t xml:space="preserve">The flexibility in operations is the ability of the firm to respond to the changes in the market as well as invest in new opportunities. Enhancing flexibility is better achieved through the process of divestiture; this is done by eliminating the unproductive investments, and cash is liberated to finance the main processes. Joint resources, diversification, and superior supply chains are possible through mergers and offer flexibility (Ritchken and Wu, 2021). However, the complex integrations can delay the operation's agility in the short term. Equity injection presents the highest degree of flexibility because it injects permanent capital and does not face the strain of repayment. It allows us to invest in reforms in the working capital, technology and innovation. </w:t>
      </w:r>
      <w:r>
        <w:lastRenderedPageBreak/>
        <w:t>Expanding internationally puts the business at risk because of currency fluctuations and inflation risk that can reduce the predictability of the operations. Ethical CSR practices are ensured by sustainable operations, protecting the workforce, and responsible sourcing. Good governments enhance the rate of decision-making and the trust of the stakeholders.</w:t>
      </w:r>
    </w:p>
    <w:p w:rsidR="00A24542" w:rsidRDefault="00F5613C">
      <w:pPr>
        <w:pStyle w:val="Heading1"/>
        <w:keepNext w:val="0"/>
        <w:keepLines w:val="0"/>
      </w:pPr>
      <w:bookmarkStart w:id="40" w:name="_Toc217243065"/>
      <w:r>
        <w:t>4. Investment Appraisal &amp; Capital Budgeting</w:t>
      </w:r>
      <w:bookmarkEnd w:id="40"/>
    </w:p>
    <w:p w:rsidR="00A24542" w:rsidRDefault="00F5613C">
      <w:pPr>
        <w:pStyle w:val="Heading2"/>
      </w:pPr>
      <w:bookmarkStart w:id="41" w:name="_Toc217243066"/>
      <w:r>
        <w:t>4.1. PBP</w:t>
      </w:r>
      <w:bookmarkEnd w:id="41"/>
    </w:p>
    <w:p w:rsidR="00A24542" w:rsidRDefault="00F5613C">
      <w:r>
        <w:t xml:space="preserve">Payback period is a time indicator during which the initial investment is paid back through the cash inflows of the project (Wallstreetprep, 2025). It is an investment appraisal tool that is an easy liquidity-based appraisal. Project A will have a payback period of 3 years and 4.8 months. Project B will take a period of 5 years before breaking even. The break-even period of project C is 3 years and 7.2 months. This is a description of the fact that Project A takes less time to recuperate compared to the other two. The liquidity risk and the risk exposure are reduced as a result of a smaller payback period. Project B is the weakest as it is the one that binds the capital in the long run and is not reimbursed now. Project C is performing better with project B and less with project A. Results show that Project A would be the least risky with respect to the short-term cash recovery analysis. It helps to invest money faster and minimises the risk of finance. The payback method, thoughh does not consider the cash flows after recovery and cannot consider the time value of money. </w:t>
      </w:r>
    </w:p>
    <w:p w:rsidR="00A24542" w:rsidRDefault="00F5613C">
      <w:pPr>
        <w:pStyle w:val="Heading2"/>
      </w:pPr>
      <w:bookmarkStart w:id="42" w:name="_Toc217243067"/>
      <w:r>
        <w:t>4.2. ARR</w:t>
      </w:r>
      <w:bookmarkEnd w:id="42"/>
    </w:p>
    <w:p w:rsidR="00A24542" w:rsidRDefault="00F5613C">
      <w:r>
        <w:t xml:space="preserve">The Accounting Rate of Return is used to show the average profit per annum as a percentage of investments made. It is based on accounting profit and not cash flows. Project A shows an ARR of 27%. Project B shows an ARR of 20%. The ARR of project C is at most 30 percent. This means that Project C is the project which has the highest accounting profits relative to its investment. Project A performs well. Project B is the weakest of the three. The ARR ought to be increased as this represents more profit-generating ability. ARR, however, fails to consider the time value of money, and it is influenced by the accounting policies, such as depreciation. It also ignores the cash flow, moisture, and risk in projects (Nadyayani and Suarjaya, 2021). These limitations do not imply that ARR will not be applicable in comparative profitability in different projects. It is found that Project C offers the best profitability accountant perspective, followed </w:t>
      </w:r>
      <w:r>
        <w:lastRenderedPageBreak/>
        <w:t xml:space="preserve">by Project A, and finally, Project B with the least appealing accounting returns. Since the company is already registering poor profitability and negative profits, it is important to select the project having higher ARR to raise money. </w:t>
      </w:r>
    </w:p>
    <w:p w:rsidR="00A24542" w:rsidRDefault="00F5613C">
      <w:pPr>
        <w:pStyle w:val="Heading2"/>
      </w:pPr>
      <w:bookmarkStart w:id="43" w:name="_Toc217243068"/>
      <w:r>
        <w:t>4.3. NPV</w:t>
      </w:r>
      <w:bookmarkEnd w:id="43"/>
    </w:p>
    <w:p w:rsidR="00A24542" w:rsidRDefault="00F5613C">
      <w:r>
        <w:t xml:space="preserve">The difference between the cash inflows in future and the investment is known as Net Present Value. It is the most certain because it considers the time value of money and the absolute creation of wealth ( Net present value, 2024). The NPV of project A is such that it equals a positive figure of 1.30 million. The NPV of project B is -7.266 million. On project C, the best positive NPV is 4.2 million pounds. The positive NPV will indicate that the project is useful to the company. The negative NPV is a value destruction. Based on such results, Project B is not acceptable financially as it will reduce the wealth of shareholders. Project A adds small value. The value addition is maximum in Project C. The most preferable investment is obviously project C as depicted by the NPV analysis. It generates the largest excess after the cost of capital is met. The company is financially strained, and therefore, it is necessary to choose a value-generating project. </w:t>
      </w:r>
    </w:p>
    <w:p w:rsidR="00A24542" w:rsidRDefault="00F5613C">
      <w:pPr>
        <w:pStyle w:val="Heading2"/>
      </w:pPr>
      <w:bookmarkStart w:id="44" w:name="_Toc217243069"/>
      <w:r>
        <w:t>4.4.  PI</w:t>
      </w:r>
      <w:bookmarkEnd w:id="44"/>
    </w:p>
    <w:p w:rsidR="00A24542" w:rsidRDefault="00F5613C">
      <w:r>
        <w:t xml:space="preserve">The Profitability Index (PI) is the value of the future cash inflows divided by the initial investment expressed as a present value and is defined under the numerator of the division of the present value of inflows by the initial outlay (Pereira et al., 2024). PI above one implies that a project is acceptable. According to the findings, the PI value of Projects A, B, and C are all close to one. But PI in itself is deceptive in similar values. Multiple conclusions are made when they are interpreted in combination with NPV. Although the PI figures are similar, only Projects A and C will produce the positive NPVs and hence generate the value. Project B is still value-destroying that produces negative NPV. The PI is particularly advantageous when there is capital rationing since the projects will be ranked in terms of their efficiency in utilizing scarce funds. Project C, in this case, is the most efficient in that it produces the highest surplus value in the face of the capital invested in it. Project A is a moderately efficient and acceptable one. Project B does not create absolute value, and thus, it is inefficient, though it has a similar PI. </w:t>
      </w:r>
    </w:p>
    <w:p w:rsidR="00A24542" w:rsidRDefault="00F5613C">
      <w:pPr>
        <w:pStyle w:val="Heading2"/>
      </w:pPr>
      <w:bookmarkStart w:id="45" w:name="_Toc217243070"/>
      <w:r>
        <w:lastRenderedPageBreak/>
        <w:t>4.5. IRR</w:t>
      </w:r>
      <w:bookmarkEnd w:id="45"/>
    </w:p>
    <w:p w:rsidR="00A24542" w:rsidRDefault="00F5613C">
      <w:r>
        <w:t xml:space="preserve">Internal Rate of Return (IR), is a discount rate that a project will have NPV equal to zero and its expected rate of return (Corporate Finance Institute, 2024). Project A is associated with an IRR of 6, Project B with an IRR of -8 and Project C with an IRR of 6. A 10% rate of return is the minimum that is required by the firm. Thus, the three projects do not pass the IRR acceptance rule. Project B will not be acceptable because it hasa gative IRR. The required threshold of return is also not met in projects A and C. This is an theposite result of the NPV and ARR results. This shows one of the major limitations of IRR. The technique may be misleading in cases where there is an uneven cash flow or substantial cash flow in later years. Project C has cash inflows that are larger during the later stages of the project. In consequence, its IRR is weak although it generates a high NPV. IRR in this case reveals the low economic worth of the project. Consequently, IRR can be used to make bad investment decisions. </w:t>
      </w:r>
    </w:p>
    <w:p w:rsidR="00A24542" w:rsidRDefault="00F5613C">
      <w:pPr>
        <w:pStyle w:val="Heading2"/>
      </w:pPr>
      <w:bookmarkStart w:id="46" w:name="_Toc217243071"/>
      <w:r>
        <w:t>Final investment recommendation</w:t>
      </w:r>
      <w:bookmarkEnd w:id="46"/>
    </w:p>
    <w:p w:rsidR="00A24542" w:rsidRDefault="00F5613C">
      <w:pPr>
        <w:rPr>
          <w:b/>
          <w:bCs/>
        </w:rPr>
      </w:pPr>
      <w:r>
        <w:t xml:space="preserve">According to the overall analysis of Payback Period, Accounting rate of return, Net Present Value, Profitability Index, and the internal rate of return, Project C is the best investment option for the company. It provides the greatest NPV of £4.2 million,,n which goes directly in the interest of maximising shareholder wealth. The highest ARR of 30 is also seen on project C, which means that accounting profitability is high. The investment is covered within a reasonable time of 3 years and 7.2 months, although its payback period is a bit higher. Project A is not as bad as it has a shorter payback period and a moderate NPV as compared to Project C. Project B, on the other hand, is poor in all the appraisal methods. It possesses the longest payback period, the lowest ARR and the worst NPV, which reflects a lot of value destruction. Project B should, thus, be rejected. The final decision should be made with NPV because it is the surest way of value creation (Voorneveld and de Groot, 2024). </w:t>
      </w:r>
    </w:p>
    <w:p w:rsidR="00A24542" w:rsidRDefault="00F5613C">
      <w:pPr>
        <w:rPr>
          <w:b/>
          <w:bCs/>
        </w:rPr>
      </w:pPr>
      <w:r>
        <w:br w:type="page"/>
      </w:r>
    </w:p>
    <w:p w:rsidR="00A24542" w:rsidRDefault="00F5613C">
      <w:pPr>
        <w:pStyle w:val="Heading1"/>
      </w:pPr>
      <w:bookmarkStart w:id="47" w:name="_Toc217243072"/>
      <w:r>
        <w:lastRenderedPageBreak/>
        <w:t>Reference</w:t>
      </w:r>
      <w:bookmarkEnd w:id="47"/>
    </w:p>
    <w:p w:rsidR="00A24542" w:rsidRDefault="00F5613C">
      <w:pPr>
        <w:spacing w:before="240" w:after="240"/>
      </w:pPr>
      <w:r>
        <w:rPr>
          <w:i/>
          <w:iCs/>
        </w:rPr>
        <w:t xml:space="preserve">BDC. </w:t>
      </w:r>
      <w:r>
        <w:t xml:space="preserve">(2025) </w:t>
      </w:r>
      <w:r>
        <w:rPr>
          <w:i/>
          <w:iCs/>
        </w:rPr>
        <w:t>BDC.ca</w:t>
      </w:r>
      <w:r>
        <w:t xml:space="preserve">. Available at: </w:t>
      </w:r>
      <w:hyperlink r:id="rId8">
        <w:r>
          <w:rPr>
            <w:color w:val="1155CC"/>
            <w:u w:val="single"/>
          </w:rPr>
          <w:t>https://www.bdc.ca/en/articles-tools/entrepreneur-toolkit/financial-tools/net-profit-margin</w:t>
        </w:r>
      </w:hyperlink>
      <w:r>
        <w:t xml:space="preserve"> (Accessed: 18 December 2025). </w:t>
      </w:r>
    </w:p>
    <w:p w:rsidR="00A24542" w:rsidRDefault="00F5613C">
      <w:r>
        <w:t>Andoko, A. and Angeline, A. (2023). The Influence Of Debt To Equity Ratio, Operating Profit Margin Ratio And Operating Expense Toward Entity Income Tax Of Infrastructure, Utility And Transportation Companies Listed On The Indonesia Stock Exchange. International Journal of Social, Policy and Law, 4(1), pp.58-68.</w:t>
      </w:r>
      <w:hyperlink r:id="rId9">
        <w:r>
          <w:rPr>
            <w:color w:val="1155CC"/>
            <w:u w:val="single"/>
          </w:rPr>
          <w:t>https://www.ijospl.org/index.php/ijospl/article/view/115</w:t>
        </w:r>
      </w:hyperlink>
      <w:r>
        <w:t xml:space="preserve">. </w:t>
      </w:r>
    </w:p>
    <w:p w:rsidR="00A24542" w:rsidRDefault="00F5613C">
      <w:pPr>
        <w:spacing w:before="240" w:after="240"/>
      </w:pPr>
      <w:r>
        <w:t xml:space="preserve">Corporate Finance Institute. (2024) </w:t>
      </w:r>
      <w:r>
        <w:rPr>
          <w:i/>
          <w:iCs/>
        </w:rPr>
        <w:t>Corporate Finance Institute</w:t>
      </w:r>
      <w:r>
        <w:t xml:space="preserve">. Available at: </w:t>
      </w:r>
      <w:hyperlink r:id="rId10">
        <w:r>
          <w:rPr>
            <w:color w:val="1155CC"/>
            <w:u w:val="single"/>
          </w:rPr>
          <w:t>https://corporatefinanceinstitute.com/resources/accounting/current-ratio-formula/</w:t>
        </w:r>
      </w:hyperlink>
      <w:r>
        <w:t xml:space="preserve"> (Accessed: 18 December 2025). </w:t>
      </w:r>
    </w:p>
    <w:p w:rsidR="00A24542" w:rsidRDefault="00F5613C">
      <w:r>
        <w:t>Gunawan, E., (2023). Liquidity Ratio Analysis in Financing Short-Term Liabilities. International Journal of Health, Economics, and Social Sciences (IJHESS), 5(2), pp.157-162.</w:t>
      </w:r>
      <w:hyperlink r:id="rId11">
        <w:r>
          <w:rPr>
            <w:color w:val="1155CC"/>
            <w:u w:val="single"/>
          </w:rPr>
          <w:t>https://jurnal.unismuhpalu.ac.id/index.php/IJHESS/article/view/3611</w:t>
        </w:r>
      </w:hyperlink>
      <w:r>
        <w:t xml:space="preserve">. </w:t>
      </w:r>
    </w:p>
    <w:p w:rsidR="00A24542" w:rsidRDefault="00F5613C">
      <w:pPr>
        <w:spacing w:before="240" w:after="240"/>
      </w:pPr>
      <w:r>
        <w:t xml:space="preserve">Netsuite. (2025) </w:t>
      </w:r>
      <w:r>
        <w:rPr>
          <w:i/>
          <w:iCs/>
        </w:rPr>
        <w:t>Inventory turnover ratio: Trouble or Paradise?</w:t>
      </w:r>
      <w:r>
        <w:t xml:space="preserve">, </w:t>
      </w:r>
      <w:r>
        <w:rPr>
          <w:i/>
          <w:iCs/>
        </w:rPr>
        <w:t>Oracle NetSuite</w:t>
      </w:r>
      <w:r>
        <w:t xml:space="preserve">. Available at: </w:t>
      </w:r>
      <w:hyperlink r:id="rId12">
        <w:r>
          <w:rPr>
            <w:color w:val="1155CC"/>
            <w:u w:val="single"/>
          </w:rPr>
          <w:t>https://www.netsuite.com/portal/resource/articles/inventory-management/inventory-turnover-ratio.shtml</w:t>
        </w:r>
      </w:hyperlink>
      <w:r>
        <w:t xml:space="preserve"> (Accessed: 18 December 2025). </w:t>
      </w:r>
    </w:p>
    <w:p w:rsidR="00A24542" w:rsidRDefault="00F5613C">
      <w:r>
        <w:t>EKAYANI, N.N.S., PUTRAWAN, I.G.A. and TRISNADEWI, A.A.E., (2022). The Effect Of Cash Turnover, Number of Customers, Leverage and Receivable Turnover on Profitability. Journal of Governance, Taxation and Auditing, 1(1), pp.55-63.</w:t>
      </w:r>
      <w:hyperlink r:id="rId13">
        <w:r>
          <w:rPr>
            <w:color w:val="1155CC"/>
            <w:u w:val="single"/>
          </w:rPr>
          <w:t>https://journalkeberlanjutan.com/index.php/JoGTA/article/view/397</w:t>
        </w:r>
      </w:hyperlink>
      <w:r>
        <w:t xml:space="preserve">. </w:t>
      </w:r>
    </w:p>
    <w:p w:rsidR="00A24542" w:rsidRDefault="00F5613C">
      <w:pPr>
        <w:spacing w:before="240" w:after="240"/>
      </w:pPr>
      <w:r>
        <w:rPr>
          <w:i/>
          <w:iCs/>
        </w:rPr>
        <w:t>Debt to equity ratio</w:t>
      </w:r>
      <w:r>
        <w:t xml:space="preserve"> (2023) </w:t>
      </w:r>
      <w:r>
        <w:rPr>
          <w:i/>
          <w:iCs/>
        </w:rPr>
        <w:t>Corporate Finance Institute</w:t>
      </w:r>
      <w:r>
        <w:t xml:space="preserve">. Available at: </w:t>
      </w:r>
      <w:hyperlink r:id="rId14">
        <w:r>
          <w:rPr>
            <w:color w:val="1155CC"/>
            <w:u w:val="single"/>
          </w:rPr>
          <w:t>https://corporatefinanceinstitute.com/resources/commercial-lending/debt-to-equity-ratio-formula/</w:t>
        </w:r>
      </w:hyperlink>
      <w:r>
        <w:t xml:space="preserve"> (Accessed: 18 December 2025). </w:t>
      </w:r>
    </w:p>
    <w:p w:rsidR="00A24542" w:rsidRDefault="00F5613C">
      <w:r>
        <w:t>Kollruss, T. (2023). Unconstitutionality of the Interest Limitation? Evidence from Germany: An adequate amount of interest expense in an enterprise and an interest coverage ratio. Law and Business, 3(1), pp.1-8.</w:t>
      </w:r>
      <w:hyperlink r:id="rId15">
        <w:r>
          <w:rPr>
            <w:color w:val="1155CC"/>
            <w:u w:val="single"/>
          </w:rPr>
          <w:t>https://sciendo.com/pdf/10.2478/law-2023-0001</w:t>
        </w:r>
      </w:hyperlink>
      <w:r>
        <w:t xml:space="preserve">. </w:t>
      </w:r>
    </w:p>
    <w:p w:rsidR="00A24542" w:rsidRDefault="00F5613C">
      <w:pPr>
        <w:spacing w:before="240" w:after="240"/>
      </w:pPr>
      <w:r>
        <w:lastRenderedPageBreak/>
        <w:t xml:space="preserve">Corporate Finance Institute. (2024). </w:t>
      </w:r>
      <w:r>
        <w:rPr>
          <w:i/>
          <w:iCs/>
        </w:rPr>
        <w:t>Corporate Finance Institute</w:t>
      </w:r>
      <w:r>
        <w:t xml:space="preserve">. Available at: </w:t>
      </w:r>
      <w:hyperlink r:id="rId16">
        <w:r>
          <w:rPr>
            <w:color w:val="1155CC"/>
            <w:u w:val="single"/>
          </w:rPr>
          <w:t>https://corporatefinanceinstitute.com/resources/accounting/what-is-return-on-equity-roe/</w:t>
        </w:r>
      </w:hyperlink>
      <w:r>
        <w:t xml:space="preserve"> (Accessed: 18 December 2025). </w:t>
      </w:r>
    </w:p>
    <w:p w:rsidR="00A24542" w:rsidRDefault="00F5613C">
      <w:r>
        <w:t>Pikūnas, D., (2023). Determining the relationship between the financial results of companies listed on the Vilnius stock exchange and the return on shares (Doctoral dissertation, Vilniaus universitetas.).</w:t>
      </w:r>
      <w:hyperlink r:id="rId17">
        <w:r>
          <w:rPr>
            <w:color w:val="1155CC"/>
            <w:u w:val="single"/>
          </w:rPr>
          <w:t>https://epublications.vu.lt/object/elaba:157963319/</w:t>
        </w:r>
      </w:hyperlink>
      <w:r>
        <w:t xml:space="preserve">. </w:t>
      </w:r>
    </w:p>
    <w:p w:rsidR="00A24542" w:rsidRDefault="00F5613C">
      <w:pPr>
        <w:spacing w:before="240" w:after="240"/>
      </w:pPr>
      <w:r>
        <w:t xml:space="preserve">Wallstreetprep. (2024) </w:t>
      </w:r>
      <w:r>
        <w:rPr>
          <w:i/>
          <w:iCs/>
        </w:rPr>
        <w:t>Wall Street Prep</w:t>
      </w:r>
      <w:r>
        <w:t xml:space="preserve">. Available at: </w:t>
      </w:r>
      <w:hyperlink r:id="rId18">
        <w:r>
          <w:rPr>
            <w:color w:val="1155CC"/>
            <w:u w:val="single"/>
          </w:rPr>
          <w:t>https://www.wallstreetprep.com/knowledge/operating-cash-flow-margin/</w:t>
        </w:r>
      </w:hyperlink>
      <w:r>
        <w:t xml:space="preserve"> (Accessed: 18 December 2025). </w:t>
      </w:r>
    </w:p>
    <w:p w:rsidR="00A24542" w:rsidRDefault="00F5613C">
      <w:r>
        <w:t>Hersi, I.A. (2021). The Relationship Between Cash Flow and Capital Expenditure of Firms Listed at the Nairobi Securities Exchange (Doctoral dissertation, University of Nairobi).</w:t>
      </w:r>
      <w:hyperlink r:id="rId19">
        <w:r>
          <w:rPr>
            <w:color w:val="1155CC"/>
            <w:u w:val="single"/>
          </w:rPr>
          <w:t>https://erepository.uonbi.ac.ke/handle/11295/160761</w:t>
        </w:r>
      </w:hyperlink>
      <w:r>
        <w:t xml:space="preserve">. </w:t>
      </w:r>
    </w:p>
    <w:p w:rsidR="00A24542" w:rsidRDefault="00F5613C">
      <w:r>
        <w:t>Muthusamy, S.K. and Kannan, R. (2023). Profits crisis: evolving patterns of firm size and performance in traditional US industries. Journal of Industrial and Business Economics, 50(3), pp.575-603.</w:t>
      </w:r>
      <w:hyperlink r:id="rId20">
        <w:r>
          <w:rPr>
            <w:color w:val="1155CC"/>
            <w:u w:val="single"/>
          </w:rPr>
          <w:t>https://link.springer.com/article/10.1007/s40812-023-00268-y</w:t>
        </w:r>
      </w:hyperlink>
      <w:r>
        <w:t xml:space="preserve">. </w:t>
      </w:r>
    </w:p>
    <w:p w:rsidR="00A24542" w:rsidRDefault="00F5613C">
      <w:pPr>
        <w:spacing w:before="240" w:after="240"/>
      </w:pPr>
      <w:r>
        <w:t xml:space="preserve">Anuruddika K. K. R.  (2020). </w:t>
      </w:r>
      <w:r>
        <w:rPr>
          <w:i/>
          <w:iCs/>
        </w:rPr>
        <w:t>Operating profit and net profit measurements of profitability</w:t>
      </w:r>
      <w:r>
        <w:t xml:space="preserve">, </w:t>
      </w:r>
      <w:r>
        <w:rPr>
          <w:i/>
          <w:iCs/>
        </w:rPr>
        <w:t>SCIRP</w:t>
      </w:r>
      <w:r>
        <w:t xml:space="preserve">. Available at: </w:t>
      </w:r>
      <w:hyperlink r:id="rId21">
        <w:r>
          <w:rPr>
            <w:color w:val="1155CC"/>
            <w:u w:val="single"/>
          </w:rPr>
          <w:t>https://www.scirp.org/journal/paperinformation?paperid=105860</w:t>
        </w:r>
      </w:hyperlink>
      <w:r>
        <w:t xml:space="preserve"> (Accessed: 18 December 2025).</w:t>
      </w:r>
    </w:p>
    <w:p w:rsidR="00A24542" w:rsidRDefault="00F5613C">
      <w:pPr>
        <w:spacing w:before="240" w:after="240"/>
      </w:pPr>
      <w:r>
        <w:t xml:space="preserve">Sustainability-directory. (2025) </w:t>
      </w:r>
      <w:r>
        <w:rPr>
          <w:i/>
          <w:iCs/>
        </w:rPr>
        <w:t>ESG</w:t>
      </w:r>
      <w:r>
        <w:t xml:space="preserve">. Available at: </w:t>
      </w:r>
      <w:hyperlink r:id="rId22">
        <w:r>
          <w:rPr>
            <w:color w:val="1155CC"/>
            <w:u w:val="single"/>
          </w:rPr>
          <w:t>https://esg.sustainability-directory.com/area/investor-confidence-loss/</w:t>
        </w:r>
      </w:hyperlink>
      <w:r>
        <w:t xml:space="preserve"> (Accessed: 18 December 2025). </w:t>
      </w:r>
    </w:p>
    <w:p w:rsidR="00A24542" w:rsidRDefault="00F5613C">
      <w:r>
        <w:t>AWEDA, A. (2023). The Effect of Working Capital Management on Firm Financial Performance (Doctoral dissertation, IAA).</w:t>
      </w:r>
      <w:hyperlink r:id="rId23">
        <w:r>
          <w:rPr>
            <w:color w:val="1155CC"/>
            <w:u w:val="single"/>
          </w:rPr>
          <w:t>http://repository.iaa.ac.tz:8080/xmlui/handle/123456789/2551</w:t>
        </w:r>
      </w:hyperlink>
      <w:r>
        <w:t xml:space="preserve">. </w:t>
      </w:r>
    </w:p>
    <w:p w:rsidR="00A24542" w:rsidRDefault="00F5613C">
      <w:pPr>
        <w:spacing w:before="240" w:after="240"/>
      </w:pPr>
      <w:r>
        <w:t xml:space="preserve">OECD. (2025) </w:t>
      </w:r>
      <w:r>
        <w:rPr>
          <w:i/>
          <w:iCs/>
        </w:rPr>
        <w:t>Structural developments in global financial intermediation: The rise of debt and non-bank credit intermediation | OECD</w:t>
      </w:r>
      <w:r>
        <w:t xml:space="preserve">. Available at: </w:t>
      </w:r>
      <w:hyperlink r:id="rId24">
        <w:r>
          <w:rPr>
            <w:color w:val="1155CC"/>
            <w:u w:val="single"/>
          </w:rPr>
          <w:t>https://www.oecd.org/en/publications/structural-developments-in-global-financial-</w:t>
        </w:r>
        <w:r>
          <w:rPr>
            <w:color w:val="1155CC"/>
            <w:u w:val="single"/>
          </w:rPr>
          <w:lastRenderedPageBreak/>
          <w:t>intermediation-the-rise-of-debt-and-non-bank-credit-intermediation_daa87f13-en.html</w:t>
        </w:r>
      </w:hyperlink>
      <w:r>
        <w:t xml:space="preserve"> (Accessed: 18 December 2025). </w:t>
      </w:r>
    </w:p>
    <w:p w:rsidR="00A24542" w:rsidRDefault="00F5613C">
      <w:r>
        <w:t>Mattio, F. (2024). Altman Z-Score Indicators (Doctoral dissertation, Politecnico di Torino).</w:t>
      </w:r>
      <w:hyperlink r:id="rId25">
        <w:r>
          <w:rPr>
            <w:color w:val="1155CC"/>
            <w:u w:val="single"/>
          </w:rPr>
          <w:t>https://webthesis.biblio.polito.it/31425/</w:t>
        </w:r>
      </w:hyperlink>
      <w:r>
        <w:t xml:space="preserve">. </w:t>
      </w:r>
    </w:p>
    <w:p w:rsidR="00A24542" w:rsidRDefault="00F5613C">
      <w:pPr>
        <w:spacing w:before="240" w:after="240"/>
      </w:pPr>
      <w:r>
        <w:t xml:space="preserve">Accaglobal. (2025) </w:t>
      </w:r>
      <w:r>
        <w:rPr>
          <w:i/>
          <w:iCs/>
        </w:rPr>
        <w:t>Working Capital Management</w:t>
      </w:r>
      <w:r>
        <w:t xml:space="preserve">, </w:t>
      </w:r>
      <w:r>
        <w:rPr>
          <w:i/>
          <w:iCs/>
        </w:rPr>
        <w:t>Home</w:t>
      </w:r>
      <w:r>
        <w:t xml:space="preserve">. Available at: </w:t>
      </w:r>
      <w:hyperlink r:id="rId26">
        <w:r>
          <w:rPr>
            <w:color w:val="1155CC"/>
            <w:u w:val="single"/>
          </w:rPr>
          <w:t>https://www.accaglobal.com/in/en/student/exam-support-resources/fundamentals-exams-study-resources/f9/technical-articles/wcm.html</w:t>
        </w:r>
      </w:hyperlink>
      <w:r>
        <w:t xml:space="preserve"> (Accessed: 18 December 2025). </w:t>
      </w:r>
    </w:p>
    <w:p w:rsidR="00A24542" w:rsidRDefault="00F5613C">
      <w:r>
        <w:t>Reyad, H.M., Zariyawati, M.A., Ong, T.S. and Muhamad, H. (2022). The impact of macroeconomic risk factors, the adoption of financial derivatives on working capital management, and firm performance. Sustainability, 14(21), p.14447.</w:t>
      </w:r>
      <w:hyperlink r:id="rId27">
        <w:r>
          <w:rPr>
            <w:color w:val="1155CC"/>
            <w:u w:val="single"/>
          </w:rPr>
          <w:t>https://www.mdpi.com/2071-1050/14/21/14447</w:t>
        </w:r>
      </w:hyperlink>
      <w:r>
        <w:t xml:space="preserve">. </w:t>
      </w:r>
    </w:p>
    <w:p w:rsidR="00A24542" w:rsidRDefault="00F5613C">
      <w:pPr>
        <w:spacing w:before="240" w:after="240"/>
      </w:pPr>
      <w:r>
        <w:t xml:space="preserve">Diva-portal. (2025). </w:t>
      </w:r>
      <w:r>
        <w:rPr>
          <w:i/>
          <w:iCs/>
        </w:rPr>
        <w:t>Diva-portal</w:t>
      </w:r>
      <w:r>
        <w:t xml:space="preserve">. Available at: </w:t>
      </w:r>
      <w:hyperlink r:id="rId28">
        <w:r>
          <w:rPr>
            <w:color w:val="1155CC"/>
            <w:u w:val="single"/>
          </w:rPr>
          <w:t>http://www.diva-portal.org/smash/get/diva2:282882/FULLTEXT01.pdfImpact</w:t>
        </w:r>
      </w:hyperlink>
      <w:r>
        <w:t xml:space="preserve"> (Accessed: 18 December 2025). </w:t>
      </w:r>
    </w:p>
    <w:p w:rsidR="00A24542" w:rsidRDefault="00F5613C">
      <w:r>
        <w:t>Gandhi, J. and Nasit, A. (2022). Comparison of short-term financing options; factoring is the best alternative. In International Research Conference on Innovations, Startup and Investments (ICOSTART-2022) (pp. 127-141).</w:t>
      </w:r>
      <w:hyperlink r:id="rId29">
        <w:r>
          <w:rPr>
            <w:color w:val="1155CC"/>
            <w:u w:val="single"/>
          </w:rPr>
          <w:t>https://rku.ac.in/icostart2022/books/14-management-jenil-gandhi-(127-141).pdf</w:t>
        </w:r>
      </w:hyperlink>
    </w:p>
    <w:p w:rsidR="00A24542" w:rsidRDefault="00F5613C">
      <w:pPr>
        <w:spacing w:before="240" w:after="240"/>
      </w:pPr>
      <w:r>
        <w:t>Ram, K. (2025).</w:t>
      </w:r>
      <w:r>
        <w:rPr>
          <w:i/>
          <w:iCs/>
        </w:rPr>
        <w:t>Short-term vs long-term financing</w:t>
      </w:r>
      <w:r>
        <w:t xml:space="preserve">, </w:t>
      </w:r>
      <w:r>
        <w:rPr>
          <w:i/>
          <w:iCs/>
        </w:rPr>
        <w:t>LegalVision UK</w:t>
      </w:r>
      <w:r>
        <w:t xml:space="preserve">. Available at: </w:t>
      </w:r>
      <w:hyperlink r:id="rId30">
        <w:r>
          <w:rPr>
            <w:color w:val="1155CC"/>
            <w:u w:val="single"/>
          </w:rPr>
          <w:t>https://legalvision.co.uk/corporations/term-financing/</w:t>
        </w:r>
      </w:hyperlink>
      <w:r>
        <w:t xml:space="preserve"> (Accessed: 18 December 2025). </w:t>
      </w:r>
    </w:p>
    <w:p w:rsidR="00A24542" w:rsidRDefault="00F5613C">
      <w:r>
        <w:t xml:space="preserve">Hempel, S., Li, Y. and Tibay, S. (2024). Firms' financing choice between short-term and long-term debts: Are they substitutes? </w:t>
      </w:r>
      <w:hyperlink r:id="rId31">
        <w:r>
          <w:rPr>
            <w:color w:val="1155CC"/>
            <w:u w:val="single"/>
          </w:rPr>
          <w:t>https://www.federalreserve.gov/econres/notes/feds-notes/firms-financing-choice-between-short-term-and-long-term-debts-are-they-substitutes-20240503.html</w:t>
        </w:r>
      </w:hyperlink>
      <w:r>
        <w:t xml:space="preserve">. </w:t>
      </w:r>
    </w:p>
    <w:p w:rsidR="00A24542" w:rsidRDefault="00F5613C">
      <w:pPr>
        <w:spacing w:before="240" w:after="240"/>
      </w:pPr>
      <w:r>
        <w:t xml:space="preserve">Iiflhomeloans. (2025) </w:t>
      </w:r>
      <w:r>
        <w:rPr>
          <w:i/>
          <w:iCs/>
        </w:rPr>
        <w:t>A guide to learning the differences between long &amp; short-term loans | IIFL Home Finance</w:t>
      </w:r>
      <w:r>
        <w:t xml:space="preserve">. Available at: </w:t>
      </w:r>
      <w:hyperlink r:id="rId32">
        <w:r>
          <w:rPr>
            <w:color w:val="1155CC"/>
            <w:u w:val="single"/>
          </w:rPr>
          <w:t>https://www.iiflhomeloans.com/blogs/short-term-vs-long-term-loans-key-differences-and-benefits</w:t>
        </w:r>
      </w:hyperlink>
      <w:r>
        <w:t xml:space="preserve"> (Accessed: 18 December 2025). </w:t>
      </w:r>
    </w:p>
    <w:p w:rsidR="00A24542" w:rsidRDefault="00F5613C">
      <w:r>
        <w:lastRenderedPageBreak/>
        <w:t>Hackbarth, D., Rivera, A. and Wong, T.Y. (2022). Optimal short-termism. Management Science, 68(9), pp.6477-6505.</w:t>
      </w:r>
      <w:hyperlink r:id="rId33">
        <w:r>
          <w:rPr>
            <w:color w:val="1155CC"/>
            <w:u w:val="single"/>
          </w:rPr>
          <w:t>https://pubsonline.informs.org/doi/abs/10.1287/mnsc.2021.4139</w:t>
        </w:r>
      </w:hyperlink>
      <w:r>
        <w:t xml:space="preserve">. </w:t>
      </w:r>
    </w:p>
    <w:p w:rsidR="00A24542" w:rsidRDefault="00F5613C">
      <w:pPr>
        <w:spacing w:before="240" w:after="240"/>
      </w:pPr>
      <w:r>
        <w:rPr>
          <w:i/>
          <w:iCs/>
        </w:rPr>
        <w:t>Divestiture</w:t>
      </w:r>
      <w:r>
        <w:t xml:space="preserve"> (2024) </w:t>
      </w:r>
      <w:r>
        <w:rPr>
          <w:i/>
          <w:iCs/>
        </w:rPr>
        <w:t>Corporate Finance Institute</w:t>
      </w:r>
      <w:r>
        <w:t xml:space="preserve">. Available at: </w:t>
      </w:r>
      <w:hyperlink r:id="rId34">
        <w:r>
          <w:rPr>
            <w:color w:val="1155CC"/>
            <w:u w:val="single"/>
          </w:rPr>
          <w:t xml:space="preserve">https://corporatefinanceinstitute.com/resources/valuation/divestiture-overview/ </w:t>
        </w:r>
      </w:hyperlink>
      <w:r>
        <w:t xml:space="preserve">(Accessed: 18 December 2025). </w:t>
      </w:r>
    </w:p>
    <w:p w:rsidR="00A24542" w:rsidRDefault="00F5613C">
      <w:r>
        <w:t xml:space="preserve">Ray, K.G. (2022). Mergers and acquisitions: Strategy, valuation and integration. PHI Learning Pvt. Ltd... </w:t>
      </w:r>
      <w:hyperlink r:id="rId35">
        <w:r>
          <w:rPr>
            <w:color w:val="1155CC"/>
            <w:u w:val="single"/>
          </w:rPr>
          <w:t>tps://books.google.com/books?hl=en&amp;lr=&amp;id=CdGjEAAAQBAJ&amp;oi=fnd&amp;pg=PP1&amp;dq=The+merger+enables+the+company+to+pool+its+resources+with+another+company+to+gain+economies+of+scale,+cost+effectiveness,+and+market+growth.&amp;ots=43xoTAS0qP&amp;sig=O3ewuqUxwSOXxcCSCzc6AFXjK-Q</w:t>
        </w:r>
      </w:hyperlink>
      <w:r>
        <w:t xml:space="preserve">. </w:t>
      </w:r>
    </w:p>
    <w:p w:rsidR="00A24542" w:rsidRDefault="00F5613C">
      <w:pPr>
        <w:spacing w:before="240" w:after="240"/>
      </w:pPr>
      <w:r>
        <w:t xml:space="preserve">Corporate Finance Institute. (2022) </w:t>
      </w:r>
      <w:r>
        <w:rPr>
          <w:i/>
          <w:iCs/>
        </w:rPr>
        <w:t>Corporate Finance Institute</w:t>
      </w:r>
      <w:r>
        <w:t xml:space="preserve">. Available at: </w:t>
      </w:r>
      <w:hyperlink r:id="rId36">
        <w:r>
          <w:rPr>
            <w:color w:val="1155CC"/>
            <w:u w:val="single"/>
          </w:rPr>
          <w:t>https://corporatefinanceinstitute.com/resources/valuation/equity-financing/</w:t>
        </w:r>
      </w:hyperlink>
      <w:r>
        <w:t xml:space="preserve"> (Accessed: 18 December 2025). </w:t>
      </w:r>
    </w:p>
    <w:p w:rsidR="00A24542" w:rsidRDefault="00F5613C">
      <w:r>
        <w:t>Joshi, N.A. (2022). Financial restructuring and its impact on shareholders’ wealth in selected companies in India. Indian Journal of Finance, 16(9), pp.26-41.</w:t>
      </w:r>
      <w:hyperlink r:id="rId37">
        <w:r>
          <w:rPr>
            <w:color w:val="1155CC"/>
            <w:u w:val="single"/>
          </w:rPr>
          <w:t>https://www.indianjournalofentrepreneurship.com/index.php/IJF/article/view/172158</w:t>
        </w:r>
      </w:hyperlink>
      <w:r>
        <w:t xml:space="preserve">. </w:t>
      </w:r>
    </w:p>
    <w:p w:rsidR="00A24542" w:rsidRDefault="00F5613C">
      <w:pPr>
        <w:spacing w:before="240" w:after="240"/>
      </w:pPr>
      <w:r>
        <w:t xml:space="preserve">NexuscorporateSolutions. (2025) </w:t>
      </w:r>
      <w:r>
        <w:rPr>
          <w:i/>
          <w:iCs/>
        </w:rPr>
        <w:t>Nexus Corporate Solutions Rescuing Businesses Preserving Futures Corporate Restructuring and Financial Restructuring The Real Difference Comments</w:t>
      </w:r>
      <w:r>
        <w:t xml:space="preserve">. Available at: </w:t>
      </w:r>
      <w:hyperlink r:id="rId38">
        <w:r>
          <w:rPr>
            <w:color w:val="1155CC"/>
            <w:u w:val="single"/>
          </w:rPr>
          <w:t>https://nexuscorporatesolutions.co.uk/corporate-restructuring-and-financial-restructuring-the-real-difference/</w:t>
        </w:r>
      </w:hyperlink>
      <w:r>
        <w:t xml:space="preserve"> (Accessed: 18 December 2025). </w:t>
      </w:r>
    </w:p>
    <w:p w:rsidR="00A24542" w:rsidRDefault="00F5613C">
      <w:r>
        <w:t>Ritchken, P. and Wu, Q. (2021). Capacity investment, production flexibility, and capital structure. Production and Operations Management, 30(12), pp.4593-4613.</w:t>
      </w:r>
      <w:hyperlink r:id="rId39">
        <w:r>
          <w:rPr>
            <w:color w:val="1155CC"/>
            <w:u w:val="single"/>
          </w:rPr>
          <w:t>https://journals.sagepub.com/doi/abs/10.1111/poms.13253</w:t>
        </w:r>
      </w:hyperlink>
      <w:r>
        <w:t xml:space="preserve">. </w:t>
      </w:r>
    </w:p>
    <w:p w:rsidR="00A24542" w:rsidRDefault="00F5613C">
      <w:pPr>
        <w:spacing w:before="240" w:after="240"/>
      </w:pPr>
      <w:r>
        <w:t xml:space="preserve">Wallstreetprep. (2025) </w:t>
      </w:r>
      <w:r>
        <w:rPr>
          <w:i/>
          <w:iCs/>
        </w:rPr>
        <w:t>Wall Street Prep</w:t>
      </w:r>
      <w:r>
        <w:t xml:space="preserve">. Available at: </w:t>
      </w:r>
      <w:hyperlink r:id="rId40">
        <w:r>
          <w:rPr>
            <w:color w:val="1155CC"/>
            <w:u w:val="single"/>
          </w:rPr>
          <w:t>https://www.wallstreetprep.com/knowledge/payback-period/</w:t>
        </w:r>
      </w:hyperlink>
      <w:r>
        <w:t xml:space="preserve"> (Accessed: 18 December 2025). </w:t>
      </w:r>
    </w:p>
    <w:p w:rsidR="00A24542" w:rsidRDefault="00F5613C">
      <w:r>
        <w:lastRenderedPageBreak/>
        <w:t>Nadyayani, D.A.D. and Suarjaya, A.A.G. (2021). The effect of profitability on stock return. American Journal of Humanities and Social Sciences Research (AJHSSR), 5(1), pp.695-703.</w:t>
      </w:r>
      <w:hyperlink r:id="rId41">
        <w:r>
          <w:rPr>
            <w:color w:val="1155CC"/>
            <w:u w:val="single"/>
          </w:rPr>
          <w:t>http://www.ajhssr.com/wp-content/uploads/2021/01/ZZZC21501695703.pdf</w:t>
        </w:r>
      </w:hyperlink>
      <w:r>
        <w:t xml:space="preserve">. </w:t>
      </w:r>
    </w:p>
    <w:p w:rsidR="00A24542" w:rsidRDefault="00F5613C">
      <w:pPr>
        <w:spacing w:before="240" w:after="240"/>
      </w:pPr>
      <w:r>
        <w:rPr>
          <w:i/>
          <w:iCs/>
        </w:rPr>
        <w:t xml:space="preserve">Net present value </w:t>
      </w:r>
      <w:r>
        <w:t xml:space="preserve">(2024). </w:t>
      </w:r>
      <w:r>
        <w:rPr>
          <w:i/>
          <w:iCs/>
        </w:rPr>
        <w:t>Corporate Finance Institute</w:t>
      </w:r>
      <w:r>
        <w:t xml:space="preserve">. Available at: </w:t>
      </w:r>
      <w:hyperlink r:id="rId42">
        <w:r>
          <w:rPr>
            <w:color w:val="1155CC"/>
            <w:u w:val="single"/>
          </w:rPr>
          <w:t>https://corporatefinanceinstitute.com/resources/valuation/net-present-value-npv/</w:t>
        </w:r>
      </w:hyperlink>
      <w:r>
        <w:t xml:space="preserve"> (Accessed: 18 December 2025). </w:t>
      </w:r>
    </w:p>
    <w:p w:rsidR="00A24542" w:rsidRDefault="00F5613C">
      <w:r>
        <w:t>Pereira, A.V., Dias, R., Galvão, R. and Varela, M. (2024). Cash flow and its components in investment valuation. Revista de Gestão Social e Ambiental, 18(5), pp.1-20.</w:t>
      </w:r>
      <w:hyperlink r:id="rId43">
        <w:r>
          <w:rPr>
            <w:color w:val="1155CC"/>
            <w:u w:val="single"/>
          </w:rPr>
          <w:t>https://www.researchgate.net/profile/Rui-Dias-13/publication/380910436_Cash_Flow_and_Its_Components_in_Investment_Valuation/links/66559b9222a7f16b4f51f48c/Cash-Flow-and-Its-Components-in-Investment-Valuation.pdf</w:t>
        </w:r>
      </w:hyperlink>
      <w:r>
        <w:t xml:space="preserve">. </w:t>
      </w:r>
    </w:p>
    <w:p w:rsidR="00A24542" w:rsidRDefault="00F5613C">
      <w:pPr>
        <w:spacing w:before="240" w:after="240"/>
      </w:pPr>
      <w:r>
        <w:t xml:space="preserve">Corporate Finance Institute. (2024) </w:t>
      </w:r>
      <w:r>
        <w:rPr>
          <w:i/>
          <w:iCs/>
        </w:rPr>
        <w:t>Corporate Finance Institute</w:t>
      </w:r>
      <w:r>
        <w:t xml:space="preserve">. Available at: </w:t>
      </w:r>
      <w:hyperlink r:id="rId44">
        <w:r>
          <w:rPr>
            <w:color w:val="1155CC"/>
            <w:u w:val="single"/>
          </w:rPr>
          <w:t>https://corporatefinanceinstitute.com/resources/valuation/internal-rate-return-irr/</w:t>
        </w:r>
      </w:hyperlink>
      <w:r>
        <w:t xml:space="preserve"> (Accessed: 18 December 2025). </w:t>
      </w:r>
    </w:p>
    <w:p w:rsidR="00A24542" w:rsidRDefault="00F5613C">
      <w:r>
        <w:t>Voorneveld, M. and de Groot, M., (2024). Optimal investment strategy on data analytics capabilities of startups via Markov decision analysis. Decision Analytics Journal, 10, p.100438.</w:t>
      </w:r>
      <w:hyperlink r:id="rId45">
        <w:r>
          <w:rPr>
            <w:color w:val="1155CC"/>
            <w:u w:val="single"/>
          </w:rPr>
          <w:t>https://www.sciencedirect.com/science/article/pii/S2772662224000420</w:t>
        </w:r>
      </w:hyperlink>
      <w:r>
        <w:t xml:space="preserve">. </w:t>
      </w:r>
      <w:r>
        <w:br w:type="page"/>
      </w:r>
    </w:p>
    <w:p w:rsidR="00A24542" w:rsidRDefault="00F5613C">
      <w:pPr>
        <w:pStyle w:val="Heading1"/>
      </w:pPr>
      <w:bookmarkStart w:id="48" w:name="_Toc217243073"/>
      <w:r>
        <w:lastRenderedPageBreak/>
        <w:t>Appendix</w:t>
      </w:r>
      <w:bookmarkEnd w:id="48"/>
    </w:p>
    <w:p w:rsidR="00A24542" w:rsidRDefault="00F5613C">
      <w:pPr>
        <w:rPr>
          <w:b/>
          <w:bCs/>
        </w:rPr>
      </w:pPr>
      <w:r>
        <w:rPr>
          <w:b/>
          <w:bCs/>
        </w:rPr>
        <w:t xml:space="preserve">Ratio analysis: </w:t>
      </w:r>
    </w:p>
    <w:p w:rsidR="00A24542" w:rsidRDefault="00F5613C">
      <w:pPr>
        <w:rPr>
          <w:b/>
          <w:bCs/>
        </w:rPr>
      </w:pPr>
      <w:r>
        <w:rPr>
          <w:b/>
          <w:bCs/>
        </w:rPr>
        <w:t>Table:</w:t>
      </w:r>
    </w:p>
    <w:p w:rsidR="00A24542" w:rsidRDefault="00F5613C">
      <w:pPr>
        <w:rPr>
          <w:b/>
          <w:bCs/>
        </w:rPr>
      </w:pPr>
      <w:r>
        <w:rPr>
          <w:b/>
          <w:bCs/>
        </w:rPr>
        <w:t>Profitability ratio</w:t>
      </w:r>
    </w:p>
    <w:p w:rsidR="00A24542" w:rsidRDefault="00F5613C">
      <w:r>
        <w:rPr>
          <w:b/>
          <w:bCs/>
        </w:rPr>
        <w:t>Net profit margin</w:t>
      </w:r>
    </w:p>
    <w:tbl>
      <w:tblPr>
        <w:tblStyle w:val="a0"/>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60"/>
        </w:trPr>
        <w:tc>
          <w:tcPr>
            <w:tcW w:w="9360" w:type="dxa"/>
            <w:gridSpan w:val="6"/>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Profitability ratio</w:t>
            </w:r>
          </w:p>
        </w:tc>
      </w:tr>
      <w:tr w:rsidR="00A24542">
        <w:trPr>
          <w:trHeight w:val="360"/>
        </w:trPr>
        <w:tc>
          <w:tcPr>
            <w:tcW w:w="9360" w:type="dxa"/>
            <w:gridSpan w:val="6"/>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Net profit margin</w:t>
            </w:r>
          </w:p>
        </w:tc>
      </w:tr>
      <w:tr w:rsidR="00A24542">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left"/>
            </w:pPr>
            <w:r>
              <w:t>Net income</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-24029</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-98238</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407</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5301</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38578</w:t>
            </w:r>
          </w:p>
        </w:tc>
      </w:tr>
      <w:tr w:rsidR="00A24542">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left"/>
            </w:pPr>
            <w:r>
              <w:t>Net sales</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394879</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420457</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542751</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601602</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t>614680</w:t>
            </w:r>
          </w:p>
        </w:tc>
      </w:tr>
      <w:tr w:rsidR="00A24542">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left"/>
            </w:pPr>
            <w:r>
              <w:rPr>
                <w:b/>
                <w:bCs/>
              </w:rPr>
              <w:t>Net profit margin = (Net income / Net sales) * 100</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-6.09</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-23.36</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0.07</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0.88</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A24542" w:rsidRDefault="00F5613C">
            <w:pPr>
              <w:widowControl w:val="0"/>
              <w:jc w:val="center"/>
            </w:pPr>
            <w:r>
              <w:rPr>
                <w:b/>
                <w:bCs/>
              </w:rPr>
              <w:t>6.28</w:t>
            </w:r>
          </w:p>
        </w:tc>
      </w:tr>
    </w:tbl>
    <w:p w:rsidR="00A24542" w:rsidRDefault="00F5613C">
      <w:pPr>
        <w:jc w:val="center"/>
        <w:rPr>
          <w:b/>
          <w:bCs/>
        </w:rPr>
      </w:pPr>
      <w:r>
        <w:rPr>
          <w:b/>
          <w:bCs/>
        </w:rPr>
        <w:t>Table 1: Net profit margin</w:t>
      </w:r>
    </w:p>
    <w:p w:rsidR="00A24542" w:rsidRDefault="00F5613C">
      <w:pPr>
        <w:jc w:val="center"/>
      </w:pPr>
      <w:r>
        <w:t>(Source: self-report, 2025)</w:t>
      </w:r>
    </w:p>
    <w:p w:rsidR="00A24542" w:rsidRDefault="00F5613C">
      <w:r>
        <w:rPr>
          <w:b/>
          <w:bCs/>
        </w:rPr>
        <w:t>Operating profit margin</w:t>
      </w:r>
    </w:p>
    <w:tbl>
      <w:tblPr>
        <w:tblStyle w:val="a1"/>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Profitability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Operating profit margin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Operating profit</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-15297</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-85301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14548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23253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37267</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542751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614680</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Operating profit margin = (Operating profit / Net sales) * 100</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-3.87</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2.68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3.87</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6.06</w:t>
            </w:r>
          </w:p>
        </w:tc>
      </w:tr>
    </w:tbl>
    <w:p w:rsidR="00A24542" w:rsidRDefault="00F5613C">
      <w:pPr>
        <w:jc w:val="center"/>
        <w:rPr>
          <w:b/>
          <w:bCs/>
        </w:rPr>
      </w:pPr>
      <w:r>
        <w:rPr>
          <w:b/>
          <w:bCs/>
        </w:rPr>
        <w:t>Table 2: Operating profit margin</w:t>
      </w:r>
    </w:p>
    <w:p w:rsidR="00A24542" w:rsidRDefault="00F5613C">
      <w:pPr>
        <w:jc w:val="center"/>
      </w:pPr>
      <w:r>
        <w:t>(Source: self-report, 2025)</w:t>
      </w:r>
    </w:p>
    <w:p w:rsidR="00A24542" w:rsidRDefault="00F5613C">
      <w:pPr>
        <w:rPr>
          <w:b/>
          <w:bCs/>
        </w:rPr>
      </w:pPr>
      <w:r>
        <w:rPr>
          <w:b/>
          <w:bCs/>
        </w:rPr>
        <w:lastRenderedPageBreak/>
        <w:t>Liquidity ratio</w:t>
      </w:r>
    </w:p>
    <w:p w:rsidR="00A24542" w:rsidRDefault="00F5613C">
      <w:r>
        <w:rPr>
          <w:b/>
          <w:bCs/>
        </w:rPr>
        <w:t>Current ratio</w:t>
      </w:r>
    </w:p>
    <w:tbl>
      <w:tblPr>
        <w:tblStyle w:val="a2"/>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Liquidity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Current ratio</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Current asset</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242,494</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258,851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338,040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337,146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326,843</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Current liability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158,291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161,148</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216,473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216,787</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179,510</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Current ratio = (Current assets / Current liabilities)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1.53</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1.61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1.56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1.56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1.82</w:t>
            </w:r>
          </w:p>
        </w:tc>
      </w:tr>
    </w:tbl>
    <w:p w:rsidR="00A24542" w:rsidRDefault="00F5613C">
      <w:pPr>
        <w:jc w:val="center"/>
        <w:rPr>
          <w:b/>
          <w:bCs/>
        </w:rPr>
      </w:pPr>
      <w:r>
        <w:rPr>
          <w:b/>
          <w:bCs/>
        </w:rPr>
        <w:t>Table 3: Current ratio</w:t>
      </w:r>
    </w:p>
    <w:p w:rsidR="00A24542" w:rsidRDefault="00F5613C">
      <w:pPr>
        <w:jc w:val="center"/>
      </w:pPr>
      <w:r>
        <w:t>(Source: self-report, 2025)</w:t>
      </w:r>
    </w:p>
    <w:p w:rsidR="00A24542" w:rsidRDefault="00F5613C">
      <w:r>
        <w:rPr>
          <w:b/>
          <w:bCs/>
        </w:rPr>
        <w:t>Quick ratio</w:t>
      </w:r>
    </w:p>
    <w:tbl>
      <w:tblPr>
        <w:tblStyle w:val="a3"/>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Liquidity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Quick ratio</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Current asset</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242,494</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258,851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338,040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337,146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326,843</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Current liability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158,291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161,148</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216,473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216,787</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179,510</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Inventory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79355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88273</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140181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134469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120430</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Quick ratio = (Current assets - Inventory) / Current Liabilities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1.03</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0.91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0.93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1.15</w:t>
            </w:r>
          </w:p>
        </w:tc>
      </w:tr>
    </w:tbl>
    <w:p w:rsidR="00A24542" w:rsidRDefault="00F5613C">
      <w:pPr>
        <w:jc w:val="center"/>
        <w:rPr>
          <w:b/>
          <w:bCs/>
        </w:rPr>
      </w:pPr>
      <w:r>
        <w:rPr>
          <w:b/>
          <w:bCs/>
        </w:rPr>
        <w:lastRenderedPageBreak/>
        <w:t>Table 4: Quick ratio</w:t>
      </w:r>
    </w:p>
    <w:p w:rsidR="00A24542" w:rsidRDefault="00F5613C">
      <w:pPr>
        <w:jc w:val="center"/>
      </w:pPr>
      <w:r>
        <w:t>(Source: self-report, 2025)</w:t>
      </w:r>
    </w:p>
    <w:p w:rsidR="00A24542" w:rsidRDefault="00F5613C">
      <w:pPr>
        <w:rPr>
          <w:b/>
          <w:bCs/>
        </w:rPr>
      </w:pPr>
      <w:r>
        <w:rPr>
          <w:b/>
          <w:bCs/>
        </w:rPr>
        <w:t>Efficiency ratio</w:t>
      </w:r>
    </w:p>
    <w:p w:rsidR="00A24542" w:rsidRDefault="00F5613C">
      <w:r>
        <w:rPr>
          <w:b/>
          <w:bCs/>
        </w:rPr>
        <w:t>Inventory turnover ratio</w:t>
      </w:r>
    </w:p>
    <w:tbl>
      <w:tblPr>
        <w:tblStyle w:val="a4"/>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Efficiency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Inventory turnover ratio</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Cost of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280,885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322,897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390,459</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428,586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438,424</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Inventory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79355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88273</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140181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134469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120430</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Inventory turnover ratio = Cost of sales / Inventory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3.54</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3.66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2.79</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3.19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3.64</w:t>
            </w:r>
          </w:p>
        </w:tc>
      </w:tr>
    </w:tbl>
    <w:p w:rsidR="00A24542" w:rsidRDefault="00F5613C">
      <w:pPr>
        <w:jc w:val="center"/>
        <w:rPr>
          <w:b/>
          <w:bCs/>
        </w:rPr>
      </w:pPr>
      <w:r>
        <w:rPr>
          <w:b/>
          <w:bCs/>
        </w:rPr>
        <w:t>Table 5: Inventory turnover ratio</w:t>
      </w:r>
    </w:p>
    <w:p w:rsidR="00A24542" w:rsidRDefault="00F5613C">
      <w:pPr>
        <w:jc w:val="center"/>
      </w:pPr>
      <w:r>
        <w:t>(Source: self-report, 2025)</w:t>
      </w:r>
    </w:p>
    <w:p w:rsidR="00A24542" w:rsidRDefault="00F5613C">
      <w:r>
        <w:rPr>
          <w:b/>
          <w:bCs/>
        </w:rPr>
        <w:t>Receivable turnover ratio</w:t>
      </w:r>
    </w:p>
    <w:tbl>
      <w:tblPr>
        <w:tblStyle w:val="a5"/>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Efficiency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Receivable turnover ratio</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542,751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614,680</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Account receivable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114182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112596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112346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129215</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129433</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Receivable turnover ratio = Net sales / Accounts receivable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3.46</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3.73</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4.83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4.66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4.75</w:t>
            </w:r>
          </w:p>
        </w:tc>
      </w:tr>
    </w:tbl>
    <w:p w:rsidR="00A24542" w:rsidRDefault="00F5613C">
      <w:pPr>
        <w:jc w:val="center"/>
        <w:rPr>
          <w:b/>
          <w:bCs/>
        </w:rPr>
      </w:pPr>
      <w:r>
        <w:rPr>
          <w:b/>
          <w:bCs/>
        </w:rPr>
        <w:t>Table 6: Receivable turnover ratio</w:t>
      </w:r>
    </w:p>
    <w:p w:rsidR="00A24542" w:rsidRDefault="00F5613C">
      <w:pPr>
        <w:jc w:val="center"/>
      </w:pPr>
      <w:r>
        <w:lastRenderedPageBreak/>
        <w:t>(Source: self-report, 2025)</w:t>
      </w:r>
    </w:p>
    <w:p w:rsidR="00A24542" w:rsidRDefault="00F5613C">
      <w:pPr>
        <w:rPr>
          <w:b/>
          <w:bCs/>
        </w:rPr>
      </w:pPr>
      <w:r>
        <w:rPr>
          <w:b/>
          <w:bCs/>
        </w:rPr>
        <w:t>Gearing ratio</w:t>
      </w:r>
    </w:p>
    <w:p w:rsidR="00A24542" w:rsidRDefault="00F5613C">
      <w:r>
        <w:rPr>
          <w:b/>
          <w:bCs/>
        </w:rPr>
        <w:t>Debt to equity ratio</w:t>
      </w:r>
    </w:p>
    <w:tbl>
      <w:tblPr>
        <w:tblStyle w:val="a6"/>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Gearing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Debt to equity ratio</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Total Liabilities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170,249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176,952</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235,757</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234,399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196,989</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Shareholders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153105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178920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268406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275949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313301</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Debt to equity ratio = Total Liabilities / Shareholders'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1.11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0.99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0.88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0.85</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0.63</w:t>
            </w:r>
          </w:p>
        </w:tc>
      </w:tr>
    </w:tbl>
    <w:p w:rsidR="00A24542" w:rsidRDefault="00F5613C">
      <w:pPr>
        <w:jc w:val="center"/>
        <w:rPr>
          <w:b/>
          <w:bCs/>
        </w:rPr>
      </w:pPr>
      <w:r>
        <w:rPr>
          <w:b/>
          <w:bCs/>
        </w:rPr>
        <w:t>Table 7: Debt-to-equity ratio</w:t>
      </w:r>
    </w:p>
    <w:p w:rsidR="00A24542" w:rsidRDefault="00F5613C">
      <w:pPr>
        <w:jc w:val="center"/>
      </w:pPr>
      <w:r>
        <w:t>(Source: self-report, 2025)</w:t>
      </w:r>
    </w:p>
    <w:p w:rsidR="00A24542" w:rsidRDefault="00F5613C">
      <w:r>
        <w:rPr>
          <w:b/>
          <w:bCs/>
        </w:rPr>
        <w:t>Interest coverage ratio</w:t>
      </w:r>
    </w:p>
    <w:tbl>
      <w:tblPr>
        <w:tblStyle w:val="a7"/>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Gearing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Interest coverage ratio</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Operating income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-15,297</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-85,301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14,548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23,253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37,267</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Interest expense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3361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4332</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2200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566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1422</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Interest coverage ratio = Operating income / Interest expense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-4.55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-19.69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6.61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41.08</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26.21</w:t>
            </w:r>
          </w:p>
        </w:tc>
      </w:tr>
    </w:tbl>
    <w:p w:rsidR="00A24542" w:rsidRDefault="00F5613C">
      <w:pPr>
        <w:jc w:val="center"/>
        <w:rPr>
          <w:b/>
          <w:bCs/>
        </w:rPr>
      </w:pPr>
      <w:r>
        <w:rPr>
          <w:b/>
          <w:bCs/>
        </w:rPr>
        <w:t>Table 8: Interest coverage ratio</w:t>
      </w:r>
    </w:p>
    <w:p w:rsidR="00A24542" w:rsidRDefault="00F5613C">
      <w:pPr>
        <w:jc w:val="center"/>
      </w:pPr>
      <w:r>
        <w:t>(Source: self-report, 2025)</w:t>
      </w:r>
    </w:p>
    <w:p w:rsidR="00A24542" w:rsidRDefault="00F5613C">
      <w:pPr>
        <w:rPr>
          <w:b/>
          <w:bCs/>
        </w:rPr>
      </w:pPr>
      <w:r>
        <w:rPr>
          <w:b/>
          <w:bCs/>
        </w:rPr>
        <w:t>Investment ratio</w:t>
      </w:r>
    </w:p>
    <w:p w:rsidR="00A24542" w:rsidRDefault="00F5613C">
      <w:r>
        <w:rPr>
          <w:b/>
          <w:bCs/>
        </w:rPr>
        <w:lastRenderedPageBreak/>
        <w:t>Return on Equity</w:t>
      </w:r>
    </w:p>
    <w:tbl>
      <w:tblPr>
        <w:tblStyle w:val="a8"/>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Investment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Return on Equity</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Net Income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-24,029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-98,238</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407</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5,301</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38,572</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Shareholders’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153105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178920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268406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275949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313301</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Return on Equity = Net income / Shareholders’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-0.16</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-0.55</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0.00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0.12</w:t>
            </w:r>
          </w:p>
        </w:tc>
      </w:tr>
    </w:tbl>
    <w:p w:rsidR="00A24542" w:rsidRDefault="00F5613C">
      <w:pPr>
        <w:jc w:val="center"/>
        <w:rPr>
          <w:b/>
          <w:bCs/>
        </w:rPr>
      </w:pPr>
      <w:r>
        <w:rPr>
          <w:b/>
          <w:bCs/>
        </w:rPr>
        <w:t>Table 9: Return on Equity</w:t>
      </w:r>
    </w:p>
    <w:p w:rsidR="00A24542" w:rsidRDefault="00F5613C">
      <w:pPr>
        <w:jc w:val="center"/>
      </w:pPr>
      <w:r>
        <w:t>(Source: self-report, 2025)</w:t>
      </w:r>
    </w:p>
    <w:p w:rsidR="00A24542" w:rsidRDefault="00F5613C">
      <w:r>
        <w:rPr>
          <w:b/>
          <w:bCs/>
        </w:rPr>
        <w:t>Earnings per share</w:t>
      </w:r>
    </w:p>
    <w:tbl>
      <w:tblPr>
        <w:tblStyle w:val="a9"/>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Investment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Earnings per share</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Earnings per share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-1.85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-7.64</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0.03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0.39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2.78</w:t>
            </w:r>
          </w:p>
        </w:tc>
      </w:tr>
    </w:tbl>
    <w:p w:rsidR="00A24542" w:rsidRDefault="00F5613C">
      <w:pPr>
        <w:jc w:val="center"/>
        <w:rPr>
          <w:b/>
          <w:bCs/>
        </w:rPr>
      </w:pPr>
      <w:r>
        <w:rPr>
          <w:b/>
          <w:bCs/>
        </w:rPr>
        <w:t>Table 10: Earnings per share</w:t>
      </w:r>
    </w:p>
    <w:p w:rsidR="00A24542" w:rsidRDefault="00F5613C">
      <w:pPr>
        <w:jc w:val="center"/>
      </w:pPr>
      <w:r>
        <w:t>(Source: self-report, 2025)</w:t>
      </w:r>
    </w:p>
    <w:p w:rsidR="00A24542" w:rsidRDefault="00F5613C">
      <w:pPr>
        <w:rPr>
          <w:b/>
          <w:bCs/>
        </w:rPr>
      </w:pPr>
      <w:r>
        <w:rPr>
          <w:b/>
          <w:bCs/>
        </w:rPr>
        <w:t>Cash flow ratio</w:t>
      </w:r>
    </w:p>
    <w:p w:rsidR="00A24542" w:rsidRDefault="00F5613C">
      <w:r>
        <w:rPr>
          <w:b/>
          <w:bCs/>
        </w:rPr>
        <w:t>Operating Cash Flow Margin</w:t>
      </w:r>
    </w:p>
    <w:tbl>
      <w:tblPr>
        <w:tblStyle w:val="aa"/>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Cash flow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Operating Cash Flow Margin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lastRenderedPageBreak/>
              <w:t>Operating Cash Flow</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14,822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25,190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10,926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40,283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73,392</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542751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614680</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Operating Cash Flow Margin = (Operating Cash Flow /Net sales) * 100</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3.75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5.99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6.70</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11.94</w:t>
            </w:r>
          </w:p>
        </w:tc>
      </w:tr>
    </w:tbl>
    <w:p w:rsidR="00A24542" w:rsidRDefault="00F5613C">
      <w:pPr>
        <w:jc w:val="center"/>
        <w:rPr>
          <w:b/>
          <w:bCs/>
        </w:rPr>
      </w:pPr>
      <w:r>
        <w:rPr>
          <w:b/>
          <w:bCs/>
        </w:rPr>
        <w:t>Table 11: Operating Cash Flow Margin</w:t>
      </w:r>
    </w:p>
    <w:p w:rsidR="00A24542" w:rsidRDefault="00F5613C">
      <w:pPr>
        <w:jc w:val="center"/>
      </w:pPr>
      <w:r>
        <w:t>(Source: self-report, 2025)</w:t>
      </w:r>
    </w:p>
    <w:p w:rsidR="00A24542" w:rsidRDefault="00F5613C">
      <w:r>
        <w:rPr>
          <w:b/>
          <w:bCs/>
        </w:rPr>
        <w:t xml:space="preserve">Free Cash Flow Margin </w:t>
      </w:r>
    </w:p>
    <w:tbl>
      <w:tblPr>
        <w:tblStyle w:val="ab"/>
        <w:tblW w:w="9360" w:type="dxa"/>
        <w:tblInd w:w="0" w:type="dxa"/>
        <w:tblBorders>
          <w:top w:val="nil"/>
          <w:left w:val="nil"/>
          <w:bottom w:val="nil"/>
          <w:right w:val="nil"/>
          <w:insideH w:val="nil"/>
          <w:insideV w:val="nil"/>
        </w:tblBorders>
        <w:tblLayout w:type="fixed"/>
        <w:tblLook w:val="0600"/>
      </w:tblPr>
      <w:tblGrid>
        <w:gridCol w:w="4897"/>
        <w:gridCol w:w="898"/>
        <w:gridCol w:w="905"/>
        <w:gridCol w:w="889"/>
        <w:gridCol w:w="850"/>
        <w:gridCol w:w="921"/>
      </w:tblGrid>
      <w:tr w:rsidR="00A24542">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Cash flow ratio</w:t>
            </w:r>
          </w:p>
        </w:tc>
      </w:tr>
      <w:tr w:rsidR="00A24542">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Free Cash Flow Margin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2020 (Million)</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Operating Cash Flow</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14,822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25,190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10,926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40,283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73,392</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Capital expenditure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4572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8116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14006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12586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16862</w:t>
            </w:r>
          </w:p>
        </w:tc>
      </w:tr>
      <w:tr w:rsidR="00A24542">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14006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614680</w:t>
            </w:r>
          </w:p>
        </w:tc>
      </w:tr>
      <w:tr w:rsidR="00A24542">
        <w:trPr>
          <w:trHeight w:val="61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left"/>
            </w:pPr>
            <w:r>
              <w:rPr>
                <w:b/>
                <w:bCs/>
              </w:rPr>
              <w:t>Free Cash Flow Margin = ((Operating Cash Flow - Capital Expenditure) / Net sales)* 100</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2.60</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4.06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-21.99</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4.60</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9.20</w:t>
            </w:r>
          </w:p>
        </w:tc>
      </w:tr>
    </w:tbl>
    <w:p w:rsidR="00A24542" w:rsidRDefault="00F5613C">
      <w:pPr>
        <w:jc w:val="center"/>
        <w:rPr>
          <w:b/>
          <w:bCs/>
        </w:rPr>
      </w:pPr>
      <w:r>
        <w:rPr>
          <w:b/>
          <w:bCs/>
        </w:rPr>
        <w:t>Table 12: Free Cash Flow Margin</w:t>
      </w:r>
    </w:p>
    <w:p w:rsidR="00A24542" w:rsidRDefault="00F5613C">
      <w:pPr>
        <w:jc w:val="center"/>
      </w:pPr>
      <w:r>
        <w:t>(Source: self-report, 2025)</w:t>
      </w:r>
    </w:p>
    <w:p w:rsidR="00A24542" w:rsidRDefault="00F5613C">
      <w:pPr>
        <w:rPr>
          <w:b/>
          <w:bCs/>
        </w:rPr>
      </w:pPr>
      <w:r>
        <w:rPr>
          <w:b/>
          <w:bCs/>
        </w:rPr>
        <w:t>Graph</w:t>
      </w:r>
    </w:p>
    <w:p w:rsidR="00A24542" w:rsidRDefault="00F5613C">
      <w:pPr>
        <w:rPr>
          <w:b/>
          <w:bCs/>
        </w:rPr>
      </w:pPr>
      <w:r>
        <w:rPr>
          <w:b/>
          <w:bCs/>
        </w:rPr>
        <w:t>Profitability ratio</w:t>
      </w:r>
    </w:p>
    <w:p w:rsidR="00A24542" w:rsidRDefault="00F5613C">
      <w:pPr>
        <w:rPr>
          <w:b/>
          <w:bCs/>
        </w:rPr>
      </w:pPr>
      <w:r>
        <w:rPr>
          <w:b/>
          <w:bCs/>
        </w:rPr>
        <w:t>Net profit margin</w:t>
      </w:r>
    </w:p>
    <w:p w:rsidR="00A24542" w:rsidRDefault="00F5613C">
      <w:pPr>
        <w:jc w:val="center"/>
      </w:pPr>
      <w:r>
        <w:rPr>
          <w:noProof/>
          <w:lang w:eastAsia="en-US" w:bidi="ar-SA"/>
        </w:rPr>
        <w:lastRenderedPageBreak/>
        <w:drawing>
          <wp:inline distT="114300" distB="114300" distL="114300" distR="114300">
            <wp:extent cx="5229225" cy="3234662"/>
            <wp:effectExtent l="12700" t="12700" r="12700" b="12700"/>
            <wp:docPr id="8" name="image10.png" descr="Chart"/>
            <wp:cNvGraphicFramePr/>
            <a:graphic xmlns:a="http://schemas.openxmlformats.org/drawingml/2006/main">
              <a:graphicData uri="http://schemas.openxmlformats.org/drawingml/2006/picture">
                <pic:pic xmlns:pic="http://schemas.openxmlformats.org/drawingml/2006/picture">
                  <pic:nvPicPr>
                    <pic:cNvPr id="0" name="image10.png" descr="Chart"/>
                    <pic:cNvPicPr preferRelativeResize="0"/>
                  </pic:nvPicPr>
                  <pic:blipFill>
                    <a:blip r:embed="rId46"/>
                    <a:srcRect/>
                    <a:stretch>
                      <a:fillRect/>
                    </a:stretch>
                  </pic:blipFill>
                  <pic:spPr>
                    <a:xfrm>
                      <a:off x="0" y="0"/>
                      <a:ext cx="5229225" cy="3234662"/>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1: Net profit margin</w:t>
      </w:r>
    </w:p>
    <w:p w:rsidR="00A24542" w:rsidRDefault="00F5613C">
      <w:pPr>
        <w:jc w:val="center"/>
      </w:pPr>
      <w:r>
        <w:t>(Source: self-report, 2025)</w:t>
      </w:r>
    </w:p>
    <w:p w:rsidR="00A24542" w:rsidRDefault="00F5613C">
      <w:pPr>
        <w:rPr>
          <w:b/>
          <w:bCs/>
        </w:rPr>
      </w:pPr>
      <w:r>
        <w:rPr>
          <w:b/>
          <w:bCs/>
        </w:rPr>
        <w:t>Operating profit margin</w:t>
      </w:r>
    </w:p>
    <w:p w:rsidR="00A24542" w:rsidRDefault="00F5613C">
      <w:pPr>
        <w:jc w:val="center"/>
      </w:pPr>
      <w:r>
        <w:rPr>
          <w:noProof/>
          <w:lang w:eastAsia="en-US" w:bidi="ar-SA"/>
        </w:rPr>
        <w:drawing>
          <wp:inline distT="114300" distB="114300" distL="114300" distR="114300">
            <wp:extent cx="5181600" cy="3195164"/>
            <wp:effectExtent l="12700" t="12700" r="12700" b="12700"/>
            <wp:docPr id="7" name="image12.png" descr="Chart"/>
            <wp:cNvGraphicFramePr/>
            <a:graphic xmlns:a="http://schemas.openxmlformats.org/drawingml/2006/main">
              <a:graphicData uri="http://schemas.openxmlformats.org/drawingml/2006/picture">
                <pic:pic xmlns:pic="http://schemas.openxmlformats.org/drawingml/2006/picture">
                  <pic:nvPicPr>
                    <pic:cNvPr id="0" name="image12.png" descr="Chart"/>
                    <pic:cNvPicPr preferRelativeResize="0"/>
                  </pic:nvPicPr>
                  <pic:blipFill>
                    <a:blip r:embed="rId47"/>
                    <a:srcRect/>
                    <a:stretch>
                      <a:fillRect/>
                    </a:stretch>
                  </pic:blipFill>
                  <pic:spPr>
                    <a:xfrm>
                      <a:off x="0" y="0"/>
                      <a:ext cx="5181600" cy="3195164"/>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2: Operating profit margin</w:t>
      </w:r>
    </w:p>
    <w:p w:rsidR="00A24542" w:rsidRDefault="00F5613C">
      <w:pPr>
        <w:jc w:val="center"/>
      </w:pPr>
      <w:r>
        <w:t>(Source: self-report, 2025)</w:t>
      </w:r>
    </w:p>
    <w:p w:rsidR="00A24542" w:rsidRDefault="00F5613C">
      <w:pPr>
        <w:rPr>
          <w:b/>
          <w:bCs/>
        </w:rPr>
      </w:pPr>
      <w:r>
        <w:rPr>
          <w:b/>
          <w:bCs/>
        </w:rPr>
        <w:t>Liquidity ratio</w:t>
      </w:r>
    </w:p>
    <w:p w:rsidR="00A24542" w:rsidRDefault="00F5613C">
      <w:pPr>
        <w:rPr>
          <w:b/>
          <w:bCs/>
        </w:rPr>
      </w:pPr>
      <w:r>
        <w:rPr>
          <w:b/>
          <w:bCs/>
        </w:rPr>
        <w:lastRenderedPageBreak/>
        <w:t>Current ratio</w:t>
      </w:r>
    </w:p>
    <w:p w:rsidR="00A24542" w:rsidRDefault="00F5613C">
      <w:pPr>
        <w:jc w:val="center"/>
      </w:pPr>
      <w:r>
        <w:rPr>
          <w:noProof/>
          <w:lang w:eastAsia="en-US" w:bidi="ar-SA"/>
        </w:rPr>
        <w:drawing>
          <wp:inline distT="114300" distB="114300" distL="114300" distR="114300">
            <wp:extent cx="4914990" cy="3031852"/>
            <wp:effectExtent l="12700" t="12700" r="12700" b="12700"/>
            <wp:docPr id="9"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48"/>
                    <a:srcRect/>
                    <a:stretch>
                      <a:fillRect/>
                    </a:stretch>
                  </pic:blipFill>
                  <pic:spPr>
                    <a:xfrm>
                      <a:off x="0" y="0"/>
                      <a:ext cx="4914990" cy="3031852"/>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3: Current ratio</w:t>
      </w:r>
    </w:p>
    <w:p w:rsidR="00A24542" w:rsidRDefault="00F5613C">
      <w:pPr>
        <w:jc w:val="center"/>
      </w:pPr>
      <w:r>
        <w:t>(Source: self-report, 2025)</w:t>
      </w:r>
    </w:p>
    <w:p w:rsidR="00A24542" w:rsidRDefault="00F5613C">
      <w:pPr>
        <w:rPr>
          <w:b/>
          <w:bCs/>
        </w:rPr>
      </w:pPr>
      <w:r>
        <w:rPr>
          <w:b/>
          <w:bCs/>
        </w:rPr>
        <w:t>Quick ratio</w:t>
      </w:r>
    </w:p>
    <w:p w:rsidR="00A24542" w:rsidRDefault="00F5613C">
      <w:pPr>
        <w:jc w:val="center"/>
      </w:pPr>
      <w:r>
        <w:rPr>
          <w:noProof/>
          <w:lang w:eastAsia="en-US" w:bidi="ar-SA"/>
        </w:rPr>
        <w:drawing>
          <wp:inline distT="114300" distB="114300" distL="114300" distR="114300">
            <wp:extent cx="4919663" cy="3037585"/>
            <wp:effectExtent l="12700" t="12700" r="12700" b="12700"/>
            <wp:docPr id="6"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49"/>
                    <a:srcRect/>
                    <a:stretch>
                      <a:fillRect/>
                    </a:stretch>
                  </pic:blipFill>
                  <pic:spPr>
                    <a:xfrm>
                      <a:off x="0" y="0"/>
                      <a:ext cx="4919663" cy="3037585"/>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4: Quick ratio</w:t>
      </w:r>
    </w:p>
    <w:p w:rsidR="00A24542" w:rsidRDefault="00F5613C">
      <w:pPr>
        <w:jc w:val="center"/>
      </w:pPr>
      <w:r>
        <w:t>(Source: self-report, 2025)</w:t>
      </w:r>
    </w:p>
    <w:p w:rsidR="00A24542" w:rsidRDefault="00F5613C">
      <w:pPr>
        <w:rPr>
          <w:b/>
          <w:bCs/>
        </w:rPr>
      </w:pPr>
      <w:r>
        <w:rPr>
          <w:b/>
          <w:bCs/>
        </w:rPr>
        <w:t>Efficiency ratio</w:t>
      </w:r>
    </w:p>
    <w:p w:rsidR="00A24542" w:rsidRDefault="00F5613C">
      <w:pPr>
        <w:rPr>
          <w:b/>
          <w:bCs/>
        </w:rPr>
      </w:pPr>
      <w:r>
        <w:rPr>
          <w:b/>
          <w:bCs/>
        </w:rPr>
        <w:lastRenderedPageBreak/>
        <w:t>Inventory turnover ratio</w:t>
      </w:r>
    </w:p>
    <w:p w:rsidR="00A24542" w:rsidRDefault="00F5613C">
      <w:pPr>
        <w:jc w:val="center"/>
      </w:pPr>
      <w:r>
        <w:rPr>
          <w:noProof/>
          <w:lang w:eastAsia="en-US" w:bidi="ar-SA"/>
        </w:rPr>
        <w:drawing>
          <wp:inline distT="114300" distB="114300" distL="114300" distR="114300">
            <wp:extent cx="4873680" cy="3006998"/>
            <wp:effectExtent l="12700" t="12700" r="12700" b="12700"/>
            <wp:docPr id="1"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50"/>
                    <a:srcRect/>
                    <a:stretch>
                      <a:fillRect/>
                    </a:stretch>
                  </pic:blipFill>
                  <pic:spPr>
                    <a:xfrm>
                      <a:off x="0" y="0"/>
                      <a:ext cx="4873680" cy="3006998"/>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5: Inventory turnover ratio</w:t>
      </w:r>
    </w:p>
    <w:p w:rsidR="00A24542" w:rsidRDefault="00F5613C">
      <w:pPr>
        <w:jc w:val="center"/>
      </w:pPr>
      <w:r>
        <w:t>(Source: self-report, 2025)</w:t>
      </w:r>
    </w:p>
    <w:p w:rsidR="00A24542" w:rsidRDefault="00F5613C">
      <w:pPr>
        <w:rPr>
          <w:b/>
          <w:bCs/>
        </w:rPr>
      </w:pPr>
      <w:r>
        <w:rPr>
          <w:b/>
          <w:bCs/>
        </w:rPr>
        <w:t>Receivable turnover ratio</w:t>
      </w:r>
    </w:p>
    <w:p w:rsidR="00A24542" w:rsidRDefault="00F5613C">
      <w:pPr>
        <w:jc w:val="center"/>
      </w:pPr>
      <w:r>
        <w:rPr>
          <w:noProof/>
          <w:lang w:eastAsia="en-US" w:bidi="ar-SA"/>
        </w:rPr>
        <w:drawing>
          <wp:inline distT="114300" distB="114300" distL="114300" distR="114300">
            <wp:extent cx="4947854" cy="3052763"/>
            <wp:effectExtent l="12700" t="12700" r="12700" b="12700"/>
            <wp:docPr id="2" name="image13.png" descr="Chart"/>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51"/>
                    <a:srcRect/>
                    <a:stretch>
                      <a:fillRect/>
                    </a:stretch>
                  </pic:blipFill>
                  <pic:spPr>
                    <a:xfrm>
                      <a:off x="0" y="0"/>
                      <a:ext cx="4947854" cy="3052763"/>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6: Receivable turnover ratio</w:t>
      </w:r>
    </w:p>
    <w:p w:rsidR="00A24542" w:rsidRDefault="00F5613C">
      <w:pPr>
        <w:jc w:val="center"/>
      </w:pPr>
      <w:r>
        <w:t>(Source: self-report, 2025)</w:t>
      </w:r>
    </w:p>
    <w:p w:rsidR="00A24542" w:rsidRDefault="00F5613C">
      <w:pPr>
        <w:rPr>
          <w:b/>
          <w:bCs/>
        </w:rPr>
      </w:pPr>
      <w:r>
        <w:rPr>
          <w:b/>
          <w:bCs/>
        </w:rPr>
        <w:t>Gearing ratio</w:t>
      </w:r>
    </w:p>
    <w:p w:rsidR="00A24542" w:rsidRDefault="00F5613C">
      <w:pPr>
        <w:rPr>
          <w:b/>
          <w:bCs/>
        </w:rPr>
      </w:pPr>
      <w:r>
        <w:rPr>
          <w:b/>
          <w:bCs/>
        </w:rPr>
        <w:lastRenderedPageBreak/>
        <w:t>Debt to equity ratio</w:t>
      </w:r>
    </w:p>
    <w:p w:rsidR="00A24542" w:rsidRDefault="00F5613C">
      <w:pPr>
        <w:jc w:val="center"/>
      </w:pPr>
      <w:r>
        <w:rPr>
          <w:noProof/>
          <w:lang w:eastAsia="en-US" w:bidi="ar-SA"/>
        </w:rPr>
        <w:drawing>
          <wp:inline distT="114300" distB="114300" distL="114300" distR="114300">
            <wp:extent cx="4738688" cy="2923709"/>
            <wp:effectExtent l="12700" t="12700" r="12700" b="12700"/>
            <wp:docPr id="4"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52"/>
                    <a:srcRect/>
                    <a:stretch>
                      <a:fillRect/>
                    </a:stretch>
                  </pic:blipFill>
                  <pic:spPr>
                    <a:xfrm>
                      <a:off x="0" y="0"/>
                      <a:ext cx="4738688" cy="2923709"/>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7: Debt-to-equity ratio</w:t>
      </w:r>
    </w:p>
    <w:p w:rsidR="00A24542" w:rsidRDefault="00F5613C">
      <w:pPr>
        <w:jc w:val="center"/>
      </w:pPr>
      <w:r>
        <w:t>(Source: self-report, 2025)</w:t>
      </w:r>
    </w:p>
    <w:p w:rsidR="00A24542" w:rsidRDefault="00F5613C">
      <w:pPr>
        <w:rPr>
          <w:b/>
          <w:bCs/>
        </w:rPr>
      </w:pPr>
      <w:r>
        <w:rPr>
          <w:b/>
          <w:bCs/>
        </w:rPr>
        <w:t>Interest coverage ratio</w:t>
      </w:r>
    </w:p>
    <w:p w:rsidR="00A24542" w:rsidRDefault="00F5613C">
      <w:pPr>
        <w:jc w:val="center"/>
      </w:pPr>
      <w:r>
        <w:rPr>
          <w:noProof/>
          <w:lang w:eastAsia="en-US" w:bidi="ar-SA"/>
        </w:rPr>
        <w:drawing>
          <wp:inline distT="114300" distB="114300" distL="114300" distR="114300">
            <wp:extent cx="4989098" cy="3077989"/>
            <wp:effectExtent l="12700" t="12700" r="12700" b="12700"/>
            <wp:docPr id="10" name="image11.png" descr="Chart"/>
            <wp:cNvGraphicFramePr/>
            <a:graphic xmlns:a="http://schemas.openxmlformats.org/drawingml/2006/main">
              <a:graphicData uri="http://schemas.openxmlformats.org/drawingml/2006/picture">
                <pic:pic xmlns:pic="http://schemas.openxmlformats.org/drawingml/2006/picture">
                  <pic:nvPicPr>
                    <pic:cNvPr id="0" name="image11.png" descr="Chart"/>
                    <pic:cNvPicPr preferRelativeResize="0"/>
                  </pic:nvPicPr>
                  <pic:blipFill>
                    <a:blip r:embed="rId53"/>
                    <a:srcRect/>
                    <a:stretch>
                      <a:fillRect/>
                    </a:stretch>
                  </pic:blipFill>
                  <pic:spPr>
                    <a:xfrm>
                      <a:off x="0" y="0"/>
                      <a:ext cx="4989098" cy="3077989"/>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8: Interest coverage ratio</w:t>
      </w:r>
    </w:p>
    <w:p w:rsidR="00A24542" w:rsidRDefault="00F5613C">
      <w:pPr>
        <w:jc w:val="center"/>
      </w:pPr>
      <w:r>
        <w:t>(Source: self-report, 2025)</w:t>
      </w:r>
    </w:p>
    <w:p w:rsidR="00A24542" w:rsidRDefault="00F5613C">
      <w:pPr>
        <w:rPr>
          <w:b/>
          <w:bCs/>
        </w:rPr>
      </w:pPr>
      <w:r>
        <w:rPr>
          <w:b/>
          <w:bCs/>
        </w:rPr>
        <w:t>Investment ratio</w:t>
      </w:r>
    </w:p>
    <w:p w:rsidR="00A24542" w:rsidRDefault="00F5613C">
      <w:pPr>
        <w:rPr>
          <w:b/>
          <w:bCs/>
        </w:rPr>
      </w:pPr>
      <w:r>
        <w:rPr>
          <w:b/>
          <w:bCs/>
        </w:rPr>
        <w:lastRenderedPageBreak/>
        <w:t>Return on Equity</w:t>
      </w:r>
    </w:p>
    <w:p w:rsidR="00A24542" w:rsidRDefault="00F5613C">
      <w:pPr>
        <w:jc w:val="center"/>
      </w:pPr>
      <w:r>
        <w:rPr>
          <w:noProof/>
          <w:lang w:eastAsia="en-US" w:bidi="ar-SA"/>
        </w:rPr>
        <w:drawing>
          <wp:inline distT="114300" distB="114300" distL="114300" distR="114300">
            <wp:extent cx="4729163" cy="2912361"/>
            <wp:effectExtent l="12700" t="12700" r="12700" b="12700"/>
            <wp:docPr id="5"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54"/>
                    <a:srcRect/>
                    <a:stretch>
                      <a:fillRect/>
                    </a:stretch>
                  </pic:blipFill>
                  <pic:spPr>
                    <a:xfrm>
                      <a:off x="0" y="0"/>
                      <a:ext cx="4729163" cy="2912361"/>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9: Return on Equity</w:t>
      </w:r>
    </w:p>
    <w:p w:rsidR="00A24542" w:rsidRDefault="00F5613C">
      <w:pPr>
        <w:jc w:val="center"/>
      </w:pPr>
      <w:r>
        <w:t>(Source: self-report, 2025)</w:t>
      </w:r>
    </w:p>
    <w:p w:rsidR="00A24542" w:rsidRDefault="00F5613C">
      <w:pPr>
        <w:rPr>
          <w:b/>
          <w:bCs/>
        </w:rPr>
      </w:pPr>
      <w:r>
        <w:rPr>
          <w:b/>
          <w:bCs/>
        </w:rPr>
        <w:t>Earnings per share</w:t>
      </w:r>
    </w:p>
    <w:p w:rsidR="00A24542" w:rsidRDefault="00F5613C">
      <w:pPr>
        <w:jc w:val="center"/>
      </w:pPr>
      <w:r>
        <w:rPr>
          <w:noProof/>
          <w:lang w:eastAsia="en-US" w:bidi="ar-SA"/>
        </w:rPr>
        <w:drawing>
          <wp:inline distT="114300" distB="114300" distL="114300" distR="114300">
            <wp:extent cx="4719638" cy="2912117"/>
            <wp:effectExtent l="25400" t="25400" r="25400" b="25400"/>
            <wp:docPr id="12"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55"/>
                    <a:srcRect/>
                    <a:stretch>
                      <a:fillRect/>
                    </a:stretch>
                  </pic:blipFill>
                  <pic:spPr>
                    <a:xfrm>
                      <a:off x="0" y="0"/>
                      <a:ext cx="4719638" cy="2912117"/>
                    </a:xfrm>
                    <a:prstGeom prst="rect">
                      <a:avLst/>
                    </a:prstGeom>
                    <a:ln w="25400">
                      <a:solidFill>
                        <a:srgbClr val="000000"/>
                      </a:solidFill>
                      <a:prstDash val="solid"/>
                    </a:ln>
                  </pic:spPr>
                </pic:pic>
              </a:graphicData>
            </a:graphic>
          </wp:inline>
        </w:drawing>
      </w:r>
    </w:p>
    <w:p w:rsidR="00A24542" w:rsidRDefault="00F5613C">
      <w:pPr>
        <w:jc w:val="center"/>
        <w:rPr>
          <w:b/>
          <w:bCs/>
        </w:rPr>
      </w:pPr>
      <w:r>
        <w:rPr>
          <w:b/>
          <w:bCs/>
        </w:rPr>
        <w:t>Figure 10: Earnings per share</w:t>
      </w:r>
    </w:p>
    <w:p w:rsidR="00A24542" w:rsidRDefault="00F5613C">
      <w:pPr>
        <w:jc w:val="center"/>
      </w:pPr>
      <w:r>
        <w:t>(Source: self-report, 2025)</w:t>
      </w:r>
    </w:p>
    <w:p w:rsidR="00A24542" w:rsidRDefault="00F5613C">
      <w:pPr>
        <w:rPr>
          <w:b/>
          <w:bCs/>
        </w:rPr>
      </w:pPr>
      <w:r>
        <w:rPr>
          <w:b/>
          <w:bCs/>
        </w:rPr>
        <w:t>Cash flow ratio</w:t>
      </w:r>
    </w:p>
    <w:p w:rsidR="00A24542" w:rsidRDefault="00F5613C">
      <w:pPr>
        <w:rPr>
          <w:b/>
          <w:bCs/>
        </w:rPr>
      </w:pPr>
      <w:r>
        <w:rPr>
          <w:b/>
          <w:bCs/>
        </w:rPr>
        <w:t>Operating Cash Flow Margin</w:t>
      </w:r>
    </w:p>
    <w:p w:rsidR="00A24542" w:rsidRDefault="00F5613C">
      <w:pPr>
        <w:jc w:val="center"/>
      </w:pPr>
      <w:r>
        <w:rPr>
          <w:noProof/>
          <w:lang w:eastAsia="en-US" w:bidi="ar-SA"/>
        </w:rPr>
        <w:lastRenderedPageBreak/>
        <w:drawing>
          <wp:inline distT="114300" distB="114300" distL="114300" distR="114300">
            <wp:extent cx="4910138" cy="3036039"/>
            <wp:effectExtent l="12700" t="12700" r="12700" b="12700"/>
            <wp:docPr id="3" name="image9.png" descr="Chart"/>
            <wp:cNvGraphicFramePr/>
            <a:graphic xmlns:a="http://schemas.openxmlformats.org/drawingml/2006/main">
              <a:graphicData uri="http://schemas.openxmlformats.org/drawingml/2006/picture">
                <pic:pic xmlns:pic="http://schemas.openxmlformats.org/drawingml/2006/picture">
                  <pic:nvPicPr>
                    <pic:cNvPr id="0" name="image9.png" descr="Chart"/>
                    <pic:cNvPicPr preferRelativeResize="0"/>
                  </pic:nvPicPr>
                  <pic:blipFill>
                    <a:blip r:embed="rId56"/>
                    <a:srcRect/>
                    <a:stretch>
                      <a:fillRect/>
                    </a:stretch>
                  </pic:blipFill>
                  <pic:spPr>
                    <a:xfrm>
                      <a:off x="0" y="0"/>
                      <a:ext cx="4910138" cy="3036039"/>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11: Operating Cash Flow Margin</w:t>
      </w:r>
    </w:p>
    <w:p w:rsidR="00A24542" w:rsidRDefault="00F5613C">
      <w:pPr>
        <w:jc w:val="center"/>
      </w:pPr>
      <w:r>
        <w:t>(Source: self-report, 2025)</w:t>
      </w:r>
    </w:p>
    <w:p w:rsidR="00A24542" w:rsidRDefault="00F5613C">
      <w:pPr>
        <w:rPr>
          <w:b/>
          <w:bCs/>
        </w:rPr>
      </w:pPr>
      <w:r>
        <w:rPr>
          <w:b/>
          <w:bCs/>
        </w:rPr>
        <w:t xml:space="preserve">Free Cash Flow Margin </w:t>
      </w:r>
    </w:p>
    <w:p w:rsidR="00A24542" w:rsidRDefault="00F5613C">
      <w:pPr>
        <w:jc w:val="center"/>
      </w:pPr>
      <w:r>
        <w:rPr>
          <w:noProof/>
          <w:lang w:eastAsia="en-US" w:bidi="ar-SA"/>
        </w:rPr>
        <w:drawing>
          <wp:inline distT="114300" distB="114300" distL="114300" distR="114300">
            <wp:extent cx="4919663" cy="3026764"/>
            <wp:effectExtent l="12700" t="12700" r="12700" b="12700"/>
            <wp:docPr id="13"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57"/>
                    <a:srcRect/>
                    <a:stretch>
                      <a:fillRect/>
                    </a:stretch>
                  </pic:blipFill>
                  <pic:spPr>
                    <a:xfrm>
                      <a:off x="0" y="0"/>
                      <a:ext cx="4919663" cy="3026764"/>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12: Free Cash Flow Margin</w:t>
      </w:r>
    </w:p>
    <w:p w:rsidR="00A24542" w:rsidRDefault="00F5613C">
      <w:pPr>
        <w:jc w:val="center"/>
      </w:pPr>
      <w:r>
        <w:t>(Source: self-report, 2025)</w:t>
      </w:r>
    </w:p>
    <w:p w:rsidR="00A24542" w:rsidRDefault="00F5613C">
      <w:pPr>
        <w:jc w:val="left"/>
        <w:rPr>
          <w:b/>
          <w:bCs/>
        </w:rPr>
      </w:pPr>
      <w:r>
        <w:rPr>
          <w:b/>
          <w:bCs/>
        </w:rPr>
        <w:t>Trend analysis</w:t>
      </w:r>
    </w:p>
    <w:p w:rsidR="00A24542" w:rsidRDefault="00F5613C">
      <w:r>
        <w:rPr>
          <w:noProof/>
          <w:lang w:eastAsia="en-US" w:bidi="ar-SA"/>
        </w:rPr>
        <w:lastRenderedPageBreak/>
        <w:drawing>
          <wp:inline distT="114300" distB="114300" distL="114300" distR="114300">
            <wp:extent cx="5943600" cy="3670300"/>
            <wp:effectExtent l="12700" t="12700" r="12700" b="12700"/>
            <wp:docPr id="11"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58"/>
                    <a:srcRect/>
                    <a:stretch>
                      <a:fillRect/>
                    </a:stretch>
                  </pic:blipFill>
                  <pic:spPr>
                    <a:xfrm>
                      <a:off x="0" y="0"/>
                      <a:ext cx="5943600" cy="3670300"/>
                    </a:xfrm>
                    <a:prstGeom prst="rect">
                      <a:avLst/>
                    </a:prstGeom>
                    <a:ln w="12700">
                      <a:solidFill>
                        <a:srgbClr val="000000"/>
                      </a:solidFill>
                      <a:prstDash val="solid"/>
                    </a:ln>
                  </pic:spPr>
                </pic:pic>
              </a:graphicData>
            </a:graphic>
          </wp:inline>
        </w:drawing>
      </w:r>
    </w:p>
    <w:p w:rsidR="00A24542" w:rsidRDefault="00F5613C">
      <w:pPr>
        <w:jc w:val="center"/>
        <w:rPr>
          <w:b/>
          <w:bCs/>
        </w:rPr>
      </w:pPr>
      <w:r>
        <w:rPr>
          <w:b/>
          <w:bCs/>
        </w:rPr>
        <w:t>Figure 13: Trend analysis</w:t>
      </w:r>
    </w:p>
    <w:p w:rsidR="00A24542" w:rsidRDefault="00F5613C">
      <w:pPr>
        <w:jc w:val="center"/>
      </w:pPr>
      <w:r>
        <w:t>(Source: self-report, 2025)</w:t>
      </w:r>
    </w:p>
    <w:p w:rsidR="00A24542" w:rsidRDefault="00F5613C">
      <w:pPr>
        <w:jc w:val="left"/>
        <w:rPr>
          <w:b/>
          <w:bCs/>
        </w:rPr>
      </w:pPr>
      <w:r>
        <w:rPr>
          <w:b/>
          <w:bCs/>
        </w:rPr>
        <w:t>Investment analysis</w:t>
      </w:r>
    </w:p>
    <w:p w:rsidR="00A24542" w:rsidRDefault="00F5613C">
      <w:pPr>
        <w:jc w:val="left"/>
        <w:rPr>
          <w:b/>
          <w:bCs/>
        </w:rPr>
      </w:pPr>
      <w:r>
        <w:rPr>
          <w:b/>
          <w:bCs/>
        </w:rPr>
        <w:t>Net Present Value</w:t>
      </w:r>
    </w:p>
    <w:p w:rsidR="00A24542" w:rsidRDefault="00F5613C">
      <w:pPr>
        <w:jc w:val="left"/>
      </w:pPr>
      <w:r>
        <w:rPr>
          <w:b/>
          <w:bCs/>
        </w:rPr>
        <w:t>Project A</w:t>
      </w:r>
    </w:p>
    <w:tbl>
      <w:tblPr>
        <w:tblStyle w:val="ac"/>
        <w:tblW w:w="9330" w:type="dxa"/>
        <w:tblInd w:w="0" w:type="dxa"/>
        <w:tblBorders>
          <w:top w:val="nil"/>
          <w:left w:val="nil"/>
          <w:bottom w:val="nil"/>
          <w:right w:val="nil"/>
          <w:insideH w:val="nil"/>
          <w:insideV w:val="nil"/>
        </w:tblBorders>
        <w:tblLayout w:type="fixed"/>
        <w:tblLook w:val="0600"/>
      </w:tblPr>
      <w:tblGrid>
        <w:gridCol w:w="3120"/>
        <w:gridCol w:w="1485"/>
        <w:gridCol w:w="2640"/>
        <w:gridCol w:w="2085"/>
      </w:tblGrid>
      <w:tr w:rsidR="00A24542">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A</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Present Value</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£9,090,000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£12,000,000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£9,912,000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£14,000,000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£10,514,000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£6,830,000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£8,000,000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£4,960,000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£40,000,000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£41,306,000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lastRenderedPageBreak/>
              <w:t>Net Present Value</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£1,306,000</w:t>
            </w:r>
          </w:p>
        </w:tc>
      </w:tr>
    </w:tbl>
    <w:p w:rsidR="00A24542" w:rsidRDefault="00F5613C">
      <w:pPr>
        <w:jc w:val="center"/>
        <w:rPr>
          <w:b/>
          <w:bCs/>
        </w:rPr>
      </w:pPr>
      <w:r>
        <w:rPr>
          <w:b/>
          <w:bCs/>
        </w:rPr>
        <w:t>Table 13: NPV for Project A</w:t>
      </w:r>
    </w:p>
    <w:p w:rsidR="00A24542" w:rsidRDefault="00F5613C">
      <w:pPr>
        <w:jc w:val="center"/>
      </w:pPr>
      <w:r>
        <w:t>(Source: self-report, 2025)</w:t>
      </w:r>
    </w:p>
    <w:p w:rsidR="00A24542" w:rsidRDefault="00F5613C">
      <w:pPr>
        <w:jc w:val="left"/>
      </w:pPr>
      <w:r>
        <w:rPr>
          <w:b/>
          <w:bCs/>
        </w:rPr>
        <w:t>Project B</w:t>
      </w:r>
    </w:p>
    <w:tbl>
      <w:tblPr>
        <w:tblStyle w:val="ad"/>
        <w:tblW w:w="9330" w:type="dxa"/>
        <w:tblInd w:w="0" w:type="dxa"/>
        <w:tblBorders>
          <w:top w:val="nil"/>
          <w:left w:val="nil"/>
          <w:bottom w:val="nil"/>
          <w:right w:val="nil"/>
          <w:insideH w:val="nil"/>
          <w:insideV w:val="nil"/>
        </w:tblBorders>
        <w:tblLayout w:type="fixed"/>
        <w:tblLook w:val="0600"/>
      </w:tblPr>
      <w:tblGrid>
        <w:gridCol w:w="3120"/>
        <w:gridCol w:w="1485"/>
        <w:gridCol w:w="2640"/>
        <w:gridCol w:w="2085"/>
      </w:tblGrid>
      <w:tr w:rsidR="00A24542">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B</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Present Value</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£5,454,000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£4,956,000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£4,506,000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£4,098,000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£3,720,000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£30,000,000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£22,734,000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-£7,266,000</w:t>
            </w:r>
          </w:p>
        </w:tc>
      </w:tr>
    </w:tbl>
    <w:p w:rsidR="00A24542" w:rsidRDefault="00F5613C">
      <w:pPr>
        <w:jc w:val="center"/>
        <w:rPr>
          <w:b/>
          <w:bCs/>
        </w:rPr>
      </w:pPr>
      <w:r>
        <w:rPr>
          <w:b/>
          <w:bCs/>
        </w:rPr>
        <w:t>Table 14: NPV for Project B</w:t>
      </w:r>
    </w:p>
    <w:p w:rsidR="00A24542" w:rsidRDefault="00F5613C">
      <w:pPr>
        <w:jc w:val="center"/>
      </w:pPr>
      <w:r>
        <w:t>(Source: self-report, 2025)</w:t>
      </w:r>
    </w:p>
    <w:p w:rsidR="00A24542" w:rsidRDefault="00F5613C">
      <w:pPr>
        <w:jc w:val="left"/>
      </w:pPr>
      <w:r>
        <w:rPr>
          <w:b/>
          <w:bCs/>
        </w:rPr>
        <w:t>Project C</w:t>
      </w:r>
    </w:p>
    <w:tbl>
      <w:tblPr>
        <w:tblStyle w:val="ae"/>
        <w:tblW w:w="9330" w:type="dxa"/>
        <w:tblInd w:w="0" w:type="dxa"/>
        <w:tblBorders>
          <w:top w:val="nil"/>
          <w:left w:val="nil"/>
          <w:bottom w:val="nil"/>
          <w:right w:val="nil"/>
          <w:insideH w:val="nil"/>
          <w:insideV w:val="nil"/>
        </w:tblBorders>
        <w:tblLayout w:type="fixed"/>
        <w:tblLook w:val="0600"/>
      </w:tblPr>
      <w:tblGrid>
        <w:gridCol w:w="3120"/>
        <w:gridCol w:w="1485"/>
        <w:gridCol w:w="2640"/>
        <w:gridCol w:w="2085"/>
      </w:tblGrid>
      <w:tr w:rsidR="00A24542">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C</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Present Value</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£4,545,000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£8,260,000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£15,020,000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£17,075,000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£9,300,000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£50,000,000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£54,200,000</w:t>
            </w:r>
          </w:p>
        </w:tc>
      </w:tr>
      <w:tr w:rsidR="00A24542">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lastRenderedPageBreak/>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£4,200,000</w:t>
            </w:r>
          </w:p>
        </w:tc>
      </w:tr>
    </w:tbl>
    <w:p w:rsidR="00A24542" w:rsidRDefault="00F5613C">
      <w:pPr>
        <w:jc w:val="center"/>
        <w:rPr>
          <w:b/>
          <w:bCs/>
        </w:rPr>
      </w:pPr>
      <w:r>
        <w:rPr>
          <w:b/>
          <w:bCs/>
        </w:rPr>
        <w:t>Table 15: NPV for Project C</w:t>
      </w:r>
    </w:p>
    <w:p w:rsidR="00A24542" w:rsidRDefault="00F5613C">
      <w:pPr>
        <w:jc w:val="center"/>
      </w:pPr>
      <w:r>
        <w:t>(Source: self-report, 2025)</w:t>
      </w:r>
    </w:p>
    <w:p w:rsidR="00A24542" w:rsidRDefault="00F5613C">
      <w:pPr>
        <w:jc w:val="left"/>
        <w:rPr>
          <w:b/>
          <w:bCs/>
        </w:rPr>
      </w:pPr>
      <w:r>
        <w:rPr>
          <w:b/>
          <w:bCs/>
        </w:rPr>
        <w:t>Internal Rate of Return</w:t>
      </w:r>
    </w:p>
    <w:p w:rsidR="00A24542" w:rsidRDefault="00F5613C">
      <w:pPr>
        <w:jc w:val="left"/>
      </w:pPr>
      <w:r>
        <w:rPr>
          <w:b/>
          <w:bCs/>
        </w:rPr>
        <w:t>Project A</w:t>
      </w:r>
    </w:p>
    <w:tbl>
      <w:tblPr>
        <w:tblStyle w:val="af"/>
        <w:tblW w:w="4560" w:type="dxa"/>
        <w:jc w:val="center"/>
        <w:tblInd w:w="0" w:type="dxa"/>
        <w:tblBorders>
          <w:top w:val="nil"/>
          <w:left w:val="nil"/>
          <w:bottom w:val="nil"/>
          <w:right w:val="nil"/>
          <w:insideH w:val="nil"/>
          <w:insideV w:val="nil"/>
        </w:tblBorders>
        <w:tblLayout w:type="fixed"/>
        <w:tblLook w:val="0600"/>
      </w:tblPr>
      <w:tblGrid>
        <w:gridCol w:w="2475"/>
        <w:gridCol w:w="2085"/>
      </w:tblGrid>
      <w:tr w:rsidR="00A24542">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A</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£12,000,000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£14,000,000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6%</w:t>
            </w:r>
          </w:p>
        </w:tc>
      </w:tr>
    </w:tbl>
    <w:p w:rsidR="00A24542" w:rsidRDefault="00F5613C">
      <w:pPr>
        <w:jc w:val="center"/>
        <w:rPr>
          <w:b/>
          <w:bCs/>
        </w:rPr>
      </w:pPr>
      <w:r>
        <w:rPr>
          <w:b/>
          <w:bCs/>
        </w:rPr>
        <w:t>Table 16: IRR for Project A</w:t>
      </w:r>
    </w:p>
    <w:p w:rsidR="00A24542" w:rsidRDefault="00F5613C">
      <w:pPr>
        <w:jc w:val="center"/>
      </w:pPr>
      <w:r>
        <w:t>(Source: self-report, 2025)</w:t>
      </w:r>
    </w:p>
    <w:p w:rsidR="00A24542" w:rsidRDefault="00F5613C">
      <w:pPr>
        <w:jc w:val="left"/>
      </w:pPr>
      <w:r>
        <w:rPr>
          <w:b/>
          <w:bCs/>
        </w:rPr>
        <w:t>Project B</w:t>
      </w:r>
    </w:p>
    <w:tbl>
      <w:tblPr>
        <w:tblStyle w:val="af0"/>
        <w:tblW w:w="4560" w:type="dxa"/>
        <w:jc w:val="center"/>
        <w:tblInd w:w="0" w:type="dxa"/>
        <w:tblBorders>
          <w:top w:val="nil"/>
          <w:left w:val="nil"/>
          <w:bottom w:val="nil"/>
          <w:right w:val="nil"/>
          <w:insideH w:val="nil"/>
          <w:insideV w:val="nil"/>
        </w:tblBorders>
        <w:tblLayout w:type="fixed"/>
        <w:tblLook w:val="0600"/>
      </w:tblPr>
      <w:tblGrid>
        <w:gridCol w:w="2475"/>
        <w:gridCol w:w="2085"/>
      </w:tblGrid>
      <w:tr w:rsidR="00A24542">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B</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-£30,000,000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-8%</w:t>
            </w:r>
          </w:p>
        </w:tc>
      </w:tr>
    </w:tbl>
    <w:p w:rsidR="00A24542" w:rsidRDefault="00F5613C">
      <w:pPr>
        <w:jc w:val="center"/>
        <w:rPr>
          <w:b/>
          <w:bCs/>
        </w:rPr>
      </w:pPr>
      <w:r>
        <w:rPr>
          <w:b/>
          <w:bCs/>
        </w:rPr>
        <w:t>Table 17: IRR for Project B</w:t>
      </w:r>
    </w:p>
    <w:p w:rsidR="00A24542" w:rsidRDefault="00F5613C">
      <w:pPr>
        <w:jc w:val="center"/>
      </w:pPr>
      <w:r>
        <w:lastRenderedPageBreak/>
        <w:t>(Source: self-report, 2025)</w:t>
      </w:r>
    </w:p>
    <w:p w:rsidR="00A24542" w:rsidRDefault="00F5613C">
      <w:pPr>
        <w:jc w:val="left"/>
      </w:pPr>
      <w:r>
        <w:rPr>
          <w:b/>
          <w:bCs/>
        </w:rPr>
        <w:t>Project C</w:t>
      </w:r>
    </w:p>
    <w:tbl>
      <w:tblPr>
        <w:tblStyle w:val="af1"/>
        <w:tblW w:w="4560" w:type="dxa"/>
        <w:jc w:val="center"/>
        <w:tblInd w:w="0" w:type="dxa"/>
        <w:tblBorders>
          <w:top w:val="nil"/>
          <w:left w:val="nil"/>
          <w:bottom w:val="nil"/>
          <w:right w:val="nil"/>
          <w:insideH w:val="nil"/>
          <w:insideV w:val="nil"/>
        </w:tblBorders>
        <w:tblLayout w:type="fixed"/>
        <w:tblLook w:val="0600"/>
      </w:tblPr>
      <w:tblGrid>
        <w:gridCol w:w="2475"/>
        <w:gridCol w:w="2085"/>
      </w:tblGrid>
      <w:tr w:rsidR="00A24542">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C</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-£50,000,000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£20,000,000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£25,000,000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£15,000,000</w:t>
            </w:r>
          </w:p>
        </w:tc>
      </w:tr>
      <w:tr w:rsidR="00A24542">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6%</w:t>
            </w:r>
          </w:p>
        </w:tc>
      </w:tr>
    </w:tbl>
    <w:p w:rsidR="00A24542" w:rsidRDefault="00F5613C">
      <w:pPr>
        <w:jc w:val="center"/>
        <w:rPr>
          <w:b/>
          <w:bCs/>
        </w:rPr>
      </w:pPr>
      <w:r>
        <w:rPr>
          <w:b/>
          <w:bCs/>
        </w:rPr>
        <w:t>Table 18: IRR for Project C</w:t>
      </w:r>
    </w:p>
    <w:p w:rsidR="00A24542" w:rsidRDefault="00F5613C">
      <w:pPr>
        <w:jc w:val="center"/>
      </w:pPr>
      <w:r>
        <w:t>(Source: self-report, 2025)</w:t>
      </w:r>
    </w:p>
    <w:p w:rsidR="00A24542" w:rsidRDefault="00F5613C">
      <w:pPr>
        <w:jc w:val="left"/>
        <w:rPr>
          <w:b/>
          <w:bCs/>
        </w:rPr>
      </w:pPr>
      <w:r>
        <w:rPr>
          <w:b/>
          <w:bCs/>
        </w:rPr>
        <w:t>Profitability Index</w:t>
      </w:r>
    </w:p>
    <w:p w:rsidR="00A24542" w:rsidRDefault="00F5613C">
      <w:pPr>
        <w:jc w:val="left"/>
      </w:pPr>
      <w:r>
        <w:rPr>
          <w:b/>
          <w:bCs/>
        </w:rPr>
        <w:t>Project A</w:t>
      </w:r>
    </w:p>
    <w:tbl>
      <w:tblPr>
        <w:tblStyle w:val="af2"/>
        <w:tblW w:w="7560" w:type="dxa"/>
        <w:jc w:val="center"/>
        <w:tblInd w:w="0" w:type="dxa"/>
        <w:tblBorders>
          <w:top w:val="nil"/>
          <w:left w:val="nil"/>
          <w:bottom w:val="nil"/>
          <w:right w:val="nil"/>
          <w:insideH w:val="nil"/>
          <w:insideV w:val="nil"/>
        </w:tblBorders>
        <w:tblLayout w:type="fixed"/>
        <w:tblLook w:val="0600"/>
      </w:tblPr>
      <w:tblGrid>
        <w:gridCol w:w="2085"/>
        <w:gridCol w:w="1500"/>
        <w:gridCol w:w="2475"/>
        <w:gridCol w:w="1500"/>
      </w:tblGrid>
      <w:tr w:rsidR="00A24542">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A</w:t>
            </w:r>
          </w:p>
        </w:tc>
      </w:tr>
      <w:tr w:rsidR="00A24542">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Present Value</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£9,090,000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£12,000,000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£9,912,000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£14,000,000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£10,514,000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£6,830,000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right"/>
            </w:pPr>
            <w:r>
              <w:t>£8,000,000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£4,960,000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£40,000,000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£41,306,000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w:t>
            </w:r>
          </w:p>
        </w:tc>
      </w:tr>
    </w:tbl>
    <w:p w:rsidR="00A24542" w:rsidRDefault="00F5613C">
      <w:pPr>
        <w:jc w:val="center"/>
        <w:rPr>
          <w:b/>
          <w:bCs/>
        </w:rPr>
      </w:pPr>
      <w:r>
        <w:rPr>
          <w:b/>
          <w:bCs/>
        </w:rPr>
        <w:t>Table 19: Profitability Index for Project A</w:t>
      </w:r>
    </w:p>
    <w:p w:rsidR="00A24542" w:rsidRDefault="00F5613C">
      <w:pPr>
        <w:jc w:val="center"/>
      </w:pPr>
      <w:r>
        <w:lastRenderedPageBreak/>
        <w:t>(Source: self-report, 2025)</w:t>
      </w:r>
    </w:p>
    <w:p w:rsidR="00A24542" w:rsidRDefault="00F5613C">
      <w:pPr>
        <w:jc w:val="left"/>
      </w:pPr>
      <w:r>
        <w:rPr>
          <w:b/>
          <w:bCs/>
        </w:rPr>
        <w:t>Project B</w:t>
      </w:r>
    </w:p>
    <w:tbl>
      <w:tblPr>
        <w:tblStyle w:val="af3"/>
        <w:tblW w:w="7560" w:type="dxa"/>
        <w:jc w:val="center"/>
        <w:tblInd w:w="0" w:type="dxa"/>
        <w:tblBorders>
          <w:top w:val="nil"/>
          <w:left w:val="nil"/>
          <w:bottom w:val="nil"/>
          <w:right w:val="nil"/>
          <w:insideH w:val="nil"/>
          <w:insideV w:val="nil"/>
        </w:tblBorders>
        <w:tblLayout w:type="fixed"/>
        <w:tblLook w:val="0600"/>
      </w:tblPr>
      <w:tblGrid>
        <w:gridCol w:w="2085"/>
        <w:gridCol w:w="1500"/>
        <w:gridCol w:w="2475"/>
        <w:gridCol w:w="1500"/>
      </w:tblGrid>
      <w:tr w:rsidR="00A24542">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B</w:t>
            </w:r>
          </w:p>
        </w:tc>
      </w:tr>
      <w:tr w:rsidR="00A24542">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Present Value</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£5,454,000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£4,956,000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£4,506,000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£4,098,000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£3,720,000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£30,000,000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£22,734,000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w:t>
            </w:r>
          </w:p>
        </w:tc>
      </w:tr>
    </w:tbl>
    <w:p w:rsidR="00A24542" w:rsidRDefault="00F5613C">
      <w:pPr>
        <w:jc w:val="center"/>
        <w:rPr>
          <w:b/>
          <w:bCs/>
        </w:rPr>
      </w:pPr>
      <w:r>
        <w:rPr>
          <w:b/>
          <w:bCs/>
        </w:rPr>
        <w:t>Table 20: Profitability Index for Project B</w:t>
      </w:r>
    </w:p>
    <w:p w:rsidR="00A24542" w:rsidRDefault="00F5613C">
      <w:pPr>
        <w:jc w:val="center"/>
      </w:pPr>
      <w:r>
        <w:t>(Source: self-report, 2025)</w:t>
      </w:r>
    </w:p>
    <w:p w:rsidR="00A24542" w:rsidRDefault="00F5613C">
      <w:pPr>
        <w:jc w:val="left"/>
      </w:pPr>
      <w:r>
        <w:rPr>
          <w:b/>
          <w:bCs/>
        </w:rPr>
        <w:t>Project C</w:t>
      </w:r>
    </w:p>
    <w:tbl>
      <w:tblPr>
        <w:tblStyle w:val="af4"/>
        <w:tblW w:w="7560" w:type="dxa"/>
        <w:jc w:val="center"/>
        <w:tblInd w:w="0" w:type="dxa"/>
        <w:tblBorders>
          <w:top w:val="nil"/>
          <w:left w:val="nil"/>
          <w:bottom w:val="nil"/>
          <w:right w:val="nil"/>
          <w:insideH w:val="nil"/>
          <w:insideV w:val="nil"/>
        </w:tblBorders>
        <w:tblLayout w:type="fixed"/>
        <w:tblLook w:val="0600"/>
      </w:tblPr>
      <w:tblGrid>
        <w:gridCol w:w="2085"/>
        <w:gridCol w:w="1500"/>
        <w:gridCol w:w="2475"/>
        <w:gridCol w:w="1500"/>
      </w:tblGrid>
      <w:tr w:rsidR="00A24542">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Project C</w:t>
            </w:r>
          </w:p>
        </w:tc>
      </w:tr>
      <w:tr w:rsidR="00A24542">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Present Value</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£4,545,000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£8,260,000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£15,020,000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£25,000,000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£17,075,000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£15,000,000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£9,300,000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t>£50,000,000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£54,200,000</w:t>
            </w:r>
          </w:p>
        </w:tc>
      </w:tr>
      <w:tr w:rsidR="00A24542">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lastRenderedPageBreak/>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rsidR="00A24542" w:rsidRDefault="00F5613C">
            <w:pPr>
              <w:widowControl w:val="0"/>
              <w:jc w:val="center"/>
            </w:pPr>
            <w:r>
              <w:rPr>
                <w:b/>
                <w:bCs/>
              </w:rPr>
              <w:t>£1</w:t>
            </w:r>
          </w:p>
        </w:tc>
      </w:tr>
    </w:tbl>
    <w:p w:rsidR="00A24542" w:rsidRDefault="00F5613C">
      <w:pPr>
        <w:jc w:val="center"/>
        <w:rPr>
          <w:b/>
          <w:bCs/>
        </w:rPr>
      </w:pPr>
      <w:r>
        <w:rPr>
          <w:b/>
          <w:bCs/>
        </w:rPr>
        <w:t>Table 21: Profitability Index for Project C</w:t>
      </w:r>
    </w:p>
    <w:p w:rsidR="00A24542" w:rsidRDefault="00F5613C">
      <w:pPr>
        <w:jc w:val="center"/>
      </w:pPr>
      <w:r>
        <w:t>(Source: self-report, 2025)</w:t>
      </w:r>
    </w:p>
    <w:p w:rsidR="00A24542" w:rsidRDefault="00F5613C">
      <w:pPr>
        <w:jc w:val="left"/>
        <w:rPr>
          <w:b/>
          <w:bCs/>
        </w:rPr>
      </w:pPr>
      <w:r>
        <w:rPr>
          <w:b/>
          <w:bCs/>
        </w:rPr>
        <w:t>Payback period</w:t>
      </w:r>
    </w:p>
    <w:p w:rsidR="00A24542" w:rsidRDefault="00F5613C">
      <w:pPr>
        <w:jc w:val="left"/>
      </w:pPr>
      <w:r>
        <w:rPr>
          <w:b/>
          <w:bCs/>
        </w:rPr>
        <w:t>Project A</w:t>
      </w:r>
    </w:p>
    <w:tbl>
      <w:tblPr>
        <w:tblStyle w:val="af5"/>
        <w:tblW w:w="5580" w:type="dxa"/>
        <w:jc w:val="center"/>
        <w:tblInd w:w="0" w:type="dxa"/>
        <w:tblBorders>
          <w:top w:val="nil"/>
          <w:left w:val="nil"/>
          <w:bottom w:val="nil"/>
          <w:right w:val="nil"/>
          <w:insideH w:val="nil"/>
          <w:insideV w:val="nil"/>
        </w:tblBorders>
        <w:tblLayout w:type="fixed"/>
        <w:tblLook w:val="0600"/>
      </w:tblPr>
      <w:tblGrid>
        <w:gridCol w:w="3000"/>
        <w:gridCol w:w="2580"/>
      </w:tblGrid>
      <w:tr w:rsidR="00A24542">
        <w:trPr>
          <w:trHeight w:val="315"/>
          <w:jc w:val="center"/>
        </w:trPr>
        <w:tc>
          <w:tcPr>
            <w:tcW w:w="558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Payback period - Project A</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Particulars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Amount</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Initial Capital</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40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£12</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£14</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4</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8</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PBP in the year</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Unrecovered cash</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£4</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Recovery period cash flow</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PBP (in months)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4.80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PBP</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3 years and 4.80months</w:t>
            </w:r>
          </w:p>
        </w:tc>
      </w:tr>
    </w:tbl>
    <w:p w:rsidR="00A24542" w:rsidRDefault="00F5613C">
      <w:pPr>
        <w:jc w:val="center"/>
        <w:rPr>
          <w:b/>
          <w:bCs/>
        </w:rPr>
      </w:pPr>
      <w:r>
        <w:rPr>
          <w:b/>
          <w:bCs/>
        </w:rPr>
        <w:t>Table 22: Payback period for Project C</w:t>
      </w:r>
    </w:p>
    <w:p w:rsidR="00A24542" w:rsidRDefault="00F5613C">
      <w:pPr>
        <w:jc w:val="center"/>
      </w:pPr>
      <w:r>
        <w:t>(Source: self-report, 2025)</w:t>
      </w:r>
    </w:p>
    <w:p w:rsidR="00A24542" w:rsidRDefault="00F5613C">
      <w:pPr>
        <w:jc w:val="left"/>
      </w:pPr>
      <w:r>
        <w:rPr>
          <w:b/>
          <w:bCs/>
        </w:rPr>
        <w:t>Project B</w:t>
      </w:r>
    </w:p>
    <w:tbl>
      <w:tblPr>
        <w:tblStyle w:val="af6"/>
        <w:tblW w:w="5580" w:type="dxa"/>
        <w:jc w:val="center"/>
        <w:tblInd w:w="0" w:type="dxa"/>
        <w:tblBorders>
          <w:top w:val="nil"/>
          <w:left w:val="nil"/>
          <w:bottom w:val="nil"/>
          <w:right w:val="nil"/>
          <w:insideH w:val="nil"/>
          <w:insideV w:val="nil"/>
        </w:tblBorders>
        <w:tblLayout w:type="fixed"/>
        <w:tblLook w:val="0600"/>
      </w:tblPr>
      <w:tblGrid>
        <w:gridCol w:w="3000"/>
        <w:gridCol w:w="2580"/>
      </w:tblGrid>
      <w:tr w:rsidR="00A24542">
        <w:trPr>
          <w:trHeight w:val="315"/>
          <w:jc w:val="center"/>
        </w:trPr>
        <w:tc>
          <w:tcPr>
            <w:tcW w:w="558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Payback period - Project B</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Particulars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Amount</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Initial Capital</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30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4</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PBP in the year</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lastRenderedPageBreak/>
              <w:t>Unrecovered cash</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Recovery period cash flow</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PBP (in months)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£0</w:t>
            </w:r>
          </w:p>
        </w:tc>
      </w:tr>
      <w:tr w:rsidR="00A24542">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PBP</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5 years</w:t>
            </w:r>
          </w:p>
        </w:tc>
      </w:tr>
    </w:tbl>
    <w:p w:rsidR="00A24542" w:rsidRDefault="00F5613C">
      <w:pPr>
        <w:jc w:val="center"/>
        <w:rPr>
          <w:b/>
          <w:bCs/>
        </w:rPr>
      </w:pPr>
      <w:r>
        <w:rPr>
          <w:b/>
          <w:bCs/>
        </w:rPr>
        <w:t>Table 23: Payback period for Project C</w:t>
      </w:r>
    </w:p>
    <w:p w:rsidR="00A24542" w:rsidRDefault="00F5613C">
      <w:pPr>
        <w:jc w:val="center"/>
      </w:pPr>
      <w:r>
        <w:t>(Source: self-report, 2025)</w:t>
      </w:r>
    </w:p>
    <w:p w:rsidR="00A24542" w:rsidRDefault="00F5613C">
      <w:pPr>
        <w:jc w:val="left"/>
      </w:pPr>
      <w:r>
        <w:rPr>
          <w:b/>
          <w:bCs/>
        </w:rPr>
        <w:t>Project C</w:t>
      </w:r>
    </w:p>
    <w:tbl>
      <w:tblPr>
        <w:tblStyle w:val="af7"/>
        <w:tblW w:w="6390" w:type="dxa"/>
        <w:jc w:val="center"/>
        <w:tblInd w:w="0" w:type="dxa"/>
        <w:tblBorders>
          <w:top w:val="nil"/>
          <w:left w:val="nil"/>
          <w:bottom w:val="nil"/>
          <w:right w:val="nil"/>
          <w:insideH w:val="nil"/>
          <w:insideV w:val="nil"/>
        </w:tblBorders>
        <w:tblLayout w:type="fixed"/>
        <w:tblLook w:val="0600"/>
      </w:tblPr>
      <w:tblGrid>
        <w:gridCol w:w="3585"/>
        <w:gridCol w:w="2805"/>
      </w:tblGrid>
      <w:tr w:rsidR="00A24542">
        <w:trPr>
          <w:trHeight w:val="315"/>
          <w:jc w:val="center"/>
        </w:trPr>
        <w:tc>
          <w:tcPr>
            <w:tcW w:w="639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Payback period - Project C</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Particulars</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Amount</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Initial Capital</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50</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£10</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£20</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4</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25</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15</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PBP in the year</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Unrecovered cash</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£15</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Recovery period cash flow</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£25</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PBP (in months)</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7.20</w:t>
            </w:r>
          </w:p>
        </w:tc>
      </w:tr>
      <w:tr w:rsidR="00A24542">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PBP (in years)</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3 years and 7.20 months</w:t>
            </w:r>
          </w:p>
        </w:tc>
      </w:tr>
    </w:tbl>
    <w:p w:rsidR="00A24542" w:rsidRDefault="00F5613C">
      <w:pPr>
        <w:jc w:val="center"/>
        <w:rPr>
          <w:b/>
          <w:bCs/>
        </w:rPr>
      </w:pPr>
      <w:r>
        <w:rPr>
          <w:b/>
          <w:bCs/>
        </w:rPr>
        <w:t>Table 24: Payback period for Project C</w:t>
      </w:r>
    </w:p>
    <w:p w:rsidR="00A24542" w:rsidRDefault="00F5613C">
      <w:pPr>
        <w:jc w:val="center"/>
      </w:pPr>
      <w:r>
        <w:t>(Source: self-report, 2025)</w:t>
      </w:r>
    </w:p>
    <w:p w:rsidR="00A24542" w:rsidRDefault="00F5613C">
      <w:pPr>
        <w:jc w:val="left"/>
        <w:rPr>
          <w:b/>
          <w:bCs/>
        </w:rPr>
      </w:pPr>
      <w:r>
        <w:rPr>
          <w:b/>
          <w:bCs/>
        </w:rPr>
        <w:t>ARR</w:t>
      </w:r>
    </w:p>
    <w:p w:rsidR="00A24542" w:rsidRDefault="00F5613C">
      <w:pPr>
        <w:jc w:val="left"/>
      </w:pPr>
      <w:r>
        <w:rPr>
          <w:b/>
          <w:bCs/>
        </w:rPr>
        <w:t>Project A</w:t>
      </w:r>
    </w:p>
    <w:tbl>
      <w:tblPr>
        <w:tblStyle w:val="af8"/>
        <w:tblW w:w="4440" w:type="dxa"/>
        <w:jc w:val="center"/>
        <w:tblInd w:w="0" w:type="dxa"/>
        <w:tblBorders>
          <w:top w:val="nil"/>
          <w:left w:val="nil"/>
          <w:bottom w:val="nil"/>
          <w:right w:val="nil"/>
          <w:insideH w:val="nil"/>
          <w:insideV w:val="nil"/>
        </w:tblBorders>
        <w:tblLayout w:type="fixed"/>
        <w:tblLook w:val="0600"/>
      </w:tblPr>
      <w:tblGrid>
        <w:gridCol w:w="2940"/>
        <w:gridCol w:w="1500"/>
      </w:tblGrid>
      <w:tr w:rsidR="00A24542">
        <w:trPr>
          <w:trHeight w:val="315"/>
          <w:jc w:val="center"/>
        </w:trPr>
        <w:tc>
          <w:tcPr>
            <w:tcW w:w="444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ARR - Project A</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Year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Net cash flow</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Owners Capital</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£40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£12</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£14</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lastRenderedPageBreak/>
              <w:t>4</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£8</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Total inflows over five years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54</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Average annual inflow</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10.8</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ARR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27%</w:t>
            </w:r>
          </w:p>
        </w:tc>
      </w:tr>
    </w:tbl>
    <w:p w:rsidR="00A24542" w:rsidRDefault="00F5613C">
      <w:pPr>
        <w:jc w:val="center"/>
        <w:rPr>
          <w:b/>
          <w:bCs/>
        </w:rPr>
      </w:pPr>
      <w:r>
        <w:rPr>
          <w:b/>
          <w:bCs/>
        </w:rPr>
        <w:t>Table 25: ARR for Project A</w:t>
      </w:r>
    </w:p>
    <w:p w:rsidR="00A24542" w:rsidRDefault="00F5613C">
      <w:pPr>
        <w:jc w:val="center"/>
      </w:pPr>
      <w:r>
        <w:t>(Source: self-report, 2025)</w:t>
      </w:r>
    </w:p>
    <w:p w:rsidR="00A24542" w:rsidRDefault="00F5613C">
      <w:pPr>
        <w:jc w:val="left"/>
      </w:pPr>
      <w:r>
        <w:rPr>
          <w:b/>
          <w:bCs/>
        </w:rPr>
        <w:t>Project B</w:t>
      </w:r>
    </w:p>
    <w:tbl>
      <w:tblPr>
        <w:tblStyle w:val="af9"/>
        <w:tblW w:w="4695" w:type="dxa"/>
        <w:jc w:val="center"/>
        <w:tblInd w:w="0" w:type="dxa"/>
        <w:tblBorders>
          <w:top w:val="nil"/>
          <w:left w:val="nil"/>
          <w:bottom w:val="nil"/>
          <w:right w:val="nil"/>
          <w:insideH w:val="nil"/>
          <w:insideV w:val="nil"/>
        </w:tblBorders>
        <w:tblLayout w:type="fixed"/>
        <w:tblLook w:val="0600"/>
      </w:tblPr>
      <w:tblGrid>
        <w:gridCol w:w="3195"/>
        <w:gridCol w:w="1500"/>
      </w:tblGrid>
      <w:tr w:rsidR="00A24542">
        <w:trPr>
          <w:trHeight w:val="315"/>
          <w:jc w:val="center"/>
        </w:trPr>
        <w:tc>
          <w:tcPr>
            <w:tcW w:w="4695"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ARR - Project B</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Year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Net cash flow</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Owners Capital</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£30</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4</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£6</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Total inflows over five years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30</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Average annual inflow</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6</w:t>
            </w:r>
          </w:p>
        </w:tc>
      </w:tr>
      <w:tr w:rsidR="00A24542">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ARR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20.00%</w:t>
            </w:r>
          </w:p>
        </w:tc>
      </w:tr>
    </w:tbl>
    <w:p w:rsidR="00A24542" w:rsidRDefault="00F5613C">
      <w:pPr>
        <w:jc w:val="center"/>
        <w:rPr>
          <w:b/>
          <w:bCs/>
        </w:rPr>
      </w:pPr>
      <w:r>
        <w:rPr>
          <w:b/>
          <w:bCs/>
        </w:rPr>
        <w:t>Table 26: ARR for Project B</w:t>
      </w:r>
    </w:p>
    <w:p w:rsidR="00A24542" w:rsidRDefault="00F5613C">
      <w:pPr>
        <w:jc w:val="center"/>
      </w:pPr>
      <w:r>
        <w:t>(Source: self-report, 2025)</w:t>
      </w:r>
    </w:p>
    <w:p w:rsidR="00A24542" w:rsidRDefault="00F5613C">
      <w:pPr>
        <w:jc w:val="left"/>
        <w:rPr>
          <w:b/>
          <w:bCs/>
        </w:rPr>
      </w:pPr>
      <w:r>
        <w:rPr>
          <w:b/>
          <w:bCs/>
        </w:rPr>
        <w:t>Project C</w:t>
      </w:r>
    </w:p>
    <w:tbl>
      <w:tblPr>
        <w:tblStyle w:val="afa"/>
        <w:tblW w:w="4440" w:type="dxa"/>
        <w:jc w:val="center"/>
        <w:tblInd w:w="0" w:type="dxa"/>
        <w:tblBorders>
          <w:top w:val="nil"/>
          <w:left w:val="nil"/>
          <w:bottom w:val="nil"/>
          <w:right w:val="nil"/>
          <w:insideH w:val="nil"/>
          <w:insideV w:val="nil"/>
        </w:tblBorders>
        <w:tblLayout w:type="fixed"/>
        <w:tblLook w:val="0600"/>
      </w:tblPr>
      <w:tblGrid>
        <w:gridCol w:w="2940"/>
        <w:gridCol w:w="1500"/>
      </w:tblGrid>
      <w:tr w:rsidR="00A24542">
        <w:trPr>
          <w:trHeight w:val="315"/>
          <w:jc w:val="center"/>
        </w:trPr>
        <w:tc>
          <w:tcPr>
            <w:tcW w:w="444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ARR - Project C</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Year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Net cash flow</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Owners Capital</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£5</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3</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4</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£25</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lastRenderedPageBreak/>
              <w:t>5</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t>£15</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Total inflows over five years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75.00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Average annual inflow</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15.00</w:t>
            </w:r>
          </w:p>
        </w:tc>
      </w:tr>
      <w:tr w:rsidR="00A24542">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left"/>
            </w:pPr>
            <w:r>
              <w:rPr>
                <w:b/>
                <w:bCs/>
              </w:rPr>
              <w:t>ARR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rsidR="00A24542" w:rsidRDefault="00F5613C">
            <w:pPr>
              <w:widowControl w:val="0"/>
              <w:jc w:val="center"/>
            </w:pPr>
            <w:r>
              <w:rPr>
                <w:b/>
                <w:bCs/>
              </w:rPr>
              <w:t>30%</w:t>
            </w:r>
          </w:p>
        </w:tc>
      </w:tr>
    </w:tbl>
    <w:p w:rsidR="00A24542" w:rsidRDefault="00F5613C">
      <w:pPr>
        <w:jc w:val="center"/>
        <w:rPr>
          <w:b/>
          <w:bCs/>
        </w:rPr>
      </w:pPr>
      <w:r>
        <w:rPr>
          <w:b/>
          <w:bCs/>
        </w:rPr>
        <w:t>Table 27: ARR for Project C</w:t>
      </w:r>
    </w:p>
    <w:p w:rsidR="00A24542" w:rsidRDefault="00F5613C">
      <w:pPr>
        <w:jc w:val="center"/>
        <w:rPr>
          <w:b/>
          <w:bCs/>
        </w:rPr>
      </w:pPr>
      <w:r>
        <w:t>(Source: self-report, 2025)</w:t>
      </w:r>
    </w:p>
    <w:sectPr w:rsidR="00A24542" w:rsidSect="009C4910">
      <w:headerReference w:type="default" r:id="rId59"/>
      <w:footerReference w:type="default" r:id="rId6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756B" w:rsidRDefault="0047756B">
      <w:pPr>
        <w:spacing w:line="240" w:lineRule="auto"/>
      </w:pPr>
      <w:r>
        <w:separator/>
      </w:r>
    </w:p>
  </w:endnote>
  <w:endnote w:type="continuationSeparator" w:id="1">
    <w:p w:rsidR="0047756B" w:rsidRDefault="0047756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embedRegular r:id="rId1" w:fontKey="{C0903DA7-448E-40AE-A019-29EB86DB4A45}"/>
  </w:font>
  <w:font w:name="Calibri">
    <w:panose1 w:val="020F0502020204030204"/>
    <w:charset w:val="00"/>
    <w:family w:val="swiss"/>
    <w:pitch w:val="variable"/>
    <w:sig w:usb0="E4002EFF" w:usb1="C200247B" w:usb2="00000009" w:usb3="00000000" w:csb0="000001FF" w:csb1="00000000"/>
    <w:embedRegular r:id="rId2" w:fontKey="{49A8E53C-B923-4657-B446-063888C737A1}"/>
    <w:embedBold r:id="rId3" w:fontKey="{C35176A7-F7C8-40B1-8E07-9F9687D9611B}"/>
  </w:font>
  <w:font w:name="Cambria">
    <w:panose1 w:val="02040503050406030204"/>
    <w:charset w:val="00"/>
    <w:family w:val="roman"/>
    <w:pitch w:val="variable"/>
    <w:sig w:usb0="E00006FF" w:usb1="420024FF" w:usb2="02000000" w:usb3="00000000" w:csb0="0000019F" w:csb1="00000000"/>
    <w:embedRegular r:id="rId4" w:fontKey="{5A98FBF3-4542-4639-9A7E-902D4CE9377C}"/>
    <w:embedBold r:id="rId5" w:fontKey="{E79AD483-39E5-41E8-B9D0-9D6231414D31}"/>
  </w:font>
  <w:font w:name="Gungsuh">
    <w:charset w:val="81"/>
    <w:family w:val="roman"/>
    <w:pitch w:val="variable"/>
    <w:sig w:usb0="B00002AF" w:usb1="69D77CFB" w:usb2="00000030" w:usb3="00000000" w:csb0="0008009F" w:csb1="00000000"/>
    <w:embedRegular r:id="rId6" w:subsetted="1" w:fontKey="{60D34F07-81EE-4CF0-8001-714825D67B48}"/>
    <w:embedBold r:id="rId7" w:subsetted="1" w:fontKey="{CC4FF86E-0D02-4E40-9D50-6DECF03108B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9044892"/>
      <w:docPartObj>
        <w:docPartGallery w:val="Page Numbers (Bottom of Page)"/>
        <w:docPartUnique/>
      </w:docPartObj>
    </w:sdtPr>
    <w:sdtContent>
      <w:p w:rsidR="00F5613C" w:rsidRDefault="000D7359">
        <w:pPr>
          <w:pStyle w:val="Footer"/>
          <w:jc w:val="right"/>
        </w:pPr>
        <w:fldSimple w:instr=" PAGE   \* MERGEFORMAT ">
          <w:r w:rsidR="0073759D">
            <w:rPr>
              <w:noProof/>
            </w:rPr>
            <w:t>1</w:t>
          </w:r>
        </w:fldSimple>
      </w:p>
    </w:sdtContent>
  </w:sdt>
  <w:p w:rsidR="00F5613C" w:rsidRDefault="00F5613C">
    <w:pP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756B" w:rsidRDefault="0047756B">
      <w:pPr>
        <w:spacing w:line="240" w:lineRule="auto"/>
      </w:pPr>
      <w:r>
        <w:separator/>
      </w:r>
    </w:p>
  </w:footnote>
  <w:footnote w:type="continuationSeparator" w:id="1">
    <w:p w:rsidR="0047756B" w:rsidRDefault="0047756B">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5613C" w:rsidRDefault="00F5613C">
    <w:pPr>
      <w:pStyle w:val="Header"/>
    </w:pPr>
  </w:p>
  <w:p w:rsidR="00F5613C" w:rsidRPr="00F5613C" w:rsidRDefault="00F5613C">
    <w:pPr>
      <w:pStyle w:val="Header"/>
    </w:pPr>
    <w: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7611E4"/>
    <w:multiLevelType w:val="multilevel"/>
    <w:tmpl w:val="A7E48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A24542"/>
    <w:rsid w:val="00004009"/>
    <w:rsid w:val="000D7359"/>
    <w:rsid w:val="000E642A"/>
    <w:rsid w:val="00281C38"/>
    <w:rsid w:val="003F3A63"/>
    <w:rsid w:val="0047756B"/>
    <w:rsid w:val="0073759D"/>
    <w:rsid w:val="00952F06"/>
    <w:rsid w:val="009C4910"/>
    <w:rsid w:val="00A24542"/>
    <w:rsid w:val="00DE0048"/>
    <w:rsid w:val="00EC1FC8"/>
    <w:rsid w:val="00F561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hi-IN"/>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3A63"/>
  </w:style>
  <w:style w:type="paragraph" w:styleId="Heading1">
    <w:name w:val="heading 1"/>
    <w:basedOn w:val="Normal"/>
    <w:next w:val="Normal"/>
    <w:uiPriority w:val="9"/>
    <w:qFormat/>
    <w:rsid w:val="003F3A63"/>
    <w:pPr>
      <w:keepNext/>
      <w:keepLines/>
      <w:outlineLvl w:val="0"/>
    </w:pPr>
    <w:rPr>
      <w:b/>
      <w:bCs/>
    </w:rPr>
  </w:style>
  <w:style w:type="paragraph" w:styleId="Heading2">
    <w:name w:val="heading 2"/>
    <w:basedOn w:val="Normal"/>
    <w:next w:val="Normal"/>
    <w:uiPriority w:val="9"/>
    <w:unhideWhenUsed/>
    <w:qFormat/>
    <w:rsid w:val="003F3A63"/>
    <w:pPr>
      <w:keepNext/>
      <w:keepLines/>
      <w:spacing w:before="280" w:after="80"/>
      <w:outlineLvl w:val="1"/>
    </w:pPr>
    <w:rPr>
      <w:b/>
      <w:bCs/>
      <w:sz w:val="26"/>
      <w:szCs w:val="26"/>
    </w:rPr>
  </w:style>
  <w:style w:type="paragraph" w:styleId="Heading3">
    <w:name w:val="heading 3"/>
    <w:basedOn w:val="Normal"/>
    <w:next w:val="Normal"/>
    <w:uiPriority w:val="9"/>
    <w:unhideWhenUsed/>
    <w:qFormat/>
    <w:rsid w:val="003F3A63"/>
    <w:pPr>
      <w:keepNext/>
      <w:keepLines/>
      <w:outlineLvl w:val="2"/>
    </w:pPr>
    <w:rPr>
      <w:b/>
      <w:bCs/>
    </w:rPr>
  </w:style>
  <w:style w:type="paragraph" w:styleId="Heading4">
    <w:name w:val="heading 4"/>
    <w:basedOn w:val="Normal"/>
    <w:next w:val="Normal"/>
    <w:uiPriority w:val="9"/>
    <w:semiHidden/>
    <w:unhideWhenUsed/>
    <w:qFormat/>
    <w:rsid w:val="003F3A63"/>
    <w:pPr>
      <w:keepNext/>
      <w:keepLines/>
      <w:spacing w:before="280" w:after="80"/>
      <w:outlineLvl w:val="3"/>
    </w:pPr>
    <w:rPr>
      <w:color w:val="666666"/>
    </w:rPr>
  </w:style>
  <w:style w:type="paragraph" w:styleId="Heading5">
    <w:name w:val="heading 5"/>
    <w:basedOn w:val="Normal"/>
    <w:next w:val="Normal"/>
    <w:uiPriority w:val="9"/>
    <w:semiHidden/>
    <w:unhideWhenUsed/>
    <w:qFormat/>
    <w:rsid w:val="003F3A63"/>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3F3A63"/>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F3A63"/>
    <w:tblPr>
      <w:tblCellMar>
        <w:top w:w="100" w:type="dxa"/>
        <w:left w:w="100" w:type="dxa"/>
        <w:bottom w:w="100" w:type="dxa"/>
        <w:right w:w="100" w:type="dxa"/>
      </w:tblCellMar>
    </w:tblPr>
  </w:style>
  <w:style w:type="paragraph" w:styleId="Title">
    <w:name w:val="Title"/>
    <w:basedOn w:val="Normal"/>
    <w:next w:val="Normal"/>
    <w:uiPriority w:val="10"/>
    <w:qFormat/>
    <w:rsid w:val="003F3A63"/>
    <w:pPr>
      <w:keepNext/>
      <w:keepLines/>
      <w:spacing w:after="60"/>
    </w:pPr>
    <w:rPr>
      <w:sz w:val="52"/>
      <w:szCs w:val="52"/>
    </w:rPr>
  </w:style>
  <w:style w:type="paragraph" w:styleId="Subtitle">
    <w:name w:val="Subtitle"/>
    <w:basedOn w:val="Normal"/>
    <w:next w:val="Normal"/>
    <w:uiPriority w:val="11"/>
    <w:qFormat/>
    <w:rsid w:val="003F3A63"/>
    <w:pPr>
      <w:keepNext/>
      <w:keepLines/>
      <w:spacing w:after="320"/>
    </w:pPr>
    <w:rPr>
      <w:rFonts w:ascii="Arial" w:eastAsia="Arial" w:hAnsi="Arial" w:cs="Arial"/>
      <w:color w:val="666666"/>
      <w:sz w:val="30"/>
      <w:szCs w:val="30"/>
    </w:rPr>
  </w:style>
  <w:style w:type="table" w:customStyle="1" w:styleId="a">
    <w:basedOn w:val="TableNormal0"/>
    <w:rsid w:val="003F3A63"/>
    <w:tblPr>
      <w:tblStyleRowBandSize w:val="1"/>
      <w:tblStyleColBandSize w:val="1"/>
      <w:tblCellMar>
        <w:top w:w="100" w:type="dxa"/>
        <w:left w:w="100" w:type="dxa"/>
        <w:bottom w:w="100" w:type="dxa"/>
        <w:right w:w="100" w:type="dxa"/>
      </w:tblCellMar>
    </w:tblPr>
  </w:style>
  <w:style w:type="table" w:customStyle="1" w:styleId="a0">
    <w:basedOn w:val="TableNormal0"/>
    <w:rsid w:val="003F3A63"/>
    <w:tblPr>
      <w:tblStyleRowBandSize w:val="1"/>
      <w:tblStyleColBandSize w:val="1"/>
      <w:tblCellMar>
        <w:top w:w="100" w:type="dxa"/>
        <w:left w:w="100" w:type="dxa"/>
        <w:bottom w:w="100" w:type="dxa"/>
        <w:right w:w="100" w:type="dxa"/>
      </w:tblCellMar>
    </w:tblPr>
  </w:style>
  <w:style w:type="table" w:customStyle="1" w:styleId="a1">
    <w:basedOn w:val="TableNormal0"/>
    <w:rsid w:val="003F3A63"/>
    <w:tblPr>
      <w:tblStyleRowBandSize w:val="1"/>
      <w:tblStyleColBandSize w:val="1"/>
      <w:tblCellMar>
        <w:top w:w="100" w:type="dxa"/>
        <w:left w:w="100" w:type="dxa"/>
        <w:bottom w:w="100" w:type="dxa"/>
        <w:right w:w="100" w:type="dxa"/>
      </w:tblCellMar>
    </w:tblPr>
  </w:style>
  <w:style w:type="table" w:customStyle="1" w:styleId="a2">
    <w:basedOn w:val="TableNormal0"/>
    <w:rsid w:val="003F3A63"/>
    <w:tblPr>
      <w:tblStyleRowBandSize w:val="1"/>
      <w:tblStyleColBandSize w:val="1"/>
      <w:tblCellMar>
        <w:top w:w="100" w:type="dxa"/>
        <w:left w:w="100" w:type="dxa"/>
        <w:bottom w:w="100" w:type="dxa"/>
        <w:right w:w="100" w:type="dxa"/>
      </w:tblCellMar>
    </w:tblPr>
  </w:style>
  <w:style w:type="table" w:customStyle="1" w:styleId="a3">
    <w:basedOn w:val="TableNormal0"/>
    <w:rsid w:val="003F3A63"/>
    <w:tblPr>
      <w:tblStyleRowBandSize w:val="1"/>
      <w:tblStyleColBandSize w:val="1"/>
      <w:tblCellMar>
        <w:top w:w="100" w:type="dxa"/>
        <w:left w:w="100" w:type="dxa"/>
        <w:bottom w:w="100" w:type="dxa"/>
        <w:right w:w="100" w:type="dxa"/>
      </w:tblCellMar>
    </w:tblPr>
  </w:style>
  <w:style w:type="table" w:customStyle="1" w:styleId="a4">
    <w:basedOn w:val="TableNormal0"/>
    <w:rsid w:val="003F3A63"/>
    <w:tblPr>
      <w:tblStyleRowBandSize w:val="1"/>
      <w:tblStyleColBandSize w:val="1"/>
      <w:tblCellMar>
        <w:top w:w="100" w:type="dxa"/>
        <w:left w:w="100" w:type="dxa"/>
        <w:bottom w:w="100" w:type="dxa"/>
        <w:right w:w="100" w:type="dxa"/>
      </w:tblCellMar>
    </w:tblPr>
  </w:style>
  <w:style w:type="table" w:customStyle="1" w:styleId="a5">
    <w:basedOn w:val="TableNormal0"/>
    <w:rsid w:val="003F3A63"/>
    <w:tblPr>
      <w:tblStyleRowBandSize w:val="1"/>
      <w:tblStyleColBandSize w:val="1"/>
      <w:tblCellMar>
        <w:top w:w="100" w:type="dxa"/>
        <w:left w:w="100" w:type="dxa"/>
        <w:bottom w:w="100" w:type="dxa"/>
        <w:right w:w="100" w:type="dxa"/>
      </w:tblCellMar>
    </w:tblPr>
  </w:style>
  <w:style w:type="table" w:customStyle="1" w:styleId="a6">
    <w:basedOn w:val="TableNormal0"/>
    <w:rsid w:val="003F3A63"/>
    <w:tblPr>
      <w:tblStyleRowBandSize w:val="1"/>
      <w:tblStyleColBandSize w:val="1"/>
      <w:tblCellMar>
        <w:top w:w="100" w:type="dxa"/>
        <w:left w:w="100" w:type="dxa"/>
        <w:bottom w:w="100" w:type="dxa"/>
        <w:right w:w="100" w:type="dxa"/>
      </w:tblCellMar>
    </w:tblPr>
  </w:style>
  <w:style w:type="table" w:customStyle="1" w:styleId="a7">
    <w:basedOn w:val="TableNormal0"/>
    <w:rsid w:val="003F3A63"/>
    <w:tblPr>
      <w:tblStyleRowBandSize w:val="1"/>
      <w:tblStyleColBandSize w:val="1"/>
      <w:tblCellMar>
        <w:top w:w="100" w:type="dxa"/>
        <w:left w:w="100" w:type="dxa"/>
        <w:bottom w:w="100" w:type="dxa"/>
        <w:right w:w="100" w:type="dxa"/>
      </w:tblCellMar>
    </w:tblPr>
  </w:style>
  <w:style w:type="table" w:customStyle="1" w:styleId="a8">
    <w:basedOn w:val="TableNormal0"/>
    <w:rsid w:val="003F3A63"/>
    <w:tblPr>
      <w:tblStyleRowBandSize w:val="1"/>
      <w:tblStyleColBandSize w:val="1"/>
      <w:tblCellMar>
        <w:top w:w="100" w:type="dxa"/>
        <w:left w:w="100" w:type="dxa"/>
        <w:bottom w:w="100" w:type="dxa"/>
        <w:right w:w="100" w:type="dxa"/>
      </w:tblCellMar>
    </w:tblPr>
  </w:style>
  <w:style w:type="table" w:customStyle="1" w:styleId="a9">
    <w:basedOn w:val="TableNormal0"/>
    <w:rsid w:val="003F3A63"/>
    <w:tblPr>
      <w:tblStyleRowBandSize w:val="1"/>
      <w:tblStyleColBandSize w:val="1"/>
      <w:tblCellMar>
        <w:top w:w="100" w:type="dxa"/>
        <w:left w:w="100" w:type="dxa"/>
        <w:bottom w:w="100" w:type="dxa"/>
        <w:right w:w="100" w:type="dxa"/>
      </w:tblCellMar>
    </w:tblPr>
  </w:style>
  <w:style w:type="table" w:customStyle="1" w:styleId="aa">
    <w:basedOn w:val="TableNormal0"/>
    <w:rsid w:val="003F3A63"/>
    <w:tblPr>
      <w:tblStyleRowBandSize w:val="1"/>
      <w:tblStyleColBandSize w:val="1"/>
      <w:tblCellMar>
        <w:top w:w="100" w:type="dxa"/>
        <w:left w:w="100" w:type="dxa"/>
        <w:bottom w:w="100" w:type="dxa"/>
        <w:right w:w="100" w:type="dxa"/>
      </w:tblCellMar>
    </w:tblPr>
  </w:style>
  <w:style w:type="table" w:customStyle="1" w:styleId="ab">
    <w:basedOn w:val="TableNormal0"/>
    <w:rsid w:val="003F3A63"/>
    <w:tblPr>
      <w:tblStyleRowBandSize w:val="1"/>
      <w:tblStyleColBandSize w:val="1"/>
      <w:tblCellMar>
        <w:top w:w="100" w:type="dxa"/>
        <w:left w:w="100" w:type="dxa"/>
        <w:bottom w:w="100" w:type="dxa"/>
        <w:right w:w="100" w:type="dxa"/>
      </w:tblCellMar>
    </w:tblPr>
  </w:style>
  <w:style w:type="table" w:customStyle="1" w:styleId="ac">
    <w:basedOn w:val="TableNormal0"/>
    <w:rsid w:val="003F3A63"/>
    <w:tblPr>
      <w:tblStyleRowBandSize w:val="1"/>
      <w:tblStyleColBandSize w:val="1"/>
      <w:tblCellMar>
        <w:top w:w="100" w:type="dxa"/>
        <w:left w:w="100" w:type="dxa"/>
        <w:bottom w:w="100" w:type="dxa"/>
        <w:right w:w="100" w:type="dxa"/>
      </w:tblCellMar>
    </w:tblPr>
  </w:style>
  <w:style w:type="table" w:customStyle="1" w:styleId="ad">
    <w:basedOn w:val="TableNormal0"/>
    <w:rsid w:val="003F3A63"/>
    <w:tblPr>
      <w:tblStyleRowBandSize w:val="1"/>
      <w:tblStyleColBandSize w:val="1"/>
      <w:tblCellMar>
        <w:top w:w="100" w:type="dxa"/>
        <w:left w:w="100" w:type="dxa"/>
        <w:bottom w:w="100" w:type="dxa"/>
        <w:right w:w="100" w:type="dxa"/>
      </w:tblCellMar>
    </w:tblPr>
  </w:style>
  <w:style w:type="table" w:customStyle="1" w:styleId="ae">
    <w:basedOn w:val="TableNormal0"/>
    <w:rsid w:val="003F3A63"/>
    <w:tblPr>
      <w:tblStyleRowBandSize w:val="1"/>
      <w:tblStyleColBandSize w:val="1"/>
      <w:tblCellMar>
        <w:top w:w="100" w:type="dxa"/>
        <w:left w:w="100" w:type="dxa"/>
        <w:bottom w:w="100" w:type="dxa"/>
        <w:right w:w="100" w:type="dxa"/>
      </w:tblCellMar>
    </w:tblPr>
  </w:style>
  <w:style w:type="table" w:customStyle="1" w:styleId="af">
    <w:basedOn w:val="TableNormal0"/>
    <w:rsid w:val="003F3A63"/>
    <w:tblPr>
      <w:tblStyleRowBandSize w:val="1"/>
      <w:tblStyleColBandSize w:val="1"/>
      <w:tblCellMar>
        <w:top w:w="100" w:type="dxa"/>
        <w:left w:w="100" w:type="dxa"/>
        <w:bottom w:w="100" w:type="dxa"/>
        <w:right w:w="100" w:type="dxa"/>
      </w:tblCellMar>
    </w:tblPr>
  </w:style>
  <w:style w:type="table" w:customStyle="1" w:styleId="af0">
    <w:basedOn w:val="TableNormal0"/>
    <w:rsid w:val="003F3A63"/>
    <w:tblPr>
      <w:tblStyleRowBandSize w:val="1"/>
      <w:tblStyleColBandSize w:val="1"/>
      <w:tblCellMar>
        <w:top w:w="100" w:type="dxa"/>
        <w:left w:w="100" w:type="dxa"/>
        <w:bottom w:w="100" w:type="dxa"/>
        <w:right w:w="100" w:type="dxa"/>
      </w:tblCellMar>
    </w:tblPr>
  </w:style>
  <w:style w:type="table" w:customStyle="1" w:styleId="af1">
    <w:basedOn w:val="TableNormal0"/>
    <w:rsid w:val="003F3A63"/>
    <w:tblPr>
      <w:tblStyleRowBandSize w:val="1"/>
      <w:tblStyleColBandSize w:val="1"/>
      <w:tblCellMar>
        <w:top w:w="100" w:type="dxa"/>
        <w:left w:w="100" w:type="dxa"/>
        <w:bottom w:w="100" w:type="dxa"/>
        <w:right w:w="100" w:type="dxa"/>
      </w:tblCellMar>
    </w:tblPr>
  </w:style>
  <w:style w:type="table" w:customStyle="1" w:styleId="af2">
    <w:basedOn w:val="TableNormal0"/>
    <w:rsid w:val="003F3A63"/>
    <w:tblPr>
      <w:tblStyleRowBandSize w:val="1"/>
      <w:tblStyleColBandSize w:val="1"/>
      <w:tblCellMar>
        <w:top w:w="100" w:type="dxa"/>
        <w:left w:w="100" w:type="dxa"/>
        <w:bottom w:w="100" w:type="dxa"/>
        <w:right w:w="100" w:type="dxa"/>
      </w:tblCellMar>
    </w:tblPr>
  </w:style>
  <w:style w:type="table" w:customStyle="1" w:styleId="af3">
    <w:basedOn w:val="TableNormal0"/>
    <w:rsid w:val="003F3A63"/>
    <w:tblPr>
      <w:tblStyleRowBandSize w:val="1"/>
      <w:tblStyleColBandSize w:val="1"/>
      <w:tblCellMar>
        <w:top w:w="100" w:type="dxa"/>
        <w:left w:w="100" w:type="dxa"/>
        <w:bottom w:w="100" w:type="dxa"/>
        <w:right w:w="100" w:type="dxa"/>
      </w:tblCellMar>
    </w:tblPr>
  </w:style>
  <w:style w:type="table" w:customStyle="1" w:styleId="af4">
    <w:basedOn w:val="TableNormal0"/>
    <w:rsid w:val="003F3A63"/>
    <w:tblPr>
      <w:tblStyleRowBandSize w:val="1"/>
      <w:tblStyleColBandSize w:val="1"/>
      <w:tblCellMar>
        <w:top w:w="100" w:type="dxa"/>
        <w:left w:w="100" w:type="dxa"/>
        <w:bottom w:w="100" w:type="dxa"/>
        <w:right w:w="100" w:type="dxa"/>
      </w:tblCellMar>
    </w:tblPr>
  </w:style>
  <w:style w:type="table" w:customStyle="1" w:styleId="af5">
    <w:basedOn w:val="TableNormal0"/>
    <w:rsid w:val="003F3A63"/>
    <w:tblPr>
      <w:tblStyleRowBandSize w:val="1"/>
      <w:tblStyleColBandSize w:val="1"/>
      <w:tblCellMar>
        <w:top w:w="0" w:type="dxa"/>
        <w:left w:w="108" w:type="dxa"/>
        <w:bottom w:w="0" w:type="dxa"/>
        <w:right w:w="108" w:type="dxa"/>
      </w:tblCellMar>
    </w:tblPr>
  </w:style>
  <w:style w:type="table" w:customStyle="1" w:styleId="af6">
    <w:basedOn w:val="TableNormal0"/>
    <w:rsid w:val="003F3A63"/>
    <w:tblPr>
      <w:tblStyleRowBandSize w:val="1"/>
      <w:tblStyleColBandSize w:val="1"/>
      <w:tblCellMar>
        <w:top w:w="0" w:type="dxa"/>
        <w:left w:w="108" w:type="dxa"/>
        <w:bottom w:w="0" w:type="dxa"/>
        <w:right w:w="108" w:type="dxa"/>
      </w:tblCellMar>
    </w:tblPr>
  </w:style>
  <w:style w:type="table" w:customStyle="1" w:styleId="af7">
    <w:basedOn w:val="TableNormal0"/>
    <w:rsid w:val="003F3A63"/>
    <w:tblPr>
      <w:tblStyleRowBandSize w:val="1"/>
      <w:tblStyleColBandSize w:val="1"/>
      <w:tblCellMar>
        <w:top w:w="0" w:type="dxa"/>
        <w:left w:w="108" w:type="dxa"/>
        <w:bottom w:w="0" w:type="dxa"/>
        <w:right w:w="108" w:type="dxa"/>
      </w:tblCellMar>
    </w:tblPr>
  </w:style>
  <w:style w:type="table" w:customStyle="1" w:styleId="af8">
    <w:basedOn w:val="TableNormal0"/>
    <w:rsid w:val="003F3A63"/>
    <w:tblPr>
      <w:tblStyleRowBandSize w:val="1"/>
      <w:tblStyleColBandSize w:val="1"/>
      <w:tblCellMar>
        <w:top w:w="0" w:type="dxa"/>
        <w:left w:w="108" w:type="dxa"/>
        <w:bottom w:w="0" w:type="dxa"/>
        <w:right w:w="108" w:type="dxa"/>
      </w:tblCellMar>
    </w:tblPr>
  </w:style>
  <w:style w:type="table" w:customStyle="1" w:styleId="af9">
    <w:basedOn w:val="TableNormal0"/>
    <w:rsid w:val="003F3A63"/>
    <w:tblPr>
      <w:tblStyleRowBandSize w:val="1"/>
      <w:tblStyleColBandSize w:val="1"/>
      <w:tblCellMar>
        <w:top w:w="0" w:type="dxa"/>
        <w:left w:w="108" w:type="dxa"/>
        <w:bottom w:w="0" w:type="dxa"/>
        <w:right w:w="108" w:type="dxa"/>
      </w:tblCellMar>
    </w:tblPr>
  </w:style>
  <w:style w:type="table" w:customStyle="1" w:styleId="afa">
    <w:basedOn w:val="TableNormal0"/>
    <w:rsid w:val="003F3A63"/>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004009"/>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004009"/>
    <w:rPr>
      <w:rFonts w:cs="Mangal"/>
      <w:szCs w:val="21"/>
    </w:rPr>
  </w:style>
  <w:style w:type="paragraph" w:styleId="Footer">
    <w:name w:val="footer"/>
    <w:basedOn w:val="Normal"/>
    <w:link w:val="FooterChar"/>
    <w:uiPriority w:val="99"/>
    <w:unhideWhenUsed/>
    <w:rsid w:val="00004009"/>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004009"/>
    <w:rPr>
      <w:rFonts w:cs="Mangal"/>
      <w:szCs w:val="21"/>
    </w:rPr>
  </w:style>
  <w:style w:type="paragraph" w:styleId="BalloonText">
    <w:name w:val="Balloon Text"/>
    <w:basedOn w:val="Normal"/>
    <w:link w:val="BalloonTextChar"/>
    <w:uiPriority w:val="99"/>
    <w:semiHidden/>
    <w:unhideWhenUsed/>
    <w:rsid w:val="00F5613C"/>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F5613C"/>
    <w:rPr>
      <w:rFonts w:ascii="Tahoma" w:hAnsi="Tahoma" w:cs="Mangal"/>
      <w:sz w:val="16"/>
      <w:szCs w:val="14"/>
    </w:rPr>
  </w:style>
  <w:style w:type="paragraph" w:styleId="TOCHeading">
    <w:name w:val="TOC Heading"/>
    <w:basedOn w:val="Heading1"/>
    <w:next w:val="Normal"/>
    <w:uiPriority w:val="39"/>
    <w:semiHidden/>
    <w:unhideWhenUsed/>
    <w:qFormat/>
    <w:rsid w:val="00F5613C"/>
    <w:pPr>
      <w:spacing w:before="480" w:line="276" w:lineRule="auto"/>
      <w:jc w:val="left"/>
      <w:outlineLvl w:val="9"/>
    </w:pPr>
    <w:rPr>
      <w:rFonts w:asciiTheme="majorHAnsi" w:eastAsiaTheme="majorEastAsia" w:hAnsiTheme="majorHAnsi" w:cstheme="majorBidi"/>
      <w:color w:val="365F91" w:themeColor="accent1" w:themeShade="BF"/>
      <w:sz w:val="28"/>
      <w:szCs w:val="28"/>
      <w:lang w:eastAsia="en-US" w:bidi="ar-SA"/>
    </w:rPr>
  </w:style>
  <w:style w:type="paragraph" w:styleId="TOC2">
    <w:name w:val="toc 2"/>
    <w:basedOn w:val="Normal"/>
    <w:next w:val="Normal"/>
    <w:autoRedefine/>
    <w:uiPriority w:val="39"/>
    <w:unhideWhenUsed/>
    <w:rsid w:val="00F5613C"/>
    <w:pPr>
      <w:spacing w:after="100"/>
      <w:ind w:left="240"/>
    </w:pPr>
    <w:rPr>
      <w:rFonts w:cs="Mangal"/>
      <w:szCs w:val="21"/>
    </w:rPr>
  </w:style>
  <w:style w:type="paragraph" w:styleId="TOC1">
    <w:name w:val="toc 1"/>
    <w:basedOn w:val="Normal"/>
    <w:next w:val="Normal"/>
    <w:autoRedefine/>
    <w:uiPriority w:val="39"/>
    <w:unhideWhenUsed/>
    <w:rsid w:val="00F5613C"/>
    <w:pPr>
      <w:spacing w:after="100"/>
    </w:pPr>
    <w:rPr>
      <w:rFonts w:cs="Mangal"/>
      <w:szCs w:val="21"/>
    </w:rPr>
  </w:style>
  <w:style w:type="paragraph" w:styleId="TOC3">
    <w:name w:val="toc 3"/>
    <w:basedOn w:val="Normal"/>
    <w:next w:val="Normal"/>
    <w:autoRedefine/>
    <w:uiPriority w:val="39"/>
    <w:unhideWhenUsed/>
    <w:rsid w:val="00F5613C"/>
    <w:pPr>
      <w:spacing w:after="100"/>
      <w:ind w:left="480"/>
    </w:pPr>
    <w:rPr>
      <w:rFonts w:cs="Mangal"/>
      <w:szCs w:val="21"/>
    </w:rPr>
  </w:style>
  <w:style w:type="character" w:styleId="Hyperlink">
    <w:name w:val="Hyperlink"/>
    <w:basedOn w:val="DefaultParagraphFont"/>
    <w:uiPriority w:val="99"/>
    <w:unhideWhenUsed/>
    <w:rsid w:val="00F5613C"/>
    <w:rPr>
      <w:color w:val="0000FF" w:themeColor="hyperlink"/>
      <w:u w:val="single"/>
    </w:rPr>
  </w:style>
  <w:style w:type="paragraph" w:customStyle="1" w:styleId="normal0">
    <w:name w:val="normal"/>
    <w:rsid w:val="00F5613C"/>
    <w:pPr>
      <w:spacing w:line="276" w:lineRule="auto"/>
      <w:jc w:val="left"/>
    </w:pPr>
    <w:rPr>
      <w:rFonts w:ascii="Arial" w:eastAsia="Arial" w:hAnsi="Arial" w:cs="Arial"/>
      <w:sz w:val="22"/>
      <w:szCs w:val="22"/>
      <w:lang w:eastAsia="en-US" w:bidi="ar-SA"/>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hyperlink" Target="https://journalkeberlanjutan.com/index.php/JoGTA/article/view/397" TargetMode="External"/><Relationship Id="rId18" Type="http://schemas.openxmlformats.org/officeDocument/2006/relationships/hyperlink" Target="https://www.wallstreetprep.com/knowledge/operating-cash-flow-margin/" TargetMode="External"/><Relationship Id="rId26" Type="http://schemas.openxmlformats.org/officeDocument/2006/relationships/hyperlink" Target="https://www.accaglobal.com/in/en/student/exam-support-resources/fundamentals-exams-study-resources/f9/technical-articles/wcm.html" TargetMode="External"/><Relationship Id="rId39" Type="http://schemas.openxmlformats.org/officeDocument/2006/relationships/hyperlink" Target="https://journals.sagepub.com/doi/abs/10.1111/poms.13253" TargetMode="External"/><Relationship Id="rId21" Type="http://schemas.openxmlformats.org/officeDocument/2006/relationships/hyperlink" Target="https://www.scirp.org/journal/paperinformation?paperid=105860" TargetMode="External"/><Relationship Id="rId34" Type="http://schemas.openxmlformats.org/officeDocument/2006/relationships/hyperlink" Target="https://corporatefinanceinstitute.com/resources/valuation/divestiture-overview/" TargetMode="External"/><Relationship Id="rId42" Type="http://schemas.openxmlformats.org/officeDocument/2006/relationships/hyperlink" Target="https://corporatefinanceinstitute.com/resources/valuation/net-present-value-npv/" TargetMode="External"/><Relationship Id="rId47" Type="http://schemas.openxmlformats.org/officeDocument/2006/relationships/image" Target="media/image3.png"/><Relationship Id="rId50" Type="http://schemas.openxmlformats.org/officeDocument/2006/relationships/image" Target="media/image6.png"/><Relationship Id="rId55" Type="http://schemas.openxmlformats.org/officeDocument/2006/relationships/image" Target="media/image11.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rporatefinanceinstitute.com/resources/accounting/what-is-return-on-equity-roe/" TargetMode="External"/><Relationship Id="rId20" Type="http://schemas.openxmlformats.org/officeDocument/2006/relationships/hyperlink" Target="https://link.springer.com/article/10.1007/s40812-023-00268-y" TargetMode="External"/><Relationship Id="rId29" Type="http://schemas.openxmlformats.org/officeDocument/2006/relationships/hyperlink" Target="https://rku.ac.in/icostart2022/books/14-management-jenil-gandhi-(127-141).pdf" TargetMode="External"/><Relationship Id="rId41" Type="http://schemas.openxmlformats.org/officeDocument/2006/relationships/hyperlink" Target="http://www.ajhssr.com/wp-content/uploads/2021/01/ZZZC21501695703.pdf" TargetMode="External"/><Relationship Id="rId54" Type="http://schemas.openxmlformats.org/officeDocument/2006/relationships/image" Target="media/image10.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urnal.unismuhpalu.ac.id/index.php/IJHESS/article/view/3611" TargetMode="External"/><Relationship Id="rId24" Type="http://schemas.openxmlformats.org/officeDocument/2006/relationships/hyperlink" Target="https://www.oecd.org/en/publications/structural-developments-in-global-financial-intermediation-the-rise-of-debt-and-non-bank-credit-intermediation_daa87f13-en.html" TargetMode="External"/><Relationship Id="rId32" Type="http://schemas.openxmlformats.org/officeDocument/2006/relationships/hyperlink" Target="https://www.iiflhomeloans.com/blogs/short-term-vs-long-term-loans-key-differences-and-benefits" TargetMode="External"/><Relationship Id="rId37" Type="http://schemas.openxmlformats.org/officeDocument/2006/relationships/hyperlink" Target="https://www.indianjournalofentrepreneurship.com/index.php/IJF/article/view/172158" TargetMode="External"/><Relationship Id="rId40" Type="http://schemas.openxmlformats.org/officeDocument/2006/relationships/hyperlink" Target="https://www.wallstreetprep.com/knowledge/payback-period/" TargetMode="External"/><Relationship Id="rId45" Type="http://schemas.openxmlformats.org/officeDocument/2006/relationships/hyperlink" Target="https://www.sciencedirect.com/science/article/pii/S2772662224000420" TargetMode="External"/><Relationship Id="rId53" Type="http://schemas.openxmlformats.org/officeDocument/2006/relationships/image" Target="media/image9.png"/><Relationship Id="rId58"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hyperlink" Target="https://sciendo.com/pdf/10.2478/law-2023-0001" TargetMode="External"/><Relationship Id="rId23" Type="http://schemas.openxmlformats.org/officeDocument/2006/relationships/hyperlink" Target="http://repository.iaa.ac.tz:8080/xmlui/handle/123456789/2551" TargetMode="External"/><Relationship Id="rId28" Type="http://schemas.openxmlformats.org/officeDocument/2006/relationships/hyperlink" Target="http://www.diva-portal.org/smash/get/diva2:282882/FULLTEXT01.pdfImpact" TargetMode="External"/><Relationship Id="rId36" Type="http://schemas.openxmlformats.org/officeDocument/2006/relationships/hyperlink" Target="https://corporatefinanceinstitute.com/resources/valuation/equity-financing/" TargetMode="External"/><Relationship Id="rId49" Type="http://schemas.openxmlformats.org/officeDocument/2006/relationships/image" Target="media/image5.png"/><Relationship Id="rId57" Type="http://schemas.openxmlformats.org/officeDocument/2006/relationships/image" Target="media/image13.png"/><Relationship Id="rId61" Type="http://schemas.openxmlformats.org/officeDocument/2006/relationships/fontTable" Target="fontTable.xml"/><Relationship Id="rId10" Type="http://schemas.openxmlformats.org/officeDocument/2006/relationships/hyperlink" Target="https://corporatefinanceinstitute.com/resources/accounting/current-ratio-formula/" TargetMode="External"/><Relationship Id="rId19" Type="http://schemas.openxmlformats.org/officeDocument/2006/relationships/hyperlink" Target="https://erepository.uonbi.ac.ke/handle/11295/160761" TargetMode="External"/><Relationship Id="rId31" Type="http://schemas.openxmlformats.org/officeDocument/2006/relationships/hyperlink" Target="https://www.federalreserve.gov/econres/notes/feds-notes/firms-financing-choice-between-short-term-and-long-term-debts-are-they-substitutes-20240503.html" TargetMode="External"/><Relationship Id="rId44" Type="http://schemas.openxmlformats.org/officeDocument/2006/relationships/hyperlink" Target="https://corporatefinanceinstitute.com/resources/valuation/internal-rate-return-irr/" TargetMode="External"/><Relationship Id="rId52" Type="http://schemas.openxmlformats.org/officeDocument/2006/relationships/image" Target="media/image8.png"/><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jospl.org/index.php/ijospl/article/view/115" TargetMode="External"/><Relationship Id="rId14" Type="http://schemas.openxmlformats.org/officeDocument/2006/relationships/hyperlink" Target="https://corporatefinanceinstitute.com/resources/commercial-lending/debt-to-equity-ratio-formula/" TargetMode="External"/><Relationship Id="rId22" Type="http://schemas.openxmlformats.org/officeDocument/2006/relationships/hyperlink" Target="https://esg.sustainability-directory.com/area/investor-confidence-loss/" TargetMode="External"/><Relationship Id="rId27" Type="http://schemas.openxmlformats.org/officeDocument/2006/relationships/hyperlink" Target="https://www.mdpi.com/2071-1050/14/21/14447" TargetMode="External"/><Relationship Id="rId30" Type="http://schemas.openxmlformats.org/officeDocument/2006/relationships/hyperlink" Target="https://legalvision.co.uk/corporations/term-financing/" TargetMode="External"/><Relationship Id="rId35" Type="http://schemas.openxmlformats.org/officeDocument/2006/relationships/hyperlink" Target="https://books.google.com/books?hl=en&amp;lr=&amp;id=CdGjEAAAQBAJ&amp;oi=fnd&amp;pg=PP1&amp;dq=The+merger+enables+the+company+to+pool+its+resources+with+another+company+to+gain+economies+of+scale,+cost+effectiveness,+and+market+growth.&amp;ots=43xoTAS0qP&amp;sig=O3ewuqUxwSOXxcCSCzc6AFXjK-Q" TargetMode="External"/><Relationship Id="rId43" Type="http://schemas.openxmlformats.org/officeDocument/2006/relationships/hyperlink" Target="https://www.researchgate.net/profile/Rui-Dias-13/publication/380910436_Cash_Flow_and_Its_Components_in_Investment_Valuation/links/66559b9222a7f16b4f51f48c/Cash-Flow-and-Its-Components-in-Investment-Valuation.pdf" TargetMode="External"/><Relationship Id="rId48" Type="http://schemas.openxmlformats.org/officeDocument/2006/relationships/image" Target="media/image4.png"/><Relationship Id="rId56" Type="http://schemas.openxmlformats.org/officeDocument/2006/relationships/image" Target="media/image12.png"/><Relationship Id="rId8" Type="http://schemas.openxmlformats.org/officeDocument/2006/relationships/hyperlink" Target="https://www.bdc.ca/en/articles-tools/entrepreneur-toolkit/financial-tools/net-profit-margin" TargetMode="External"/><Relationship Id="rId51" Type="http://schemas.openxmlformats.org/officeDocument/2006/relationships/image" Target="media/image7.png"/><Relationship Id="rId3" Type="http://schemas.openxmlformats.org/officeDocument/2006/relationships/settings" Target="settings.xml"/><Relationship Id="rId12" Type="http://schemas.openxmlformats.org/officeDocument/2006/relationships/hyperlink" Target="https://www.netsuite.com/portal/resource/articles/inventory-management/inventory-turnover-ratio.shtml" TargetMode="External"/><Relationship Id="rId17" Type="http://schemas.openxmlformats.org/officeDocument/2006/relationships/hyperlink" Target="https://epublications.vu.lt/object/elaba:157963319/" TargetMode="External"/><Relationship Id="rId25" Type="http://schemas.openxmlformats.org/officeDocument/2006/relationships/hyperlink" Target="https://webthesis.biblio.polito.it/31425/" TargetMode="External"/><Relationship Id="rId33" Type="http://schemas.openxmlformats.org/officeDocument/2006/relationships/hyperlink" Target="https://pubsonline.informs.org/doi/abs/10.1287/mnsc.2021.4139" TargetMode="External"/><Relationship Id="rId38" Type="http://schemas.openxmlformats.org/officeDocument/2006/relationships/hyperlink" Target="https://nexuscorporatesolutions.co.uk/corporate-restructuring-and-financial-restructuring-the-real-difference/" TargetMode="External"/><Relationship Id="rId46" Type="http://schemas.openxmlformats.org/officeDocument/2006/relationships/image" Target="media/image2.png"/><Relationship Id="rId5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45</Pages>
  <Words>9225</Words>
  <Characters>52588</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2025-12-21T21:38:00Z</dcterms:created>
  <dcterms:modified xsi:type="dcterms:W3CDTF">2025-12-21T21:38:00Z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a48fdb24-8dac-467f-85f5-37840484152d</vt:lpwstr>
  </property>
</Properties>
</file>