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329B5" w:rsidRDefault="00E329B5" w:rsidP="00E329B5">
      <w:pPr>
        <w:jc w:val="center"/>
        <w:rPr>
          <w:rFonts w:asciiTheme="majorHAnsi" w:hAnsiTheme="majorHAnsi" w:cstheme="majorHAnsi"/>
          <w:sz w:val="36"/>
          <w:szCs w:val="36"/>
          <w:u w:val="single"/>
        </w:rPr>
      </w:pPr>
      <w:r>
        <w:rPr>
          <w:rFonts w:asciiTheme="majorHAnsi" w:hAnsiTheme="majorHAnsi" w:cstheme="majorHAnsi"/>
          <w:sz w:val="36"/>
          <w:szCs w:val="36"/>
          <w:u w:val="single"/>
        </w:rPr>
        <w:t>Business Issues and the Context of Human Resources</w:t>
      </w:r>
    </w:p>
    <w:p w:rsidR="00E329B5" w:rsidRDefault="00E329B5" w:rsidP="00E329B5">
      <w:pPr>
        <w:rPr>
          <w:rFonts w:asciiTheme="majorHAnsi" w:hAnsiTheme="majorHAnsi" w:cstheme="majorHAnsi"/>
          <w:sz w:val="36"/>
          <w:szCs w:val="36"/>
        </w:rPr>
      </w:pPr>
    </w:p>
    <w:p w:rsidR="00E329B5" w:rsidRDefault="00E329B5" w:rsidP="00E329B5">
      <w:pPr>
        <w:rPr>
          <w:rFonts w:asciiTheme="majorHAnsi" w:hAnsiTheme="majorHAnsi" w:cstheme="majorHAnsi"/>
          <w:sz w:val="36"/>
          <w:szCs w:val="36"/>
        </w:rPr>
      </w:pPr>
      <w:r>
        <w:rPr>
          <w:rFonts w:asciiTheme="majorHAnsi" w:hAnsiTheme="majorHAnsi" w:cstheme="majorHAnsi"/>
          <w:sz w:val="36"/>
          <w:szCs w:val="36"/>
        </w:rPr>
        <w:t>Name: Corinne Sloley</w:t>
      </w:r>
    </w:p>
    <w:p w:rsidR="00894E03" w:rsidRDefault="00894E03" w:rsidP="00E329B5">
      <w:pPr>
        <w:rPr>
          <w:rFonts w:asciiTheme="majorHAnsi" w:hAnsiTheme="majorHAnsi" w:cstheme="majorHAnsi"/>
          <w:sz w:val="36"/>
          <w:szCs w:val="36"/>
        </w:rPr>
      </w:pPr>
    </w:p>
    <w:p w:rsidR="00894E03" w:rsidRDefault="00894E03" w:rsidP="00E329B5">
      <w:pPr>
        <w:rPr>
          <w:rFonts w:asciiTheme="majorHAnsi" w:hAnsiTheme="majorHAnsi" w:cstheme="majorHAnsi"/>
          <w:sz w:val="36"/>
          <w:szCs w:val="36"/>
        </w:rPr>
      </w:pPr>
      <w:r>
        <w:rPr>
          <w:rFonts w:asciiTheme="majorHAnsi" w:hAnsiTheme="majorHAnsi" w:cstheme="majorHAnsi"/>
          <w:sz w:val="36"/>
          <w:szCs w:val="36"/>
        </w:rPr>
        <w:t>Assignment Title: The evolving role of HR in the contemporary business world</w:t>
      </w:r>
    </w:p>
    <w:p w:rsidR="00E329B5" w:rsidRDefault="00E329B5" w:rsidP="00E329B5">
      <w:pPr>
        <w:rPr>
          <w:rFonts w:asciiTheme="majorHAnsi" w:hAnsiTheme="majorHAnsi" w:cstheme="majorHAnsi"/>
          <w:sz w:val="36"/>
          <w:szCs w:val="36"/>
        </w:rPr>
      </w:pPr>
    </w:p>
    <w:p w:rsidR="00E329B5" w:rsidRDefault="00E329B5" w:rsidP="00E329B5">
      <w:pPr>
        <w:rPr>
          <w:rFonts w:asciiTheme="majorHAnsi" w:hAnsiTheme="majorHAnsi" w:cstheme="majorHAnsi"/>
          <w:sz w:val="36"/>
          <w:szCs w:val="36"/>
        </w:rPr>
      </w:pPr>
      <w:r>
        <w:rPr>
          <w:rFonts w:asciiTheme="majorHAnsi" w:hAnsiTheme="majorHAnsi" w:cstheme="majorHAnsi"/>
          <w:sz w:val="36"/>
          <w:szCs w:val="36"/>
        </w:rPr>
        <w:t xml:space="preserve">CIPD Membership Number: </w:t>
      </w:r>
      <w:r>
        <w:rPr>
          <w:rFonts w:asciiTheme="majorHAnsi" w:hAnsiTheme="majorHAnsi" w:cstheme="majorHAnsi"/>
          <w:bCs/>
          <w:sz w:val="36"/>
          <w:szCs w:val="36"/>
        </w:rPr>
        <w:t xml:space="preserve">48698866 </w:t>
      </w:r>
    </w:p>
    <w:p w:rsidR="00E329B5" w:rsidRDefault="00E329B5" w:rsidP="00E329B5">
      <w:pPr>
        <w:rPr>
          <w:rFonts w:asciiTheme="majorHAnsi" w:hAnsiTheme="majorHAnsi" w:cstheme="majorHAnsi"/>
          <w:sz w:val="36"/>
          <w:szCs w:val="36"/>
        </w:rPr>
      </w:pPr>
    </w:p>
    <w:p w:rsidR="00E329B5" w:rsidRDefault="00BA2B67" w:rsidP="00E329B5">
      <w:pPr>
        <w:rPr>
          <w:rFonts w:asciiTheme="majorHAnsi" w:hAnsiTheme="majorHAnsi" w:cstheme="majorHAnsi"/>
          <w:sz w:val="36"/>
          <w:szCs w:val="36"/>
        </w:rPr>
      </w:pPr>
      <w:r>
        <w:rPr>
          <w:rFonts w:asciiTheme="majorHAnsi" w:hAnsiTheme="majorHAnsi" w:cstheme="majorHAnsi"/>
          <w:sz w:val="36"/>
          <w:szCs w:val="36"/>
        </w:rPr>
        <w:t>Date: 21</w:t>
      </w:r>
      <w:r w:rsidR="00E329B5">
        <w:rPr>
          <w:rFonts w:asciiTheme="majorHAnsi" w:hAnsiTheme="majorHAnsi" w:cstheme="majorHAnsi"/>
          <w:sz w:val="36"/>
          <w:szCs w:val="36"/>
        </w:rPr>
        <w:t>/01/2018</w:t>
      </w:r>
    </w:p>
    <w:p w:rsidR="00E329B5" w:rsidRDefault="00E329B5" w:rsidP="00E329B5">
      <w:pPr>
        <w:rPr>
          <w:rFonts w:asciiTheme="majorHAnsi" w:hAnsiTheme="majorHAnsi" w:cstheme="majorHAnsi"/>
        </w:rPr>
      </w:pPr>
    </w:p>
    <w:p w:rsidR="00E329B5" w:rsidRDefault="00E329B5" w:rsidP="00E329B5">
      <w:pPr>
        <w:rPr>
          <w:rFonts w:asciiTheme="majorHAnsi" w:hAnsiTheme="majorHAnsi" w:cstheme="majorHAnsi"/>
        </w:rPr>
      </w:pPr>
    </w:p>
    <w:p w:rsidR="00E329B5" w:rsidRDefault="00E329B5" w:rsidP="00E329B5">
      <w:pPr>
        <w:rPr>
          <w:rFonts w:asciiTheme="majorHAnsi" w:hAnsiTheme="majorHAnsi" w:cstheme="majorHAnsi"/>
        </w:rPr>
      </w:pPr>
    </w:p>
    <w:p w:rsidR="00E329B5" w:rsidRDefault="00E329B5" w:rsidP="00E329B5">
      <w:pPr>
        <w:rPr>
          <w:rFonts w:asciiTheme="majorHAnsi" w:hAnsiTheme="majorHAnsi" w:cstheme="majorHAnsi"/>
        </w:rPr>
      </w:pPr>
    </w:p>
    <w:p w:rsidR="00E329B5" w:rsidRDefault="00E329B5" w:rsidP="00E329B5">
      <w:pPr>
        <w:rPr>
          <w:rFonts w:asciiTheme="majorHAnsi" w:hAnsiTheme="majorHAnsi" w:cstheme="majorHAnsi"/>
        </w:rPr>
      </w:pPr>
    </w:p>
    <w:p w:rsidR="00E329B5" w:rsidRDefault="00E329B5" w:rsidP="00E329B5">
      <w:pPr>
        <w:rPr>
          <w:rFonts w:asciiTheme="majorHAnsi" w:hAnsiTheme="majorHAnsi" w:cstheme="majorHAnsi"/>
          <w:b/>
        </w:rPr>
      </w:pPr>
    </w:p>
    <w:p w:rsidR="00E329B5" w:rsidRDefault="00E329B5" w:rsidP="00E329B5">
      <w:pPr>
        <w:rPr>
          <w:rFonts w:asciiTheme="majorHAnsi" w:hAnsiTheme="majorHAnsi" w:cstheme="majorHAnsi"/>
          <w:b/>
        </w:rPr>
      </w:pPr>
    </w:p>
    <w:p w:rsidR="00E329B5" w:rsidRDefault="00E329B5" w:rsidP="00E329B5">
      <w:pPr>
        <w:rPr>
          <w:rFonts w:asciiTheme="majorHAnsi" w:hAnsiTheme="majorHAnsi" w:cstheme="majorHAnsi"/>
          <w:b/>
        </w:rPr>
      </w:pPr>
    </w:p>
    <w:p w:rsidR="00E329B5" w:rsidRDefault="00E329B5" w:rsidP="00E329B5">
      <w:pPr>
        <w:rPr>
          <w:rFonts w:asciiTheme="majorHAnsi" w:hAnsiTheme="majorHAnsi" w:cstheme="majorHAnsi"/>
          <w:b/>
        </w:rPr>
      </w:pPr>
    </w:p>
    <w:p w:rsidR="00E329B5" w:rsidRDefault="00E329B5" w:rsidP="00E329B5">
      <w:pPr>
        <w:rPr>
          <w:rFonts w:asciiTheme="majorHAnsi" w:hAnsiTheme="majorHAnsi" w:cstheme="majorHAnsi"/>
          <w:b/>
        </w:rPr>
      </w:pPr>
    </w:p>
    <w:p w:rsidR="00E329B5" w:rsidRDefault="00E329B5" w:rsidP="00E329B5">
      <w:pPr>
        <w:rPr>
          <w:rFonts w:asciiTheme="majorHAnsi" w:hAnsiTheme="majorHAnsi" w:cstheme="majorHAnsi"/>
          <w:b/>
        </w:rPr>
      </w:pPr>
    </w:p>
    <w:p w:rsidR="00E329B5" w:rsidRDefault="00E329B5" w:rsidP="00E329B5">
      <w:pPr>
        <w:rPr>
          <w:rFonts w:asciiTheme="majorHAnsi" w:hAnsiTheme="majorHAnsi" w:cstheme="majorHAnsi"/>
        </w:rPr>
      </w:pPr>
    </w:p>
    <w:p w:rsidR="00A33AD5" w:rsidRDefault="00A33AD5" w:rsidP="00E329B5">
      <w:pPr>
        <w:rPr>
          <w:rFonts w:asciiTheme="majorHAnsi" w:hAnsiTheme="majorHAnsi" w:cstheme="majorHAnsi"/>
        </w:rPr>
      </w:pPr>
    </w:p>
    <w:p w:rsidR="00E329B5" w:rsidRDefault="00E329B5" w:rsidP="00E329B5">
      <w:pPr>
        <w:rPr>
          <w:rFonts w:asciiTheme="majorHAnsi" w:hAnsiTheme="majorHAnsi" w:cstheme="majorHAnsi"/>
          <w:sz w:val="28"/>
          <w:szCs w:val="28"/>
        </w:rPr>
      </w:pPr>
      <w:r>
        <w:rPr>
          <w:rFonts w:asciiTheme="majorHAnsi" w:hAnsiTheme="majorHAnsi" w:cstheme="majorHAnsi"/>
          <w:sz w:val="28"/>
          <w:szCs w:val="28"/>
        </w:rPr>
        <w:t>I declare that this assignment is my own work and that any information obtained from books and other sources have been appropriately referenced.</w:t>
      </w:r>
    </w:p>
    <w:p w:rsidR="00E329B5" w:rsidRDefault="00E329B5" w:rsidP="00E329B5">
      <w:pPr>
        <w:rPr>
          <w:rFonts w:asciiTheme="majorHAnsi" w:hAnsiTheme="majorHAnsi" w:cstheme="majorHAnsi"/>
          <w:sz w:val="28"/>
          <w:szCs w:val="28"/>
        </w:rPr>
      </w:pPr>
    </w:p>
    <w:p w:rsidR="00E329B5" w:rsidRDefault="00BA2B67" w:rsidP="00E329B5">
      <w:pPr>
        <w:pStyle w:val="Subtitle"/>
        <w:rPr>
          <w:rFonts w:asciiTheme="majorHAnsi" w:hAnsiTheme="majorHAnsi" w:cstheme="majorHAnsi"/>
          <w:color w:val="auto"/>
          <w:sz w:val="28"/>
          <w:szCs w:val="28"/>
        </w:rPr>
      </w:pPr>
      <w:r>
        <w:rPr>
          <w:rFonts w:asciiTheme="majorHAnsi" w:hAnsiTheme="majorHAnsi" w:cstheme="majorHAnsi"/>
          <w:color w:val="auto"/>
          <w:sz w:val="28"/>
          <w:szCs w:val="28"/>
        </w:rPr>
        <w:t>Signed… C.SLOLEY</w:t>
      </w:r>
      <w:r>
        <w:rPr>
          <w:rFonts w:asciiTheme="majorHAnsi" w:hAnsiTheme="majorHAnsi" w:cstheme="majorHAnsi"/>
          <w:color w:val="auto"/>
          <w:sz w:val="28"/>
          <w:szCs w:val="28"/>
        </w:rPr>
        <w:tab/>
      </w:r>
      <w:r>
        <w:rPr>
          <w:rFonts w:asciiTheme="majorHAnsi" w:hAnsiTheme="majorHAnsi" w:cstheme="majorHAnsi"/>
          <w:color w:val="auto"/>
          <w:sz w:val="28"/>
          <w:szCs w:val="28"/>
        </w:rPr>
        <w:tab/>
      </w:r>
      <w:r>
        <w:rPr>
          <w:rFonts w:asciiTheme="majorHAnsi" w:hAnsiTheme="majorHAnsi" w:cstheme="majorHAnsi"/>
          <w:color w:val="auto"/>
          <w:sz w:val="28"/>
          <w:szCs w:val="28"/>
        </w:rPr>
        <w:tab/>
      </w:r>
      <w:r>
        <w:rPr>
          <w:rFonts w:asciiTheme="majorHAnsi" w:hAnsiTheme="majorHAnsi" w:cstheme="majorHAnsi"/>
          <w:color w:val="auto"/>
          <w:sz w:val="28"/>
          <w:szCs w:val="28"/>
        </w:rPr>
        <w:tab/>
      </w:r>
      <w:r>
        <w:rPr>
          <w:rFonts w:asciiTheme="majorHAnsi" w:hAnsiTheme="majorHAnsi" w:cstheme="majorHAnsi"/>
          <w:color w:val="auto"/>
          <w:sz w:val="28"/>
          <w:szCs w:val="28"/>
        </w:rPr>
        <w:tab/>
        <w:t>Date 21</w:t>
      </w:r>
      <w:r w:rsidR="00E329B5">
        <w:rPr>
          <w:rFonts w:asciiTheme="majorHAnsi" w:hAnsiTheme="majorHAnsi" w:cstheme="majorHAnsi"/>
          <w:color w:val="auto"/>
          <w:sz w:val="28"/>
          <w:szCs w:val="28"/>
        </w:rPr>
        <w:t>/01/2018</w:t>
      </w:r>
    </w:p>
    <w:sdt>
      <w:sdtPr>
        <w:rPr>
          <w:rFonts w:asciiTheme="minorHAnsi" w:eastAsiaTheme="minorHAnsi" w:hAnsiTheme="minorHAnsi" w:cstheme="minorBidi"/>
          <w:color w:val="auto"/>
          <w:sz w:val="22"/>
          <w:szCs w:val="22"/>
          <w:lang w:val="en-GB"/>
        </w:rPr>
        <w:id w:val="2110156482"/>
        <w:docPartObj>
          <w:docPartGallery w:val="Table of Contents"/>
          <w:docPartUnique/>
        </w:docPartObj>
      </w:sdtPr>
      <w:sdtEndPr>
        <w:rPr>
          <w:b/>
          <w:bCs/>
          <w:noProof/>
        </w:rPr>
      </w:sdtEndPr>
      <w:sdtContent>
        <w:p w:rsidR="00A33AD5" w:rsidRDefault="00A33AD5">
          <w:pPr>
            <w:pStyle w:val="TOCHeading"/>
          </w:pPr>
          <w:r>
            <w:t>Table of Contents</w:t>
          </w:r>
        </w:p>
        <w:p w:rsidR="00162CAE" w:rsidRDefault="00A33AD5">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162CAE" w:rsidRPr="0080667A">
            <w:rPr>
              <w:rStyle w:val="Hyperlink"/>
              <w:noProof/>
            </w:rPr>
            <w:fldChar w:fldCharType="begin"/>
          </w:r>
          <w:r w:rsidR="00162CAE" w:rsidRPr="0080667A">
            <w:rPr>
              <w:rStyle w:val="Hyperlink"/>
              <w:noProof/>
            </w:rPr>
            <w:instrText xml:space="preserve"> </w:instrText>
          </w:r>
          <w:r w:rsidR="00162CAE">
            <w:rPr>
              <w:noProof/>
            </w:rPr>
            <w:instrText>HYPERLINK \l "_Toc504338569"</w:instrText>
          </w:r>
          <w:r w:rsidR="00162CAE" w:rsidRPr="0080667A">
            <w:rPr>
              <w:rStyle w:val="Hyperlink"/>
              <w:noProof/>
            </w:rPr>
            <w:instrText xml:space="preserve"> </w:instrText>
          </w:r>
          <w:r w:rsidR="00162CAE" w:rsidRPr="0080667A">
            <w:rPr>
              <w:rStyle w:val="Hyperlink"/>
              <w:noProof/>
            </w:rPr>
          </w:r>
          <w:r w:rsidR="00162CAE" w:rsidRPr="0080667A">
            <w:rPr>
              <w:rStyle w:val="Hyperlink"/>
              <w:noProof/>
            </w:rPr>
            <w:fldChar w:fldCharType="separate"/>
          </w:r>
          <w:r w:rsidR="00162CAE" w:rsidRPr="0080667A">
            <w:rPr>
              <w:rStyle w:val="Hyperlink"/>
              <w:noProof/>
            </w:rPr>
            <w:t>Introduction</w:t>
          </w:r>
          <w:r w:rsidR="00162CAE">
            <w:rPr>
              <w:noProof/>
              <w:webHidden/>
            </w:rPr>
            <w:tab/>
          </w:r>
          <w:r w:rsidR="00162CAE">
            <w:rPr>
              <w:noProof/>
              <w:webHidden/>
            </w:rPr>
            <w:fldChar w:fldCharType="begin"/>
          </w:r>
          <w:r w:rsidR="00162CAE">
            <w:rPr>
              <w:noProof/>
              <w:webHidden/>
            </w:rPr>
            <w:instrText xml:space="preserve"> PAGEREF _Toc504338569 \h </w:instrText>
          </w:r>
          <w:r w:rsidR="00162CAE">
            <w:rPr>
              <w:noProof/>
              <w:webHidden/>
            </w:rPr>
          </w:r>
          <w:r w:rsidR="00162CAE">
            <w:rPr>
              <w:noProof/>
              <w:webHidden/>
            </w:rPr>
            <w:fldChar w:fldCharType="separate"/>
          </w:r>
          <w:r w:rsidR="00162CAE">
            <w:rPr>
              <w:noProof/>
              <w:webHidden/>
            </w:rPr>
            <w:t>3</w:t>
          </w:r>
          <w:r w:rsidR="00162CAE">
            <w:rPr>
              <w:noProof/>
              <w:webHidden/>
            </w:rPr>
            <w:fldChar w:fldCharType="end"/>
          </w:r>
          <w:r w:rsidR="00162CAE" w:rsidRPr="0080667A">
            <w:rPr>
              <w:rStyle w:val="Hyperlink"/>
              <w:noProof/>
            </w:rPr>
            <w:fldChar w:fldCharType="end"/>
          </w:r>
        </w:p>
        <w:p w:rsidR="00162CAE" w:rsidRDefault="00162CAE">
          <w:pPr>
            <w:pStyle w:val="TOC2"/>
            <w:tabs>
              <w:tab w:val="right" w:leader="dot" w:pos="9016"/>
            </w:tabs>
            <w:rPr>
              <w:rFonts w:eastAsiaTheme="minorEastAsia"/>
              <w:noProof/>
              <w:lang w:eastAsia="en-GB"/>
            </w:rPr>
          </w:pPr>
          <w:hyperlink w:anchor="_Toc504338570" w:history="1">
            <w:r w:rsidRPr="0080667A">
              <w:rPr>
                <w:rStyle w:val="Hyperlink"/>
                <w:noProof/>
              </w:rPr>
              <w:t>2.0 The Forces Shaping the HR Agenda</w:t>
            </w:r>
            <w:r>
              <w:rPr>
                <w:noProof/>
                <w:webHidden/>
              </w:rPr>
              <w:tab/>
            </w:r>
            <w:r>
              <w:rPr>
                <w:noProof/>
                <w:webHidden/>
              </w:rPr>
              <w:fldChar w:fldCharType="begin"/>
            </w:r>
            <w:r>
              <w:rPr>
                <w:noProof/>
                <w:webHidden/>
              </w:rPr>
              <w:instrText xml:space="preserve"> PAGEREF _Toc504338570 \h </w:instrText>
            </w:r>
            <w:r>
              <w:rPr>
                <w:noProof/>
                <w:webHidden/>
              </w:rPr>
            </w:r>
            <w:r>
              <w:rPr>
                <w:noProof/>
                <w:webHidden/>
              </w:rPr>
              <w:fldChar w:fldCharType="separate"/>
            </w:r>
            <w:r>
              <w:rPr>
                <w:noProof/>
                <w:webHidden/>
              </w:rPr>
              <w:t>4</w:t>
            </w:r>
            <w:r>
              <w:rPr>
                <w:noProof/>
                <w:webHidden/>
              </w:rPr>
              <w:fldChar w:fldCharType="end"/>
            </w:r>
          </w:hyperlink>
        </w:p>
        <w:p w:rsidR="00162CAE" w:rsidRDefault="00162CAE">
          <w:pPr>
            <w:pStyle w:val="TOC3"/>
            <w:tabs>
              <w:tab w:val="right" w:leader="dot" w:pos="9016"/>
            </w:tabs>
            <w:rPr>
              <w:rFonts w:eastAsiaTheme="minorEastAsia"/>
              <w:noProof/>
              <w:lang w:eastAsia="en-GB"/>
            </w:rPr>
          </w:pPr>
          <w:hyperlink w:anchor="_Toc504338571" w:history="1">
            <w:r w:rsidRPr="0080667A">
              <w:rPr>
                <w:rStyle w:val="Hyperlink"/>
                <w:noProof/>
              </w:rPr>
              <w:t>2.1 Models of HR Function</w:t>
            </w:r>
            <w:r>
              <w:rPr>
                <w:noProof/>
                <w:webHidden/>
              </w:rPr>
              <w:tab/>
            </w:r>
            <w:r>
              <w:rPr>
                <w:noProof/>
                <w:webHidden/>
              </w:rPr>
              <w:fldChar w:fldCharType="begin"/>
            </w:r>
            <w:r>
              <w:rPr>
                <w:noProof/>
                <w:webHidden/>
              </w:rPr>
              <w:instrText xml:space="preserve"> PAGEREF _Toc504338571 \h </w:instrText>
            </w:r>
            <w:r>
              <w:rPr>
                <w:noProof/>
                <w:webHidden/>
              </w:rPr>
            </w:r>
            <w:r>
              <w:rPr>
                <w:noProof/>
                <w:webHidden/>
              </w:rPr>
              <w:fldChar w:fldCharType="separate"/>
            </w:r>
            <w:r>
              <w:rPr>
                <w:noProof/>
                <w:webHidden/>
              </w:rPr>
              <w:t>5</w:t>
            </w:r>
            <w:r>
              <w:rPr>
                <w:noProof/>
                <w:webHidden/>
              </w:rPr>
              <w:fldChar w:fldCharType="end"/>
            </w:r>
          </w:hyperlink>
        </w:p>
        <w:p w:rsidR="00162CAE" w:rsidRDefault="00162CAE">
          <w:pPr>
            <w:pStyle w:val="TOC3"/>
            <w:tabs>
              <w:tab w:val="right" w:leader="dot" w:pos="9016"/>
            </w:tabs>
            <w:rPr>
              <w:rFonts w:eastAsiaTheme="minorEastAsia"/>
              <w:noProof/>
              <w:lang w:eastAsia="en-GB"/>
            </w:rPr>
          </w:pPr>
          <w:hyperlink w:anchor="_Toc504338572" w:history="1">
            <w:r w:rsidRPr="0080667A">
              <w:rPr>
                <w:rStyle w:val="Hyperlink"/>
                <w:noProof/>
              </w:rPr>
              <w:t>2.1.1 HR Strategies, Insights and Solutions</w:t>
            </w:r>
            <w:r>
              <w:rPr>
                <w:noProof/>
                <w:webHidden/>
              </w:rPr>
              <w:tab/>
            </w:r>
            <w:r>
              <w:rPr>
                <w:noProof/>
                <w:webHidden/>
              </w:rPr>
              <w:fldChar w:fldCharType="begin"/>
            </w:r>
            <w:r>
              <w:rPr>
                <w:noProof/>
                <w:webHidden/>
              </w:rPr>
              <w:instrText xml:space="preserve"> PAGEREF _Toc504338572 \h </w:instrText>
            </w:r>
            <w:r>
              <w:rPr>
                <w:noProof/>
                <w:webHidden/>
              </w:rPr>
            </w:r>
            <w:r>
              <w:rPr>
                <w:noProof/>
                <w:webHidden/>
              </w:rPr>
              <w:fldChar w:fldCharType="separate"/>
            </w:r>
            <w:r>
              <w:rPr>
                <w:noProof/>
                <w:webHidden/>
              </w:rPr>
              <w:t>5</w:t>
            </w:r>
            <w:r>
              <w:rPr>
                <w:noProof/>
                <w:webHidden/>
              </w:rPr>
              <w:fldChar w:fldCharType="end"/>
            </w:r>
          </w:hyperlink>
        </w:p>
        <w:p w:rsidR="00162CAE" w:rsidRDefault="00162CAE">
          <w:pPr>
            <w:pStyle w:val="TOC2"/>
            <w:tabs>
              <w:tab w:val="right" w:leader="dot" w:pos="9016"/>
            </w:tabs>
            <w:rPr>
              <w:rFonts w:eastAsiaTheme="minorEastAsia"/>
              <w:noProof/>
              <w:lang w:eastAsia="en-GB"/>
            </w:rPr>
          </w:pPr>
          <w:hyperlink w:anchor="_Toc504338573" w:history="1">
            <w:r w:rsidRPr="0080667A">
              <w:rPr>
                <w:rStyle w:val="Hyperlink"/>
                <w:noProof/>
              </w:rPr>
              <w:t>2.2 Tools for Analysing the Business Environment</w:t>
            </w:r>
            <w:r>
              <w:rPr>
                <w:noProof/>
                <w:webHidden/>
              </w:rPr>
              <w:tab/>
            </w:r>
            <w:r>
              <w:rPr>
                <w:noProof/>
                <w:webHidden/>
              </w:rPr>
              <w:fldChar w:fldCharType="begin"/>
            </w:r>
            <w:r>
              <w:rPr>
                <w:noProof/>
                <w:webHidden/>
              </w:rPr>
              <w:instrText xml:space="preserve"> PAGEREF _Toc504338573 \h </w:instrText>
            </w:r>
            <w:r>
              <w:rPr>
                <w:noProof/>
                <w:webHidden/>
              </w:rPr>
            </w:r>
            <w:r>
              <w:rPr>
                <w:noProof/>
                <w:webHidden/>
              </w:rPr>
              <w:fldChar w:fldCharType="separate"/>
            </w:r>
            <w:r>
              <w:rPr>
                <w:noProof/>
                <w:webHidden/>
              </w:rPr>
              <w:t>5</w:t>
            </w:r>
            <w:r>
              <w:rPr>
                <w:noProof/>
                <w:webHidden/>
              </w:rPr>
              <w:fldChar w:fldCharType="end"/>
            </w:r>
          </w:hyperlink>
        </w:p>
        <w:p w:rsidR="00162CAE" w:rsidRDefault="00162CAE">
          <w:pPr>
            <w:pStyle w:val="TOC3"/>
            <w:tabs>
              <w:tab w:val="left" w:pos="1100"/>
              <w:tab w:val="right" w:leader="dot" w:pos="9016"/>
            </w:tabs>
            <w:rPr>
              <w:rFonts w:eastAsiaTheme="minorEastAsia"/>
              <w:noProof/>
              <w:lang w:eastAsia="en-GB"/>
            </w:rPr>
          </w:pPr>
          <w:hyperlink w:anchor="_Toc504338574" w:history="1">
            <w:r w:rsidRPr="0080667A">
              <w:rPr>
                <w:rStyle w:val="Hyperlink"/>
                <w:noProof/>
              </w:rPr>
              <w:t>1.1</w:t>
            </w:r>
            <w:r>
              <w:rPr>
                <w:rFonts w:eastAsiaTheme="minorEastAsia"/>
                <w:noProof/>
                <w:lang w:eastAsia="en-GB"/>
              </w:rPr>
              <w:tab/>
            </w:r>
            <w:r w:rsidRPr="0080667A">
              <w:rPr>
                <w:rStyle w:val="Hyperlink"/>
                <w:noProof/>
              </w:rPr>
              <w:t>Factors Impacting an Organisation’s Business and HR Function</w:t>
            </w:r>
            <w:r>
              <w:rPr>
                <w:noProof/>
                <w:webHidden/>
              </w:rPr>
              <w:tab/>
            </w:r>
            <w:r>
              <w:rPr>
                <w:noProof/>
                <w:webHidden/>
              </w:rPr>
              <w:fldChar w:fldCharType="begin"/>
            </w:r>
            <w:r>
              <w:rPr>
                <w:noProof/>
                <w:webHidden/>
              </w:rPr>
              <w:instrText xml:space="preserve"> PAGEREF _Toc504338574 \h </w:instrText>
            </w:r>
            <w:r>
              <w:rPr>
                <w:noProof/>
                <w:webHidden/>
              </w:rPr>
            </w:r>
            <w:r>
              <w:rPr>
                <w:noProof/>
                <w:webHidden/>
              </w:rPr>
              <w:fldChar w:fldCharType="separate"/>
            </w:r>
            <w:r>
              <w:rPr>
                <w:noProof/>
                <w:webHidden/>
              </w:rPr>
              <w:t>9</w:t>
            </w:r>
            <w:r>
              <w:rPr>
                <w:noProof/>
                <w:webHidden/>
              </w:rPr>
              <w:fldChar w:fldCharType="end"/>
            </w:r>
          </w:hyperlink>
        </w:p>
        <w:p w:rsidR="00162CAE" w:rsidRDefault="00162CAE">
          <w:pPr>
            <w:pStyle w:val="TOC2"/>
            <w:tabs>
              <w:tab w:val="right" w:leader="dot" w:pos="9016"/>
            </w:tabs>
            <w:rPr>
              <w:rFonts w:eastAsiaTheme="minorEastAsia"/>
              <w:noProof/>
              <w:lang w:eastAsia="en-GB"/>
            </w:rPr>
          </w:pPr>
          <w:hyperlink w:anchor="_Toc504338575" w:history="1">
            <w:r w:rsidRPr="0080667A">
              <w:rPr>
                <w:rStyle w:val="Hyperlink"/>
                <w:noProof/>
              </w:rPr>
              <w:t>2.3 Key Stages in Strategy Formulation</w:t>
            </w:r>
            <w:r>
              <w:rPr>
                <w:noProof/>
                <w:webHidden/>
              </w:rPr>
              <w:tab/>
            </w:r>
            <w:r>
              <w:rPr>
                <w:noProof/>
                <w:webHidden/>
              </w:rPr>
              <w:fldChar w:fldCharType="begin"/>
            </w:r>
            <w:r>
              <w:rPr>
                <w:noProof/>
                <w:webHidden/>
              </w:rPr>
              <w:instrText xml:space="preserve"> PAGEREF _Toc504338575 \h </w:instrText>
            </w:r>
            <w:r>
              <w:rPr>
                <w:noProof/>
                <w:webHidden/>
              </w:rPr>
            </w:r>
            <w:r>
              <w:rPr>
                <w:noProof/>
                <w:webHidden/>
              </w:rPr>
              <w:fldChar w:fldCharType="separate"/>
            </w:r>
            <w:r>
              <w:rPr>
                <w:noProof/>
                <w:webHidden/>
              </w:rPr>
              <w:t>10</w:t>
            </w:r>
            <w:r>
              <w:rPr>
                <w:noProof/>
                <w:webHidden/>
              </w:rPr>
              <w:fldChar w:fldCharType="end"/>
            </w:r>
          </w:hyperlink>
        </w:p>
        <w:p w:rsidR="00162CAE" w:rsidRDefault="00162CAE">
          <w:pPr>
            <w:pStyle w:val="TOC3"/>
            <w:tabs>
              <w:tab w:val="right" w:leader="dot" w:pos="9016"/>
            </w:tabs>
            <w:rPr>
              <w:rFonts w:eastAsiaTheme="minorEastAsia"/>
              <w:noProof/>
              <w:lang w:eastAsia="en-GB"/>
            </w:rPr>
          </w:pPr>
          <w:hyperlink w:anchor="_Toc504338576" w:history="1">
            <w:r w:rsidRPr="0080667A">
              <w:rPr>
                <w:rStyle w:val="Hyperlink"/>
                <w:noProof/>
              </w:rPr>
              <w:t>2.3.1 Business Ethics and Accountability</w:t>
            </w:r>
            <w:r>
              <w:rPr>
                <w:noProof/>
                <w:webHidden/>
              </w:rPr>
              <w:tab/>
            </w:r>
            <w:r>
              <w:rPr>
                <w:noProof/>
                <w:webHidden/>
              </w:rPr>
              <w:fldChar w:fldCharType="begin"/>
            </w:r>
            <w:r>
              <w:rPr>
                <w:noProof/>
                <w:webHidden/>
              </w:rPr>
              <w:instrText xml:space="preserve"> PAGEREF _Toc504338576 \h </w:instrText>
            </w:r>
            <w:r>
              <w:rPr>
                <w:noProof/>
                <w:webHidden/>
              </w:rPr>
            </w:r>
            <w:r>
              <w:rPr>
                <w:noProof/>
                <w:webHidden/>
              </w:rPr>
              <w:fldChar w:fldCharType="separate"/>
            </w:r>
            <w:r>
              <w:rPr>
                <w:noProof/>
                <w:webHidden/>
              </w:rPr>
              <w:t>11</w:t>
            </w:r>
            <w:r>
              <w:rPr>
                <w:noProof/>
                <w:webHidden/>
              </w:rPr>
              <w:fldChar w:fldCharType="end"/>
            </w:r>
          </w:hyperlink>
        </w:p>
        <w:p w:rsidR="00162CAE" w:rsidRDefault="00162CAE">
          <w:pPr>
            <w:pStyle w:val="TOC2"/>
            <w:tabs>
              <w:tab w:val="right" w:leader="dot" w:pos="9016"/>
            </w:tabs>
            <w:rPr>
              <w:rFonts w:eastAsiaTheme="minorEastAsia"/>
              <w:noProof/>
              <w:lang w:eastAsia="en-GB"/>
            </w:rPr>
          </w:pPr>
          <w:hyperlink w:anchor="_Toc504338577" w:history="1">
            <w:r w:rsidRPr="0080667A">
              <w:rPr>
                <w:rStyle w:val="Hyperlink"/>
                <w:noProof/>
              </w:rPr>
              <w:t>3.1 Business Performance and the Role of HR in Business Planning and the Change Management Agenda</w:t>
            </w:r>
            <w:r>
              <w:rPr>
                <w:noProof/>
                <w:webHidden/>
              </w:rPr>
              <w:tab/>
            </w:r>
            <w:r>
              <w:rPr>
                <w:noProof/>
                <w:webHidden/>
              </w:rPr>
              <w:fldChar w:fldCharType="begin"/>
            </w:r>
            <w:r>
              <w:rPr>
                <w:noProof/>
                <w:webHidden/>
              </w:rPr>
              <w:instrText xml:space="preserve"> PAGEREF _Toc504338577 \h </w:instrText>
            </w:r>
            <w:r>
              <w:rPr>
                <w:noProof/>
                <w:webHidden/>
              </w:rPr>
            </w:r>
            <w:r>
              <w:rPr>
                <w:noProof/>
                <w:webHidden/>
              </w:rPr>
              <w:fldChar w:fldCharType="separate"/>
            </w:r>
            <w:r>
              <w:rPr>
                <w:noProof/>
                <w:webHidden/>
              </w:rPr>
              <w:t>11</w:t>
            </w:r>
            <w:r>
              <w:rPr>
                <w:noProof/>
                <w:webHidden/>
              </w:rPr>
              <w:fldChar w:fldCharType="end"/>
            </w:r>
          </w:hyperlink>
        </w:p>
        <w:p w:rsidR="00162CAE" w:rsidRDefault="00162CAE">
          <w:pPr>
            <w:pStyle w:val="TOC2"/>
            <w:tabs>
              <w:tab w:val="right" w:leader="dot" w:pos="9016"/>
            </w:tabs>
            <w:rPr>
              <w:rFonts w:eastAsiaTheme="minorEastAsia"/>
              <w:noProof/>
              <w:lang w:eastAsia="en-GB"/>
            </w:rPr>
          </w:pPr>
          <w:hyperlink w:anchor="_Toc504338578" w:history="1">
            <w:r w:rsidRPr="0080667A">
              <w:rPr>
                <w:rStyle w:val="Hyperlink"/>
                <w:noProof/>
              </w:rPr>
              <w:t>3.2 Sources of Business and Contextual Data</w:t>
            </w:r>
            <w:r>
              <w:rPr>
                <w:noProof/>
                <w:webHidden/>
              </w:rPr>
              <w:tab/>
            </w:r>
            <w:r>
              <w:rPr>
                <w:noProof/>
                <w:webHidden/>
              </w:rPr>
              <w:fldChar w:fldCharType="begin"/>
            </w:r>
            <w:r>
              <w:rPr>
                <w:noProof/>
                <w:webHidden/>
              </w:rPr>
              <w:instrText xml:space="preserve"> PAGEREF _Toc504338578 \h </w:instrText>
            </w:r>
            <w:r>
              <w:rPr>
                <w:noProof/>
                <w:webHidden/>
              </w:rPr>
            </w:r>
            <w:r>
              <w:rPr>
                <w:noProof/>
                <w:webHidden/>
              </w:rPr>
              <w:fldChar w:fldCharType="separate"/>
            </w:r>
            <w:r>
              <w:rPr>
                <w:noProof/>
                <w:webHidden/>
              </w:rPr>
              <w:t>12</w:t>
            </w:r>
            <w:r>
              <w:rPr>
                <w:noProof/>
                <w:webHidden/>
              </w:rPr>
              <w:fldChar w:fldCharType="end"/>
            </w:r>
          </w:hyperlink>
        </w:p>
        <w:p w:rsidR="00162CAE" w:rsidRDefault="00162CAE">
          <w:pPr>
            <w:pStyle w:val="TOC2"/>
            <w:tabs>
              <w:tab w:val="right" w:leader="dot" w:pos="9016"/>
            </w:tabs>
            <w:rPr>
              <w:rFonts w:eastAsiaTheme="minorEastAsia"/>
              <w:noProof/>
              <w:lang w:eastAsia="en-GB"/>
            </w:rPr>
          </w:pPr>
          <w:hyperlink w:anchor="_Toc504338579" w:history="1">
            <w:r w:rsidRPr="0080667A">
              <w:rPr>
                <w:rStyle w:val="Hyperlink"/>
                <w:noProof/>
              </w:rPr>
              <w:t>Conclusion</w:t>
            </w:r>
            <w:r>
              <w:rPr>
                <w:noProof/>
                <w:webHidden/>
              </w:rPr>
              <w:tab/>
            </w:r>
            <w:r>
              <w:rPr>
                <w:noProof/>
                <w:webHidden/>
              </w:rPr>
              <w:fldChar w:fldCharType="begin"/>
            </w:r>
            <w:r>
              <w:rPr>
                <w:noProof/>
                <w:webHidden/>
              </w:rPr>
              <w:instrText xml:space="preserve"> PAGEREF _Toc504338579 \h </w:instrText>
            </w:r>
            <w:r>
              <w:rPr>
                <w:noProof/>
                <w:webHidden/>
              </w:rPr>
            </w:r>
            <w:r>
              <w:rPr>
                <w:noProof/>
                <w:webHidden/>
              </w:rPr>
              <w:fldChar w:fldCharType="separate"/>
            </w:r>
            <w:r>
              <w:rPr>
                <w:noProof/>
                <w:webHidden/>
              </w:rPr>
              <w:t>12</w:t>
            </w:r>
            <w:r>
              <w:rPr>
                <w:noProof/>
                <w:webHidden/>
              </w:rPr>
              <w:fldChar w:fldCharType="end"/>
            </w:r>
          </w:hyperlink>
        </w:p>
        <w:p w:rsidR="00162CAE" w:rsidRDefault="00162CAE">
          <w:pPr>
            <w:pStyle w:val="TOC1"/>
            <w:tabs>
              <w:tab w:val="right" w:leader="dot" w:pos="9016"/>
            </w:tabs>
            <w:rPr>
              <w:rFonts w:eastAsiaTheme="minorEastAsia"/>
              <w:noProof/>
              <w:lang w:eastAsia="en-GB"/>
            </w:rPr>
          </w:pPr>
          <w:hyperlink w:anchor="_Toc504338580" w:history="1">
            <w:r w:rsidRPr="0080667A">
              <w:rPr>
                <w:rStyle w:val="Hyperlink"/>
                <w:noProof/>
              </w:rPr>
              <w:t>Bibliography</w:t>
            </w:r>
            <w:r>
              <w:rPr>
                <w:noProof/>
                <w:webHidden/>
              </w:rPr>
              <w:tab/>
            </w:r>
            <w:r>
              <w:rPr>
                <w:noProof/>
                <w:webHidden/>
              </w:rPr>
              <w:fldChar w:fldCharType="begin"/>
            </w:r>
            <w:r>
              <w:rPr>
                <w:noProof/>
                <w:webHidden/>
              </w:rPr>
              <w:instrText xml:space="preserve"> PAGEREF _Toc504338580 \h </w:instrText>
            </w:r>
            <w:r>
              <w:rPr>
                <w:noProof/>
                <w:webHidden/>
              </w:rPr>
            </w:r>
            <w:r>
              <w:rPr>
                <w:noProof/>
                <w:webHidden/>
              </w:rPr>
              <w:fldChar w:fldCharType="separate"/>
            </w:r>
            <w:r>
              <w:rPr>
                <w:noProof/>
                <w:webHidden/>
              </w:rPr>
              <w:t>13</w:t>
            </w:r>
            <w:r>
              <w:rPr>
                <w:noProof/>
                <w:webHidden/>
              </w:rPr>
              <w:fldChar w:fldCharType="end"/>
            </w:r>
          </w:hyperlink>
        </w:p>
        <w:p w:rsidR="00A33AD5" w:rsidRDefault="00A33AD5">
          <w:r>
            <w:rPr>
              <w:b/>
              <w:bCs/>
              <w:noProof/>
            </w:rPr>
            <w:fldChar w:fldCharType="end"/>
          </w:r>
        </w:p>
      </w:sdtContent>
    </w:sdt>
    <w:p w:rsidR="00A33AD5" w:rsidRDefault="00A33AD5"/>
    <w:p w:rsidR="00A33AD5" w:rsidRDefault="00A33AD5"/>
    <w:p w:rsidR="00A33AD5" w:rsidRDefault="00A33AD5"/>
    <w:p w:rsidR="00A33AD5" w:rsidRDefault="00A33AD5"/>
    <w:p w:rsidR="00A33AD5" w:rsidRDefault="00A33AD5"/>
    <w:p w:rsidR="00A33AD5" w:rsidRDefault="00A33AD5"/>
    <w:p w:rsidR="00A33AD5" w:rsidRDefault="00A33AD5"/>
    <w:p w:rsidR="00A33AD5" w:rsidRDefault="00A33AD5"/>
    <w:p w:rsidR="00A33AD5" w:rsidRDefault="00A33AD5"/>
    <w:p w:rsidR="00A33AD5" w:rsidRDefault="00A33AD5"/>
    <w:p w:rsidR="00A33AD5" w:rsidRDefault="00A33AD5"/>
    <w:p w:rsidR="00A33AD5" w:rsidRDefault="00A33AD5"/>
    <w:p w:rsidR="00A33AD5" w:rsidRDefault="00A33AD5"/>
    <w:p w:rsidR="00A33AD5" w:rsidRDefault="00A33AD5"/>
    <w:p w:rsidR="00A33AD5" w:rsidRDefault="00A33AD5"/>
    <w:p w:rsidR="00A33AD5" w:rsidRDefault="00A33AD5"/>
    <w:p w:rsidR="00A33AD5" w:rsidRDefault="00A33AD5"/>
    <w:p w:rsidR="00B90E50" w:rsidRDefault="00A33AD5" w:rsidP="00A33AD5">
      <w:pPr>
        <w:pStyle w:val="Heading2"/>
      </w:pPr>
      <w:bookmarkStart w:id="1" w:name="_Toc504338569"/>
      <w:r>
        <w:lastRenderedPageBreak/>
        <w:t>In</w:t>
      </w:r>
      <w:r w:rsidR="00E329B5">
        <w:t>troduction</w:t>
      </w:r>
      <w:bookmarkEnd w:id="1"/>
    </w:p>
    <w:p w:rsidR="00B86B97" w:rsidRPr="0065527C" w:rsidRDefault="00B86B97" w:rsidP="00B86B97">
      <w:r>
        <w:t>This paper will analyse the evolving role of HR by also analysing the different tools used within a HR department at an organisation that helps day-to-day activities and in achieving the objectives and strategies. The paper looks into several common HR models used to identify internal and external factors that could benefit and be a threat towards any organisation but allows the business to manage change in order to compete with the ever adapting world of business and accounting for the business’ ethics and accountabilities.</w:t>
      </w:r>
    </w:p>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894E03" w:rsidRDefault="00894E03"/>
    <w:p w:rsidR="00E329B5" w:rsidRDefault="0024161E" w:rsidP="00A33AD5">
      <w:pPr>
        <w:pStyle w:val="Heading2"/>
      </w:pPr>
      <w:bookmarkStart w:id="2" w:name="_Toc504338570"/>
      <w:r>
        <w:t>2.0</w:t>
      </w:r>
      <w:r w:rsidR="00A826BF" w:rsidRPr="00800965">
        <w:t xml:space="preserve"> The Forces Shaping the HR Agenda</w:t>
      </w:r>
      <w:bookmarkEnd w:id="2"/>
    </w:p>
    <w:p w:rsidR="009F603B" w:rsidRDefault="009F603B" w:rsidP="009F603B">
      <w:r>
        <w:t>HR in context is the link between HRM, the environment and the organisation</w:t>
      </w:r>
      <w:sdt>
        <w:sdtPr>
          <w:id w:val="1277528297"/>
          <w:citation/>
        </w:sdtPr>
        <w:sdtContent>
          <w:r>
            <w:fldChar w:fldCharType="begin"/>
          </w:r>
          <w:r>
            <w:instrText xml:space="preserve"> CITATION Kew16 \l 2057 </w:instrText>
          </w:r>
          <w:r>
            <w:fldChar w:fldCharType="separate"/>
          </w:r>
          <w:r>
            <w:rPr>
              <w:noProof/>
            </w:rPr>
            <w:t xml:space="preserve"> </w:t>
          </w:r>
          <w:r w:rsidRPr="00BA2B67">
            <w:rPr>
              <w:noProof/>
            </w:rPr>
            <w:t>(Kew &amp; Stredwick, 2016)</w:t>
          </w:r>
          <w:r>
            <w:fldChar w:fldCharType="end"/>
          </w:r>
        </w:sdtContent>
      </w:sdt>
      <w:r>
        <w:t xml:space="preserve">. </w:t>
      </w:r>
    </w:p>
    <w:p w:rsidR="00C0252A" w:rsidRPr="00800965" w:rsidRDefault="009F603B">
      <w:r>
        <w:t xml:space="preserve"> </w:t>
      </w:r>
      <w:r w:rsidR="0024161E" w:rsidRPr="00800965">
        <w:t xml:space="preserve"> </w:t>
      </w:r>
      <w:r w:rsidR="00385DB4" w:rsidRPr="00800965">
        <w:t xml:space="preserve">“HR practitioners are increasingly required to understand how to strategically manage human resources in line with an organisation’s intended future direction” </w:t>
      </w:r>
      <w:sdt>
        <w:sdtPr>
          <w:id w:val="-2122604144"/>
          <w:citation/>
        </w:sdtPr>
        <w:sdtContent>
          <w:r w:rsidR="00385DB4" w:rsidRPr="00800965">
            <w:fldChar w:fldCharType="begin"/>
          </w:r>
          <w:r w:rsidR="00385DB4" w:rsidRPr="00800965">
            <w:instrText xml:space="preserve"> CITATION CIP174 \l 2057 </w:instrText>
          </w:r>
          <w:r w:rsidR="00385DB4" w:rsidRPr="00800965">
            <w:fldChar w:fldCharType="separate"/>
          </w:r>
          <w:r w:rsidR="00BA2B67" w:rsidRPr="00BA2B67">
            <w:rPr>
              <w:noProof/>
            </w:rPr>
            <w:t>(CIPD, 2017)</w:t>
          </w:r>
          <w:r w:rsidR="00385DB4" w:rsidRPr="00800965">
            <w:fldChar w:fldCharType="end"/>
          </w:r>
        </w:sdtContent>
      </w:sdt>
      <w:r w:rsidR="00800965" w:rsidRPr="00800965">
        <w:t xml:space="preserve">. </w:t>
      </w:r>
      <w:r w:rsidR="00800965">
        <w:t xml:space="preserve">The strategies developed in HR focus on long term resourcing issues whilst taking into consideration the organisation’s goals </w:t>
      </w:r>
      <w:sdt>
        <w:sdtPr>
          <w:id w:val="1508865521"/>
          <w:citation/>
        </w:sdtPr>
        <w:sdtContent>
          <w:r w:rsidR="00800965">
            <w:fldChar w:fldCharType="begin"/>
          </w:r>
          <w:r w:rsidR="00800965">
            <w:instrText xml:space="preserve"> CITATION CIP175 \l 2057 </w:instrText>
          </w:r>
          <w:r w:rsidR="00800965">
            <w:fldChar w:fldCharType="separate"/>
          </w:r>
          <w:r w:rsidR="00BA2B67" w:rsidRPr="00BA2B67">
            <w:rPr>
              <w:noProof/>
            </w:rPr>
            <w:t>(CIPD, 2017)</w:t>
          </w:r>
          <w:r w:rsidR="00800965">
            <w:fldChar w:fldCharType="end"/>
          </w:r>
        </w:sdtContent>
      </w:sdt>
      <w:r w:rsidR="00800965">
        <w:t xml:space="preserve">. </w:t>
      </w:r>
    </w:p>
    <w:p w:rsidR="00800965" w:rsidRDefault="00800965">
      <w:r>
        <w:rPr>
          <w:noProof/>
        </w:rPr>
        <w:t>Kew &amp; Stredwick (2016)</w:t>
      </w:r>
      <w:r>
        <w:t xml:space="preserve"> analyse secondary research and cite that the 5 forces that shape the HR agenda include:</w:t>
      </w:r>
    </w:p>
    <w:p w:rsidR="00800965" w:rsidRDefault="00800965" w:rsidP="00800965">
      <w:pPr>
        <w:pStyle w:val="ListParagraph"/>
        <w:numPr>
          <w:ilvl w:val="0"/>
          <w:numId w:val="1"/>
        </w:numPr>
      </w:pPr>
      <w:r>
        <w:t>leadership capability</w:t>
      </w:r>
      <w:r w:rsidRPr="00800965">
        <w:t xml:space="preserve"> </w:t>
      </w:r>
    </w:p>
    <w:p w:rsidR="00800965" w:rsidRDefault="00800965" w:rsidP="00800965">
      <w:pPr>
        <w:pStyle w:val="ListParagraph"/>
        <w:numPr>
          <w:ilvl w:val="0"/>
          <w:numId w:val="1"/>
        </w:numPr>
      </w:pPr>
      <w:r w:rsidRPr="00800965">
        <w:t xml:space="preserve">economic uncertainty </w:t>
      </w:r>
    </w:p>
    <w:p w:rsidR="00800965" w:rsidRDefault="00800965" w:rsidP="00800965">
      <w:pPr>
        <w:pStyle w:val="ListParagraph"/>
        <w:numPr>
          <w:ilvl w:val="0"/>
          <w:numId w:val="1"/>
        </w:numPr>
      </w:pPr>
      <w:r w:rsidRPr="00800965">
        <w:t xml:space="preserve">ensuring you have </w:t>
      </w:r>
      <w:r>
        <w:t>the skills and talents you need</w:t>
      </w:r>
      <w:r w:rsidRPr="00800965">
        <w:t xml:space="preserve"> </w:t>
      </w:r>
    </w:p>
    <w:p w:rsidR="00800965" w:rsidRDefault="00800965" w:rsidP="00800965">
      <w:pPr>
        <w:pStyle w:val="ListParagraph"/>
        <w:numPr>
          <w:ilvl w:val="0"/>
          <w:numId w:val="1"/>
        </w:numPr>
      </w:pPr>
      <w:r w:rsidRPr="00800965">
        <w:t xml:space="preserve">delivering on priorities with a limited budget </w:t>
      </w:r>
    </w:p>
    <w:p w:rsidR="00800965" w:rsidRDefault="00800965" w:rsidP="00800965">
      <w:pPr>
        <w:pStyle w:val="ListParagraph"/>
        <w:numPr>
          <w:ilvl w:val="0"/>
          <w:numId w:val="1"/>
        </w:numPr>
      </w:pPr>
      <w:r w:rsidRPr="00800965">
        <w:t>managing the cost base</w:t>
      </w:r>
    </w:p>
    <w:p w:rsidR="00F719CC" w:rsidRDefault="00C557A2" w:rsidP="00F719CC">
      <w:r>
        <w:t xml:space="preserve">The organisation size will impact the HR function </w:t>
      </w:r>
      <w:sdt>
        <w:sdtPr>
          <w:id w:val="1164128447"/>
          <w:citation/>
        </w:sdtPr>
        <w:sdtContent>
          <w:r>
            <w:fldChar w:fldCharType="begin"/>
          </w:r>
          <w:r>
            <w:instrText xml:space="preserve"> CITATION CIP15 \l 2057 </w:instrText>
          </w:r>
          <w:r>
            <w:fldChar w:fldCharType="separate"/>
          </w:r>
          <w:r w:rsidR="00BA2B67" w:rsidRPr="00BA2B67">
            <w:rPr>
              <w:noProof/>
            </w:rPr>
            <w:t>(CIPD, 2015)</w:t>
          </w:r>
          <w:r>
            <w:fldChar w:fldCharType="end"/>
          </w:r>
        </w:sdtContent>
      </w:sdt>
      <w:r>
        <w:t>.</w:t>
      </w:r>
      <w:r w:rsidR="00E65D1C">
        <w:t xml:space="preserve"> </w:t>
      </w:r>
    </w:p>
    <w:p w:rsidR="00E65D1C" w:rsidRPr="00E65D1C" w:rsidRDefault="00E65D1C" w:rsidP="00F719CC">
      <w:pPr>
        <w:rPr>
          <w:b/>
          <w:i/>
          <w:sz w:val="20"/>
        </w:rPr>
      </w:pPr>
      <w:r w:rsidRPr="00E65D1C">
        <w:rPr>
          <w:b/>
          <w:i/>
          <w:sz w:val="20"/>
        </w:rPr>
        <w:t xml:space="preserve">Figure 1: Organisation Sizes </w:t>
      </w:r>
      <w:sdt>
        <w:sdtPr>
          <w:rPr>
            <w:b/>
            <w:i/>
            <w:sz w:val="20"/>
          </w:rPr>
          <w:id w:val="-1480303237"/>
          <w:citation/>
        </w:sdtPr>
        <w:sdtContent>
          <w:r w:rsidRPr="00E65D1C">
            <w:rPr>
              <w:b/>
              <w:i/>
              <w:sz w:val="20"/>
            </w:rPr>
            <w:fldChar w:fldCharType="begin"/>
          </w:r>
          <w:r w:rsidRPr="00E65D1C">
            <w:rPr>
              <w:b/>
              <w:i/>
              <w:sz w:val="20"/>
            </w:rPr>
            <w:instrText xml:space="preserve"> CITATION War14 \l 2057 </w:instrText>
          </w:r>
          <w:r w:rsidRPr="00E65D1C">
            <w:rPr>
              <w:b/>
              <w:i/>
              <w:sz w:val="20"/>
            </w:rPr>
            <w:fldChar w:fldCharType="separate"/>
          </w:r>
          <w:r w:rsidR="00BA2B67" w:rsidRPr="00BA2B67">
            <w:rPr>
              <w:noProof/>
              <w:sz w:val="20"/>
            </w:rPr>
            <w:t>(Ward &amp; Rhodes, 2014)</w:t>
          </w:r>
          <w:r w:rsidRPr="00E65D1C">
            <w:rPr>
              <w:b/>
              <w:i/>
              <w:sz w:val="20"/>
            </w:rPr>
            <w:fldChar w:fldCharType="end"/>
          </w:r>
        </w:sdtContent>
      </w:sdt>
    </w:p>
    <w:tbl>
      <w:tblPr>
        <w:tblStyle w:val="PlainTable4"/>
        <w:tblW w:w="0" w:type="auto"/>
        <w:tblLook w:val="04A0" w:firstRow="1" w:lastRow="0" w:firstColumn="1" w:lastColumn="0" w:noHBand="0" w:noVBand="1"/>
      </w:tblPr>
      <w:tblGrid>
        <w:gridCol w:w="4508"/>
        <w:gridCol w:w="4508"/>
      </w:tblGrid>
      <w:tr w:rsidR="00E65D1C" w:rsidTr="00E65D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E65D1C" w:rsidRDefault="00E65D1C" w:rsidP="00F719CC">
            <w:r>
              <w:t>Organisation Size:</w:t>
            </w:r>
          </w:p>
        </w:tc>
        <w:tc>
          <w:tcPr>
            <w:tcW w:w="4508" w:type="dxa"/>
          </w:tcPr>
          <w:p w:rsidR="00E65D1C" w:rsidRDefault="00E65D1C" w:rsidP="00F719CC">
            <w:pPr>
              <w:cnfStyle w:val="100000000000" w:firstRow="1" w:lastRow="0" w:firstColumn="0" w:lastColumn="0" w:oddVBand="0" w:evenVBand="0" w:oddHBand="0" w:evenHBand="0" w:firstRowFirstColumn="0" w:firstRowLastColumn="0" w:lastRowFirstColumn="0" w:lastRowLastColumn="0"/>
            </w:pPr>
            <w:r>
              <w:t>Consisting of:</w:t>
            </w:r>
          </w:p>
        </w:tc>
      </w:tr>
      <w:tr w:rsidR="00E65D1C" w:rsidTr="00E65D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E65D1C" w:rsidRPr="00E65D1C" w:rsidRDefault="00E65D1C" w:rsidP="00F719CC">
            <w:pPr>
              <w:rPr>
                <w:b w:val="0"/>
              </w:rPr>
            </w:pPr>
            <w:r w:rsidRPr="00E65D1C">
              <w:rPr>
                <w:b w:val="0"/>
              </w:rPr>
              <w:t>Micro</w:t>
            </w:r>
          </w:p>
        </w:tc>
        <w:tc>
          <w:tcPr>
            <w:tcW w:w="4508" w:type="dxa"/>
          </w:tcPr>
          <w:p w:rsidR="00E65D1C" w:rsidRDefault="00E65D1C" w:rsidP="00F719CC">
            <w:pPr>
              <w:cnfStyle w:val="000000100000" w:firstRow="0" w:lastRow="0" w:firstColumn="0" w:lastColumn="0" w:oddVBand="0" w:evenVBand="0" w:oddHBand="1" w:evenHBand="0" w:firstRowFirstColumn="0" w:firstRowLastColumn="0" w:lastRowFirstColumn="0" w:lastRowLastColumn="0"/>
            </w:pPr>
            <w:r>
              <w:t>0-9 employees</w:t>
            </w:r>
          </w:p>
        </w:tc>
      </w:tr>
      <w:tr w:rsidR="00E65D1C" w:rsidTr="00E65D1C">
        <w:tc>
          <w:tcPr>
            <w:cnfStyle w:val="001000000000" w:firstRow="0" w:lastRow="0" w:firstColumn="1" w:lastColumn="0" w:oddVBand="0" w:evenVBand="0" w:oddHBand="0" w:evenHBand="0" w:firstRowFirstColumn="0" w:firstRowLastColumn="0" w:lastRowFirstColumn="0" w:lastRowLastColumn="0"/>
            <w:tcW w:w="4508" w:type="dxa"/>
          </w:tcPr>
          <w:p w:rsidR="00E65D1C" w:rsidRPr="00E65D1C" w:rsidRDefault="00E65D1C" w:rsidP="00F719CC">
            <w:pPr>
              <w:rPr>
                <w:b w:val="0"/>
              </w:rPr>
            </w:pPr>
            <w:r w:rsidRPr="00E65D1C">
              <w:rPr>
                <w:b w:val="0"/>
              </w:rPr>
              <w:t>Small</w:t>
            </w:r>
          </w:p>
        </w:tc>
        <w:tc>
          <w:tcPr>
            <w:tcW w:w="4508" w:type="dxa"/>
          </w:tcPr>
          <w:p w:rsidR="00E65D1C" w:rsidRDefault="00E65D1C" w:rsidP="00F719CC">
            <w:pPr>
              <w:cnfStyle w:val="000000000000" w:firstRow="0" w:lastRow="0" w:firstColumn="0" w:lastColumn="0" w:oddVBand="0" w:evenVBand="0" w:oddHBand="0" w:evenHBand="0" w:firstRowFirstColumn="0" w:firstRowLastColumn="0" w:lastRowFirstColumn="0" w:lastRowLastColumn="0"/>
            </w:pPr>
            <w:r>
              <w:t>10-49 employees</w:t>
            </w:r>
          </w:p>
        </w:tc>
      </w:tr>
      <w:tr w:rsidR="00E65D1C" w:rsidTr="00E65D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E65D1C" w:rsidRPr="00E65D1C" w:rsidRDefault="00E65D1C" w:rsidP="00F719CC">
            <w:pPr>
              <w:rPr>
                <w:b w:val="0"/>
              </w:rPr>
            </w:pPr>
            <w:r w:rsidRPr="00E65D1C">
              <w:rPr>
                <w:b w:val="0"/>
              </w:rPr>
              <w:t>Medium</w:t>
            </w:r>
          </w:p>
        </w:tc>
        <w:tc>
          <w:tcPr>
            <w:tcW w:w="4508" w:type="dxa"/>
          </w:tcPr>
          <w:p w:rsidR="00E65D1C" w:rsidRDefault="00E65D1C" w:rsidP="00F719CC">
            <w:pPr>
              <w:cnfStyle w:val="000000100000" w:firstRow="0" w:lastRow="0" w:firstColumn="0" w:lastColumn="0" w:oddVBand="0" w:evenVBand="0" w:oddHBand="1" w:evenHBand="0" w:firstRowFirstColumn="0" w:firstRowLastColumn="0" w:lastRowFirstColumn="0" w:lastRowLastColumn="0"/>
            </w:pPr>
            <w:r>
              <w:t>50-249 employee</w:t>
            </w:r>
          </w:p>
        </w:tc>
      </w:tr>
      <w:tr w:rsidR="00E65D1C" w:rsidTr="00E65D1C">
        <w:tc>
          <w:tcPr>
            <w:cnfStyle w:val="001000000000" w:firstRow="0" w:lastRow="0" w:firstColumn="1" w:lastColumn="0" w:oddVBand="0" w:evenVBand="0" w:oddHBand="0" w:evenHBand="0" w:firstRowFirstColumn="0" w:firstRowLastColumn="0" w:lastRowFirstColumn="0" w:lastRowLastColumn="0"/>
            <w:tcW w:w="4508" w:type="dxa"/>
          </w:tcPr>
          <w:p w:rsidR="00E65D1C" w:rsidRPr="00E65D1C" w:rsidRDefault="00E65D1C" w:rsidP="00F719CC">
            <w:pPr>
              <w:rPr>
                <w:b w:val="0"/>
              </w:rPr>
            </w:pPr>
            <w:r w:rsidRPr="00E65D1C">
              <w:rPr>
                <w:b w:val="0"/>
              </w:rPr>
              <w:t>Total SME’s</w:t>
            </w:r>
          </w:p>
        </w:tc>
        <w:tc>
          <w:tcPr>
            <w:tcW w:w="4508" w:type="dxa"/>
          </w:tcPr>
          <w:p w:rsidR="00E65D1C" w:rsidRDefault="00E65D1C" w:rsidP="00F719CC">
            <w:pPr>
              <w:cnfStyle w:val="000000000000" w:firstRow="0" w:lastRow="0" w:firstColumn="0" w:lastColumn="0" w:oddVBand="0" w:evenVBand="0" w:oddHBand="0" w:evenHBand="0" w:firstRowFirstColumn="0" w:firstRowLastColumn="0" w:lastRowFirstColumn="0" w:lastRowLastColumn="0"/>
            </w:pPr>
            <w:r>
              <w:t>0-250 employees</w:t>
            </w:r>
          </w:p>
        </w:tc>
      </w:tr>
      <w:tr w:rsidR="00E65D1C" w:rsidTr="00E65D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E65D1C" w:rsidRPr="00E65D1C" w:rsidRDefault="00E65D1C" w:rsidP="00F719CC">
            <w:pPr>
              <w:rPr>
                <w:b w:val="0"/>
              </w:rPr>
            </w:pPr>
            <w:r w:rsidRPr="00E65D1C">
              <w:rPr>
                <w:b w:val="0"/>
              </w:rPr>
              <w:t>Large</w:t>
            </w:r>
          </w:p>
        </w:tc>
        <w:tc>
          <w:tcPr>
            <w:tcW w:w="4508" w:type="dxa"/>
          </w:tcPr>
          <w:p w:rsidR="00E65D1C" w:rsidRDefault="00E65D1C" w:rsidP="00F719CC">
            <w:pPr>
              <w:cnfStyle w:val="000000100000" w:firstRow="0" w:lastRow="0" w:firstColumn="0" w:lastColumn="0" w:oddVBand="0" w:evenVBand="0" w:oddHBand="1" w:evenHBand="0" w:firstRowFirstColumn="0" w:firstRowLastColumn="0" w:lastRowFirstColumn="0" w:lastRowLastColumn="0"/>
            </w:pPr>
            <w:r>
              <w:t>250+</w:t>
            </w:r>
          </w:p>
        </w:tc>
      </w:tr>
    </w:tbl>
    <w:p w:rsidR="0024161E" w:rsidRDefault="0024161E" w:rsidP="00F719CC">
      <w:pPr>
        <w:rPr>
          <w:noProof/>
        </w:rPr>
      </w:pPr>
    </w:p>
    <w:p w:rsidR="00894E03" w:rsidRPr="008F1678" w:rsidRDefault="00417CCF" w:rsidP="00F719CC">
      <w:pPr>
        <w:rPr>
          <w:rFonts w:cstheme="minorHAnsi"/>
        </w:rPr>
      </w:pPr>
      <w:r>
        <w:rPr>
          <w:noProof/>
        </w:rPr>
        <w:t>Wilkinson &amp; Taylor (2016</w:t>
      </w:r>
      <w:r w:rsidR="0024161E">
        <w:rPr>
          <w:noProof/>
        </w:rPr>
        <w:t>, p. 25</w:t>
      </w:r>
      <w:r>
        <w:rPr>
          <w:noProof/>
        </w:rPr>
        <w:t>) cite that “HR generalists</w:t>
      </w:r>
      <w:r>
        <w:t xml:space="preserve"> have knowledge of, and are </w:t>
      </w:r>
      <w:r w:rsidR="0024161E">
        <w:t xml:space="preserve">involved in, all </w:t>
      </w:r>
      <w:r>
        <w:t>areas of the HR function. Sole practitioners will always tend to be generalists as they need to be able to deal with</w:t>
      </w:r>
      <w:r w:rsidRPr="008F1678">
        <w:rPr>
          <w:rFonts w:cstheme="minorHAnsi"/>
        </w:rPr>
        <w:t xml:space="preserve"> every part of the HR remit on their own”. </w:t>
      </w:r>
    </w:p>
    <w:p w:rsidR="008F1678" w:rsidRDefault="0024161E" w:rsidP="00A33AD5">
      <w:pPr>
        <w:pStyle w:val="Heading3"/>
      </w:pPr>
      <w:bookmarkStart w:id="3" w:name="_Toc504338571"/>
      <w:r w:rsidRPr="008F1678">
        <w:lastRenderedPageBreak/>
        <w:t>2.1 Models of HR Function</w:t>
      </w:r>
      <w:bookmarkEnd w:id="3"/>
    </w:p>
    <w:p w:rsidR="008F1678" w:rsidRPr="008F1678" w:rsidRDefault="008F1678" w:rsidP="008F1678">
      <w:pPr>
        <w:tabs>
          <w:tab w:val="center" w:pos="4513"/>
        </w:tabs>
        <w:rPr>
          <w:b/>
          <w:i/>
          <w:sz w:val="20"/>
        </w:rPr>
      </w:pPr>
      <w:r w:rsidRPr="008F1678">
        <w:rPr>
          <w:rFonts w:cstheme="minorHAnsi"/>
          <w:noProof/>
          <w:lang w:eastAsia="en-GB"/>
        </w:rPr>
        <w:drawing>
          <wp:anchor distT="0" distB="0" distL="114300" distR="114300" simplePos="0" relativeHeight="251658240" behindDoc="0" locked="0" layoutInCell="1" allowOverlap="1">
            <wp:simplePos x="0" y="0"/>
            <wp:positionH relativeFrom="column">
              <wp:posOffset>1358900</wp:posOffset>
            </wp:positionH>
            <wp:positionV relativeFrom="paragraph">
              <wp:posOffset>269875</wp:posOffset>
            </wp:positionV>
            <wp:extent cx="3282950" cy="2387600"/>
            <wp:effectExtent l="0" t="0" r="0" b="0"/>
            <wp:wrapTopAndBottom/>
            <wp:docPr id="1" name="Picture 1" descr="https://blogs-images.forbes.com/rawnshah/files/2015/04/Ulrich-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logs-images.forbes.com/rawnshah/files/2015/04/Ulrich-model.jp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4374" r="14002"/>
                    <a:stretch/>
                  </pic:blipFill>
                  <pic:spPr bwMode="auto">
                    <a:xfrm>
                      <a:off x="0" y="0"/>
                      <a:ext cx="3282950" cy="23876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F1678">
        <w:rPr>
          <w:b/>
          <w:i/>
          <w:sz w:val="20"/>
        </w:rPr>
        <w:t xml:space="preserve">Figure 2: Ulrich’s Model </w:t>
      </w:r>
      <w:sdt>
        <w:sdtPr>
          <w:rPr>
            <w:b/>
            <w:i/>
            <w:sz w:val="20"/>
          </w:rPr>
          <w:id w:val="433714496"/>
          <w:citation/>
        </w:sdtPr>
        <w:sdtContent>
          <w:r w:rsidRPr="008F1678">
            <w:rPr>
              <w:b/>
              <w:i/>
              <w:sz w:val="20"/>
            </w:rPr>
            <w:fldChar w:fldCharType="begin"/>
          </w:r>
          <w:r w:rsidRPr="008F1678">
            <w:rPr>
              <w:b/>
              <w:i/>
              <w:sz w:val="20"/>
            </w:rPr>
            <w:instrText xml:space="preserve"> CITATION Raw15 \l 2057 </w:instrText>
          </w:r>
          <w:r w:rsidRPr="008F1678">
            <w:rPr>
              <w:b/>
              <w:i/>
              <w:sz w:val="20"/>
            </w:rPr>
            <w:fldChar w:fldCharType="separate"/>
          </w:r>
          <w:r w:rsidR="00BA2B67" w:rsidRPr="00BA2B67">
            <w:rPr>
              <w:noProof/>
              <w:sz w:val="20"/>
            </w:rPr>
            <w:t>(Shah, 2015)</w:t>
          </w:r>
          <w:r w:rsidRPr="008F1678">
            <w:rPr>
              <w:b/>
              <w:i/>
              <w:sz w:val="20"/>
            </w:rPr>
            <w:fldChar w:fldCharType="end"/>
          </w:r>
        </w:sdtContent>
      </w:sdt>
    </w:p>
    <w:p w:rsidR="0024161E" w:rsidRDefault="008F1678" w:rsidP="008F1678">
      <w:pPr>
        <w:tabs>
          <w:tab w:val="center" w:pos="4513"/>
        </w:tabs>
      </w:pPr>
      <w:r w:rsidRPr="008F1678">
        <w:rPr>
          <w:rFonts w:cstheme="minorHAnsi"/>
        </w:rPr>
        <w:t xml:space="preserve"> “The </w:t>
      </w:r>
      <w:r w:rsidRPr="008F1678">
        <w:rPr>
          <w:rFonts w:cstheme="minorHAnsi"/>
          <w:bCs/>
        </w:rPr>
        <w:t>HR Model</w:t>
      </w:r>
      <w:r w:rsidRPr="008F1678">
        <w:rPr>
          <w:rFonts w:cstheme="minorHAnsi"/>
        </w:rPr>
        <w:t xml:space="preserve"> describes the organisation of Human Resources as it reaches the strategic goals”, it also</w:t>
      </w:r>
      <w:r>
        <w:rPr>
          <w:rFonts w:cstheme="minorHAnsi"/>
        </w:rPr>
        <w:t xml:space="preserve"> </w:t>
      </w:r>
      <w:r w:rsidRPr="008F1678">
        <w:rPr>
          <w:rFonts w:cstheme="minorHAnsi"/>
        </w:rPr>
        <w:t>it help</w:t>
      </w:r>
      <w:r>
        <w:rPr>
          <w:rFonts w:cstheme="minorHAnsi"/>
        </w:rPr>
        <w:t xml:space="preserve">s to identify gaps in the structure of HR within the organisation </w:t>
      </w:r>
      <w:r w:rsidRPr="008F1678">
        <w:rPr>
          <w:rFonts w:cstheme="minorHAnsi"/>
        </w:rPr>
        <w:t>and the skills a</w:t>
      </w:r>
      <w:r>
        <w:rPr>
          <w:rFonts w:cstheme="minorHAnsi"/>
        </w:rPr>
        <w:t xml:space="preserve">nd competencies of HR employees </w:t>
      </w:r>
      <w:sdt>
        <w:sdtPr>
          <w:rPr>
            <w:rFonts w:cstheme="minorHAnsi"/>
          </w:rPr>
          <w:id w:val="1787153292"/>
          <w:citation/>
        </w:sdtPr>
        <w:sdtContent>
          <w:r>
            <w:rPr>
              <w:rFonts w:cstheme="minorHAnsi"/>
            </w:rPr>
            <w:fldChar w:fldCharType="begin"/>
          </w:r>
          <w:r>
            <w:rPr>
              <w:rFonts w:cstheme="minorHAnsi"/>
            </w:rPr>
            <w:instrText xml:space="preserve"> CITATION sim17 \l 2057 </w:instrText>
          </w:r>
          <w:r>
            <w:rPr>
              <w:rFonts w:cstheme="minorHAnsi"/>
            </w:rPr>
            <w:fldChar w:fldCharType="separate"/>
          </w:r>
          <w:r w:rsidR="00BA2B67" w:rsidRPr="00BA2B67">
            <w:rPr>
              <w:rFonts w:cstheme="minorHAnsi"/>
              <w:noProof/>
            </w:rPr>
            <w:t>(simplehrguide, 2017)</w:t>
          </w:r>
          <w:r>
            <w:rPr>
              <w:rFonts w:cstheme="minorHAnsi"/>
            </w:rPr>
            <w:fldChar w:fldCharType="end"/>
          </w:r>
        </w:sdtContent>
      </w:sdt>
      <w:r>
        <w:rPr>
          <w:rFonts w:cstheme="minorHAnsi"/>
        </w:rPr>
        <w:t xml:space="preserve">. </w:t>
      </w:r>
      <w:r w:rsidR="0024161E">
        <w:t xml:space="preserve">Ulrich’s model </w:t>
      </w:r>
      <w:r>
        <w:t xml:space="preserve">(also known as the 3-legged stool) </w:t>
      </w:r>
      <w:r w:rsidR="0024161E">
        <w:t>connects HR strategy, goals and objectives whilst defining the operating styles of HR</w:t>
      </w:r>
      <w:r>
        <w:t>.</w:t>
      </w:r>
      <w:r w:rsidR="0024161E">
        <w:t xml:space="preserve"> </w:t>
      </w:r>
    </w:p>
    <w:p w:rsidR="00CA5AA4" w:rsidRDefault="00CA5AA4" w:rsidP="00CA5AA4">
      <w:pPr>
        <w:tabs>
          <w:tab w:val="center" w:pos="4513"/>
        </w:tabs>
        <w:rPr>
          <w:lang w:val="en"/>
        </w:rPr>
      </w:pPr>
      <w:r>
        <w:t xml:space="preserve">There are many other HR function model’s however </w:t>
      </w:r>
      <w:sdt>
        <w:sdtPr>
          <w:id w:val="319320995"/>
          <w:citation/>
        </w:sdtPr>
        <w:sdtContent>
          <w:r>
            <w:fldChar w:fldCharType="begin"/>
          </w:r>
          <w:r>
            <w:instrText xml:space="preserve"> CITATION CIP176 \l 2057 </w:instrText>
          </w:r>
          <w:r>
            <w:fldChar w:fldCharType="separate"/>
          </w:r>
          <w:r w:rsidR="00BA2B67" w:rsidRPr="00BA2B67">
            <w:rPr>
              <w:noProof/>
            </w:rPr>
            <w:t>(CIPD, 2017)</w:t>
          </w:r>
          <w:r>
            <w:fldChar w:fldCharType="end"/>
          </w:r>
        </w:sdtContent>
      </w:sdt>
      <w:r>
        <w:t xml:space="preserve"> suggests w</w:t>
      </w:r>
      <w:proofErr w:type="spellStart"/>
      <w:r>
        <w:rPr>
          <w:lang w:val="en"/>
        </w:rPr>
        <w:t>hatever</w:t>
      </w:r>
      <w:proofErr w:type="spellEnd"/>
      <w:r>
        <w:rPr>
          <w:lang w:val="en"/>
        </w:rPr>
        <w:t xml:space="preserve"> model we use to </w:t>
      </w:r>
      <w:proofErr w:type="spellStart"/>
      <w:r>
        <w:rPr>
          <w:lang w:val="en"/>
        </w:rPr>
        <w:t>organise</w:t>
      </w:r>
      <w:proofErr w:type="spellEnd"/>
      <w:r>
        <w:rPr>
          <w:lang w:val="en"/>
        </w:rPr>
        <w:t xml:space="preserve"> HR, the road to effectiveness lies not only in deeply understanding the business strategy.</w:t>
      </w:r>
    </w:p>
    <w:p w:rsidR="0024161E" w:rsidRDefault="0024161E" w:rsidP="00A33AD5">
      <w:pPr>
        <w:pStyle w:val="Heading3"/>
      </w:pPr>
      <w:bookmarkStart w:id="4" w:name="_Toc504338572"/>
      <w:r>
        <w:t>2.1.1 HR Strategies</w:t>
      </w:r>
      <w:r w:rsidR="00B54AB5">
        <w:t>, Insights and Solutions</w:t>
      </w:r>
      <w:bookmarkEnd w:id="4"/>
    </w:p>
    <w:p w:rsidR="0024161E" w:rsidRDefault="0024161E" w:rsidP="0024161E">
      <w:r w:rsidRPr="00800965">
        <w:t xml:space="preserve">HR strategies are formed by can be formed by several different approaches. </w:t>
      </w:r>
      <w:r w:rsidR="00124419">
        <w:t>A</w:t>
      </w:r>
      <w:r w:rsidR="00124419" w:rsidRPr="008274F3">
        <w:t>ccording to</w:t>
      </w:r>
      <w:r w:rsidR="00124419">
        <w:t xml:space="preserve"> </w:t>
      </w:r>
      <w:r w:rsidR="00124419">
        <w:rPr>
          <w:noProof/>
        </w:rPr>
        <w:t>Farnham (2015),</w:t>
      </w:r>
      <w:r w:rsidR="00124419" w:rsidRPr="008274F3">
        <w:t xml:space="preserve"> it is highly important for an organisation to have </w:t>
      </w:r>
      <w:r w:rsidR="00124419">
        <w:t xml:space="preserve">developed </w:t>
      </w:r>
      <w:r w:rsidR="00124419" w:rsidRPr="008274F3">
        <w:t>appropriate HR strategies and solutions to meet the business' needs.</w:t>
      </w:r>
      <w:r w:rsidR="00124419">
        <w:t xml:space="preserve"> </w:t>
      </w:r>
      <w:r w:rsidR="00124419">
        <w:t>A</w:t>
      </w:r>
      <w:r w:rsidRPr="00800965">
        <w:t xml:space="preserve"> rational approach is often classed as the ‘</w:t>
      </w:r>
      <w:r w:rsidR="008D0639">
        <w:t>classical/</w:t>
      </w:r>
      <w:r w:rsidRPr="00800965">
        <w:t>mainstream’ approach</w:t>
      </w:r>
      <w:r>
        <w:t xml:space="preserve"> however, there are another two strategies including emergent/logical incrementalism and symbolic/radical</w:t>
      </w:r>
      <w:r w:rsidR="008D0639">
        <w:t xml:space="preserve"> </w:t>
      </w:r>
      <w:sdt>
        <w:sdtPr>
          <w:id w:val="-1316404674"/>
          <w:citation/>
        </w:sdtPr>
        <w:sdtContent>
          <w:r w:rsidR="008D0639">
            <w:fldChar w:fldCharType="begin"/>
          </w:r>
          <w:r w:rsidR="008D0639">
            <w:instrText xml:space="preserve"> CITATION Tay161 \l 2057 </w:instrText>
          </w:r>
          <w:r w:rsidR="008D0639">
            <w:fldChar w:fldCharType="separate"/>
          </w:r>
          <w:r w:rsidR="00BA2B67" w:rsidRPr="00BA2B67">
            <w:rPr>
              <w:noProof/>
            </w:rPr>
            <w:t>(Taylor &amp; Wilkinson, 2016)</w:t>
          </w:r>
          <w:r w:rsidR="008D0639">
            <w:fldChar w:fldCharType="end"/>
          </w:r>
        </w:sdtContent>
      </w:sdt>
      <w:r w:rsidRPr="00800965">
        <w:t xml:space="preserve">. </w:t>
      </w:r>
    </w:p>
    <w:p w:rsidR="008D0639" w:rsidRDefault="008D0639" w:rsidP="0024161E">
      <w:r>
        <w:t>Emergent strategies suggest organisation and strategies are actually influenced from a senior level affecting the direction of the business.</w:t>
      </w:r>
    </w:p>
    <w:p w:rsidR="008D0639" w:rsidRDefault="008D0639" w:rsidP="0024161E">
      <w:r>
        <w:t>Symbolic/radical strategies are formed by an organisation that sticks to what works well and often “muddle through opportunistically”. This strategy includes little strategic leadership.</w:t>
      </w:r>
    </w:p>
    <w:p w:rsidR="0024161E" w:rsidRDefault="008D0639" w:rsidP="0024161E">
      <w:r w:rsidRPr="00800965">
        <w:t xml:space="preserve"> </w:t>
      </w:r>
      <w:r w:rsidR="0024161E" w:rsidRPr="00800965">
        <w:t xml:space="preserve">Developing strategies involves using tools such as the SWOT analysis in order to develop aims and objectives for an organisation </w:t>
      </w:r>
      <w:sdt>
        <w:sdtPr>
          <w:id w:val="-683054908"/>
          <w:citation/>
        </w:sdtPr>
        <w:sdtContent>
          <w:r w:rsidR="0024161E" w:rsidRPr="00800965">
            <w:fldChar w:fldCharType="begin"/>
          </w:r>
          <w:r w:rsidR="0024161E" w:rsidRPr="00800965">
            <w:instrText xml:space="preserve"> CITATION Tay161 \l 2057 </w:instrText>
          </w:r>
          <w:r w:rsidR="0024161E" w:rsidRPr="00800965">
            <w:fldChar w:fldCharType="separate"/>
          </w:r>
          <w:r w:rsidR="00BA2B67" w:rsidRPr="00BA2B67">
            <w:rPr>
              <w:noProof/>
            </w:rPr>
            <w:t>(Taylor &amp; Wilkinson, 2016)</w:t>
          </w:r>
          <w:r w:rsidR="0024161E" w:rsidRPr="00800965">
            <w:fldChar w:fldCharType="end"/>
          </w:r>
        </w:sdtContent>
      </w:sdt>
      <w:r w:rsidR="0024161E" w:rsidRPr="00800965">
        <w:t>. Once internally developing a strategy using such tools, the aims and objectives would need to be put into practice by identifying resources including technologies, capital and people.</w:t>
      </w:r>
    </w:p>
    <w:p w:rsidR="00325907" w:rsidRDefault="00325907" w:rsidP="00325907">
      <w:pPr>
        <w:pStyle w:val="Heading2"/>
      </w:pPr>
      <w:bookmarkStart w:id="5" w:name="_Toc504338573"/>
      <w:r>
        <w:t>2.2 Tools for Analysing the Business Environment</w:t>
      </w:r>
      <w:bookmarkEnd w:id="5"/>
    </w:p>
    <w:p w:rsidR="0060500F" w:rsidRPr="0060500F" w:rsidRDefault="0060500F" w:rsidP="0060500F">
      <w:pPr>
        <w:rPr>
          <w:i/>
        </w:rPr>
      </w:pPr>
      <w:r w:rsidRPr="0060500F">
        <w:rPr>
          <w:i/>
        </w:rPr>
        <w:t>SWOT</w:t>
      </w:r>
    </w:p>
    <w:p w:rsidR="00C0252A" w:rsidRDefault="00325907">
      <w:r>
        <w:t xml:space="preserve">SWOT is a simple tool made up of four elements including; strengths, weaknesses, opportunities and threats. This tool is commonly used as an internal tool within an organisation to distinguish </w:t>
      </w:r>
      <w:r w:rsidR="0060500F">
        <w:t xml:space="preserve">the SWOT’s </w:t>
      </w:r>
      <w:sdt>
        <w:sdtPr>
          <w:id w:val="498922600"/>
          <w:citation/>
        </w:sdtPr>
        <w:sdtContent>
          <w:r w:rsidR="0060500F">
            <w:fldChar w:fldCharType="begin"/>
          </w:r>
          <w:r w:rsidR="0060500F">
            <w:instrText xml:space="preserve"> CITATION Kew16 \l 2057 </w:instrText>
          </w:r>
          <w:r w:rsidR="0060500F">
            <w:fldChar w:fldCharType="separate"/>
          </w:r>
          <w:r w:rsidR="00BA2B67" w:rsidRPr="00BA2B67">
            <w:rPr>
              <w:noProof/>
            </w:rPr>
            <w:t>(Kew &amp; Stredwick, 2016)</w:t>
          </w:r>
          <w:r w:rsidR="0060500F">
            <w:fldChar w:fldCharType="end"/>
          </w:r>
        </w:sdtContent>
      </w:sdt>
      <w:r w:rsidR="0060500F">
        <w:t xml:space="preserve">. </w:t>
      </w:r>
      <w:r w:rsidR="00F16F25">
        <w:t xml:space="preserve">Using this tool within an organisation’s HR department can give greater insight into how the business is actually performing. Having each department of a business complete a SWOT analysis or the HR department on the organisation as a whole can instantly show the strengths, weaknesses, opportunities and threats. Once these have been identified, businesses </w:t>
      </w:r>
      <w:r w:rsidR="00F16F25">
        <w:lastRenderedPageBreak/>
        <w:t>can then form objectives in order to improve the performance of the business and aim at achieving the company’s strategies. Another useful thing about this tool when used in a large organisation with similar duty-performing departments such as Tesco shop floor staff is that if one area has weaknesses and threats that another doesn’t and vice versa with the strengths and opportunities, they can work together in order to become better performing and benefit the organisation.</w:t>
      </w:r>
    </w:p>
    <w:p w:rsidR="0060500F" w:rsidRPr="00246E1F" w:rsidRDefault="0060500F">
      <w:pPr>
        <w:rPr>
          <w:b/>
          <w:i/>
          <w:sz w:val="20"/>
        </w:rPr>
      </w:pPr>
      <w:r w:rsidRPr="00246E1F">
        <w:rPr>
          <w:noProof/>
          <w:sz w:val="20"/>
          <w:lang w:eastAsia="en-GB"/>
        </w:rPr>
        <w:drawing>
          <wp:anchor distT="0" distB="0" distL="114300" distR="114300" simplePos="0" relativeHeight="251659264" behindDoc="1" locked="0" layoutInCell="1" allowOverlap="1">
            <wp:simplePos x="0" y="0"/>
            <wp:positionH relativeFrom="margin">
              <wp:align>center</wp:align>
            </wp:positionH>
            <wp:positionV relativeFrom="paragraph">
              <wp:posOffset>249555</wp:posOffset>
            </wp:positionV>
            <wp:extent cx="3162300" cy="2908300"/>
            <wp:effectExtent l="0" t="0" r="0" b="6350"/>
            <wp:wrapTight wrapText="bothSides">
              <wp:wrapPolygon edited="0">
                <wp:start x="0" y="0"/>
                <wp:lineTo x="0" y="21506"/>
                <wp:lineTo x="21470" y="21506"/>
                <wp:lineTo x="2147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162300" cy="2908300"/>
                    </a:xfrm>
                    <a:prstGeom prst="rect">
                      <a:avLst/>
                    </a:prstGeom>
                  </pic:spPr>
                </pic:pic>
              </a:graphicData>
            </a:graphic>
            <wp14:sizeRelH relativeFrom="page">
              <wp14:pctWidth>0</wp14:pctWidth>
            </wp14:sizeRelH>
            <wp14:sizeRelV relativeFrom="page">
              <wp14:pctHeight>0</wp14:pctHeight>
            </wp14:sizeRelV>
          </wp:anchor>
        </w:drawing>
      </w:r>
      <w:r w:rsidRPr="00246E1F">
        <w:rPr>
          <w:b/>
          <w:i/>
          <w:sz w:val="20"/>
        </w:rPr>
        <w:t>Figure 3: Example SWOT analysis for NHS England</w:t>
      </w:r>
      <w:r w:rsidR="00246E1F">
        <w:rPr>
          <w:b/>
          <w:i/>
          <w:sz w:val="20"/>
        </w:rPr>
        <w:t xml:space="preserve"> </w:t>
      </w:r>
      <w:sdt>
        <w:sdtPr>
          <w:rPr>
            <w:b/>
            <w:i/>
            <w:sz w:val="20"/>
          </w:rPr>
          <w:id w:val="-117844173"/>
          <w:citation/>
        </w:sdtPr>
        <w:sdtContent>
          <w:r w:rsidR="00246E1F" w:rsidRPr="00246E1F">
            <w:rPr>
              <w:b/>
              <w:i/>
              <w:sz w:val="20"/>
            </w:rPr>
            <w:fldChar w:fldCharType="begin"/>
          </w:r>
          <w:r w:rsidR="00246E1F" w:rsidRPr="00246E1F">
            <w:rPr>
              <w:b/>
              <w:i/>
              <w:sz w:val="20"/>
            </w:rPr>
            <w:instrText xml:space="preserve"> CITATION Jam11 \l 2057 </w:instrText>
          </w:r>
          <w:r w:rsidR="00246E1F" w:rsidRPr="00246E1F">
            <w:rPr>
              <w:b/>
              <w:i/>
              <w:sz w:val="20"/>
            </w:rPr>
            <w:fldChar w:fldCharType="separate"/>
          </w:r>
          <w:r w:rsidR="00BA2B67" w:rsidRPr="00BA2B67">
            <w:rPr>
              <w:noProof/>
              <w:sz w:val="20"/>
            </w:rPr>
            <w:t>(McQuillan, 2011)</w:t>
          </w:r>
          <w:r w:rsidR="00246E1F" w:rsidRPr="00246E1F">
            <w:rPr>
              <w:b/>
              <w:i/>
              <w:sz w:val="20"/>
            </w:rPr>
            <w:fldChar w:fldCharType="end"/>
          </w:r>
        </w:sdtContent>
      </w:sdt>
    </w:p>
    <w:p w:rsidR="0060500F" w:rsidRDefault="0060500F">
      <w:pPr>
        <w:rPr>
          <w:b/>
          <w:i/>
        </w:rPr>
      </w:pPr>
    </w:p>
    <w:p w:rsidR="0060500F" w:rsidRPr="0060500F" w:rsidRDefault="0060500F" w:rsidP="0060500F"/>
    <w:p w:rsidR="0060500F" w:rsidRPr="0060500F" w:rsidRDefault="0060500F" w:rsidP="0060500F"/>
    <w:p w:rsidR="0060500F" w:rsidRPr="0060500F" w:rsidRDefault="0060500F" w:rsidP="0060500F"/>
    <w:p w:rsidR="0060500F" w:rsidRPr="0060500F" w:rsidRDefault="0060500F" w:rsidP="0060500F"/>
    <w:p w:rsidR="0060500F" w:rsidRPr="0060500F" w:rsidRDefault="0060500F" w:rsidP="0060500F"/>
    <w:p w:rsidR="0060500F" w:rsidRPr="0060500F" w:rsidRDefault="0060500F" w:rsidP="0060500F"/>
    <w:p w:rsidR="0060500F" w:rsidRPr="0060500F" w:rsidRDefault="0060500F" w:rsidP="0060500F"/>
    <w:p w:rsidR="0060500F" w:rsidRPr="0060500F" w:rsidRDefault="0060500F" w:rsidP="0060500F"/>
    <w:p w:rsidR="0060500F" w:rsidRDefault="0060500F" w:rsidP="0060500F"/>
    <w:p w:rsidR="0060500F" w:rsidRDefault="0060500F" w:rsidP="0060500F">
      <w:pPr>
        <w:rPr>
          <w:i/>
        </w:rPr>
      </w:pPr>
      <w:r w:rsidRPr="0060500F">
        <w:rPr>
          <w:i/>
        </w:rPr>
        <w:t>PESTLE</w:t>
      </w:r>
    </w:p>
    <w:p w:rsidR="001F4E11" w:rsidRDefault="0060500F" w:rsidP="0060500F">
      <w:r>
        <w:t xml:space="preserve">PESTLE is a tool used to distinguish external environmental factors affecting or could potentially affect an organisation. </w:t>
      </w:r>
    </w:p>
    <w:p w:rsidR="001F4E11" w:rsidRPr="001F4E11" w:rsidRDefault="001F4E11" w:rsidP="0060500F">
      <w:pPr>
        <w:rPr>
          <w:b/>
          <w:i/>
          <w:sz w:val="20"/>
        </w:rPr>
      </w:pPr>
      <w:r w:rsidRPr="001F4E11">
        <w:rPr>
          <w:b/>
          <w:i/>
          <w:sz w:val="20"/>
        </w:rPr>
        <w:t>Figure 4: The 6 factors of PES</w:t>
      </w:r>
      <w:r w:rsidRPr="004A628C">
        <w:rPr>
          <w:b/>
          <w:i/>
          <w:sz w:val="20"/>
        </w:rPr>
        <w:t>TLE</w:t>
      </w:r>
      <w:r w:rsidR="009A5D48" w:rsidRPr="004A628C">
        <w:rPr>
          <w:b/>
          <w:i/>
          <w:sz w:val="20"/>
        </w:rPr>
        <w:t xml:space="preserve"> </w:t>
      </w:r>
      <w:sdt>
        <w:sdtPr>
          <w:rPr>
            <w:b/>
            <w:i/>
            <w:sz w:val="20"/>
          </w:rPr>
          <w:id w:val="-432359824"/>
          <w:citation/>
        </w:sdtPr>
        <w:sdtContent>
          <w:r w:rsidR="009A5D48" w:rsidRPr="004A628C">
            <w:rPr>
              <w:b/>
              <w:i/>
              <w:sz w:val="20"/>
            </w:rPr>
            <w:fldChar w:fldCharType="begin"/>
          </w:r>
          <w:r w:rsidR="009A5D48" w:rsidRPr="004A628C">
            <w:rPr>
              <w:b/>
              <w:i/>
              <w:sz w:val="20"/>
            </w:rPr>
            <w:instrText xml:space="preserve"> CITATION PES15 \l 2057 </w:instrText>
          </w:r>
          <w:r w:rsidR="009A5D48" w:rsidRPr="004A628C">
            <w:rPr>
              <w:b/>
              <w:i/>
              <w:sz w:val="20"/>
            </w:rPr>
            <w:fldChar w:fldCharType="separate"/>
          </w:r>
          <w:r w:rsidR="00BA2B67" w:rsidRPr="00BA2B67">
            <w:rPr>
              <w:noProof/>
              <w:sz w:val="20"/>
            </w:rPr>
            <w:t>(Contributor, 2015)</w:t>
          </w:r>
          <w:r w:rsidR="009A5D48" w:rsidRPr="004A628C">
            <w:rPr>
              <w:b/>
              <w:i/>
              <w:sz w:val="20"/>
            </w:rPr>
            <w:fldChar w:fldCharType="end"/>
          </w:r>
        </w:sdtContent>
      </w:sdt>
    </w:p>
    <w:tbl>
      <w:tblPr>
        <w:tblStyle w:val="PlainTable4"/>
        <w:tblW w:w="0" w:type="auto"/>
        <w:tblLook w:val="04A0" w:firstRow="1" w:lastRow="0" w:firstColumn="1" w:lastColumn="0" w:noHBand="0" w:noVBand="1"/>
      </w:tblPr>
      <w:tblGrid>
        <w:gridCol w:w="4508"/>
        <w:gridCol w:w="4508"/>
      </w:tblGrid>
      <w:tr w:rsidR="001F4E11" w:rsidTr="001F4E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1F4E11" w:rsidRPr="001F4E11" w:rsidRDefault="001F4E11" w:rsidP="0060500F">
            <w:pPr>
              <w:rPr>
                <w:b w:val="0"/>
              </w:rPr>
            </w:pPr>
            <w:r w:rsidRPr="001F4E11">
              <w:rPr>
                <w:b w:val="0"/>
              </w:rPr>
              <w:t>Political</w:t>
            </w:r>
          </w:p>
        </w:tc>
        <w:tc>
          <w:tcPr>
            <w:tcW w:w="4508" w:type="dxa"/>
          </w:tcPr>
          <w:p w:rsidR="001F4E11" w:rsidRPr="001F4E11" w:rsidRDefault="001F4E11" w:rsidP="0060500F">
            <w:pPr>
              <w:cnfStyle w:val="100000000000" w:firstRow="1" w:lastRow="0" w:firstColumn="0" w:lastColumn="0" w:oddVBand="0" w:evenVBand="0" w:oddHBand="0" w:evenHBand="0" w:firstRowFirstColumn="0" w:firstRowLastColumn="0" w:lastRowFirstColumn="0" w:lastRowLastColumn="0"/>
              <w:rPr>
                <w:b w:val="0"/>
              </w:rPr>
            </w:pPr>
            <w:r w:rsidRPr="001F4E11">
              <w:rPr>
                <w:b w:val="0"/>
              </w:rPr>
              <w:t>e.g. BREXIT</w:t>
            </w:r>
            <w:r w:rsidR="00474FCC">
              <w:rPr>
                <w:b w:val="0"/>
              </w:rPr>
              <w:t xml:space="preserve">, </w:t>
            </w:r>
            <w:r w:rsidR="00474FCC" w:rsidRPr="00474FCC">
              <w:rPr>
                <w:b w:val="0"/>
              </w:rPr>
              <w:t>tax policies, stability of government, entry mode regulations, social policies, trade regulations</w:t>
            </w:r>
          </w:p>
        </w:tc>
      </w:tr>
      <w:tr w:rsidR="001F4E11" w:rsidTr="001F4E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1F4E11" w:rsidRPr="001F4E11" w:rsidRDefault="001F4E11" w:rsidP="0060500F">
            <w:pPr>
              <w:rPr>
                <w:b w:val="0"/>
              </w:rPr>
            </w:pPr>
            <w:r w:rsidRPr="001F4E11">
              <w:rPr>
                <w:b w:val="0"/>
              </w:rPr>
              <w:t>Economic</w:t>
            </w:r>
          </w:p>
        </w:tc>
        <w:tc>
          <w:tcPr>
            <w:tcW w:w="4508" w:type="dxa"/>
          </w:tcPr>
          <w:p w:rsidR="001F4E11" w:rsidRDefault="00474FCC" w:rsidP="0060500F">
            <w:pPr>
              <w:cnfStyle w:val="000000100000" w:firstRow="0" w:lastRow="0" w:firstColumn="0" w:lastColumn="0" w:oddVBand="0" w:evenVBand="0" w:oddHBand="1" w:evenHBand="0" w:firstRowFirstColumn="0" w:firstRowLastColumn="0" w:lastRowFirstColumn="0" w:lastRowLastColumn="0"/>
            </w:pPr>
            <w:r w:rsidRPr="00474FCC">
              <w:t>disposable income of buyers, credit accessibility, unemployment rates, interest rates, inflation</w:t>
            </w:r>
          </w:p>
        </w:tc>
      </w:tr>
      <w:tr w:rsidR="001F4E11" w:rsidTr="001F4E11">
        <w:tc>
          <w:tcPr>
            <w:cnfStyle w:val="001000000000" w:firstRow="0" w:lastRow="0" w:firstColumn="1" w:lastColumn="0" w:oddVBand="0" w:evenVBand="0" w:oddHBand="0" w:evenHBand="0" w:firstRowFirstColumn="0" w:firstRowLastColumn="0" w:lastRowFirstColumn="0" w:lastRowLastColumn="0"/>
            <w:tcW w:w="4508" w:type="dxa"/>
          </w:tcPr>
          <w:p w:rsidR="001F4E11" w:rsidRPr="001F4E11" w:rsidRDefault="001F4E11" w:rsidP="0060500F">
            <w:pPr>
              <w:rPr>
                <w:b w:val="0"/>
              </w:rPr>
            </w:pPr>
            <w:r w:rsidRPr="001F4E11">
              <w:rPr>
                <w:b w:val="0"/>
              </w:rPr>
              <w:t>Sociological</w:t>
            </w:r>
          </w:p>
        </w:tc>
        <w:tc>
          <w:tcPr>
            <w:tcW w:w="4508" w:type="dxa"/>
          </w:tcPr>
          <w:p w:rsidR="001F4E11" w:rsidRDefault="00474FCC" w:rsidP="0060500F">
            <w:pPr>
              <w:cnfStyle w:val="000000000000" w:firstRow="0" w:lastRow="0" w:firstColumn="0" w:lastColumn="0" w:oddVBand="0" w:evenVBand="0" w:oddHBand="0" w:evenHBand="0" w:firstRowFirstColumn="0" w:firstRowLastColumn="0" w:lastRowFirstColumn="0" w:lastRowLastColumn="0"/>
            </w:pPr>
            <w:r w:rsidRPr="00474FCC">
              <w:t>population demographics, distribution of wealth, changes in lifestyles and trends, educational levels</w:t>
            </w:r>
          </w:p>
        </w:tc>
      </w:tr>
      <w:tr w:rsidR="001F4E11" w:rsidTr="001F4E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1F4E11" w:rsidRPr="001F4E11" w:rsidRDefault="001F4E11" w:rsidP="0060500F">
            <w:pPr>
              <w:rPr>
                <w:b w:val="0"/>
              </w:rPr>
            </w:pPr>
            <w:r w:rsidRPr="001F4E11">
              <w:rPr>
                <w:b w:val="0"/>
              </w:rPr>
              <w:t>Technological</w:t>
            </w:r>
          </w:p>
        </w:tc>
        <w:tc>
          <w:tcPr>
            <w:tcW w:w="4508" w:type="dxa"/>
          </w:tcPr>
          <w:p w:rsidR="001F4E11" w:rsidRDefault="00474FCC" w:rsidP="0060500F">
            <w:pPr>
              <w:cnfStyle w:val="000000100000" w:firstRow="0" w:lastRow="0" w:firstColumn="0" w:lastColumn="0" w:oddVBand="0" w:evenVBand="0" w:oddHBand="1" w:evenHBand="0" w:firstRowFirstColumn="0" w:firstRowLastColumn="0" w:lastRowFirstColumn="0" w:lastRowLastColumn="0"/>
            </w:pPr>
            <w:r w:rsidRPr="00474FCC">
              <w:t>new discoveries and innovations, rate of technological advances and innovations, rate of technological obsolescence, new technological platforms</w:t>
            </w:r>
          </w:p>
        </w:tc>
      </w:tr>
      <w:tr w:rsidR="001F4E11" w:rsidTr="001F4E11">
        <w:tc>
          <w:tcPr>
            <w:cnfStyle w:val="001000000000" w:firstRow="0" w:lastRow="0" w:firstColumn="1" w:lastColumn="0" w:oddVBand="0" w:evenVBand="0" w:oddHBand="0" w:evenHBand="0" w:firstRowFirstColumn="0" w:firstRowLastColumn="0" w:lastRowFirstColumn="0" w:lastRowLastColumn="0"/>
            <w:tcW w:w="4508" w:type="dxa"/>
          </w:tcPr>
          <w:p w:rsidR="001F4E11" w:rsidRPr="001F4E11" w:rsidRDefault="001F4E11" w:rsidP="0060500F">
            <w:pPr>
              <w:rPr>
                <w:b w:val="0"/>
              </w:rPr>
            </w:pPr>
            <w:r w:rsidRPr="001F4E11">
              <w:rPr>
                <w:b w:val="0"/>
              </w:rPr>
              <w:t>Legal</w:t>
            </w:r>
          </w:p>
        </w:tc>
        <w:tc>
          <w:tcPr>
            <w:tcW w:w="4508" w:type="dxa"/>
          </w:tcPr>
          <w:p w:rsidR="001F4E11" w:rsidRDefault="009A5D48" w:rsidP="0060500F">
            <w:pPr>
              <w:cnfStyle w:val="000000000000" w:firstRow="0" w:lastRow="0" w:firstColumn="0" w:lastColumn="0" w:oddVBand="0" w:evenVBand="0" w:oddHBand="0" w:evenHBand="0" w:firstRowFirstColumn="0" w:firstRowLastColumn="0" w:lastRowFirstColumn="0" w:lastRowLastColumn="0"/>
            </w:pPr>
            <w:r w:rsidRPr="009A5D48">
              <w:t>waste disposal laws, environmental protection laws, energy consumption regulation, popular attitude towards the environment</w:t>
            </w:r>
          </w:p>
        </w:tc>
      </w:tr>
      <w:tr w:rsidR="001F4E11" w:rsidTr="001F4E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1F4E11" w:rsidRPr="001F4E11" w:rsidRDefault="001F4E11" w:rsidP="0060500F">
            <w:pPr>
              <w:rPr>
                <w:b w:val="0"/>
              </w:rPr>
            </w:pPr>
            <w:r w:rsidRPr="001F4E11">
              <w:rPr>
                <w:b w:val="0"/>
              </w:rPr>
              <w:t>Environment</w:t>
            </w:r>
          </w:p>
        </w:tc>
        <w:tc>
          <w:tcPr>
            <w:tcW w:w="4508" w:type="dxa"/>
          </w:tcPr>
          <w:p w:rsidR="001F4E11" w:rsidRDefault="009A5D48" w:rsidP="0060500F">
            <w:pPr>
              <w:cnfStyle w:val="000000100000" w:firstRow="0" w:lastRow="0" w:firstColumn="0" w:lastColumn="0" w:oddVBand="0" w:evenVBand="0" w:oddHBand="1" w:evenHBand="0" w:firstRowFirstColumn="0" w:firstRowLastColumn="0" w:lastRowFirstColumn="0" w:lastRowLastColumn="0"/>
            </w:pPr>
            <w:proofErr w:type="gramStart"/>
            <w:r w:rsidRPr="009A5D48">
              <w:t>employment</w:t>
            </w:r>
            <w:proofErr w:type="gramEnd"/>
            <w:r w:rsidRPr="009A5D48">
              <w:t xml:space="preserve"> regulations, competitive regulations, health and safety regulations, product regulations, antitrust laws, patent infringements</w:t>
            </w:r>
            <w:r>
              <w:t>.</w:t>
            </w:r>
          </w:p>
        </w:tc>
      </w:tr>
      <w:tr w:rsidR="001F4E11" w:rsidTr="001F4E11">
        <w:tc>
          <w:tcPr>
            <w:cnfStyle w:val="001000000000" w:firstRow="0" w:lastRow="0" w:firstColumn="1" w:lastColumn="0" w:oddVBand="0" w:evenVBand="0" w:oddHBand="0" w:evenHBand="0" w:firstRowFirstColumn="0" w:firstRowLastColumn="0" w:lastRowFirstColumn="0" w:lastRowLastColumn="0"/>
            <w:tcW w:w="4508" w:type="dxa"/>
          </w:tcPr>
          <w:p w:rsidR="001F4E11" w:rsidRDefault="001F4E11" w:rsidP="0060500F"/>
        </w:tc>
        <w:tc>
          <w:tcPr>
            <w:tcW w:w="4508" w:type="dxa"/>
          </w:tcPr>
          <w:p w:rsidR="001F4E11" w:rsidRDefault="001F4E11" w:rsidP="0060500F">
            <w:pPr>
              <w:cnfStyle w:val="000000000000" w:firstRow="0" w:lastRow="0" w:firstColumn="0" w:lastColumn="0" w:oddVBand="0" w:evenVBand="0" w:oddHBand="0" w:evenHBand="0" w:firstRowFirstColumn="0" w:firstRowLastColumn="0" w:lastRowFirstColumn="0" w:lastRowLastColumn="0"/>
            </w:pPr>
          </w:p>
        </w:tc>
      </w:tr>
    </w:tbl>
    <w:p w:rsidR="004D1D69" w:rsidRPr="00EF524D" w:rsidRDefault="00EF524D" w:rsidP="0060500F">
      <w:r w:rsidRPr="00EF524D">
        <w:t>Technological</w:t>
      </w:r>
      <w:r>
        <w:t xml:space="preserve"> advancements play such a big role in the everyday duties of an organisation. Organisation’s that don’t keep up to date with these changes are at risk of losing customers as instantaneously, as a customer myself, online shopping is so much more convenient and less time consuming. I am so much less likely to purchase and be a returning customer at a company that doesn’t offer the service of online shopping or home delivery due to this. Businesses need to keep up with these advancements as this would be considered a high external threat to any company.</w:t>
      </w:r>
    </w:p>
    <w:p w:rsidR="0049276C" w:rsidRPr="00246E1F" w:rsidRDefault="0049276C" w:rsidP="0060500F">
      <w:pPr>
        <w:rPr>
          <w:b/>
          <w:i/>
          <w:sz w:val="20"/>
        </w:rPr>
      </w:pPr>
      <w:r w:rsidRPr="00246E1F">
        <w:rPr>
          <w:b/>
          <w:i/>
          <w:sz w:val="20"/>
        </w:rPr>
        <w:t>Figure 5: Example PESTLE Analysis for NHS England</w:t>
      </w:r>
      <w:r w:rsidR="00246E1F">
        <w:rPr>
          <w:b/>
          <w:i/>
          <w:sz w:val="20"/>
        </w:rPr>
        <w:t xml:space="preserve"> </w:t>
      </w:r>
      <w:sdt>
        <w:sdtPr>
          <w:rPr>
            <w:b/>
            <w:i/>
            <w:sz w:val="20"/>
          </w:rPr>
          <w:id w:val="585493149"/>
          <w:citation/>
        </w:sdtPr>
        <w:sdtContent>
          <w:r w:rsidR="00246E1F" w:rsidRPr="00246E1F">
            <w:rPr>
              <w:b/>
              <w:i/>
              <w:sz w:val="20"/>
            </w:rPr>
            <w:fldChar w:fldCharType="begin"/>
          </w:r>
          <w:r w:rsidR="00246E1F" w:rsidRPr="00246E1F">
            <w:rPr>
              <w:b/>
              <w:i/>
              <w:sz w:val="20"/>
            </w:rPr>
            <w:instrText xml:space="preserve"> CITATION Jam11 \l 2057 </w:instrText>
          </w:r>
          <w:r w:rsidR="00246E1F" w:rsidRPr="00246E1F">
            <w:rPr>
              <w:b/>
              <w:i/>
              <w:sz w:val="20"/>
            </w:rPr>
            <w:fldChar w:fldCharType="separate"/>
          </w:r>
          <w:r w:rsidR="00BA2B67" w:rsidRPr="00BA2B67">
            <w:rPr>
              <w:noProof/>
              <w:sz w:val="20"/>
            </w:rPr>
            <w:t>(McQuillan, 2011)</w:t>
          </w:r>
          <w:r w:rsidR="00246E1F" w:rsidRPr="00246E1F">
            <w:rPr>
              <w:b/>
              <w:i/>
              <w:sz w:val="20"/>
            </w:rPr>
            <w:fldChar w:fldCharType="end"/>
          </w:r>
        </w:sdtContent>
      </w:sdt>
      <w:r w:rsidR="00246E1F">
        <w:rPr>
          <w:b/>
          <w:i/>
          <w:sz w:val="20"/>
        </w:rPr>
        <w:t xml:space="preserve"> </w:t>
      </w:r>
    </w:p>
    <w:p w:rsidR="004D1D69" w:rsidRDefault="004D1D69" w:rsidP="0060500F">
      <w:r>
        <w:rPr>
          <w:noProof/>
          <w:lang w:eastAsia="en-GB"/>
        </w:rPr>
        <w:drawing>
          <wp:anchor distT="0" distB="0" distL="114300" distR="114300" simplePos="0" relativeHeight="251660288" behindDoc="1" locked="0" layoutInCell="1" allowOverlap="1">
            <wp:simplePos x="0" y="0"/>
            <wp:positionH relativeFrom="margin">
              <wp:posOffset>387350</wp:posOffset>
            </wp:positionH>
            <wp:positionV relativeFrom="paragraph">
              <wp:posOffset>34925</wp:posOffset>
            </wp:positionV>
            <wp:extent cx="5374640" cy="2978150"/>
            <wp:effectExtent l="0" t="0" r="0" b="0"/>
            <wp:wrapTight wrapText="bothSides">
              <wp:wrapPolygon edited="0">
                <wp:start x="0" y="0"/>
                <wp:lineTo x="0" y="21416"/>
                <wp:lineTo x="21513" y="21416"/>
                <wp:lineTo x="2151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374640" cy="2978150"/>
                    </a:xfrm>
                    <a:prstGeom prst="rect">
                      <a:avLst/>
                    </a:prstGeom>
                  </pic:spPr>
                </pic:pic>
              </a:graphicData>
            </a:graphic>
            <wp14:sizeRelH relativeFrom="page">
              <wp14:pctWidth>0</wp14:pctWidth>
            </wp14:sizeRelH>
            <wp14:sizeRelV relativeFrom="page">
              <wp14:pctHeight>0</wp14:pctHeight>
            </wp14:sizeRelV>
          </wp:anchor>
        </w:drawing>
      </w:r>
    </w:p>
    <w:p w:rsidR="004D1D69" w:rsidRPr="004D1D69" w:rsidRDefault="004D1D69" w:rsidP="004D1D69"/>
    <w:p w:rsidR="004D1D69" w:rsidRPr="004D1D69" w:rsidRDefault="004D1D69" w:rsidP="004D1D69"/>
    <w:p w:rsidR="004D1D69" w:rsidRPr="004D1D69" w:rsidRDefault="004D1D69" w:rsidP="004D1D69"/>
    <w:p w:rsidR="004D1D69" w:rsidRPr="004D1D69" w:rsidRDefault="004D1D69" w:rsidP="004D1D69"/>
    <w:p w:rsidR="004D1D69" w:rsidRPr="004D1D69" w:rsidRDefault="004D1D69" w:rsidP="004D1D69"/>
    <w:p w:rsidR="004D1D69" w:rsidRDefault="004D1D69" w:rsidP="004D1D69"/>
    <w:p w:rsidR="0060500F" w:rsidRDefault="004D1D69" w:rsidP="004D1D69">
      <w:pPr>
        <w:tabs>
          <w:tab w:val="left" w:pos="1770"/>
        </w:tabs>
      </w:pPr>
      <w:r>
        <w:rPr>
          <w:noProof/>
          <w:lang w:eastAsia="en-GB"/>
        </w:rPr>
        <w:drawing>
          <wp:anchor distT="0" distB="0" distL="114300" distR="114300" simplePos="0" relativeHeight="251661312" behindDoc="1" locked="0" layoutInCell="1" allowOverlap="1">
            <wp:simplePos x="0" y="0"/>
            <wp:positionH relativeFrom="margin">
              <wp:posOffset>285750</wp:posOffset>
            </wp:positionH>
            <wp:positionV relativeFrom="paragraph">
              <wp:posOffset>1352550</wp:posOffset>
            </wp:positionV>
            <wp:extent cx="5502910" cy="2400300"/>
            <wp:effectExtent l="0" t="0" r="2540" b="0"/>
            <wp:wrapTight wrapText="bothSides">
              <wp:wrapPolygon edited="0">
                <wp:start x="0" y="0"/>
                <wp:lineTo x="0" y="21429"/>
                <wp:lineTo x="21535" y="21429"/>
                <wp:lineTo x="2153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502910" cy="2400300"/>
                    </a:xfrm>
                    <a:prstGeom prst="rect">
                      <a:avLst/>
                    </a:prstGeom>
                  </pic:spPr>
                </pic:pic>
              </a:graphicData>
            </a:graphic>
            <wp14:sizeRelH relativeFrom="page">
              <wp14:pctWidth>0</wp14:pctWidth>
            </wp14:sizeRelH>
            <wp14:sizeRelV relativeFrom="page">
              <wp14:pctHeight>0</wp14:pctHeight>
            </wp14:sizeRelV>
          </wp:anchor>
        </w:drawing>
      </w:r>
      <w:r>
        <w:tab/>
      </w:r>
    </w:p>
    <w:p w:rsidR="008F2C14" w:rsidRDefault="008F2C14" w:rsidP="004D1D69">
      <w:pPr>
        <w:tabs>
          <w:tab w:val="left" w:pos="1770"/>
        </w:tabs>
      </w:pPr>
    </w:p>
    <w:p w:rsidR="008F2C14" w:rsidRDefault="008F2C14" w:rsidP="004D1D69">
      <w:pPr>
        <w:tabs>
          <w:tab w:val="left" w:pos="1770"/>
        </w:tabs>
      </w:pPr>
    </w:p>
    <w:p w:rsidR="008F2C14" w:rsidRDefault="008F2C14" w:rsidP="004D1D69">
      <w:pPr>
        <w:tabs>
          <w:tab w:val="left" w:pos="1770"/>
        </w:tabs>
      </w:pPr>
    </w:p>
    <w:p w:rsidR="008F2C14" w:rsidRDefault="008F2C14" w:rsidP="004D1D69">
      <w:pPr>
        <w:tabs>
          <w:tab w:val="left" w:pos="1770"/>
        </w:tabs>
      </w:pPr>
    </w:p>
    <w:p w:rsidR="008F2C14" w:rsidRDefault="008F2C14" w:rsidP="004D1D69">
      <w:pPr>
        <w:tabs>
          <w:tab w:val="left" w:pos="1770"/>
        </w:tabs>
      </w:pPr>
      <w:r>
        <w:rPr>
          <w:noProof/>
          <w:lang w:eastAsia="en-GB"/>
        </w:rPr>
        <w:lastRenderedPageBreak/>
        <w:drawing>
          <wp:anchor distT="0" distB="0" distL="114300" distR="114300" simplePos="0" relativeHeight="251662336" behindDoc="1" locked="0" layoutInCell="1" allowOverlap="1">
            <wp:simplePos x="0" y="0"/>
            <wp:positionH relativeFrom="margin">
              <wp:align>center</wp:align>
            </wp:positionH>
            <wp:positionV relativeFrom="paragraph">
              <wp:posOffset>0</wp:posOffset>
            </wp:positionV>
            <wp:extent cx="4273550" cy="4161790"/>
            <wp:effectExtent l="0" t="0" r="0" b="0"/>
            <wp:wrapTight wrapText="bothSides">
              <wp:wrapPolygon edited="0">
                <wp:start x="0" y="0"/>
                <wp:lineTo x="0" y="21455"/>
                <wp:lineTo x="21472" y="21455"/>
                <wp:lineTo x="2147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273550" cy="4161790"/>
                    </a:xfrm>
                    <a:prstGeom prst="rect">
                      <a:avLst/>
                    </a:prstGeom>
                  </pic:spPr>
                </pic:pic>
              </a:graphicData>
            </a:graphic>
            <wp14:sizeRelH relativeFrom="page">
              <wp14:pctWidth>0</wp14:pctWidth>
            </wp14:sizeRelH>
            <wp14:sizeRelV relativeFrom="page">
              <wp14:pctHeight>0</wp14:pctHeight>
            </wp14:sizeRelV>
          </wp:anchor>
        </w:drawing>
      </w:r>
    </w:p>
    <w:p w:rsidR="008F2C14" w:rsidRPr="008F2C14" w:rsidRDefault="008F2C14" w:rsidP="008F2C14"/>
    <w:p w:rsidR="008F2C14" w:rsidRPr="008F2C14" w:rsidRDefault="008F2C14" w:rsidP="008F2C14"/>
    <w:p w:rsidR="008F2C14" w:rsidRPr="008F2C14" w:rsidRDefault="008F2C14" w:rsidP="008F2C14"/>
    <w:p w:rsidR="008F2C14" w:rsidRPr="008F2C14" w:rsidRDefault="008F2C14" w:rsidP="008F2C14"/>
    <w:p w:rsidR="008F2C14" w:rsidRPr="008F2C14" w:rsidRDefault="008F2C14" w:rsidP="008F2C14"/>
    <w:p w:rsidR="008F2C14" w:rsidRPr="008F2C14" w:rsidRDefault="008F2C14" w:rsidP="008F2C14"/>
    <w:p w:rsidR="008F2C14" w:rsidRPr="008F2C14" w:rsidRDefault="008F2C14" w:rsidP="008F2C14"/>
    <w:p w:rsidR="008F2C14" w:rsidRPr="008F2C14" w:rsidRDefault="008F2C14" w:rsidP="008F2C14"/>
    <w:p w:rsidR="008F2C14" w:rsidRPr="008F2C14" w:rsidRDefault="008F2C14" w:rsidP="008F2C14"/>
    <w:p w:rsidR="008F2C14" w:rsidRPr="008F2C14" w:rsidRDefault="008F2C14" w:rsidP="008F2C14"/>
    <w:p w:rsidR="008F2C14" w:rsidRPr="008F2C14" w:rsidRDefault="008F2C14" w:rsidP="008F2C14"/>
    <w:p w:rsidR="008F2C14" w:rsidRPr="008F2C14" w:rsidRDefault="008F2C14" w:rsidP="008F2C14"/>
    <w:p w:rsidR="008F2C14" w:rsidRPr="008F2C14" w:rsidRDefault="008F2C14" w:rsidP="008F2C14"/>
    <w:p w:rsidR="008F2C14" w:rsidRDefault="008F2C14" w:rsidP="008F2C14"/>
    <w:p w:rsidR="008F2C14" w:rsidRDefault="008F2C14" w:rsidP="008F2C14"/>
    <w:p w:rsidR="008F2C14" w:rsidRDefault="00246E1F" w:rsidP="008F2C14">
      <w:pPr>
        <w:tabs>
          <w:tab w:val="left" w:pos="1660"/>
        </w:tabs>
      </w:pPr>
      <w:r>
        <w:t xml:space="preserve"> </w:t>
      </w:r>
      <w:r w:rsidR="008F2C14">
        <w:rPr>
          <w:noProof/>
          <w:lang w:eastAsia="en-GB"/>
        </w:rPr>
        <w:drawing>
          <wp:inline distT="0" distB="0" distL="0" distR="0" wp14:anchorId="6E552E54" wp14:editId="3C931DC0">
            <wp:extent cx="5731510" cy="34544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454400"/>
                    </a:xfrm>
                    <a:prstGeom prst="rect">
                      <a:avLst/>
                    </a:prstGeom>
                  </pic:spPr>
                </pic:pic>
              </a:graphicData>
            </a:graphic>
          </wp:inline>
        </w:drawing>
      </w:r>
      <w:r w:rsidR="008F2C14">
        <w:tab/>
      </w:r>
    </w:p>
    <w:p w:rsidR="008F2C14" w:rsidRPr="008F2C14" w:rsidRDefault="008F2C14" w:rsidP="008F2C14"/>
    <w:p w:rsidR="00341035" w:rsidRPr="00341035" w:rsidRDefault="00341035" w:rsidP="008F2C14">
      <w:pPr>
        <w:rPr>
          <w:b/>
          <w:i/>
          <w:sz w:val="20"/>
        </w:rPr>
      </w:pPr>
      <w:r w:rsidRPr="00341035">
        <w:rPr>
          <w:b/>
          <w:i/>
          <w:sz w:val="20"/>
        </w:rPr>
        <w:lastRenderedPageBreak/>
        <w:t>Figure 6: Porter’s 5 Forces</w:t>
      </w:r>
      <w:r>
        <w:rPr>
          <w:b/>
          <w:i/>
          <w:sz w:val="20"/>
        </w:rPr>
        <w:t xml:space="preserve"> </w:t>
      </w:r>
      <w:sdt>
        <w:sdtPr>
          <w:rPr>
            <w:b/>
            <w:i/>
            <w:sz w:val="20"/>
          </w:rPr>
          <w:id w:val="-1496649388"/>
          <w:citation/>
        </w:sdtPr>
        <w:sdtContent>
          <w:r>
            <w:rPr>
              <w:b/>
              <w:i/>
              <w:sz w:val="20"/>
            </w:rPr>
            <w:fldChar w:fldCharType="begin"/>
          </w:r>
          <w:r>
            <w:rPr>
              <w:b/>
              <w:i/>
              <w:sz w:val="20"/>
            </w:rPr>
            <w:instrText xml:space="preserve"> CITATION Por17 \l 2057 </w:instrText>
          </w:r>
          <w:r>
            <w:rPr>
              <w:b/>
              <w:i/>
              <w:sz w:val="20"/>
            </w:rPr>
            <w:fldChar w:fldCharType="separate"/>
          </w:r>
          <w:r w:rsidR="00BA2B67" w:rsidRPr="00BA2B67">
            <w:rPr>
              <w:noProof/>
              <w:sz w:val="20"/>
            </w:rPr>
            <w:t>(Anon., 2017)</w:t>
          </w:r>
          <w:r>
            <w:rPr>
              <w:b/>
              <w:i/>
              <w:sz w:val="20"/>
            </w:rPr>
            <w:fldChar w:fldCharType="end"/>
          </w:r>
        </w:sdtContent>
      </w:sdt>
      <w:r>
        <w:rPr>
          <w:b/>
          <w:i/>
          <w:sz w:val="20"/>
        </w:rPr>
        <w:t xml:space="preserve"> </w:t>
      </w:r>
      <w:r w:rsidRPr="00341035">
        <w:rPr>
          <w:b/>
          <w:i/>
          <w:sz w:val="20"/>
        </w:rPr>
        <w:t xml:space="preserve"> </w:t>
      </w:r>
    </w:p>
    <w:p w:rsidR="00461175" w:rsidRDefault="00341035" w:rsidP="00461175">
      <w:r>
        <w:t>Porter’s 5</w:t>
      </w:r>
      <w:r w:rsidR="00461175">
        <w:t xml:space="preserve"> forces tool was created by Michael Porter, Harvard Business School professor. He created this tool so that organisations could analyse their competitors and what competitive advantage and attractiveness they have. </w:t>
      </w:r>
    </w:p>
    <w:p w:rsidR="00461175" w:rsidRPr="008F2C14" w:rsidRDefault="0051539E" w:rsidP="00461175">
      <w:r w:rsidRPr="00341035">
        <w:rPr>
          <w:rFonts w:ascii="ProximaNova" w:hAnsi="ProximaNova"/>
          <w:b/>
          <w:i/>
          <w:noProof/>
          <w:color w:val="333333"/>
          <w:sz w:val="20"/>
          <w:lang w:eastAsia="en-GB"/>
        </w:rPr>
        <w:drawing>
          <wp:anchor distT="0" distB="0" distL="114300" distR="114300" simplePos="0" relativeHeight="251663360" behindDoc="1" locked="0" layoutInCell="1" allowOverlap="1">
            <wp:simplePos x="0" y="0"/>
            <wp:positionH relativeFrom="margin">
              <wp:posOffset>1441450</wp:posOffset>
            </wp:positionH>
            <wp:positionV relativeFrom="paragraph">
              <wp:posOffset>6350</wp:posOffset>
            </wp:positionV>
            <wp:extent cx="3181985" cy="3181985"/>
            <wp:effectExtent l="0" t="0" r="0" b="0"/>
            <wp:wrapTight wrapText="bothSides">
              <wp:wrapPolygon edited="0">
                <wp:start x="0" y="0"/>
                <wp:lineTo x="0" y="21466"/>
                <wp:lineTo x="21466" y="21466"/>
                <wp:lineTo x="21466" y="0"/>
                <wp:lineTo x="0" y="0"/>
              </wp:wrapPolygon>
            </wp:wrapTight>
            <wp:docPr id="10" name="Picture 10" descr="Porter's Five Forc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81985" cy="31819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61175" w:rsidRPr="008F2C14" w:rsidRDefault="00461175" w:rsidP="008F2C14"/>
    <w:p w:rsidR="008F2C14" w:rsidRPr="008F2C14" w:rsidRDefault="008F2C14" w:rsidP="008F2C14"/>
    <w:p w:rsidR="008F2C14" w:rsidRPr="008F2C14" w:rsidRDefault="008F2C14" w:rsidP="008F2C14"/>
    <w:p w:rsidR="008F2C14" w:rsidRPr="008F2C14" w:rsidRDefault="008F2C14" w:rsidP="008F2C14"/>
    <w:p w:rsidR="008F2C14" w:rsidRPr="008F2C14" w:rsidRDefault="008F2C14" w:rsidP="008F2C14"/>
    <w:p w:rsidR="008F2C14" w:rsidRPr="008F2C14" w:rsidRDefault="008F2C14" w:rsidP="008F2C14"/>
    <w:p w:rsidR="008F2C14" w:rsidRPr="008F2C14" w:rsidRDefault="008F2C14" w:rsidP="008F2C14"/>
    <w:p w:rsidR="008F2C14" w:rsidRPr="008F2C14" w:rsidRDefault="008F2C14" w:rsidP="008F2C14"/>
    <w:p w:rsidR="008F2C14" w:rsidRDefault="008F2C14" w:rsidP="008F2C14"/>
    <w:p w:rsidR="008F2C14" w:rsidRDefault="008F2C14" w:rsidP="008F2C14"/>
    <w:p w:rsidR="008F2C14" w:rsidRDefault="008F2C14" w:rsidP="008F2C14"/>
    <w:p w:rsidR="00453427" w:rsidRDefault="00644D5C" w:rsidP="008F2C14">
      <w:r>
        <w:t xml:space="preserve">The 5 forces </w:t>
      </w:r>
      <w:r w:rsidR="00453427">
        <w:t xml:space="preserve">allow organisations to identify how a force affects them, its strengths and the direction of which the business is going in, </w:t>
      </w:r>
      <w:r w:rsidR="00FA320B">
        <w:t>using this information then allows businesses to make strategic decisions to ensure stability.</w:t>
      </w:r>
    </w:p>
    <w:p w:rsidR="0051539E" w:rsidRDefault="00784527" w:rsidP="00644D5C">
      <w:pPr>
        <w:pStyle w:val="Heading3"/>
        <w:numPr>
          <w:ilvl w:val="1"/>
          <w:numId w:val="2"/>
        </w:numPr>
      </w:pPr>
      <w:bookmarkStart w:id="6" w:name="_Toc504338574"/>
      <w:r>
        <w:t>Factors Impacting an Organisation’s Business and HR Function</w:t>
      </w:r>
      <w:bookmarkEnd w:id="6"/>
    </w:p>
    <w:p w:rsidR="00644D5C" w:rsidRDefault="00644D5C" w:rsidP="00644D5C">
      <w:r>
        <w:t xml:space="preserve">Different factors affect HR management in different ways. This depends on the type of organisation it is and in what sector. </w:t>
      </w:r>
    </w:p>
    <w:p w:rsidR="00644D5C" w:rsidRDefault="00644D5C" w:rsidP="00644D5C">
      <w:pPr>
        <w:rPr>
          <w:i/>
        </w:rPr>
      </w:pPr>
      <w:r>
        <w:rPr>
          <w:i/>
        </w:rPr>
        <w:t>Private</w:t>
      </w:r>
      <w:r w:rsidR="00961E11">
        <w:rPr>
          <w:i/>
        </w:rPr>
        <w:t xml:space="preserve"> Sector </w:t>
      </w:r>
    </w:p>
    <w:p w:rsidR="003A484D" w:rsidRDefault="00644D5C" w:rsidP="00644D5C">
      <w:r>
        <w:t xml:space="preserve">The private sector </w:t>
      </w:r>
      <w:r w:rsidR="003A484D">
        <w:t>is made up of business that are owned privately by individuals or families. It can also be made up of numerous shareholders. The vast majority of private sector organisations are set up to make a profit however, there are some not-for-profit organisations that operate privately.</w:t>
      </w:r>
    </w:p>
    <w:p w:rsidR="003A484D" w:rsidRDefault="003A484D" w:rsidP="00644D5C">
      <w:r>
        <w:t>HR management in small private sector businesses is usually operated by a specialist that conducts all general HR tasks including payroll, training, recruitment etc. However, businesses can vary when it comes to how many HR functions and directors they have depending up</w:t>
      </w:r>
      <w:r w:rsidR="00961E11">
        <w:t>on size</w:t>
      </w:r>
      <w:r>
        <w:t xml:space="preserve"> </w:t>
      </w:r>
      <w:sdt>
        <w:sdtPr>
          <w:id w:val="1392997969"/>
          <w:citation/>
        </w:sdtPr>
        <w:sdtContent>
          <w:r w:rsidR="00961E11">
            <w:fldChar w:fldCharType="begin"/>
          </w:r>
          <w:r w:rsidR="00961E11">
            <w:instrText xml:space="preserve"> CITATION Tay161 \l 2057 </w:instrText>
          </w:r>
          <w:r w:rsidR="00961E11">
            <w:fldChar w:fldCharType="separate"/>
          </w:r>
          <w:r w:rsidR="00BA2B67" w:rsidRPr="00BA2B67">
            <w:rPr>
              <w:noProof/>
            </w:rPr>
            <w:t>(Taylor &amp; Wilkinson, 2016)</w:t>
          </w:r>
          <w:r w:rsidR="00961E11">
            <w:fldChar w:fldCharType="end"/>
          </w:r>
        </w:sdtContent>
      </w:sdt>
      <w:r w:rsidR="00961E11">
        <w:t>.</w:t>
      </w:r>
    </w:p>
    <w:p w:rsidR="003A484D" w:rsidRDefault="00961E11" w:rsidP="00644D5C">
      <w:pPr>
        <w:rPr>
          <w:i/>
        </w:rPr>
      </w:pPr>
      <w:r>
        <w:rPr>
          <w:i/>
        </w:rPr>
        <w:t>Public Sector</w:t>
      </w:r>
    </w:p>
    <w:p w:rsidR="00961E11" w:rsidRDefault="00961E11" w:rsidP="00644D5C">
      <w:r>
        <w:t xml:space="preserve">Public sector organisations can include; “central government departments, local and regional government organisations, public service providers, publicly owned corporations and QUANGOs” otherwise known as quasi-autonomous non-governmental organisation </w:t>
      </w:r>
      <w:sdt>
        <w:sdtPr>
          <w:id w:val="219175515"/>
          <w:citation/>
        </w:sdtPr>
        <w:sdtContent>
          <w:r>
            <w:fldChar w:fldCharType="begin"/>
          </w:r>
          <w:r>
            <w:instrText xml:space="preserve"> CITATION Tay161 \l 2057 </w:instrText>
          </w:r>
          <w:r>
            <w:fldChar w:fldCharType="separate"/>
          </w:r>
          <w:r w:rsidR="00BA2B67" w:rsidRPr="00BA2B67">
            <w:rPr>
              <w:noProof/>
            </w:rPr>
            <w:t>(Taylor &amp; Wilkinson, 2016)</w:t>
          </w:r>
          <w:r>
            <w:fldChar w:fldCharType="end"/>
          </w:r>
        </w:sdtContent>
      </w:sdt>
      <w:r>
        <w:t>.</w:t>
      </w:r>
    </w:p>
    <w:p w:rsidR="00961E11" w:rsidRDefault="00961E11" w:rsidP="00644D5C">
      <w:r>
        <w:t xml:space="preserve">Public organisations are mainly funded by taxpayers for example, the NHS. Public sector organisations are known to have quite large HR departments and functions and tend to have highly reputable HR directors influencing good HR practice </w:t>
      </w:r>
      <w:sdt>
        <w:sdtPr>
          <w:id w:val="1540856828"/>
          <w:citation/>
        </w:sdtPr>
        <w:sdtContent>
          <w:r>
            <w:fldChar w:fldCharType="begin"/>
          </w:r>
          <w:r>
            <w:instrText xml:space="preserve"> CITATION Tay161 \l 2057 </w:instrText>
          </w:r>
          <w:r>
            <w:fldChar w:fldCharType="separate"/>
          </w:r>
          <w:r w:rsidR="00BA2B67" w:rsidRPr="00BA2B67">
            <w:rPr>
              <w:noProof/>
            </w:rPr>
            <w:t>(Taylor &amp; Wilkinson, 2016)</w:t>
          </w:r>
          <w:r>
            <w:fldChar w:fldCharType="end"/>
          </w:r>
        </w:sdtContent>
      </w:sdt>
      <w:r>
        <w:t>.</w:t>
      </w:r>
    </w:p>
    <w:p w:rsidR="00961E11" w:rsidRDefault="00961E11" w:rsidP="00644D5C">
      <w:pPr>
        <w:rPr>
          <w:i/>
        </w:rPr>
      </w:pPr>
      <w:r>
        <w:rPr>
          <w:i/>
        </w:rPr>
        <w:lastRenderedPageBreak/>
        <w:t>Third</w:t>
      </w:r>
      <w:r>
        <w:t xml:space="preserve"> </w:t>
      </w:r>
      <w:r>
        <w:rPr>
          <w:i/>
        </w:rPr>
        <w:t>Sector</w:t>
      </w:r>
    </w:p>
    <w:p w:rsidR="00961E11" w:rsidRPr="00961E11" w:rsidRDefault="00961E11" w:rsidP="00644D5C">
      <w:r>
        <w:t xml:space="preserve">An organisation within the third sector could be; co-operative, campaigning organisations or pressure groups, controlled by boards of trustees, and are more commonly known as charities. Organisations within the third sector are not-for-profit </w:t>
      </w:r>
      <w:r w:rsidR="00C10A86">
        <w:t xml:space="preserve">and operate similarly to large public sector organisations. HR in the third sector carries out basic tasks </w:t>
      </w:r>
      <w:sdt>
        <w:sdtPr>
          <w:id w:val="-736711341"/>
          <w:citation/>
        </w:sdtPr>
        <w:sdtContent>
          <w:r w:rsidR="00C10A86">
            <w:fldChar w:fldCharType="begin"/>
          </w:r>
          <w:r w:rsidR="00C10A86">
            <w:instrText xml:space="preserve"> CITATION Tay161 \l 2057 </w:instrText>
          </w:r>
          <w:r w:rsidR="00C10A86">
            <w:fldChar w:fldCharType="separate"/>
          </w:r>
          <w:r w:rsidR="00BA2B67" w:rsidRPr="00BA2B67">
            <w:rPr>
              <w:noProof/>
            </w:rPr>
            <w:t>(Taylor &amp; Wilkinson, 2016)</w:t>
          </w:r>
          <w:r w:rsidR="00C10A86">
            <w:fldChar w:fldCharType="end"/>
          </w:r>
        </w:sdtContent>
      </w:sdt>
      <w:r w:rsidR="00C10A86">
        <w:t>.</w:t>
      </w:r>
    </w:p>
    <w:p w:rsidR="00F43184" w:rsidRDefault="00F43184" w:rsidP="00784527">
      <w:pPr>
        <w:rPr>
          <w:i/>
        </w:rPr>
      </w:pPr>
      <w:r>
        <w:rPr>
          <w:i/>
        </w:rPr>
        <w:t>Technology</w:t>
      </w:r>
    </w:p>
    <w:p w:rsidR="00F43184" w:rsidRDefault="00F43184" w:rsidP="00784527">
      <w:r>
        <w:t>Technology is one element o</w:t>
      </w:r>
      <w:r w:rsidR="00C10A86">
        <w:t>f</w:t>
      </w:r>
      <w:r>
        <w:t xml:space="preserve"> the PESTLE analysis. According to </w:t>
      </w:r>
      <w:sdt>
        <w:sdtPr>
          <w:id w:val="-1519544737"/>
          <w:citation/>
        </w:sdtPr>
        <w:sdtContent>
          <w:r>
            <w:fldChar w:fldCharType="begin"/>
          </w:r>
          <w:r>
            <w:instrText xml:space="preserve"> CITATION Tay161 \l 2057 </w:instrText>
          </w:r>
          <w:r>
            <w:fldChar w:fldCharType="separate"/>
          </w:r>
          <w:r w:rsidR="00BA2B67" w:rsidRPr="00BA2B67">
            <w:rPr>
              <w:noProof/>
            </w:rPr>
            <w:t>(Taylor &amp; Wilkinson, 2016)</w:t>
          </w:r>
          <w:r>
            <w:fldChar w:fldCharType="end"/>
          </w:r>
        </w:sdtContent>
      </w:sdt>
      <w:r>
        <w:t xml:space="preserve"> there is a rapid growth in technology allows a UK consumer to purchase a product from anywhere in the world for example, eBay, and be shipped to our doors. Technology allows us to view anything from across the world no matter where we are. Technology is known for driving competition by increased productivity levels. Organisations that don’t adapt to the changing world including introducing modern technology into their business almost face no chance of c</w:t>
      </w:r>
      <w:r w:rsidR="00BD410A">
        <w:t>ompeting with their competitors, can leave employees jobs at risk and lose employer brand recognition.</w:t>
      </w:r>
    </w:p>
    <w:p w:rsidR="00C10A86" w:rsidRDefault="00866E3B" w:rsidP="00BD410A">
      <w:r w:rsidRPr="00866E3B">
        <w:rPr>
          <w:i/>
        </w:rPr>
        <w:t>Legal</w:t>
      </w:r>
    </w:p>
    <w:p w:rsidR="00BD410A" w:rsidRDefault="00866E3B" w:rsidP="00BD410A">
      <w:r>
        <w:t>Organisations are required by law,</w:t>
      </w:r>
      <w:r>
        <w:t xml:space="preserve"> to comply with</w:t>
      </w:r>
      <w:r>
        <w:t xml:space="preserve"> any</w:t>
      </w:r>
      <w:r>
        <w:t xml:space="preserve"> legislation</w:t>
      </w:r>
      <w:r w:rsidR="00BD410A">
        <w:t xml:space="preserve"> in relation to business and HR</w:t>
      </w:r>
      <w:r>
        <w:t xml:space="preserve"> in terms of discrimination, working time regulations, Agency workers regulations, National Minimum wage etc.</w:t>
      </w:r>
      <w:r w:rsidR="00BD410A">
        <w:t xml:space="preserve"> Organisations that do not comply with legislation can lead to unhappy employees who can take legal action for not complying. Non-compliance can result in fines and court action which can cost an organisation a lot of money.</w:t>
      </w:r>
    </w:p>
    <w:p w:rsidR="00553A87" w:rsidRDefault="00BD410A" w:rsidP="00784527">
      <w:pPr>
        <w:rPr>
          <w:i/>
        </w:rPr>
      </w:pPr>
      <w:r>
        <w:rPr>
          <w:i/>
        </w:rPr>
        <w:t xml:space="preserve">Strengths </w:t>
      </w:r>
      <w:r w:rsidR="00C10A86">
        <w:rPr>
          <w:i/>
        </w:rPr>
        <w:t>&amp;</w:t>
      </w:r>
      <w:r>
        <w:rPr>
          <w:i/>
        </w:rPr>
        <w:t xml:space="preserve"> Weaknesses</w:t>
      </w:r>
    </w:p>
    <w:p w:rsidR="00BD410A" w:rsidRPr="00BD410A" w:rsidRDefault="00BD410A" w:rsidP="00BD410A">
      <w:r>
        <w:t xml:space="preserve">Both of the above factors from the SWOT analysis tool benefits an organisation internally. The simple tool allows an organisation to identify its strengths and weaknesses automatically showing room for development or weaknesses that can be improved through the identifying process. Understanding an organisation internally will prepare for external circumstances for example, in a GP practice, there are </w:t>
      </w:r>
      <w:r>
        <w:rPr>
          <w:i/>
        </w:rPr>
        <w:t xml:space="preserve">thousands </w:t>
      </w:r>
      <w:r>
        <w:t>of patient paper records still being used. The introduction of paperless records is</w:t>
      </w:r>
      <w:r w:rsidR="00644D5C">
        <w:t xml:space="preserve"> being introduced but at a very slow pace. Patient expectations are very high and in order to meet those and keep up with modern developing technology, using the SWOT tool will identify a weakness which is the time it’s taking to transfer to paperless records and the strength will be already identifying and understand patient expectations.</w:t>
      </w:r>
    </w:p>
    <w:p w:rsidR="004518D1" w:rsidRDefault="004518D1" w:rsidP="00644D5C">
      <w:pPr>
        <w:pStyle w:val="Heading2"/>
      </w:pPr>
      <w:bookmarkStart w:id="7" w:name="_Toc504338575"/>
      <w:r>
        <w:t>2.3 Key Stages in Strategy Formulation</w:t>
      </w:r>
      <w:bookmarkEnd w:id="7"/>
    </w:p>
    <w:p w:rsidR="004518D1" w:rsidRPr="000834E8" w:rsidRDefault="00B20D2C" w:rsidP="004518D1">
      <w:pPr>
        <w:rPr>
          <w:rStyle w:val="exldetailsdisplayval"/>
          <w:rFonts w:cstheme="minorHAnsi"/>
          <w:color w:val="32322F"/>
        </w:rPr>
      </w:pPr>
      <w:r>
        <w:rPr>
          <w:noProof/>
          <w:lang w:eastAsia="en-GB"/>
        </w:rPr>
        <w:drawing>
          <wp:anchor distT="0" distB="0" distL="114300" distR="114300" simplePos="0" relativeHeight="251664384" behindDoc="1" locked="0" layoutInCell="1" allowOverlap="1">
            <wp:simplePos x="0" y="0"/>
            <wp:positionH relativeFrom="column">
              <wp:posOffset>4146550</wp:posOffset>
            </wp:positionH>
            <wp:positionV relativeFrom="paragraph">
              <wp:posOffset>219710</wp:posOffset>
            </wp:positionV>
            <wp:extent cx="2120900" cy="2141220"/>
            <wp:effectExtent l="0" t="0" r="0" b="0"/>
            <wp:wrapTight wrapText="bothSides">
              <wp:wrapPolygon edited="0">
                <wp:start x="0" y="0"/>
                <wp:lineTo x="0" y="21331"/>
                <wp:lineTo x="21341" y="21331"/>
                <wp:lineTo x="2134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120900" cy="2141220"/>
                    </a:xfrm>
                    <a:prstGeom prst="rect">
                      <a:avLst/>
                    </a:prstGeom>
                  </pic:spPr>
                </pic:pic>
              </a:graphicData>
            </a:graphic>
            <wp14:sizeRelH relativeFrom="page">
              <wp14:pctWidth>0</wp14:pctWidth>
            </wp14:sizeRelH>
            <wp14:sizeRelV relativeFrom="page">
              <wp14:pctHeight>0</wp14:pctHeight>
            </wp14:sizeRelV>
          </wp:anchor>
        </w:drawing>
      </w:r>
      <w:r w:rsidR="004518D1" w:rsidRPr="00B569E8">
        <w:rPr>
          <w:rFonts w:cstheme="minorHAnsi"/>
        </w:rPr>
        <w:t>Performance measurement systems such as vertical and horizontal integration strategies</w:t>
      </w:r>
      <w:r w:rsidR="004518D1">
        <w:rPr>
          <w:rFonts w:cstheme="minorHAnsi"/>
        </w:rPr>
        <w:t xml:space="preserve"> can both be</w:t>
      </w:r>
      <w:r w:rsidR="004518D1" w:rsidRPr="00B569E8">
        <w:rPr>
          <w:rFonts w:cstheme="minorHAnsi"/>
        </w:rPr>
        <w:t xml:space="preserve"> used in organisations</w:t>
      </w:r>
      <w:r w:rsidR="004518D1">
        <w:rPr>
          <w:rFonts w:cstheme="minorHAnsi"/>
        </w:rPr>
        <w:t>. “T</w:t>
      </w:r>
      <w:r w:rsidR="004518D1" w:rsidRPr="00B569E8">
        <w:rPr>
          <w:rStyle w:val="exldetailsdisplayval"/>
          <w:rFonts w:cstheme="minorHAnsi"/>
          <w:color w:val="32322F"/>
          <w:lang w:val="en-US"/>
        </w:rPr>
        <w:t xml:space="preserve">he need for </w:t>
      </w:r>
      <w:r w:rsidR="004518D1" w:rsidRPr="000834E8">
        <w:rPr>
          <w:rStyle w:val="exldetailsdisplayval"/>
          <w:rFonts w:cstheme="minorHAnsi"/>
          <w:color w:val="32322F"/>
        </w:rPr>
        <w:t xml:space="preserve">vertical integration to control the growing complexity but at the same time for horizontal control to advance customer-centred production” </w:t>
      </w:r>
      <w:sdt>
        <w:sdtPr>
          <w:rPr>
            <w:rStyle w:val="exldetailsdisplayval"/>
            <w:rFonts w:cstheme="minorHAnsi"/>
            <w:color w:val="32322F"/>
          </w:rPr>
          <w:id w:val="-1648436643"/>
          <w:citation/>
        </w:sdtPr>
        <w:sdtContent>
          <w:r w:rsidR="004518D1" w:rsidRPr="000834E8">
            <w:rPr>
              <w:rStyle w:val="exldetailsdisplayval"/>
              <w:rFonts w:cstheme="minorHAnsi"/>
              <w:color w:val="32322F"/>
            </w:rPr>
            <w:fldChar w:fldCharType="begin"/>
          </w:r>
          <w:r w:rsidR="004518D1" w:rsidRPr="000834E8">
            <w:rPr>
              <w:rStyle w:val="exldetailsdisplayval"/>
              <w:rFonts w:cstheme="minorHAnsi"/>
              <w:color w:val="32322F"/>
            </w:rPr>
            <w:instrText xml:space="preserve">CITATION Pel16 \l 2057 </w:instrText>
          </w:r>
          <w:r w:rsidR="004518D1" w:rsidRPr="000834E8">
            <w:rPr>
              <w:rStyle w:val="exldetailsdisplayval"/>
              <w:rFonts w:cstheme="minorHAnsi"/>
              <w:color w:val="32322F"/>
            </w:rPr>
            <w:fldChar w:fldCharType="separate"/>
          </w:r>
          <w:r w:rsidR="00BA2B67" w:rsidRPr="00BA2B67">
            <w:rPr>
              <w:rFonts w:cstheme="minorHAnsi"/>
              <w:noProof/>
              <w:color w:val="32322F"/>
            </w:rPr>
            <w:t>(Pellinen, et al., 2016)</w:t>
          </w:r>
          <w:r w:rsidR="004518D1" w:rsidRPr="000834E8">
            <w:rPr>
              <w:rStyle w:val="exldetailsdisplayval"/>
              <w:rFonts w:cstheme="minorHAnsi"/>
              <w:color w:val="32322F"/>
            </w:rPr>
            <w:fldChar w:fldCharType="end"/>
          </w:r>
        </w:sdtContent>
      </w:sdt>
      <w:r w:rsidR="004518D1" w:rsidRPr="000834E8">
        <w:rPr>
          <w:rStyle w:val="exldetailsdisplayval"/>
          <w:rFonts w:cstheme="minorHAnsi"/>
          <w:color w:val="32322F"/>
        </w:rPr>
        <w:t xml:space="preserve">. </w:t>
      </w:r>
    </w:p>
    <w:p w:rsidR="000834E8" w:rsidRPr="00467CC6" w:rsidRDefault="000834E8" w:rsidP="004518D1">
      <w:pPr>
        <w:rPr>
          <w:rStyle w:val="exldetailsdisplayval"/>
          <w:rFonts w:cstheme="minorHAnsi"/>
          <w:b/>
          <w:i/>
          <w:color w:val="32322F"/>
          <w:sz w:val="20"/>
        </w:rPr>
      </w:pPr>
      <w:r w:rsidRPr="000834E8">
        <w:rPr>
          <w:rStyle w:val="exldetailsdisplayval"/>
          <w:rFonts w:cstheme="minorHAnsi"/>
          <w:b/>
          <w:i/>
          <w:color w:val="32322F"/>
          <w:sz w:val="20"/>
        </w:rPr>
        <w:t>Figure 7: The Horizontal Vertical Alignment Mod</w:t>
      </w:r>
      <w:r w:rsidRPr="00467CC6">
        <w:rPr>
          <w:rStyle w:val="exldetailsdisplayval"/>
          <w:rFonts w:cstheme="minorHAnsi"/>
          <w:b/>
          <w:i/>
          <w:color w:val="32322F"/>
          <w:sz w:val="20"/>
        </w:rPr>
        <w:t xml:space="preserve">el </w:t>
      </w:r>
      <w:sdt>
        <w:sdtPr>
          <w:rPr>
            <w:rStyle w:val="exldetailsdisplayval"/>
            <w:rFonts w:cstheme="minorHAnsi"/>
            <w:b/>
            <w:i/>
            <w:color w:val="32322F"/>
            <w:sz w:val="20"/>
          </w:rPr>
          <w:id w:val="1098445395"/>
          <w:citation/>
        </w:sdtPr>
        <w:sdtContent>
          <w:r w:rsidR="00467CC6" w:rsidRPr="00467CC6">
            <w:rPr>
              <w:rStyle w:val="exldetailsdisplayval"/>
              <w:rFonts w:cstheme="minorHAnsi"/>
              <w:b/>
              <w:i/>
              <w:color w:val="32322F"/>
              <w:sz w:val="20"/>
            </w:rPr>
            <w:fldChar w:fldCharType="begin"/>
          </w:r>
          <w:r w:rsidR="00467CC6" w:rsidRPr="00467CC6">
            <w:rPr>
              <w:rStyle w:val="exldetailsdisplayval"/>
              <w:rFonts w:cstheme="minorHAnsi"/>
              <w:b/>
              <w:i/>
              <w:color w:val="32322F"/>
              <w:sz w:val="20"/>
            </w:rPr>
            <w:instrText xml:space="preserve"> CITATION Kew16 \l 2057 </w:instrText>
          </w:r>
          <w:r w:rsidR="00467CC6" w:rsidRPr="00467CC6">
            <w:rPr>
              <w:rStyle w:val="exldetailsdisplayval"/>
              <w:rFonts w:cstheme="minorHAnsi"/>
              <w:b/>
              <w:i/>
              <w:color w:val="32322F"/>
              <w:sz w:val="20"/>
            </w:rPr>
            <w:fldChar w:fldCharType="separate"/>
          </w:r>
          <w:r w:rsidR="00BA2B67" w:rsidRPr="00BA2B67">
            <w:rPr>
              <w:rFonts w:cstheme="minorHAnsi"/>
              <w:noProof/>
              <w:color w:val="32322F"/>
              <w:sz w:val="20"/>
            </w:rPr>
            <w:t>(Kew &amp; Stredwick, 2016)</w:t>
          </w:r>
          <w:r w:rsidR="00467CC6" w:rsidRPr="00467CC6">
            <w:rPr>
              <w:rStyle w:val="exldetailsdisplayval"/>
              <w:rFonts w:cstheme="minorHAnsi"/>
              <w:b/>
              <w:i/>
              <w:color w:val="32322F"/>
              <w:sz w:val="20"/>
            </w:rPr>
            <w:fldChar w:fldCharType="end"/>
          </w:r>
        </w:sdtContent>
      </w:sdt>
    </w:p>
    <w:p w:rsidR="000834E8" w:rsidRPr="00506AE2" w:rsidRDefault="000834E8" w:rsidP="004518D1">
      <w:pPr>
        <w:rPr>
          <w:rStyle w:val="exldetailsdisplayval"/>
          <w:rFonts w:cstheme="minorHAnsi"/>
        </w:rPr>
      </w:pPr>
      <w:r w:rsidRPr="00506AE2">
        <w:rPr>
          <w:rStyle w:val="exldetailsdisplayval"/>
          <w:rFonts w:cstheme="minorHAnsi"/>
        </w:rPr>
        <w:t>Vertical are alignments between an organisation’s goals and strategies in one hand and the HR policy in another.</w:t>
      </w:r>
    </w:p>
    <w:p w:rsidR="000834E8" w:rsidRPr="00506AE2" w:rsidRDefault="000834E8" w:rsidP="004518D1">
      <w:pPr>
        <w:rPr>
          <w:rStyle w:val="exldetailsdisplayval"/>
          <w:rFonts w:cstheme="minorHAnsi"/>
        </w:rPr>
      </w:pPr>
      <w:r w:rsidRPr="00506AE2">
        <w:rPr>
          <w:rStyle w:val="exldetailsdisplayval"/>
          <w:rFonts w:cstheme="minorHAnsi"/>
        </w:rPr>
        <w:t xml:space="preserve">Horizontal </w:t>
      </w:r>
      <w:r w:rsidR="00467CC6" w:rsidRPr="00506AE2">
        <w:rPr>
          <w:rStyle w:val="exldetailsdisplayval"/>
          <w:rFonts w:cstheme="minorHAnsi"/>
        </w:rPr>
        <w:t>is alignment between the different HR policies in order to be consistent with each other.</w:t>
      </w:r>
    </w:p>
    <w:p w:rsidR="0031746E" w:rsidRPr="00506AE2" w:rsidRDefault="0031746E" w:rsidP="004518D1">
      <w:pPr>
        <w:rPr>
          <w:rStyle w:val="exldetailsdisplayval"/>
          <w:rFonts w:cstheme="minorHAnsi"/>
        </w:rPr>
      </w:pPr>
      <w:r w:rsidRPr="00506AE2">
        <w:rPr>
          <w:rStyle w:val="exldetailsdisplayval"/>
          <w:rFonts w:cstheme="minorHAnsi"/>
        </w:rPr>
        <w:t xml:space="preserve">According to </w:t>
      </w:r>
      <w:sdt>
        <w:sdtPr>
          <w:rPr>
            <w:rStyle w:val="exldetailsdisplayval"/>
            <w:rFonts w:cstheme="minorHAnsi"/>
          </w:rPr>
          <w:id w:val="-1820343677"/>
          <w:citation/>
        </w:sdtPr>
        <w:sdtContent>
          <w:r w:rsidRPr="00506AE2">
            <w:rPr>
              <w:rStyle w:val="exldetailsdisplayval"/>
              <w:rFonts w:cstheme="minorHAnsi"/>
            </w:rPr>
            <w:fldChar w:fldCharType="begin"/>
          </w:r>
          <w:r w:rsidRPr="00506AE2">
            <w:rPr>
              <w:rStyle w:val="exldetailsdisplayval"/>
              <w:rFonts w:cstheme="minorHAnsi"/>
            </w:rPr>
            <w:instrText xml:space="preserve"> CITATION Arm14 \l 2057 </w:instrText>
          </w:r>
          <w:r w:rsidRPr="00506AE2">
            <w:rPr>
              <w:rStyle w:val="exldetailsdisplayval"/>
              <w:rFonts w:cstheme="minorHAnsi"/>
            </w:rPr>
            <w:fldChar w:fldCharType="separate"/>
          </w:r>
          <w:r w:rsidR="00BA2B67" w:rsidRPr="00BA2B67">
            <w:rPr>
              <w:rFonts w:cstheme="minorHAnsi"/>
              <w:noProof/>
            </w:rPr>
            <w:t>(Armstrong &amp; Taylor, 2014)</w:t>
          </w:r>
          <w:r w:rsidRPr="00506AE2">
            <w:rPr>
              <w:rStyle w:val="exldetailsdisplayval"/>
              <w:rFonts w:cstheme="minorHAnsi"/>
            </w:rPr>
            <w:fldChar w:fldCharType="end"/>
          </w:r>
        </w:sdtContent>
      </w:sdt>
      <w:r w:rsidRPr="00506AE2">
        <w:rPr>
          <w:rStyle w:val="exldetailsdisplayval"/>
          <w:rFonts w:cstheme="minorHAnsi"/>
        </w:rPr>
        <w:t xml:space="preserve">, strategic management is best defined as a ‘process’. It involves strategy making, forming and </w:t>
      </w:r>
      <w:r w:rsidRPr="00506AE2">
        <w:rPr>
          <w:rStyle w:val="exldetailsdisplayval"/>
          <w:rFonts w:cstheme="minorHAnsi"/>
        </w:rPr>
        <w:lastRenderedPageBreak/>
        <w:t xml:space="preserve">the survival of the organisation. It is deciding what business the organisation will be in and "forming a strategic vision of where the organisation needs to be headed". Implementation of a strategy involves "converting the strategic plan into action and then into results" </w:t>
      </w:r>
      <w:sdt>
        <w:sdtPr>
          <w:rPr>
            <w:rStyle w:val="exldetailsdisplayval"/>
            <w:rFonts w:cstheme="minorHAnsi"/>
          </w:rPr>
          <w:id w:val="-98569160"/>
          <w:citation/>
        </w:sdtPr>
        <w:sdtContent>
          <w:r w:rsidRPr="00506AE2">
            <w:rPr>
              <w:rStyle w:val="exldetailsdisplayval"/>
              <w:rFonts w:cstheme="minorHAnsi"/>
            </w:rPr>
            <w:fldChar w:fldCharType="begin"/>
          </w:r>
          <w:r w:rsidRPr="00506AE2">
            <w:rPr>
              <w:rStyle w:val="exldetailsdisplayval"/>
              <w:rFonts w:cstheme="minorHAnsi"/>
            </w:rPr>
            <w:instrText xml:space="preserve"> CITATION Arm14 \l 2057 </w:instrText>
          </w:r>
          <w:r w:rsidRPr="00506AE2">
            <w:rPr>
              <w:rStyle w:val="exldetailsdisplayval"/>
              <w:rFonts w:cstheme="minorHAnsi"/>
            </w:rPr>
            <w:fldChar w:fldCharType="separate"/>
          </w:r>
          <w:r w:rsidR="00BA2B67" w:rsidRPr="00BA2B67">
            <w:rPr>
              <w:rFonts w:cstheme="minorHAnsi"/>
              <w:noProof/>
            </w:rPr>
            <w:t>(Armstrong &amp; Taylor, 2014)</w:t>
          </w:r>
          <w:r w:rsidRPr="00506AE2">
            <w:rPr>
              <w:rStyle w:val="exldetailsdisplayval"/>
              <w:rFonts w:cstheme="minorHAnsi"/>
            </w:rPr>
            <w:fldChar w:fldCharType="end"/>
          </w:r>
        </w:sdtContent>
      </w:sdt>
      <w:r w:rsidRPr="00506AE2">
        <w:rPr>
          <w:rStyle w:val="exldetailsdisplayval"/>
          <w:rFonts w:cstheme="minorHAnsi"/>
        </w:rPr>
        <w:t xml:space="preserve">. </w:t>
      </w:r>
    </w:p>
    <w:p w:rsidR="004518D1" w:rsidRPr="006177BA" w:rsidRDefault="004518D1" w:rsidP="006177BA">
      <w:pPr>
        <w:pStyle w:val="Heading3"/>
      </w:pPr>
      <w:bookmarkStart w:id="8" w:name="_Toc504338576"/>
      <w:r w:rsidRPr="006177BA">
        <w:t>2.3.1 Business Ethics and Accountability</w:t>
      </w:r>
      <w:bookmarkEnd w:id="8"/>
    </w:p>
    <w:p w:rsidR="004518D1" w:rsidRPr="00506AE2" w:rsidRDefault="004518D1" w:rsidP="004518D1">
      <w:r w:rsidRPr="00506AE2">
        <w:rPr>
          <w:noProof/>
        </w:rPr>
        <w:t>Kew &amp; Stredwick (2016)</w:t>
      </w:r>
      <w:r w:rsidRPr="00506AE2">
        <w:t xml:space="preserve"> suggest business ethics consist of three elements including; “fairness, deciding what is right and wrong, and the practices and rules which underpin responsible conduct between individuals and groups”.</w:t>
      </w:r>
    </w:p>
    <w:p w:rsidR="00FA320B" w:rsidRDefault="004518D1" w:rsidP="00FA320B">
      <w:r w:rsidRPr="00506AE2">
        <w:t xml:space="preserve">Every organisation has responsibility for ethical processes and decision making within the business and promoting ethical behaviour. Business ethics is a form of code of conduct consisting of moral standards for organisational behaviours </w:t>
      </w:r>
      <w:sdt>
        <w:sdtPr>
          <w:id w:val="-1218203303"/>
          <w:citation/>
        </w:sdtPr>
        <w:sdtContent>
          <w:r w:rsidRPr="00506AE2">
            <w:fldChar w:fldCharType="begin"/>
          </w:r>
          <w:r w:rsidRPr="00506AE2">
            <w:instrText xml:space="preserve"> CITATION Tay161 \l 2057 </w:instrText>
          </w:r>
          <w:r w:rsidRPr="00506AE2">
            <w:fldChar w:fldCharType="separate"/>
          </w:r>
          <w:r w:rsidR="00BA2B67" w:rsidRPr="00BA2B67">
            <w:rPr>
              <w:noProof/>
            </w:rPr>
            <w:t>(Taylor &amp; Wilkinson, 2016)</w:t>
          </w:r>
          <w:r w:rsidRPr="00506AE2">
            <w:fldChar w:fldCharType="end"/>
          </w:r>
        </w:sdtContent>
      </w:sdt>
      <w:r w:rsidRPr="00506AE2">
        <w:t>.</w:t>
      </w:r>
    </w:p>
    <w:p w:rsidR="00462072" w:rsidRDefault="00462072" w:rsidP="00FA320B">
      <w:r>
        <w:t>HR usually have a responsibility in promoting ethical behaviour within an organisation. This is usually done by promoting the companies code of ethics and is a code of conduct. There are three types of promoting ethics including; educational, regulatory, and aspirational.</w:t>
      </w:r>
    </w:p>
    <w:p w:rsidR="00462072" w:rsidRDefault="00462072" w:rsidP="00FA320B">
      <w:r>
        <w:t>Educational promotion is usually used to increased moral awareness and behaviour within a company.</w:t>
      </w:r>
    </w:p>
    <w:p w:rsidR="00462072" w:rsidRDefault="00462072" w:rsidP="00FA320B">
      <w:r>
        <w:t>Regulatory promotion of ethical code of practice will consist of detailed information regarding behaviour values and assists with resolution of conflicts.</w:t>
      </w:r>
    </w:p>
    <w:p w:rsidR="00462072" w:rsidRDefault="00462072" w:rsidP="00FA320B">
      <w:r>
        <w:t xml:space="preserve">Aspirational promotion usually gives the general values and communicating these to individuals </w:t>
      </w:r>
      <w:sdt>
        <w:sdtPr>
          <w:id w:val="-530186828"/>
          <w:citation/>
        </w:sdtPr>
        <w:sdtContent>
          <w:r>
            <w:fldChar w:fldCharType="begin"/>
          </w:r>
          <w:r>
            <w:instrText xml:space="preserve"> CITATION Tay161 \l 2057 </w:instrText>
          </w:r>
          <w:r>
            <w:fldChar w:fldCharType="separate"/>
          </w:r>
          <w:r w:rsidR="00BA2B67" w:rsidRPr="00BA2B67">
            <w:rPr>
              <w:noProof/>
            </w:rPr>
            <w:t>(Taylor &amp; Wilkinson, 2016)</w:t>
          </w:r>
          <w:r>
            <w:fldChar w:fldCharType="end"/>
          </w:r>
        </w:sdtContent>
      </w:sdt>
      <w:r>
        <w:t>.</w:t>
      </w:r>
    </w:p>
    <w:p w:rsidR="00462072" w:rsidRPr="00506AE2" w:rsidRDefault="00462072" w:rsidP="00FA320B">
      <w:r>
        <w:t xml:space="preserve">Organisations that have good codes of ethics usually recognise the importance of each stakeholder’s relationship. </w:t>
      </w:r>
    </w:p>
    <w:p w:rsidR="008F2C14" w:rsidRDefault="00644D5C" w:rsidP="00FA320B">
      <w:pPr>
        <w:pStyle w:val="Heading2"/>
      </w:pPr>
      <w:bookmarkStart w:id="9" w:name="_Toc504338577"/>
      <w:r>
        <w:t>3.1 Business Performance and the Role of HR in Business Planning and the Change Management Agenda</w:t>
      </w:r>
      <w:bookmarkEnd w:id="9"/>
    </w:p>
    <w:p w:rsidR="00F5644B" w:rsidRPr="003378F3" w:rsidRDefault="00FA320B" w:rsidP="00644D5C">
      <w:r>
        <w:t xml:space="preserve">Organisations need to be prepared and willing to adapt to the changing world. HR plays a big role in an organisation undergoing change as they have to design and have to implement it.  HR departments are involved in the initial stage of the project team, inform managers of skills available </w:t>
      </w:r>
      <w:r w:rsidRPr="003378F3">
        <w:t xml:space="preserve">within an organisation also identifying skill gaps and the need for training and development (weaknesses), they are responsible for the appropriate communication to reach every area of the business, </w:t>
      </w:r>
      <w:r w:rsidR="00E25A17" w:rsidRPr="003378F3">
        <w:t>evaluating the effect that change is having on the organisation e.g. absence statistics, grievances raised etc</w:t>
      </w:r>
      <w:r w:rsidR="000900FF">
        <w:t>.</w:t>
      </w:r>
      <w:r w:rsidR="00593413" w:rsidRPr="003378F3">
        <w:t xml:space="preserve"> </w:t>
      </w:r>
      <w:sdt>
        <w:sdtPr>
          <w:id w:val="-477312343"/>
          <w:citation/>
        </w:sdtPr>
        <w:sdtContent>
          <w:r w:rsidR="00593413" w:rsidRPr="003378F3">
            <w:fldChar w:fldCharType="begin"/>
          </w:r>
          <w:r w:rsidR="00593413" w:rsidRPr="003378F3">
            <w:instrText xml:space="preserve"> CITATION Tay161 \l 2057 </w:instrText>
          </w:r>
          <w:r w:rsidR="00593413" w:rsidRPr="003378F3">
            <w:fldChar w:fldCharType="separate"/>
          </w:r>
          <w:r w:rsidR="00BA2B67" w:rsidRPr="00BA2B67">
            <w:rPr>
              <w:noProof/>
            </w:rPr>
            <w:t>(Taylor &amp; Wilkinson, 2016)</w:t>
          </w:r>
          <w:r w:rsidR="00593413" w:rsidRPr="003378F3">
            <w:fldChar w:fldCharType="end"/>
          </w:r>
        </w:sdtContent>
      </w:sdt>
      <w:r w:rsidR="00E25A17" w:rsidRPr="003378F3">
        <w:t>.</w:t>
      </w:r>
    </w:p>
    <w:p w:rsidR="00593413" w:rsidRPr="003378F3" w:rsidRDefault="00593413" w:rsidP="00644D5C">
      <w:r w:rsidRPr="003378F3">
        <w:t xml:space="preserve">Two tools commonly identified when an organisation is undergoing change are individual perspectives and group dynamics </w:t>
      </w:r>
      <w:sdt>
        <w:sdtPr>
          <w:id w:val="50745740"/>
          <w:citation/>
        </w:sdtPr>
        <w:sdtContent>
          <w:r w:rsidRPr="003378F3">
            <w:fldChar w:fldCharType="begin"/>
          </w:r>
          <w:r w:rsidRPr="003378F3">
            <w:instrText xml:space="preserve"> CITATION Kew16 \l 2057 </w:instrText>
          </w:r>
          <w:r w:rsidRPr="003378F3">
            <w:fldChar w:fldCharType="separate"/>
          </w:r>
          <w:r w:rsidR="00BA2B67" w:rsidRPr="00BA2B67">
            <w:rPr>
              <w:noProof/>
            </w:rPr>
            <w:t>(Kew &amp; Stredwick, 2016)</w:t>
          </w:r>
          <w:r w:rsidRPr="003378F3">
            <w:fldChar w:fldCharType="end"/>
          </w:r>
        </w:sdtContent>
      </w:sdt>
      <w:r w:rsidRPr="003378F3">
        <w:t>.</w:t>
      </w:r>
    </w:p>
    <w:p w:rsidR="00593413" w:rsidRPr="003378F3" w:rsidRDefault="003378F3" w:rsidP="00644D5C">
      <w:r w:rsidRPr="003378F3">
        <w:t xml:space="preserve">According to </w:t>
      </w:r>
      <w:sdt>
        <w:sdtPr>
          <w:id w:val="-1802605774"/>
          <w:citation/>
        </w:sdtPr>
        <w:sdtContent>
          <w:r w:rsidRPr="003378F3">
            <w:fldChar w:fldCharType="begin"/>
          </w:r>
          <w:r w:rsidRPr="003378F3">
            <w:instrText xml:space="preserve"> CITATION Cha17 \l 2057 </w:instrText>
          </w:r>
          <w:r w:rsidRPr="003378F3">
            <w:fldChar w:fldCharType="separate"/>
          </w:r>
          <w:r w:rsidR="00BA2B67" w:rsidRPr="00BA2B67">
            <w:rPr>
              <w:noProof/>
            </w:rPr>
            <w:t>(Anon., 2017)</w:t>
          </w:r>
          <w:r w:rsidRPr="003378F3">
            <w:fldChar w:fldCharType="end"/>
          </w:r>
        </w:sdtContent>
      </w:sdt>
      <w:r w:rsidRPr="003378F3">
        <w:t xml:space="preserve"> managing change is important as “</w:t>
      </w:r>
      <w:r w:rsidRPr="003378F3">
        <w:t>there is evidence to suggest that most change initiatives fail.</w:t>
      </w:r>
      <w:r w:rsidRPr="003378F3">
        <w:t xml:space="preserve">” </w:t>
      </w:r>
    </w:p>
    <w:p w:rsidR="003378F3" w:rsidRDefault="003378F3" w:rsidP="00644D5C">
      <w:r w:rsidRPr="003378F3">
        <w:t xml:space="preserve">Building trust is a very important factor to be considered when implementing change as many employees can become disengaged during a change process. Managing change effectively originates from the plan. Analysing every aspect of the business and what </w:t>
      </w:r>
      <w:r w:rsidR="00A56128">
        <w:t>parts</w:t>
      </w:r>
      <w:r w:rsidRPr="003378F3">
        <w:t xml:space="preserve"> will be affected, then evaluating advantages, disadvantages, and </w:t>
      </w:r>
      <w:r>
        <w:t xml:space="preserve">trying to identify any possible obstacles </w:t>
      </w:r>
      <w:r w:rsidR="00A56128">
        <w:t xml:space="preserve">that could be </w:t>
      </w:r>
      <w:r>
        <w:t>encountered along the way</w:t>
      </w:r>
      <w:r w:rsidRPr="003378F3">
        <w:t xml:space="preserve"> can </w:t>
      </w:r>
      <w:r w:rsidR="00A56128">
        <w:t>help change be implemented smoothly. When little organising has gone into a change, this is when errors can happen and be faced with the unexpected which not only affects a business</w:t>
      </w:r>
      <w:r w:rsidR="00D55DDB">
        <w:t>’</w:t>
      </w:r>
      <w:r w:rsidR="00A56128">
        <w:t xml:space="preserve"> reputation, but the trust employees have in the business</w:t>
      </w:r>
      <w:r w:rsidR="00717C5E">
        <w:t xml:space="preserve"> and their employers</w:t>
      </w:r>
      <w:r w:rsidR="00A56128">
        <w:t>.</w:t>
      </w:r>
      <w:r w:rsidRPr="003378F3">
        <w:t xml:space="preserve"> </w:t>
      </w:r>
    </w:p>
    <w:p w:rsidR="00B41BB6" w:rsidRDefault="00B41BB6" w:rsidP="00644D5C">
      <w:proofErr w:type="spellStart"/>
      <w:r>
        <w:lastRenderedPageBreak/>
        <w:t>Clydach</w:t>
      </w:r>
      <w:proofErr w:type="spellEnd"/>
      <w:r>
        <w:t xml:space="preserve"> Primary Care Centre merged with another practice in </w:t>
      </w:r>
      <w:proofErr w:type="spellStart"/>
      <w:r>
        <w:t>Morriston</w:t>
      </w:r>
      <w:proofErr w:type="spellEnd"/>
      <w:r>
        <w:t xml:space="preserve"> on the 1</w:t>
      </w:r>
      <w:r w:rsidRPr="00B41BB6">
        <w:rPr>
          <w:vertAlign w:val="superscript"/>
        </w:rPr>
        <w:t>st</w:t>
      </w:r>
      <w:r>
        <w:t xml:space="preserve"> January 2017. This involved several months of organising, discussions, re-evaluations and more. As the process is still active and the practices won’t undergo system merges until April 2018, the practice is constantly identifying areas which will need changing for example, administration work will be centralised at </w:t>
      </w:r>
      <w:proofErr w:type="spellStart"/>
      <w:r>
        <w:t>Clydach</w:t>
      </w:r>
      <w:proofErr w:type="spellEnd"/>
      <w:r>
        <w:t xml:space="preserve"> however, administration staff have identified several problems with this such as the turnover in regards to time when clinical letters are scanned onto the system. Due to the high amount of clinical letters received on a daily basis and a limit of letters per GP, not all information can be scanned onto patient records. This becomes a problem when the practice in </w:t>
      </w:r>
      <w:proofErr w:type="spellStart"/>
      <w:r>
        <w:t>Morriston</w:t>
      </w:r>
      <w:proofErr w:type="spellEnd"/>
      <w:r>
        <w:t xml:space="preserve"> require the information in the letter for immediate medication changes and have no record of the letter on the electronic system. </w:t>
      </w:r>
      <w:r w:rsidR="008537C8">
        <w:t xml:space="preserve"> </w:t>
      </w:r>
    </w:p>
    <w:p w:rsidR="006177BA" w:rsidRDefault="006177BA" w:rsidP="006177BA">
      <w:pPr>
        <w:pStyle w:val="Heading2"/>
      </w:pPr>
      <w:bookmarkStart w:id="10" w:name="_Toc504338578"/>
      <w:r>
        <w:t>3.2 Sources of Business and Contextual Data</w:t>
      </w:r>
      <w:bookmarkEnd w:id="10"/>
    </w:p>
    <w:p w:rsidR="000F2CC3" w:rsidRDefault="005B243F" w:rsidP="000F2CC3">
      <w:r>
        <w:t>A vast amount of information is collated during management planning within HR. There are two types of information; internal and external. Internal information can be analysed using the following:</w:t>
      </w:r>
    </w:p>
    <w:p w:rsidR="000F2CC3" w:rsidRDefault="000F2CC3" w:rsidP="000F2CC3">
      <w:r w:rsidRPr="00155187">
        <w:t>Business performance</w:t>
      </w:r>
      <w:r>
        <w:t xml:space="preserve"> and planning</w:t>
      </w:r>
      <w:r w:rsidRPr="00155187">
        <w:t xml:space="preserve"> can be analysed through using the following methods</w:t>
      </w:r>
      <w:r>
        <w:t>;</w:t>
      </w:r>
    </w:p>
    <w:p w:rsidR="000F2CC3" w:rsidRDefault="000F2CC3" w:rsidP="000F2CC3">
      <w:r>
        <w:t xml:space="preserve">- KPI (Key Performance Indicators) are used to identify an area of HR that is most important for the achievement of business objectives. KPI’s are specific, measurable, achievable, and performance-relevant and have deadlines </w:t>
      </w:r>
      <w:sdt>
        <w:sdtPr>
          <w:id w:val="-542210426"/>
          <w:citation/>
        </w:sdtPr>
        <w:sdtContent>
          <w:r>
            <w:fldChar w:fldCharType="begin"/>
          </w:r>
          <w:r>
            <w:instrText xml:space="preserve"> CITATION Tay161 \l 2057 </w:instrText>
          </w:r>
          <w:r>
            <w:fldChar w:fldCharType="separate"/>
          </w:r>
          <w:r w:rsidR="00BA2B67" w:rsidRPr="00BA2B67">
            <w:rPr>
              <w:noProof/>
            </w:rPr>
            <w:t>(Taylor &amp; Wilkinson, 2016)</w:t>
          </w:r>
          <w:r>
            <w:fldChar w:fldCharType="end"/>
          </w:r>
        </w:sdtContent>
      </w:sdt>
      <w:r>
        <w:t>.</w:t>
      </w:r>
    </w:p>
    <w:p w:rsidR="000F2CC3" w:rsidRDefault="000F2CC3" w:rsidP="000F2CC3">
      <w:r>
        <w:t xml:space="preserve">- Balance scorecard is a document that states an agreed list of performance measures in tables. They include a ‘high-level strategy map’ which show how certain measures relate to each other and the organisation’s objectives </w:t>
      </w:r>
      <w:sdt>
        <w:sdtPr>
          <w:id w:val="1538467425"/>
          <w:citation/>
        </w:sdtPr>
        <w:sdtContent>
          <w:r>
            <w:fldChar w:fldCharType="begin"/>
          </w:r>
          <w:r>
            <w:instrText xml:space="preserve"> CITATION Tay161 \l 2057 </w:instrText>
          </w:r>
          <w:r>
            <w:fldChar w:fldCharType="separate"/>
          </w:r>
          <w:r w:rsidR="00BA2B67" w:rsidRPr="00BA2B67">
            <w:rPr>
              <w:noProof/>
            </w:rPr>
            <w:t>(Taylor &amp; Wilkinson, 2016)</w:t>
          </w:r>
          <w:r>
            <w:fldChar w:fldCharType="end"/>
          </w:r>
        </w:sdtContent>
      </w:sdt>
      <w:r>
        <w:t>.</w:t>
      </w:r>
    </w:p>
    <w:p w:rsidR="005B243F" w:rsidRDefault="005B243F" w:rsidP="000F2CC3">
      <w:r>
        <w:t xml:space="preserve">Internal data could consist of employee statistics for example, </w:t>
      </w:r>
      <w:proofErr w:type="spellStart"/>
      <w:r>
        <w:t>Clydach</w:t>
      </w:r>
      <w:proofErr w:type="spellEnd"/>
      <w:r>
        <w:t xml:space="preserve"> Primary Care Centre merge has lead the practice managers having to collate information of each employee’s job role and duties. This information will be used in order to centralise tasks such as prescribing, administration, summarising etc. </w:t>
      </w:r>
    </w:p>
    <w:p w:rsidR="005B243F" w:rsidRDefault="0032246F" w:rsidP="000F2CC3">
      <w:r>
        <w:t xml:space="preserve">External data could include; government information or competitive information. </w:t>
      </w:r>
    </w:p>
    <w:p w:rsidR="0032246F" w:rsidRDefault="0032246F" w:rsidP="000F2CC3">
      <w:r>
        <w:t xml:space="preserve">Government information used through managing change could be used during changes of legislation, for example. </w:t>
      </w:r>
    </w:p>
    <w:p w:rsidR="0032246F" w:rsidRDefault="0032246F" w:rsidP="000F2CC3">
      <w:r>
        <w:t xml:space="preserve">Competitive information used during change could benefit an organisation a lot. Large organisations such as Tesco could be undergoing cuts and have to reduce the number of employees they have. Looking at available competitive information from </w:t>
      </w:r>
      <w:proofErr w:type="spellStart"/>
      <w:r>
        <w:t>i.e</w:t>
      </w:r>
      <w:proofErr w:type="spellEnd"/>
      <w:r>
        <w:t xml:space="preserve"> Asda would benefit Tesco by showing them how </w:t>
      </w:r>
      <w:r w:rsidR="00506AE2">
        <w:t>Asda</w:t>
      </w:r>
      <w:r>
        <w:t xml:space="preserve"> manage their workforce with particular budgets. </w:t>
      </w:r>
    </w:p>
    <w:p w:rsidR="00CE24B7" w:rsidRDefault="007B42FF" w:rsidP="007B42FF">
      <w:pPr>
        <w:pStyle w:val="Heading2"/>
      </w:pPr>
      <w:bookmarkStart w:id="11" w:name="_Toc504338579"/>
      <w:r>
        <w:t>Conclusion</w:t>
      </w:r>
      <w:bookmarkEnd w:id="11"/>
    </w:p>
    <w:p w:rsidR="007B42FF" w:rsidRDefault="007B42FF" w:rsidP="007B42FF">
      <w:r>
        <w:t xml:space="preserve">This paper has looked into the models of HR including models which play a key role in the planning and implementation of strategies in an </w:t>
      </w:r>
      <w:r w:rsidR="00BA2B67">
        <w:t>organisation such as the U</w:t>
      </w:r>
      <w:r>
        <w:t xml:space="preserve">lrich model, SWOT, PESTLE etc. The HR aspect of an organisation almost glues the whole organisation together connecting employers, employees, business strategies, ethics and performance as a whole. </w:t>
      </w:r>
    </w:p>
    <w:p w:rsidR="007B42FF" w:rsidRDefault="007B42FF" w:rsidP="007B42FF">
      <w:r>
        <w:t>The paper also covered how HR manage internal and external factors that will and could potentially affect a business (see figures 3 and 5). HR departments and employees are required to implement strategies across the whole workforce and ensure employees are meeting the objectives of the company whilst monitoring performance and manage change where needed using internal and external information including company statistics, government information or competitor data.</w:t>
      </w:r>
    </w:p>
    <w:p w:rsidR="00BA2B67" w:rsidRDefault="00BA2B67" w:rsidP="007B42FF"/>
    <w:bookmarkStart w:id="12" w:name="_Toc504338580" w:displacedByCustomXml="next"/>
    <w:sdt>
      <w:sdtPr>
        <w:id w:val="379141456"/>
        <w:docPartObj>
          <w:docPartGallery w:val="Bibliographies"/>
          <w:docPartUnique/>
        </w:docPartObj>
      </w:sdtPr>
      <w:sdtEndPr>
        <w:rPr>
          <w:rFonts w:asciiTheme="minorHAnsi" w:eastAsiaTheme="minorHAnsi" w:hAnsiTheme="minorHAnsi" w:cstheme="minorBidi"/>
          <w:color w:val="auto"/>
          <w:sz w:val="22"/>
          <w:szCs w:val="22"/>
        </w:rPr>
      </w:sdtEndPr>
      <w:sdtContent>
        <w:p w:rsidR="00BA2B67" w:rsidRDefault="00BA2B67">
          <w:pPr>
            <w:pStyle w:val="Heading1"/>
          </w:pPr>
          <w:r>
            <w:t>Bibliography</w:t>
          </w:r>
          <w:bookmarkEnd w:id="12"/>
        </w:p>
        <w:sdt>
          <w:sdtPr>
            <w:id w:val="111145805"/>
            <w:bibliography/>
          </w:sdtPr>
          <w:sdtContent>
            <w:p w:rsidR="00BA2B67" w:rsidRDefault="00BA2B67" w:rsidP="00BA2B67">
              <w:pPr>
                <w:pStyle w:val="Bibliography"/>
                <w:rPr>
                  <w:noProof/>
                  <w:sz w:val="24"/>
                  <w:szCs w:val="24"/>
                </w:rPr>
              </w:pPr>
              <w:r>
                <w:fldChar w:fldCharType="begin"/>
              </w:r>
              <w:r>
                <w:instrText xml:space="preserve"> BIBLIOGRAPHY </w:instrText>
              </w:r>
              <w:r>
                <w:fldChar w:fldCharType="separate"/>
              </w:r>
              <w:r>
                <w:rPr>
                  <w:noProof/>
                </w:rPr>
                <w:t xml:space="preserve">Anon., 2017. </w:t>
              </w:r>
              <w:r>
                <w:rPr>
                  <w:i/>
                  <w:iCs/>
                  <w:noProof/>
                </w:rPr>
                <w:t xml:space="preserve">Change Management. </w:t>
              </w:r>
              <w:r>
                <w:rPr>
                  <w:noProof/>
                </w:rPr>
                <w:t xml:space="preserve">[Online] </w:t>
              </w:r>
              <w:r>
                <w:rPr>
                  <w:noProof/>
                </w:rPr>
                <w:br/>
                <w:t xml:space="preserve">Available at: </w:t>
              </w:r>
              <w:r>
                <w:rPr>
                  <w:noProof/>
                  <w:u w:val="single"/>
                </w:rPr>
                <w:t>https://www.cipd.co.uk/knowledge/strategy/change/management-factsheet#8086</w:t>
              </w:r>
            </w:p>
            <w:p w:rsidR="00BA2B67" w:rsidRDefault="00BA2B67" w:rsidP="00BA2B67">
              <w:pPr>
                <w:pStyle w:val="Bibliography"/>
                <w:rPr>
                  <w:noProof/>
                </w:rPr>
              </w:pPr>
              <w:r>
                <w:rPr>
                  <w:noProof/>
                </w:rPr>
                <w:t xml:space="preserve">Anon., 2017. </w:t>
              </w:r>
              <w:r>
                <w:rPr>
                  <w:i/>
                  <w:iCs/>
                  <w:noProof/>
                </w:rPr>
                <w:t xml:space="preserve">Porter's Five Forces. </w:t>
              </w:r>
              <w:r>
                <w:rPr>
                  <w:noProof/>
                </w:rPr>
                <w:t xml:space="preserve">[Online] </w:t>
              </w:r>
              <w:r>
                <w:rPr>
                  <w:noProof/>
                </w:rPr>
                <w:br/>
                <w:t xml:space="preserve">Available at: </w:t>
              </w:r>
              <w:r>
                <w:rPr>
                  <w:noProof/>
                  <w:u w:val="single"/>
                </w:rPr>
                <w:t>https://www.mindtools.com/pages/article/newTMC_08.htm</w:t>
              </w:r>
            </w:p>
            <w:p w:rsidR="00BA2B67" w:rsidRDefault="00BA2B67" w:rsidP="00BA2B67">
              <w:pPr>
                <w:pStyle w:val="Bibliography"/>
                <w:rPr>
                  <w:noProof/>
                </w:rPr>
              </w:pPr>
              <w:r>
                <w:rPr>
                  <w:noProof/>
                </w:rPr>
                <w:t xml:space="preserve">Armstrong, M. &amp; Taylor, S., 2014. </w:t>
              </w:r>
              <w:r>
                <w:rPr>
                  <w:i/>
                  <w:iCs/>
                  <w:noProof/>
                </w:rPr>
                <w:t xml:space="preserve">Armstrong's Handbook of Human Resource Management Practice. </w:t>
              </w:r>
              <w:r>
                <w:rPr>
                  <w:noProof/>
                </w:rPr>
                <w:t>London: Kogan Page Publishers.</w:t>
              </w:r>
            </w:p>
            <w:p w:rsidR="00BA2B67" w:rsidRDefault="00BA2B67" w:rsidP="00BA2B67">
              <w:pPr>
                <w:pStyle w:val="Bibliography"/>
                <w:rPr>
                  <w:noProof/>
                </w:rPr>
              </w:pPr>
              <w:r>
                <w:rPr>
                  <w:noProof/>
                </w:rPr>
                <w:t xml:space="preserve">CIPD, 2015. </w:t>
              </w:r>
              <w:r>
                <w:rPr>
                  <w:i/>
                  <w:iCs/>
                  <w:noProof/>
                </w:rPr>
                <w:t xml:space="preserve">Changing HR operating models. </w:t>
              </w:r>
              <w:r>
                <w:rPr>
                  <w:noProof/>
                </w:rPr>
                <w:t xml:space="preserve">[Online] </w:t>
              </w:r>
              <w:r>
                <w:rPr>
                  <w:noProof/>
                </w:rPr>
                <w:br/>
                <w:t xml:space="preserve">Available at: </w:t>
              </w:r>
              <w:r>
                <w:rPr>
                  <w:noProof/>
                  <w:u w:val="single"/>
                </w:rPr>
                <w:t>https://www.cipd.co.uk/knowledge/strategy/hr/operating-models</w:t>
              </w:r>
            </w:p>
            <w:p w:rsidR="00BA2B67" w:rsidRDefault="00BA2B67" w:rsidP="00BA2B67">
              <w:pPr>
                <w:pStyle w:val="Bibliography"/>
                <w:rPr>
                  <w:noProof/>
                </w:rPr>
              </w:pPr>
              <w:r>
                <w:rPr>
                  <w:noProof/>
                </w:rPr>
                <w:t xml:space="preserve">CIPD, 2017. </w:t>
              </w:r>
              <w:r>
                <w:rPr>
                  <w:i/>
                  <w:iCs/>
                  <w:noProof/>
                </w:rPr>
                <w:t xml:space="preserve">HR Business Partnering. </w:t>
              </w:r>
              <w:r>
                <w:rPr>
                  <w:noProof/>
                </w:rPr>
                <w:t xml:space="preserve">[Online] </w:t>
              </w:r>
              <w:r>
                <w:rPr>
                  <w:noProof/>
                </w:rPr>
                <w:br/>
                <w:t xml:space="preserve">Available at: </w:t>
              </w:r>
              <w:r>
                <w:rPr>
                  <w:noProof/>
                  <w:u w:val="single"/>
                </w:rPr>
                <w:t>https://www.cipd.co.uk/knowledge/fundamentals/people/hr/business-partnering-factsheet</w:t>
              </w:r>
            </w:p>
            <w:p w:rsidR="00BA2B67" w:rsidRDefault="00BA2B67" w:rsidP="00BA2B67">
              <w:pPr>
                <w:pStyle w:val="Bibliography"/>
                <w:rPr>
                  <w:noProof/>
                </w:rPr>
              </w:pPr>
              <w:r>
                <w:rPr>
                  <w:noProof/>
                </w:rPr>
                <w:t xml:space="preserve">CIPD, 2017. </w:t>
              </w:r>
              <w:r>
                <w:rPr>
                  <w:i/>
                  <w:iCs/>
                  <w:noProof/>
                </w:rPr>
                <w:t xml:space="preserve">Strategic Human Resource Management. </w:t>
              </w:r>
              <w:r>
                <w:rPr>
                  <w:noProof/>
                </w:rPr>
                <w:t xml:space="preserve">[Online] </w:t>
              </w:r>
              <w:r>
                <w:rPr>
                  <w:noProof/>
                </w:rPr>
                <w:br/>
                <w:t xml:space="preserve">Available at: </w:t>
              </w:r>
              <w:r>
                <w:rPr>
                  <w:noProof/>
                  <w:u w:val="single"/>
                </w:rPr>
                <w:t>https://www.cipd.co.uk/knowledge/strategy/hr/strategic-hrm-factsheet</w:t>
              </w:r>
            </w:p>
            <w:p w:rsidR="00BA2B67" w:rsidRDefault="00BA2B67" w:rsidP="00BA2B67">
              <w:pPr>
                <w:pStyle w:val="Bibliography"/>
                <w:rPr>
                  <w:noProof/>
                </w:rPr>
              </w:pPr>
              <w:r>
                <w:rPr>
                  <w:noProof/>
                </w:rPr>
                <w:t xml:space="preserve">CIPD, 2017. </w:t>
              </w:r>
              <w:r>
                <w:rPr>
                  <w:i/>
                  <w:iCs/>
                  <w:noProof/>
                </w:rPr>
                <w:t xml:space="preserve">The HR Role. </w:t>
              </w:r>
              <w:r>
                <w:rPr>
                  <w:noProof/>
                </w:rPr>
                <w:t xml:space="preserve">[Online] </w:t>
              </w:r>
              <w:r>
                <w:rPr>
                  <w:noProof/>
                </w:rPr>
                <w:br/>
                <w:t xml:space="preserve">Available at: </w:t>
              </w:r>
              <w:r>
                <w:rPr>
                  <w:noProof/>
                  <w:u w:val="single"/>
                </w:rPr>
                <w:t>https://www.cipd.co.uk/knowledge/strategy/hr</w:t>
              </w:r>
            </w:p>
            <w:p w:rsidR="00BA2B67" w:rsidRDefault="00BA2B67" w:rsidP="00BA2B67">
              <w:pPr>
                <w:pStyle w:val="Bibliography"/>
                <w:rPr>
                  <w:noProof/>
                </w:rPr>
              </w:pPr>
              <w:r>
                <w:rPr>
                  <w:noProof/>
                </w:rPr>
                <w:t xml:space="preserve">Contributor, P., 2015. </w:t>
              </w:r>
              <w:r>
                <w:rPr>
                  <w:i/>
                  <w:iCs/>
                  <w:noProof/>
                </w:rPr>
                <w:t xml:space="preserve">An Overview of the PESTLE Framework. </w:t>
              </w:r>
              <w:r>
                <w:rPr>
                  <w:noProof/>
                </w:rPr>
                <w:t xml:space="preserve">[Online] </w:t>
              </w:r>
              <w:r>
                <w:rPr>
                  <w:noProof/>
                </w:rPr>
                <w:br/>
                <w:t xml:space="preserve">Available at: </w:t>
              </w:r>
              <w:r>
                <w:rPr>
                  <w:noProof/>
                  <w:u w:val="single"/>
                </w:rPr>
                <w:t>http://pestleanalysis.com/pestel-framework/</w:t>
              </w:r>
            </w:p>
            <w:p w:rsidR="00BA2B67" w:rsidRDefault="00BA2B67" w:rsidP="00BA2B67">
              <w:pPr>
                <w:pStyle w:val="Bibliography"/>
                <w:rPr>
                  <w:noProof/>
                </w:rPr>
              </w:pPr>
              <w:r>
                <w:rPr>
                  <w:noProof/>
                </w:rPr>
                <w:t xml:space="preserve">Farnham, D., 2015. </w:t>
              </w:r>
              <w:r>
                <w:rPr>
                  <w:i/>
                  <w:iCs/>
                  <w:noProof/>
                </w:rPr>
                <w:t xml:space="preserve">Human Resource Management in Context: Insights, Strategy and Solutions. </w:t>
              </w:r>
              <w:r>
                <w:rPr>
                  <w:noProof/>
                </w:rPr>
                <w:t>London: Kogan Page Publishers.</w:t>
              </w:r>
            </w:p>
            <w:p w:rsidR="00BA2B67" w:rsidRDefault="00BA2B67" w:rsidP="00BA2B67">
              <w:pPr>
                <w:pStyle w:val="Bibliography"/>
                <w:rPr>
                  <w:noProof/>
                </w:rPr>
              </w:pPr>
              <w:r>
                <w:rPr>
                  <w:noProof/>
                </w:rPr>
                <w:t xml:space="preserve">Kew, J. &amp; Stredwick, J., 2016. </w:t>
              </w:r>
              <w:r>
                <w:rPr>
                  <w:i/>
                  <w:iCs/>
                  <w:noProof/>
                </w:rPr>
                <w:t xml:space="preserve">Human Resource Management in a Business Context. </w:t>
              </w:r>
              <w:r>
                <w:rPr>
                  <w:noProof/>
                </w:rPr>
                <w:t>London: CIPD.</w:t>
              </w:r>
            </w:p>
            <w:p w:rsidR="00BA2B67" w:rsidRDefault="00BA2B67" w:rsidP="00BA2B67">
              <w:pPr>
                <w:pStyle w:val="Bibliography"/>
                <w:rPr>
                  <w:noProof/>
                </w:rPr>
              </w:pPr>
              <w:r>
                <w:rPr>
                  <w:noProof/>
                </w:rPr>
                <w:t xml:space="preserve">McQuillan, J., 2011. </w:t>
              </w:r>
              <w:r>
                <w:rPr>
                  <w:i/>
                  <w:iCs/>
                  <w:noProof/>
                </w:rPr>
                <w:t xml:space="preserve">NHS East of England Annual Plan. </w:t>
              </w:r>
              <w:r>
                <w:rPr>
                  <w:noProof/>
                </w:rPr>
                <w:t xml:space="preserve">[Online] </w:t>
              </w:r>
              <w:r>
                <w:rPr>
                  <w:noProof/>
                </w:rPr>
                <w:br/>
                <w:t xml:space="preserve">Available at: </w:t>
              </w:r>
              <w:r>
                <w:rPr>
                  <w:noProof/>
                  <w:u w:val="single"/>
                </w:rPr>
                <w:t>https://www.westhertshospitals.nhs.uk/about/documents/Annual_plan_whht_2011-12_v9_final.pdf</w:t>
              </w:r>
            </w:p>
            <w:p w:rsidR="00BA2B67" w:rsidRDefault="00BA2B67" w:rsidP="00BA2B67">
              <w:pPr>
                <w:pStyle w:val="Bibliography"/>
                <w:rPr>
                  <w:noProof/>
                </w:rPr>
              </w:pPr>
              <w:r>
                <w:rPr>
                  <w:noProof/>
                </w:rPr>
                <w:t xml:space="preserve">Pellinen, J., Teittinen, H. &amp; Järvenpää, M., 2016. Performance measurement system in the situation of simultaneous vertical and horizontal integration. </w:t>
              </w:r>
              <w:r>
                <w:rPr>
                  <w:i/>
                  <w:iCs/>
                  <w:noProof/>
                </w:rPr>
                <w:t xml:space="preserve">International Journal of Operations &amp; Production Management, </w:t>
              </w:r>
              <w:r>
                <w:rPr>
                  <w:noProof/>
                </w:rPr>
                <w:t>pp. 1182-2000.</w:t>
              </w:r>
            </w:p>
            <w:p w:rsidR="00BA2B67" w:rsidRDefault="00BA2B67" w:rsidP="00BA2B67">
              <w:pPr>
                <w:pStyle w:val="Bibliography"/>
                <w:rPr>
                  <w:noProof/>
                </w:rPr>
              </w:pPr>
              <w:r>
                <w:rPr>
                  <w:noProof/>
                </w:rPr>
                <w:t xml:space="preserve">Shah, R., 2015. </w:t>
              </w:r>
              <w:r>
                <w:rPr>
                  <w:i/>
                  <w:iCs/>
                  <w:noProof/>
                </w:rPr>
                <w:t xml:space="preserve">Taking HR Analytics Beyond Technologists. </w:t>
              </w:r>
              <w:r>
                <w:rPr>
                  <w:noProof/>
                </w:rPr>
                <w:t xml:space="preserve">[Online] </w:t>
              </w:r>
              <w:r>
                <w:rPr>
                  <w:noProof/>
                </w:rPr>
                <w:br/>
                <w:t xml:space="preserve">Available at: </w:t>
              </w:r>
              <w:r>
                <w:rPr>
                  <w:noProof/>
                  <w:u w:val="single"/>
                </w:rPr>
                <w:t>https://www.forbes.com/sites/rawnshah/2015/04/13/taking-hr-analytics-beyond-technologists/#56f06aad6af2</w:t>
              </w:r>
            </w:p>
            <w:p w:rsidR="00BA2B67" w:rsidRDefault="00BA2B67" w:rsidP="00BA2B67">
              <w:pPr>
                <w:pStyle w:val="Bibliography"/>
                <w:rPr>
                  <w:noProof/>
                </w:rPr>
              </w:pPr>
              <w:r>
                <w:rPr>
                  <w:noProof/>
                </w:rPr>
                <w:t xml:space="preserve">simplehrguide, 2017. </w:t>
              </w:r>
              <w:r>
                <w:rPr>
                  <w:i/>
                  <w:iCs/>
                  <w:noProof/>
                </w:rPr>
                <w:t xml:space="preserve">HR Model. </w:t>
              </w:r>
              <w:r>
                <w:rPr>
                  <w:noProof/>
                </w:rPr>
                <w:t xml:space="preserve">[Online] </w:t>
              </w:r>
              <w:r>
                <w:rPr>
                  <w:noProof/>
                </w:rPr>
                <w:br/>
                <w:t xml:space="preserve">Available at: </w:t>
              </w:r>
              <w:r>
                <w:rPr>
                  <w:noProof/>
                  <w:u w:val="single"/>
                </w:rPr>
                <w:t>http://www.simplehrguide.com/hr-model.html</w:t>
              </w:r>
            </w:p>
            <w:p w:rsidR="00BA2B67" w:rsidRDefault="00BA2B67" w:rsidP="00BA2B67">
              <w:pPr>
                <w:pStyle w:val="Bibliography"/>
                <w:rPr>
                  <w:noProof/>
                </w:rPr>
              </w:pPr>
              <w:r>
                <w:rPr>
                  <w:noProof/>
                </w:rPr>
                <w:t xml:space="preserve">Taylor, S. &amp; Wilkinson, K., 2016. </w:t>
              </w:r>
              <w:r>
                <w:rPr>
                  <w:i/>
                  <w:iCs/>
                  <w:noProof/>
                </w:rPr>
                <w:t xml:space="preserve">Business Issuess and the Contexts of Human Resources. </w:t>
              </w:r>
              <w:r>
                <w:rPr>
                  <w:noProof/>
                </w:rPr>
                <w:t>London: CIPD.</w:t>
              </w:r>
            </w:p>
            <w:p w:rsidR="00BA2B67" w:rsidRDefault="00BA2B67" w:rsidP="00BA2B67">
              <w:pPr>
                <w:pStyle w:val="Bibliography"/>
                <w:rPr>
                  <w:noProof/>
                </w:rPr>
              </w:pPr>
              <w:r>
                <w:rPr>
                  <w:noProof/>
                </w:rPr>
                <w:t xml:space="preserve">Ward, M. &amp; Rhodes, C., 2014. Small businesses and the UK economy. </w:t>
              </w:r>
              <w:r>
                <w:rPr>
                  <w:i/>
                  <w:iCs/>
                  <w:noProof/>
                </w:rPr>
                <w:t>Economic Policy and Statistics.</w:t>
              </w:r>
            </w:p>
            <w:p w:rsidR="00BA2B67" w:rsidRDefault="00BA2B67" w:rsidP="00BA2B67">
              <w:pPr>
                <w:pStyle w:val="Bibliography"/>
                <w:rPr>
                  <w:noProof/>
                </w:rPr>
              </w:pPr>
              <w:r>
                <w:rPr>
                  <w:noProof/>
                </w:rPr>
                <w:t xml:space="preserve">Wilkinson, K. &amp; Taylor, S., 2016. </w:t>
              </w:r>
              <w:r>
                <w:rPr>
                  <w:i/>
                  <w:iCs/>
                  <w:noProof/>
                </w:rPr>
                <w:t xml:space="preserve">Managing and Co-ordinating the HR Function. </w:t>
              </w:r>
              <w:r>
                <w:rPr>
                  <w:noProof/>
                </w:rPr>
                <w:t>London: CIPD.</w:t>
              </w:r>
            </w:p>
            <w:p w:rsidR="00BA2B67" w:rsidRDefault="00BA2B67" w:rsidP="00BA2B67">
              <w:r>
                <w:rPr>
                  <w:b/>
                  <w:bCs/>
                  <w:noProof/>
                </w:rPr>
                <w:fldChar w:fldCharType="end"/>
              </w:r>
            </w:p>
          </w:sdtContent>
        </w:sdt>
      </w:sdtContent>
    </w:sdt>
    <w:p w:rsidR="00BA2B67" w:rsidRPr="007B42FF" w:rsidRDefault="00BA2B67" w:rsidP="007B42FF"/>
    <w:sectPr w:rsidR="00BA2B67" w:rsidRPr="007B42FF">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25182" w:rsidRDefault="00725182" w:rsidP="00E329B5">
      <w:pPr>
        <w:spacing w:after="0" w:line="240" w:lineRule="auto"/>
      </w:pPr>
      <w:r>
        <w:separator/>
      </w:r>
    </w:p>
  </w:endnote>
  <w:endnote w:type="continuationSeparator" w:id="0">
    <w:p w:rsidR="00725182" w:rsidRDefault="00725182" w:rsidP="00E329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ProximaNova">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3041124"/>
      <w:docPartObj>
        <w:docPartGallery w:val="Page Numbers (Bottom of Page)"/>
        <w:docPartUnique/>
      </w:docPartObj>
    </w:sdtPr>
    <w:sdtEndPr>
      <w:rPr>
        <w:noProof/>
      </w:rPr>
    </w:sdtEndPr>
    <w:sdtContent>
      <w:p w:rsidR="00B90E50" w:rsidRDefault="00B90E50">
        <w:pPr>
          <w:pStyle w:val="Footer"/>
          <w:jc w:val="center"/>
        </w:pPr>
        <w:r>
          <w:fldChar w:fldCharType="begin"/>
        </w:r>
        <w:r>
          <w:instrText xml:space="preserve"> PAGE   \* MERGEFORMAT </w:instrText>
        </w:r>
        <w:r>
          <w:fldChar w:fldCharType="separate"/>
        </w:r>
        <w:r w:rsidR="00162CAE">
          <w:rPr>
            <w:noProof/>
          </w:rPr>
          <w:t>5</w:t>
        </w:r>
        <w:r>
          <w:rPr>
            <w:noProof/>
          </w:rPr>
          <w:fldChar w:fldCharType="end"/>
        </w:r>
      </w:p>
    </w:sdtContent>
  </w:sdt>
  <w:p w:rsidR="00B90E50" w:rsidRDefault="00B90E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25182" w:rsidRDefault="00725182" w:rsidP="00E329B5">
      <w:pPr>
        <w:spacing w:after="0" w:line="240" w:lineRule="auto"/>
      </w:pPr>
      <w:r>
        <w:separator/>
      </w:r>
    </w:p>
  </w:footnote>
  <w:footnote w:type="continuationSeparator" w:id="0">
    <w:p w:rsidR="00725182" w:rsidRDefault="00725182" w:rsidP="00E329B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825C41"/>
    <w:multiLevelType w:val="multilevel"/>
    <w:tmpl w:val="CEF047F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5CA1CFE"/>
    <w:multiLevelType w:val="multilevel"/>
    <w:tmpl w:val="C2B2D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7F4176E"/>
    <w:multiLevelType w:val="hybridMultilevel"/>
    <w:tmpl w:val="76B6961E"/>
    <w:lvl w:ilvl="0" w:tplc="9DAC39D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29B5"/>
    <w:rsid w:val="000834E8"/>
    <w:rsid w:val="000900FF"/>
    <w:rsid w:val="000F2CC3"/>
    <w:rsid w:val="00124419"/>
    <w:rsid w:val="00155187"/>
    <w:rsid w:val="00162CAE"/>
    <w:rsid w:val="00195AD1"/>
    <w:rsid w:val="001F4E11"/>
    <w:rsid w:val="0024161E"/>
    <w:rsid w:val="00246E1F"/>
    <w:rsid w:val="00314654"/>
    <w:rsid w:val="0031746E"/>
    <w:rsid w:val="0032246F"/>
    <w:rsid w:val="00325907"/>
    <w:rsid w:val="003378F3"/>
    <w:rsid w:val="00341035"/>
    <w:rsid w:val="003776A2"/>
    <w:rsid w:val="00383830"/>
    <w:rsid w:val="00385DB4"/>
    <w:rsid w:val="003A484D"/>
    <w:rsid w:val="00417CCF"/>
    <w:rsid w:val="004452A1"/>
    <w:rsid w:val="004518D1"/>
    <w:rsid w:val="00453427"/>
    <w:rsid w:val="00461175"/>
    <w:rsid w:val="00462072"/>
    <w:rsid w:val="00467CC6"/>
    <w:rsid w:val="00471787"/>
    <w:rsid w:val="00474FCC"/>
    <w:rsid w:val="0049276C"/>
    <w:rsid w:val="004A628C"/>
    <w:rsid w:val="004D1D69"/>
    <w:rsid w:val="004E2F14"/>
    <w:rsid w:val="00504F35"/>
    <w:rsid w:val="00506AE2"/>
    <w:rsid w:val="0051539E"/>
    <w:rsid w:val="00553A87"/>
    <w:rsid w:val="00586096"/>
    <w:rsid w:val="00593413"/>
    <w:rsid w:val="005B243F"/>
    <w:rsid w:val="005E2E9E"/>
    <w:rsid w:val="0060500F"/>
    <w:rsid w:val="006177BA"/>
    <w:rsid w:val="006351A5"/>
    <w:rsid w:val="00644D5C"/>
    <w:rsid w:val="006D43A7"/>
    <w:rsid w:val="00717C5E"/>
    <w:rsid w:val="00725182"/>
    <w:rsid w:val="00784527"/>
    <w:rsid w:val="007B42FF"/>
    <w:rsid w:val="007F313F"/>
    <w:rsid w:val="00800965"/>
    <w:rsid w:val="0080585C"/>
    <w:rsid w:val="008274F3"/>
    <w:rsid w:val="008537C8"/>
    <w:rsid w:val="00866E3B"/>
    <w:rsid w:val="00894E03"/>
    <w:rsid w:val="008D0639"/>
    <w:rsid w:val="008E1207"/>
    <w:rsid w:val="008F1678"/>
    <w:rsid w:val="008F2C14"/>
    <w:rsid w:val="00961E11"/>
    <w:rsid w:val="009A5D48"/>
    <w:rsid w:val="009E39FF"/>
    <w:rsid w:val="009E4914"/>
    <w:rsid w:val="009F603B"/>
    <w:rsid w:val="00A33AD5"/>
    <w:rsid w:val="00A56128"/>
    <w:rsid w:val="00A826BF"/>
    <w:rsid w:val="00AA0297"/>
    <w:rsid w:val="00B20D2C"/>
    <w:rsid w:val="00B41BB6"/>
    <w:rsid w:val="00B54AB5"/>
    <w:rsid w:val="00B569E8"/>
    <w:rsid w:val="00B86B97"/>
    <w:rsid w:val="00B90E50"/>
    <w:rsid w:val="00BA2B67"/>
    <w:rsid w:val="00BD410A"/>
    <w:rsid w:val="00C0252A"/>
    <w:rsid w:val="00C10A86"/>
    <w:rsid w:val="00C50FF8"/>
    <w:rsid w:val="00C557A2"/>
    <w:rsid w:val="00CA5AA4"/>
    <w:rsid w:val="00CE24B7"/>
    <w:rsid w:val="00D55DDB"/>
    <w:rsid w:val="00DE30FB"/>
    <w:rsid w:val="00E25A17"/>
    <w:rsid w:val="00E329B5"/>
    <w:rsid w:val="00E47AD4"/>
    <w:rsid w:val="00E65D1C"/>
    <w:rsid w:val="00EF524D"/>
    <w:rsid w:val="00F16F25"/>
    <w:rsid w:val="00F43184"/>
    <w:rsid w:val="00F5644B"/>
    <w:rsid w:val="00F719CC"/>
    <w:rsid w:val="00F92E69"/>
    <w:rsid w:val="00FA320B"/>
    <w:rsid w:val="00FA59AC"/>
    <w:rsid w:val="00FD1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DC41C0E-9462-46F0-AC09-EB1705F3E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29B5"/>
    <w:pPr>
      <w:spacing w:line="256" w:lineRule="auto"/>
    </w:pPr>
  </w:style>
  <w:style w:type="paragraph" w:styleId="Heading1">
    <w:name w:val="heading 1"/>
    <w:basedOn w:val="Normal"/>
    <w:next w:val="Normal"/>
    <w:link w:val="Heading1Char"/>
    <w:uiPriority w:val="9"/>
    <w:qFormat/>
    <w:rsid w:val="00A33AD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33AD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33AD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E329B5"/>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329B5"/>
    <w:rPr>
      <w:rFonts w:eastAsiaTheme="minorEastAsia"/>
      <w:color w:val="5A5A5A" w:themeColor="text1" w:themeTint="A5"/>
      <w:spacing w:val="15"/>
    </w:rPr>
  </w:style>
  <w:style w:type="paragraph" w:styleId="Header">
    <w:name w:val="header"/>
    <w:basedOn w:val="Normal"/>
    <w:link w:val="HeaderChar"/>
    <w:uiPriority w:val="99"/>
    <w:unhideWhenUsed/>
    <w:rsid w:val="00E329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9B5"/>
  </w:style>
  <w:style w:type="paragraph" w:styleId="Footer">
    <w:name w:val="footer"/>
    <w:basedOn w:val="Normal"/>
    <w:link w:val="FooterChar"/>
    <w:uiPriority w:val="99"/>
    <w:unhideWhenUsed/>
    <w:rsid w:val="00E329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9B5"/>
  </w:style>
  <w:style w:type="paragraph" w:styleId="ListParagraph">
    <w:name w:val="List Paragraph"/>
    <w:basedOn w:val="Normal"/>
    <w:uiPriority w:val="34"/>
    <w:qFormat/>
    <w:rsid w:val="00800965"/>
    <w:pPr>
      <w:ind w:left="720"/>
      <w:contextualSpacing/>
    </w:pPr>
  </w:style>
  <w:style w:type="table" w:styleId="TableGrid">
    <w:name w:val="Table Grid"/>
    <w:basedOn w:val="TableNormal"/>
    <w:uiPriority w:val="39"/>
    <w:rsid w:val="00E65D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E65D1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A33AD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33AD5"/>
    <w:pPr>
      <w:spacing w:line="259" w:lineRule="auto"/>
      <w:outlineLvl w:val="9"/>
    </w:pPr>
    <w:rPr>
      <w:lang w:val="en-US"/>
    </w:rPr>
  </w:style>
  <w:style w:type="character" w:customStyle="1" w:styleId="Heading2Char">
    <w:name w:val="Heading 2 Char"/>
    <w:basedOn w:val="DefaultParagraphFont"/>
    <w:link w:val="Heading2"/>
    <w:uiPriority w:val="9"/>
    <w:rsid w:val="00A33AD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33AD5"/>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A33AD5"/>
    <w:pPr>
      <w:spacing w:after="100"/>
      <w:ind w:left="220"/>
    </w:pPr>
  </w:style>
  <w:style w:type="paragraph" w:styleId="TOC3">
    <w:name w:val="toc 3"/>
    <w:basedOn w:val="Normal"/>
    <w:next w:val="Normal"/>
    <w:autoRedefine/>
    <w:uiPriority w:val="39"/>
    <w:unhideWhenUsed/>
    <w:rsid w:val="00A33AD5"/>
    <w:pPr>
      <w:spacing w:after="100"/>
      <w:ind w:left="440"/>
    </w:pPr>
  </w:style>
  <w:style w:type="character" w:styleId="Hyperlink">
    <w:name w:val="Hyperlink"/>
    <w:basedOn w:val="DefaultParagraphFont"/>
    <w:uiPriority w:val="99"/>
    <w:unhideWhenUsed/>
    <w:rsid w:val="00A33AD5"/>
    <w:rPr>
      <w:color w:val="0563C1" w:themeColor="hyperlink"/>
      <w:u w:val="single"/>
    </w:rPr>
  </w:style>
  <w:style w:type="character" w:customStyle="1" w:styleId="exldetailsdisplayval">
    <w:name w:val="exldetailsdisplayval"/>
    <w:basedOn w:val="DefaultParagraphFont"/>
    <w:rsid w:val="00B569E8"/>
  </w:style>
  <w:style w:type="paragraph" w:styleId="NormalWeb">
    <w:name w:val="Normal (Web)"/>
    <w:basedOn w:val="Normal"/>
    <w:uiPriority w:val="99"/>
    <w:semiHidden/>
    <w:unhideWhenUsed/>
    <w:rsid w:val="00453427"/>
    <w:pPr>
      <w:spacing w:after="266" w:line="293" w:lineRule="atLeast"/>
    </w:pPr>
    <w:rPr>
      <w:rFonts w:ascii="Times New Roman" w:eastAsia="Times New Roman" w:hAnsi="Times New Roman" w:cs="Times New Roman"/>
      <w:sz w:val="27"/>
      <w:szCs w:val="27"/>
      <w:lang w:eastAsia="en-GB"/>
    </w:rPr>
  </w:style>
  <w:style w:type="paragraph" w:styleId="Bibliography">
    <w:name w:val="Bibliography"/>
    <w:basedOn w:val="Normal"/>
    <w:next w:val="Normal"/>
    <w:uiPriority w:val="37"/>
    <w:unhideWhenUsed/>
    <w:rsid w:val="00BA2B67"/>
  </w:style>
  <w:style w:type="paragraph" w:styleId="TOC1">
    <w:name w:val="toc 1"/>
    <w:basedOn w:val="Normal"/>
    <w:next w:val="Normal"/>
    <w:autoRedefine/>
    <w:uiPriority w:val="39"/>
    <w:unhideWhenUsed/>
    <w:rsid w:val="00BA2B6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397380">
      <w:bodyDiv w:val="1"/>
      <w:marLeft w:val="0"/>
      <w:marRight w:val="0"/>
      <w:marTop w:val="0"/>
      <w:marBottom w:val="0"/>
      <w:divBdr>
        <w:top w:val="none" w:sz="0" w:space="0" w:color="auto"/>
        <w:left w:val="none" w:sz="0" w:space="0" w:color="auto"/>
        <w:bottom w:val="none" w:sz="0" w:space="0" w:color="auto"/>
        <w:right w:val="none" w:sz="0" w:space="0" w:color="auto"/>
      </w:divBdr>
    </w:div>
    <w:div w:id="24907936">
      <w:bodyDiv w:val="1"/>
      <w:marLeft w:val="0"/>
      <w:marRight w:val="0"/>
      <w:marTop w:val="0"/>
      <w:marBottom w:val="0"/>
      <w:divBdr>
        <w:top w:val="none" w:sz="0" w:space="0" w:color="auto"/>
        <w:left w:val="none" w:sz="0" w:space="0" w:color="auto"/>
        <w:bottom w:val="none" w:sz="0" w:space="0" w:color="auto"/>
        <w:right w:val="none" w:sz="0" w:space="0" w:color="auto"/>
      </w:divBdr>
    </w:div>
    <w:div w:id="31926937">
      <w:bodyDiv w:val="1"/>
      <w:marLeft w:val="0"/>
      <w:marRight w:val="0"/>
      <w:marTop w:val="0"/>
      <w:marBottom w:val="0"/>
      <w:divBdr>
        <w:top w:val="none" w:sz="0" w:space="0" w:color="auto"/>
        <w:left w:val="none" w:sz="0" w:space="0" w:color="auto"/>
        <w:bottom w:val="none" w:sz="0" w:space="0" w:color="auto"/>
        <w:right w:val="none" w:sz="0" w:space="0" w:color="auto"/>
      </w:divBdr>
    </w:div>
    <w:div w:id="35351215">
      <w:bodyDiv w:val="1"/>
      <w:marLeft w:val="0"/>
      <w:marRight w:val="0"/>
      <w:marTop w:val="0"/>
      <w:marBottom w:val="0"/>
      <w:divBdr>
        <w:top w:val="none" w:sz="0" w:space="0" w:color="auto"/>
        <w:left w:val="none" w:sz="0" w:space="0" w:color="auto"/>
        <w:bottom w:val="none" w:sz="0" w:space="0" w:color="auto"/>
        <w:right w:val="none" w:sz="0" w:space="0" w:color="auto"/>
      </w:divBdr>
    </w:div>
    <w:div w:id="39942281">
      <w:bodyDiv w:val="1"/>
      <w:marLeft w:val="0"/>
      <w:marRight w:val="0"/>
      <w:marTop w:val="0"/>
      <w:marBottom w:val="0"/>
      <w:divBdr>
        <w:top w:val="none" w:sz="0" w:space="0" w:color="auto"/>
        <w:left w:val="none" w:sz="0" w:space="0" w:color="auto"/>
        <w:bottom w:val="none" w:sz="0" w:space="0" w:color="auto"/>
        <w:right w:val="none" w:sz="0" w:space="0" w:color="auto"/>
      </w:divBdr>
    </w:div>
    <w:div w:id="71508772">
      <w:bodyDiv w:val="1"/>
      <w:marLeft w:val="0"/>
      <w:marRight w:val="0"/>
      <w:marTop w:val="0"/>
      <w:marBottom w:val="0"/>
      <w:divBdr>
        <w:top w:val="none" w:sz="0" w:space="0" w:color="auto"/>
        <w:left w:val="none" w:sz="0" w:space="0" w:color="auto"/>
        <w:bottom w:val="none" w:sz="0" w:space="0" w:color="auto"/>
        <w:right w:val="none" w:sz="0" w:space="0" w:color="auto"/>
      </w:divBdr>
    </w:div>
    <w:div w:id="82647512">
      <w:bodyDiv w:val="1"/>
      <w:marLeft w:val="0"/>
      <w:marRight w:val="0"/>
      <w:marTop w:val="0"/>
      <w:marBottom w:val="0"/>
      <w:divBdr>
        <w:top w:val="none" w:sz="0" w:space="0" w:color="auto"/>
        <w:left w:val="none" w:sz="0" w:space="0" w:color="auto"/>
        <w:bottom w:val="none" w:sz="0" w:space="0" w:color="auto"/>
        <w:right w:val="none" w:sz="0" w:space="0" w:color="auto"/>
      </w:divBdr>
    </w:div>
    <w:div w:id="106245140">
      <w:bodyDiv w:val="1"/>
      <w:marLeft w:val="0"/>
      <w:marRight w:val="0"/>
      <w:marTop w:val="0"/>
      <w:marBottom w:val="0"/>
      <w:divBdr>
        <w:top w:val="none" w:sz="0" w:space="0" w:color="auto"/>
        <w:left w:val="none" w:sz="0" w:space="0" w:color="auto"/>
        <w:bottom w:val="none" w:sz="0" w:space="0" w:color="auto"/>
        <w:right w:val="none" w:sz="0" w:space="0" w:color="auto"/>
      </w:divBdr>
    </w:div>
    <w:div w:id="109278431">
      <w:bodyDiv w:val="1"/>
      <w:marLeft w:val="0"/>
      <w:marRight w:val="0"/>
      <w:marTop w:val="0"/>
      <w:marBottom w:val="0"/>
      <w:divBdr>
        <w:top w:val="none" w:sz="0" w:space="0" w:color="auto"/>
        <w:left w:val="none" w:sz="0" w:space="0" w:color="auto"/>
        <w:bottom w:val="none" w:sz="0" w:space="0" w:color="auto"/>
        <w:right w:val="none" w:sz="0" w:space="0" w:color="auto"/>
      </w:divBdr>
    </w:div>
    <w:div w:id="155805718">
      <w:bodyDiv w:val="1"/>
      <w:marLeft w:val="0"/>
      <w:marRight w:val="0"/>
      <w:marTop w:val="0"/>
      <w:marBottom w:val="0"/>
      <w:divBdr>
        <w:top w:val="none" w:sz="0" w:space="0" w:color="auto"/>
        <w:left w:val="none" w:sz="0" w:space="0" w:color="auto"/>
        <w:bottom w:val="none" w:sz="0" w:space="0" w:color="auto"/>
        <w:right w:val="none" w:sz="0" w:space="0" w:color="auto"/>
      </w:divBdr>
    </w:div>
    <w:div w:id="219445933">
      <w:bodyDiv w:val="1"/>
      <w:marLeft w:val="0"/>
      <w:marRight w:val="0"/>
      <w:marTop w:val="0"/>
      <w:marBottom w:val="0"/>
      <w:divBdr>
        <w:top w:val="none" w:sz="0" w:space="0" w:color="auto"/>
        <w:left w:val="none" w:sz="0" w:space="0" w:color="auto"/>
        <w:bottom w:val="none" w:sz="0" w:space="0" w:color="auto"/>
        <w:right w:val="none" w:sz="0" w:space="0" w:color="auto"/>
      </w:divBdr>
    </w:div>
    <w:div w:id="232280087">
      <w:bodyDiv w:val="1"/>
      <w:marLeft w:val="0"/>
      <w:marRight w:val="0"/>
      <w:marTop w:val="0"/>
      <w:marBottom w:val="0"/>
      <w:divBdr>
        <w:top w:val="none" w:sz="0" w:space="0" w:color="auto"/>
        <w:left w:val="none" w:sz="0" w:space="0" w:color="auto"/>
        <w:bottom w:val="none" w:sz="0" w:space="0" w:color="auto"/>
        <w:right w:val="none" w:sz="0" w:space="0" w:color="auto"/>
      </w:divBdr>
    </w:div>
    <w:div w:id="308092502">
      <w:bodyDiv w:val="1"/>
      <w:marLeft w:val="0"/>
      <w:marRight w:val="0"/>
      <w:marTop w:val="0"/>
      <w:marBottom w:val="0"/>
      <w:divBdr>
        <w:top w:val="none" w:sz="0" w:space="0" w:color="auto"/>
        <w:left w:val="none" w:sz="0" w:space="0" w:color="auto"/>
        <w:bottom w:val="none" w:sz="0" w:space="0" w:color="auto"/>
        <w:right w:val="none" w:sz="0" w:space="0" w:color="auto"/>
      </w:divBdr>
    </w:div>
    <w:div w:id="328948852">
      <w:bodyDiv w:val="1"/>
      <w:marLeft w:val="0"/>
      <w:marRight w:val="0"/>
      <w:marTop w:val="0"/>
      <w:marBottom w:val="0"/>
      <w:divBdr>
        <w:top w:val="none" w:sz="0" w:space="0" w:color="auto"/>
        <w:left w:val="none" w:sz="0" w:space="0" w:color="auto"/>
        <w:bottom w:val="none" w:sz="0" w:space="0" w:color="auto"/>
        <w:right w:val="none" w:sz="0" w:space="0" w:color="auto"/>
      </w:divBdr>
    </w:div>
    <w:div w:id="342248373">
      <w:bodyDiv w:val="1"/>
      <w:marLeft w:val="0"/>
      <w:marRight w:val="0"/>
      <w:marTop w:val="0"/>
      <w:marBottom w:val="0"/>
      <w:divBdr>
        <w:top w:val="none" w:sz="0" w:space="0" w:color="auto"/>
        <w:left w:val="none" w:sz="0" w:space="0" w:color="auto"/>
        <w:bottom w:val="none" w:sz="0" w:space="0" w:color="auto"/>
        <w:right w:val="none" w:sz="0" w:space="0" w:color="auto"/>
      </w:divBdr>
    </w:div>
    <w:div w:id="405960635">
      <w:bodyDiv w:val="1"/>
      <w:marLeft w:val="0"/>
      <w:marRight w:val="0"/>
      <w:marTop w:val="0"/>
      <w:marBottom w:val="0"/>
      <w:divBdr>
        <w:top w:val="none" w:sz="0" w:space="0" w:color="auto"/>
        <w:left w:val="none" w:sz="0" w:space="0" w:color="auto"/>
        <w:bottom w:val="none" w:sz="0" w:space="0" w:color="auto"/>
        <w:right w:val="none" w:sz="0" w:space="0" w:color="auto"/>
      </w:divBdr>
    </w:div>
    <w:div w:id="415245394">
      <w:bodyDiv w:val="1"/>
      <w:marLeft w:val="0"/>
      <w:marRight w:val="0"/>
      <w:marTop w:val="0"/>
      <w:marBottom w:val="0"/>
      <w:divBdr>
        <w:top w:val="none" w:sz="0" w:space="0" w:color="auto"/>
        <w:left w:val="none" w:sz="0" w:space="0" w:color="auto"/>
        <w:bottom w:val="none" w:sz="0" w:space="0" w:color="auto"/>
        <w:right w:val="none" w:sz="0" w:space="0" w:color="auto"/>
      </w:divBdr>
    </w:div>
    <w:div w:id="423307916">
      <w:bodyDiv w:val="1"/>
      <w:marLeft w:val="0"/>
      <w:marRight w:val="0"/>
      <w:marTop w:val="0"/>
      <w:marBottom w:val="0"/>
      <w:divBdr>
        <w:top w:val="none" w:sz="0" w:space="0" w:color="auto"/>
        <w:left w:val="none" w:sz="0" w:space="0" w:color="auto"/>
        <w:bottom w:val="none" w:sz="0" w:space="0" w:color="auto"/>
        <w:right w:val="none" w:sz="0" w:space="0" w:color="auto"/>
      </w:divBdr>
    </w:div>
    <w:div w:id="429355489">
      <w:bodyDiv w:val="1"/>
      <w:marLeft w:val="0"/>
      <w:marRight w:val="0"/>
      <w:marTop w:val="0"/>
      <w:marBottom w:val="0"/>
      <w:divBdr>
        <w:top w:val="none" w:sz="0" w:space="0" w:color="auto"/>
        <w:left w:val="none" w:sz="0" w:space="0" w:color="auto"/>
        <w:bottom w:val="none" w:sz="0" w:space="0" w:color="auto"/>
        <w:right w:val="none" w:sz="0" w:space="0" w:color="auto"/>
      </w:divBdr>
    </w:div>
    <w:div w:id="437483607">
      <w:bodyDiv w:val="1"/>
      <w:marLeft w:val="0"/>
      <w:marRight w:val="0"/>
      <w:marTop w:val="0"/>
      <w:marBottom w:val="0"/>
      <w:divBdr>
        <w:top w:val="none" w:sz="0" w:space="0" w:color="auto"/>
        <w:left w:val="none" w:sz="0" w:space="0" w:color="auto"/>
        <w:bottom w:val="none" w:sz="0" w:space="0" w:color="auto"/>
        <w:right w:val="none" w:sz="0" w:space="0" w:color="auto"/>
      </w:divBdr>
    </w:div>
    <w:div w:id="493762569">
      <w:bodyDiv w:val="1"/>
      <w:marLeft w:val="0"/>
      <w:marRight w:val="0"/>
      <w:marTop w:val="0"/>
      <w:marBottom w:val="0"/>
      <w:divBdr>
        <w:top w:val="none" w:sz="0" w:space="0" w:color="auto"/>
        <w:left w:val="none" w:sz="0" w:space="0" w:color="auto"/>
        <w:bottom w:val="none" w:sz="0" w:space="0" w:color="auto"/>
        <w:right w:val="none" w:sz="0" w:space="0" w:color="auto"/>
      </w:divBdr>
    </w:div>
    <w:div w:id="510873869">
      <w:bodyDiv w:val="1"/>
      <w:marLeft w:val="0"/>
      <w:marRight w:val="0"/>
      <w:marTop w:val="0"/>
      <w:marBottom w:val="0"/>
      <w:divBdr>
        <w:top w:val="none" w:sz="0" w:space="0" w:color="auto"/>
        <w:left w:val="none" w:sz="0" w:space="0" w:color="auto"/>
        <w:bottom w:val="none" w:sz="0" w:space="0" w:color="auto"/>
        <w:right w:val="none" w:sz="0" w:space="0" w:color="auto"/>
      </w:divBdr>
    </w:div>
    <w:div w:id="519197356">
      <w:bodyDiv w:val="1"/>
      <w:marLeft w:val="0"/>
      <w:marRight w:val="0"/>
      <w:marTop w:val="0"/>
      <w:marBottom w:val="0"/>
      <w:divBdr>
        <w:top w:val="none" w:sz="0" w:space="0" w:color="auto"/>
        <w:left w:val="none" w:sz="0" w:space="0" w:color="auto"/>
        <w:bottom w:val="none" w:sz="0" w:space="0" w:color="auto"/>
        <w:right w:val="none" w:sz="0" w:space="0" w:color="auto"/>
      </w:divBdr>
    </w:div>
    <w:div w:id="519901284">
      <w:bodyDiv w:val="1"/>
      <w:marLeft w:val="0"/>
      <w:marRight w:val="0"/>
      <w:marTop w:val="0"/>
      <w:marBottom w:val="0"/>
      <w:divBdr>
        <w:top w:val="none" w:sz="0" w:space="0" w:color="auto"/>
        <w:left w:val="none" w:sz="0" w:space="0" w:color="auto"/>
        <w:bottom w:val="none" w:sz="0" w:space="0" w:color="auto"/>
        <w:right w:val="none" w:sz="0" w:space="0" w:color="auto"/>
      </w:divBdr>
    </w:div>
    <w:div w:id="550582082">
      <w:bodyDiv w:val="1"/>
      <w:marLeft w:val="0"/>
      <w:marRight w:val="0"/>
      <w:marTop w:val="0"/>
      <w:marBottom w:val="0"/>
      <w:divBdr>
        <w:top w:val="none" w:sz="0" w:space="0" w:color="auto"/>
        <w:left w:val="none" w:sz="0" w:space="0" w:color="auto"/>
        <w:bottom w:val="none" w:sz="0" w:space="0" w:color="auto"/>
        <w:right w:val="none" w:sz="0" w:space="0" w:color="auto"/>
      </w:divBdr>
    </w:div>
    <w:div w:id="568883451">
      <w:bodyDiv w:val="1"/>
      <w:marLeft w:val="0"/>
      <w:marRight w:val="0"/>
      <w:marTop w:val="0"/>
      <w:marBottom w:val="0"/>
      <w:divBdr>
        <w:top w:val="none" w:sz="0" w:space="0" w:color="auto"/>
        <w:left w:val="none" w:sz="0" w:space="0" w:color="auto"/>
        <w:bottom w:val="none" w:sz="0" w:space="0" w:color="auto"/>
        <w:right w:val="none" w:sz="0" w:space="0" w:color="auto"/>
      </w:divBdr>
    </w:div>
    <w:div w:id="634604709">
      <w:bodyDiv w:val="1"/>
      <w:marLeft w:val="0"/>
      <w:marRight w:val="0"/>
      <w:marTop w:val="0"/>
      <w:marBottom w:val="0"/>
      <w:divBdr>
        <w:top w:val="none" w:sz="0" w:space="0" w:color="auto"/>
        <w:left w:val="none" w:sz="0" w:space="0" w:color="auto"/>
        <w:bottom w:val="none" w:sz="0" w:space="0" w:color="auto"/>
        <w:right w:val="none" w:sz="0" w:space="0" w:color="auto"/>
      </w:divBdr>
    </w:div>
    <w:div w:id="635835422">
      <w:bodyDiv w:val="1"/>
      <w:marLeft w:val="0"/>
      <w:marRight w:val="0"/>
      <w:marTop w:val="0"/>
      <w:marBottom w:val="0"/>
      <w:divBdr>
        <w:top w:val="none" w:sz="0" w:space="0" w:color="auto"/>
        <w:left w:val="none" w:sz="0" w:space="0" w:color="auto"/>
        <w:bottom w:val="none" w:sz="0" w:space="0" w:color="auto"/>
        <w:right w:val="none" w:sz="0" w:space="0" w:color="auto"/>
      </w:divBdr>
    </w:div>
    <w:div w:id="651374057">
      <w:bodyDiv w:val="1"/>
      <w:marLeft w:val="0"/>
      <w:marRight w:val="0"/>
      <w:marTop w:val="0"/>
      <w:marBottom w:val="0"/>
      <w:divBdr>
        <w:top w:val="none" w:sz="0" w:space="0" w:color="auto"/>
        <w:left w:val="none" w:sz="0" w:space="0" w:color="auto"/>
        <w:bottom w:val="none" w:sz="0" w:space="0" w:color="auto"/>
        <w:right w:val="none" w:sz="0" w:space="0" w:color="auto"/>
      </w:divBdr>
    </w:div>
    <w:div w:id="734163028">
      <w:bodyDiv w:val="1"/>
      <w:marLeft w:val="0"/>
      <w:marRight w:val="0"/>
      <w:marTop w:val="0"/>
      <w:marBottom w:val="0"/>
      <w:divBdr>
        <w:top w:val="none" w:sz="0" w:space="0" w:color="auto"/>
        <w:left w:val="none" w:sz="0" w:space="0" w:color="auto"/>
        <w:bottom w:val="none" w:sz="0" w:space="0" w:color="auto"/>
        <w:right w:val="none" w:sz="0" w:space="0" w:color="auto"/>
      </w:divBdr>
    </w:div>
    <w:div w:id="767502156">
      <w:bodyDiv w:val="1"/>
      <w:marLeft w:val="0"/>
      <w:marRight w:val="0"/>
      <w:marTop w:val="0"/>
      <w:marBottom w:val="0"/>
      <w:divBdr>
        <w:top w:val="none" w:sz="0" w:space="0" w:color="auto"/>
        <w:left w:val="none" w:sz="0" w:space="0" w:color="auto"/>
        <w:bottom w:val="none" w:sz="0" w:space="0" w:color="auto"/>
        <w:right w:val="none" w:sz="0" w:space="0" w:color="auto"/>
      </w:divBdr>
    </w:div>
    <w:div w:id="769620789">
      <w:bodyDiv w:val="1"/>
      <w:marLeft w:val="0"/>
      <w:marRight w:val="0"/>
      <w:marTop w:val="0"/>
      <w:marBottom w:val="0"/>
      <w:divBdr>
        <w:top w:val="none" w:sz="0" w:space="0" w:color="auto"/>
        <w:left w:val="none" w:sz="0" w:space="0" w:color="auto"/>
        <w:bottom w:val="none" w:sz="0" w:space="0" w:color="auto"/>
        <w:right w:val="none" w:sz="0" w:space="0" w:color="auto"/>
      </w:divBdr>
    </w:div>
    <w:div w:id="785848561">
      <w:bodyDiv w:val="1"/>
      <w:marLeft w:val="0"/>
      <w:marRight w:val="0"/>
      <w:marTop w:val="0"/>
      <w:marBottom w:val="0"/>
      <w:divBdr>
        <w:top w:val="none" w:sz="0" w:space="0" w:color="auto"/>
        <w:left w:val="none" w:sz="0" w:space="0" w:color="auto"/>
        <w:bottom w:val="none" w:sz="0" w:space="0" w:color="auto"/>
        <w:right w:val="none" w:sz="0" w:space="0" w:color="auto"/>
      </w:divBdr>
    </w:div>
    <w:div w:id="798499356">
      <w:bodyDiv w:val="1"/>
      <w:marLeft w:val="0"/>
      <w:marRight w:val="0"/>
      <w:marTop w:val="0"/>
      <w:marBottom w:val="0"/>
      <w:divBdr>
        <w:top w:val="none" w:sz="0" w:space="0" w:color="auto"/>
        <w:left w:val="none" w:sz="0" w:space="0" w:color="auto"/>
        <w:bottom w:val="none" w:sz="0" w:space="0" w:color="auto"/>
        <w:right w:val="none" w:sz="0" w:space="0" w:color="auto"/>
      </w:divBdr>
    </w:div>
    <w:div w:id="842864233">
      <w:bodyDiv w:val="1"/>
      <w:marLeft w:val="0"/>
      <w:marRight w:val="0"/>
      <w:marTop w:val="0"/>
      <w:marBottom w:val="0"/>
      <w:divBdr>
        <w:top w:val="none" w:sz="0" w:space="0" w:color="auto"/>
        <w:left w:val="none" w:sz="0" w:space="0" w:color="auto"/>
        <w:bottom w:val="none" w:sz="0" w:space="0" w:color="auto"/>
        <w:right w:val="none" w:sz="0" w:space="0" w:color="auto"/>
      </w:divBdr>
    </w:div>
    <w:div w:id="924612734">
      <w:bodyDiv w:val="1"/>
      <w:marLeft w:val="0"/>
      <w:marRight w:val="0"/>
      <w:marTop w:val="0"/>
      <w:marBottom w:val="0"/>
      <w:divBdr>
        <w:top w:val="none" w:sz="0" w:space="0" w:color="auto"/>
        <w:left w:val="none" w:sz="0" w:space="0" w:color="auto"/>
        <w:bottom w:val="none" w:sz="0" w:space="0" w:color="auto"/>
        <w:right w:val="none" w:sz="0" w:space="0" w:color="auto"/>
      </w:divBdr>
    </w:div>
    <w:div w:id="954093974">
      <w:bodyDiv w:val="1"/>
      <w:marLeft w:val="0"/>
      <w:marRight w:val="0"/>
      <w:marTop w:val="0"/>
      <w:marBottom w:val="0"/>
      <w:divBdr>
        <w:top w:val="none" w:sz="0" w:space="0" w:color="auto"/>
        <w:left w:val="none" w:sz="0" w:space="0" w:color="auto"/>
        <w:bottom w:val="none" w:sz="0" w:space="0" w:color="auto"/>
        <w:right w:val="none" w:sz="0" w:space="0" w:color="auto"/>
      </w:divBdr>
    </w:div>
    <w:div w:id="1034888148">
      <w:bodyDiv w:val="1"/>
      <w:marLeft w:val="0"/>
      <w:marRight w:val="0"/>
      <w:marTop w:val="0"/>
      <w:marBottom w:val="0"/>
      <w:divBdr>
        <w:top w:val="none" w:sz="0" w:space="0" w:color="auto"/>
        <w:left w:val="none" w:sz="0" w:space="0" w:color="auto"/>
        <w:bottom w:val="none" w:sz="0" w:space="0" w:color="auto"/>
        <w:right w:val="none" w:sz="0" w:space="0" w:color="auto"/>
      </w:divBdr>
    </w:div>
    <w:div w:id="1050685503">
      <w:bodyDiv w:val="1"/>
      <w:marLeft w:val="0"/>
      <w:marRight w:val="0"/>
      <w:marTop w:val="0"/>
      <w:marBottom w:val="0"/>
      <w:divBdr>
        <w:top w:val="none" w:sz="0" w:space="0" w:color="auto"/>
        <w:left w:val="none" w:sz="0" w:space="0" w:color="auto"/>
        <w:bottom w:val="none" w:sz="0" w:space="0" w:color="auto"/>
        <w:right w:val="none" w:sz="0" w:space="0" w:color="auto"/>
      </w:divBdr>
      <w:divsChild>
        <w:div w:id="996344523">
          <w:marLeft w:val="0"/>
          <w:marRight w:val="0"/>
          <w:marTop w:val="0"/>
          <w:marBottom w:val="0"/>
          <w:divBdr>
            <w:top w:val="none" w:sz="0" w:space="0" w:color="auto"/>
            <w:left w:val="none" w:sz="0" w:space="0" w:color="auto"/>
            <w:bottom w:val="none" w:sz="0" w:space="0" w:color="auto"/>
            <w:right w:val="none" w:sz="0" w:space="0" w:color="auto"/>
          </w:divBdr>
          <w:divsChild>
            <w:div w:id="494150923">
              <w:marLeft w:val="0"/>
              <w:marRight w:val="0"/>
              <w:marTop w:val="0"/>
              <w:marBottom w:val="0"/>
              <w:divBdr>
                <w:top w:val="none" w:sz="0" w:space="0" w:color="auto"/>
                <w:left w:val="none" w:sz="0" w:space="0" w:color="auto"/>
                <w:bottom w:val="none" w:sz="0" w:space="0" w:color="auto"/>
                <w:right w:val="none" w:sz="0" w:space="0" w:color="auto"/>
              </w:divBdr>
              <w:divsChild>
                <w:div w:id="1838688516">
                  <w:marLeft w:val="0"/>
                  <w:marRight w:val="0"/>
                  <w:marTop w:val="0"/>
                  <w:marBottom w:val="0"/>
                  <w:divBdr>
                    <w:top w:val="none" w:sz="0" w:space="0" w:color="auto"/>
                    <w:left w:val="none" w:sz="0" w:space="0" w:color="auto"/>
                    <w:bottom w:val="none" w:sz="0" w:space="0" w:color="auto"/>
                    <w:right w:val="none" w:sz="0" w:space="0" w:color="auto"/>
                  </w:divBdr>
                  <w:divsChild>
                    <w:div w:id="818762901">
                      <w:marLeft w:val="0"/>
                      <w:marRight w:val="0"/>
                      <w:marTop w:val="0"/>
                      <w:marBottom w:val="0"/>
                      <w:divBdr>
                        <w:top w:val="none" w:sz="0" w:space="0" w:color="auto"/>
                        <w:left w:val="none" w:sz="0" w:space="0" w:color="auto"/>
                        <w:bottom w:val="none" w:sz="0" w:space="0" w:color="auto"/>
                        <w:right w:val="none" w:sz="0" w:space="0" w:color="auto"/>
                      </w:divBdr>
                      <w:divsChild>
                        <w:div w:id="1194534479">
                          <w:marLeft w:val="0"/>
                          <w:marRight w:val="0"/>
                          <w:marTop w:val="0"/>
                          <w:marBottom w:val="0"/>
                          <w:divBdr>
                            <w:top w:val="none" w:sz="0" w:space="0" w:color="auto"/>
                            <w:left w:val="none" w:sz="0" w:space="0" w:color="auto"/>
                            <w:bottom w:val="none" w:sz="0" w:space="0" w:color="auto"/>
                            <w:right w:val="none" w:sz="0" w:space="0" w:color="auto"/>
                          </w:divBdr>
                          <w:divsChild>
                            <w:div w:id="268664162">
                              <w:marLeft w:val="0"/>
                              <w:marRight w:val="0"/>
                              <w:marTop w:val="0"/>
                              <w:marBottom w:val="0"/>
                              <w:divBdr>
                                <w:top w:val="none" w:sz="0" w:space="0" w:color="auto"/>
                                <w:left w:val="none" w:sz="0" w:space="0" w:color="auto"/>
                                <w:bottom w:val="none" w:sz="0" w:space="0" w:color="auto"/>
                                <w:right w:val="none" w:sz="0" w:space="0" w:color="auto"/>
                              </w:divBdr>
                              <w:divsChild>
                                <w:div w:id="1135023576">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9674150">
      <w:bodyDiv w:val="1"/>
      <w:marLeft w:val="0"/>
      <w:marRight w:val="0"/>
      <w:marTop w:val="0"/>
      <w:marBottom w:val="0"/>
      <w:divBdr>
        <w:top w:val="none" w:sz="0" w:space="0" w:color="auto"/>
        <w:left w:val="none" w:sz="0" w:space="0" w:color="auto"/>
        <w:bottom w:val="none" w:sz="0" w:space="0" w:color="auto"/>
        <w:right w:val="none" w:sz="0" w:space="0" w:color="auto"/>
      </w:divBdr>
    </w:div>
    <w:div w:id="1062218555">
      <w:bodyDiv w:val="1"/>
      <w:marLeft w:val="0"/>
      <w:marRight w:val="0"/>
      <w:marTop w:val="0"/>
      <w:marBottom w:val="0"/>
      <w:divBdr>
        <w:top w:val="none" w:sz="0" w:space="0" w:color="auto"/>
        <w:left w:val="none" w:sz="0" w:space="0" w:color="auto"/>
        <w:bottom w:val="none" w:sz="0" w:space="0" w:color="auto"/>
        <w:right w:val="none" w:sz="0" w:space="0" w:color="auto"/>
      </w:divBdr>
    </w:div>
    <w:div w:id="1073428048">
      <w:bodyDiv w:val="1"/>
      <w:marLeft w:val="0"/>
      <w:marRight w:val="0"/>
      <w:marTop w:val="0"/>
      <w:marBottom w:val="0"/>
      <w:divBdr>
        <w:top w:val="none" w:sz="0" w:space="0" w:color="auto"/>
        <w:left w:val="none" w:sz="0" w:space="0" w:color="auto"/>
        <w:bottom w:val="none" w:sz="0" w:space="0" w:color="auto"/>
        <w:right w:val="none" w:sz="0" w:space="0" w:color="auto"/>
      </w:divBdr>
    </w:div>
    <w:div w:id="1095596542">
      <w:bodyDiv w:val="1"/>
      <w:marLeft w:val="0"/>
      <w:marRight w:val="0"/>
      <w:marTop w:val="0"/>
      <w:marBottom w:val="0"/>
      <w:divBdr>
        <w:top w:val="none" w:sz="0" w:space="0" w:color="auto"/>
        <w:left w:val="none" w:sz="0" w:space="0" w:color="auto"/>
        <w:bottom w:val="none" w:sz="0" w:space="0" w:color="auto"/>
        <w:right w:val="none" w:sz="0" w:space="0" w:color="auto"/>
      </w:divBdr>
      <w:divsChild>
        <w:div w:id="2043819567">
          <w:marLeft w:val="0"/>
          <w:marRight w:val="0"/>
          <w:marTop w:val="0"/>
          <w:marBottom w:val="0"/>
          <w:divBdr>
            <w:top w:val="none" w:sz="0" w:space="0" w:color="auto"/>
            <w:left w:val="none" w:sz="0" w:space="0" w:color="auto"/>
            <w:bottom w:val="none" w:sz="0" w:space="0" w:color="auto"/>
            <w:right w:val="none" w:sz="0" w:space="0" w:color="auto"/>
          </w:divBdr>
          <w:divsChild>
            <w:div w:id="1705788687">
              <w:marLeft w:val="0"/>
              <w:marRight w:val="0"/>
              <w:marTop w:val="0"/>
              <w:marBottom w:val="0"/>
              <w:divBdr>
                <w:top w:val="none" w:sz="0" w:space="0" w:color="auto"/>
                <w:left w:val="none" w:sz="0" w:space="0" w:color="auto"/>
                <w:bottom w:val="none" w:sz="0" w:space="0" w:color="auto"/>
                <w:right w:val="none" w:sz="0" w:space="0" w:color="auto"/>
              </w:divBdr>
              <w:divsChild>
                <w:div w:id="1035304141">
                  <w:marLeft w:val="0"/>
                  <w:marRight w:val="0"/>
                  <w:marTop w:val="0"/>
                  <w:marBottom w:val="0"/>
                  <w:divBdr>
                    <w:top w:val="none" w:sz="0" w:space="0" w:color="auto"/>
                    <w:left w:val="none" w:sz="0" w:space="0" w:color="auto"/>
                    <w:bottom w:val="none" w:sz="0" w:space="0" w:color="auto"/>
                    <w:right w:val="none" w:sz="0" w:space="0" w:color="auto"/>
                  </w:divBdr>
                  <w:divsChild>
                    <w:div w:id="2045322147">
                      <w:marLeft w:val="0"/>
                      <w:marRight w:val="0"/>
                      <w:marTop w:val="0"/>
                      <w:marBottom w:val="0"/>
                      <w:divBdr>
                        <w:top w:val="none" w:sz="0" w:space="0" w:color="auto"/>
                        <w:left w:val="none" w:sz="0" w:space="0" w:color="auto"/>
                        <w:bottom w:val="none" w:sz="0" w:space="0" w:color="auto"/>
                        <w:right w:val="none" w:sz="0" w:space="0" w:color="auto"/>
                      </w:divBdr>
                      <w:divsChild>
                        <w:div w:id="121460371">
                          <w:marLeft w:val="0"/>
                          <w:marRight w:val="0"/>
                          <w:marTop w:val="0"/>
                          <w:marBottom w:val="0"/>
                          <w:divBdr>
                            <w:top w:val="none" w:sz="0" w:space="0" w:color="auto"/>
                            <w:left w:val="none" w:sz="0" w:space="0" w:color="auto"/>
                            <w:bottom w:val="none" w:sz="0" w:space="0" w:color="auto"/>
                            <w:right w:val="none" w:sz="0" w:space="0" w:color="auto"/>
                          </w:divBdr>
                          <w:divsChild>
                            <w:div w:id="1040671050">
                              <w:marLeft w:val="0"/>
                              <w:marRight w:val="0"/>
                              <w:marTop w:val="0"/>
                              <w:marBottom w:val="0"/>
                              <w:divBdr>
                                <w:top w:val="none" w:sz="0" w:space="0" w:color="auto"/>
                                <w:left w:val="none" w:sz="0" w:space="0" w:color="auto"/>
                                <w:bottom w:val="none" w:sz="0" w:space="0" w:color="auto"/>
                                <w:right w:val="none" w:sz="0" w:space="0" w:color="auto"/>
                              </w:divBdr>
                              <w:divsChild>
                                <w:div w:id="1796754392">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9737322">
      <w:bodyDiv w:val="1"/>
      <w:marLeft w:val="0"/>
      <w:marRight w:val="0"/>
      <w:marTop w:val="0"/>
      <w:marBottom w:val="0"/>
      <w:divBdr>
        <w:top w:val="none" w:sz="0" w:space="0" w:color="auto"/>
        <w:left w:val="none" w:sz="0" w:space="0" w:color="auto"/>
        <w:bottom w:val="none" w:sz="0" w:space="0" w:color="auto"/>
        <w:right w:val="none" w:sz="0" w:space="0" w:color="auto"/>
      </w:divBdr>
    </w:div>
    <w:div w:id="1116945755">
      <w:bodyDiv w:val="1"/>
      <w:marLeft w:val="0"/>
      <w:marRight w:val="0"/>
      <w:marTop w:val="0"/>
      <w:marBottom w:val="0"/>
      <w:divBdr>
        <w:top w:val="none" w:sz="0" w:space="0" w:color="auto"/>
        <w:left w:val="none" w:sz="0" w:space="0" w:color="auto"/>
        <w:bottom w:val="none" w:sz="0" w:space="0" w:color="auto"/>
        <w:right w:val="none" w:sz="0" w:space="0" w:color="auto"/>
      </w:divBdr>
    </w:div>
    <w:div w:id="1127241607">
      <w:bodyDiv w:val="1"/>
      <w:marLeft w:val="0"/>
      <w:marRight w:val="0"/>
      <w:marTop w:val="0"/>
      <w:marBottom w:val="0"/>
      <w:divBdr>
        <w:top w:val="none" w:sz="0" w:space="0" w:color="auto"/>
        <w:left w:val="none" w:sz="0" w:space="0" w:color="auto"/>
        <w:bottom w:val="none" w:sz="0" w:space="0" w:color="auto"/>
        <w:right w:val="none" w:sz="0" w:space="0" w:color="auto"/>
      </w:divBdr>
    </w:div>
    <w:div w:id="1153059057">
      <w:bodyDiv w:val="1"/>
      <w:marLeft w:val="0"/>
      <w:marRight w:val="0"/>
      <w:marTop w:val="0"/>
      <w:marBottom w:val="0"/>
      <w:divBdr>
        <w:top w:val="none" w:sz="0" w:space="0" w:color="auto"/>
        <w:left w:val="none" w:sz="0" w:space="0" w:color="auto"/>
        <w:bottom w:val="none" w:sz="0" w:space="0" w:color="auto"/>
        <w:right w:val="none" w:sz="0" w:space="0" w:color="auto"/>
      </w:divBdr>
    </w:div>
    <w:div w:id="1296838472">
      <w:bodyDiv w:val="1"/>
      <w:marLeft w:val="0"/>
      <w:marRight w:val="0"/>
      <w:marTop w:val="0"/>
      <w:marBottom w:val="0"/>
      <w:divBdr>
        <w:top w:val="none" w:sz="0" w:space="0" w:color="auto"/>
        <w:left w:val="none" w:sz="0" w:space="0" w:color="auto"/>
        <w:bottom w:val="none" w:sz="0" w:space="0" w:color="auto"/>
        <w:right w:val="none" w:sz="0" w:space="0" w:color="auto"/>
      </w:divBdr>
    </w:div>
    <w:div w:id="1300181929">
      <w:bodyDiv w:val="1"/>
      <w:marLeft w:val="0"/>
      <w:marRight w:val="0"/>
      <w:marTop w:val="0"/>
      <w:marBottom w:val="0"/>
      <w:divBdr>
        <w:top w:val="none" w:sz="0" w:space="0" w:color="auto"/>
        <w:left w:val="none" w:sz="0" w:space="0" w:color="auto"/>
        <w:bottom w:val="none" w:sz="0" w:space="0" w:color="auto"/>
        <w:right w:val="none" w:sz="0" w:space="0" w:color="auto"/>
      </w:divBdr>
    </w:div>
    <w:div w:id="1307971801">
      <w:bodyDiv w:val="1"/>
      <w:marLeft w:val="0"/>
      <w:marRight w:val="0"/>
      <w:marTop w:val="0"/>
      <w:marBottom w:val="0"/>
      <w:divBdr>
        <w:top w:val="none" w:sz="0" w:space="0" w:color="auto"/>
        <w:left w:val="none" w:sz="0" w:space="0" w:color="auto"/>
        <w:bottom w:val="none" w:sz="0" w:space="0" w:color="auto"/>
        <w:right w:val="none" w:sz="0" w:space="0" w:color="auto"/>
      </w:divBdr>
    </w:div>
    <w:div w:id="1327898786">
      <w:bodyDiv w:val="1"/>
      <w:marLeft w:val="0"/>
      <w:marRight w:val="0"/>
      <w:marTop w:val="0"/>
      <w:marBottom w:val="0"/>
      <w:divBdr>
        <w:top w:val="none" w:sz="0" w:space="0" w:color="auto"/>
        <w:left w:val="none" w:sz="0" w:space="0" w:color="auto"/>
        <w:bottom w:val="none" w:sz="0" w:space="0" w:color="auto"/>
        <w:right w:val="none" w:sz="0" w:space="0" w:color="auto"/>
      </w:divBdr>
    </w:div>
    <w:div w:id="1340699120">
      <w:bodyDiv w:val="1"/>
      <w:marLeft w:val="0"/>
      <w:marRight w:val="0"/>
      <w:marTop w:val="0"/>
      <w:marBottom w:val="0"/>
      <w:divBdr>
        <w:top w:val="none" w:sz="0" w:space="0" w:color="auto"/>
        <w:left w:val="none" w:sz="0" w:space="0" w:color="auto"/>
        <w:bottom w:val="none" w:sz="0" w:space="0" w:color="auto"/>
        <w:right w:val="none" w:sz="0" w:space="0" w:color="auto"/>
      </w:divBdr>
    </w:div>
    <w:div w:id="1357081896">
      <w:bodyDiv w:val="1"/>
      <w:marLeft w:val="0"/>
      <w:marRight w:val="0"/>
      <w:marTop w:val="0"/>
      <w:marBottom w:val="0"/>
      <w:divBdr>
        <w:top w:val="none" w:sz="0" w:space="0" w:color="auto"/>
        <w:left w:val="none" w:sz="0" w:space="0" w:color="auto"/>
        <w:bottom w:val="none" w:sz="0" w:space="0" w:color="auto"/>
        <w:right w:val="none" w:sz="0" w:space="0" w:color="auto"/>
      </w:divBdr>
    </w:div>
    <w:div w:id="1395936282">
      <w:bodyDiv w:val="1"/>
      <w:marLeft w:val="0"/>
      <w:marRight w:val="0"/>
      <w:marTop w:val="0"/>
      <w:marBottom w:val="0"/>
      <w:divBdr>
        <w:top w:val="none" w:sz="0" w:space="0" w:color="auto"/>
        <w:left w:val="none" w:sz="0" w:space="0" w:color="auto"/>
        <w:bottom w:val="none" w:sz="0" w:space="0" w:color="auto"/>
        <w:right w:val="none" w:sz="0" w:space="0" w:color="auto"/>
      </w:divBdr>
    </w:div>
    <w:div w:id="1424572287">
      <w:bodyDiv w:val="1"/>
      <w:marLeft w:val="0"/>
      <w:marRight w:val="0"/>
      <w:marTop w:val="0"/>
      <w:marBottom w:val="0"/>
      <w:divBdr>
        <w:top w:val="none" w:sz="0" w:space="0" w:color="auto"/>
        <w:left w:val="none" w:sz="0" w:space="0" w:color="auto"/>
        <w:bottom w:val="none" w:sz="0" w:space="0" w:color="auto"/>
        <w:right w:val="none" w:sz="0" w:space="0" w:color="auto"/>
      </w:divBdr>
    </w:div>
    <w:div w:id="1435590505">
      <w:bodyDiv w:val="1"/>
      <w:marLeft w:val="0"/>
      <w:marRight w:val="0"/>
      <w:marTop w:val="0"/>
      <w:marBottom w:val="0"/>
      <w:divBdr>
        <w:top w:val="none" w:sz="0" w:space="0" w:color="auto"/>
        <w:left w:val="none" w:sz="0" w:space="0" w:color="auto"/>
        <w:bottom w:val="none" w:sz="0" w:space="0" w:color="auto"/>
        <w:right w:val="none" w:sz="0" w:space="0" w:color="auto"/>
      </w:divBdr>
    </w:div>
    <w:div w:id="1438334097">
      <w:bodyDiv w:val="1"/>
      <w:marLeft w:val="0"/>
      <w:marRight w:val="0"/>
      <w:marTop w:val="0"/>
      <w:marBottom w:val="0"/>
      <w:divBdr>
        <w:top w:val="none" w:sz="0" w:space="0" w:color="auto"/>
        <w:left w:val="none" w:sz="0" w:space="0" w:color="auto"/>
        <w:bottom w:val="none" w:sz="0" w:space="0" w:color="auto"/>
        <w:right w:val="none" w:sz="0" w:space="0" w:color="auto"/>
      </w:divBdr>
    </w:div>
    <w:div w:id="1448886604">
      <w:bodyDiv w:val="1"/>
      <w:marLeft w:val="0"/>
      <w:marRight w:val="0"/>
      <w:marTop w:val="0"/>
      <w:marBottom w:val="0"/>
      <w:divBdr>
        <w:top w:val="none" w:sz="0" w:space="0" w:color="auto"/>
        <w:left w:val="none" w:sz="0" w:space="0" w:color="auto"/>
        <w:bottom w:val="none" w:sz="0" w:space="0" w:color="auto"/>
        <w:right w:val="none" w:sz="0" w:space="0" w:color="auto"/>
      </w:divBdr>
    </w:div>
    <w:div w:id="1453012094">
      <w:bodyDiv w:val="1"/>
      <w:marLeft w:val="0"/>
      <w:marRight w:val="0"/>
      <w:marTop w:val="0"/>
      <w:marBottom w:val="0"/>
      <w:divBdr>
        <w:top w:val="none" w:sz="0" w:space="0" w:color="auto"/>
        <w:left w:val="none" w:sz="0" w:space="0" w:color="auto"/>
        <w:bottom w:val="none" w:sz="0" w:space="0" w:color="auto"/>
        <w:right w:val="none" w:sz="0" w:space="0" w:color="auto"/>
      </w:divBdr>
    </w:div>
    <w:div w:id="1457407524">
      <w:bodyDiv w:val="1"/>
      <w:marLeft w:val="0"/>
      <w:marRight w:val="0"/>
      <w:marTop w:val="0"/>
      <w:marBottom w:val="0"/>
      <w:divBdr>
        <w:top w:val="none" w:sz="0" w:space="0" w:color="auto"/>
        <w:left w:val="none" w:sz="0" w:space="0" w:color="auto"/>
        <w:bottom w:val="none" w:sz="0" w:space="0" w:color="auto"/>
        <w:right w:val="none" w:sz="0" w:space="0" w:color="auto"/>
      </w:divBdr>
    </w:div>
    <w:div w:id="1462966833">
      <w:bodyDiv w:val="1"/>
      <w:marLeft w:val="0"/>
      <w:marRight w:val="0"/>
      <w:marTop w:val="0"/>
      <w:marBottom w:val="0"/>
      <w:divBdr>
        <w:top w:val="none" w:sz="0" w:space="0" w:color="auto"/>
        <w:left w:val="none" w:sz="0" w:space="0" w:color="auto"/>
        <w:bottom w:val="none" w:sz="0" w:space="0" w:color="auto"/>
        <w:right w:val="none" w:sz="0" w:space="0" w:color="auto"/>
      </w:divBdr>
      <w:divsChild>
        <w:div w:id="1052270394">
          <w:marLeft w:val="0"/>
          <w:marRight w:val="0"/>
          <w:marTop w:val="0"/>
          <w:marBottom w:val="0"/>
          <w:divBdr>
            <w:top w:val="none" w:sz="0" w:space="0" w:color="auto"/>
            <w:left w:val="none" w:sz="0" w:space="0" w:color="auto"/>
            <w:bottom w:val="none" w:sz="0" w:space="0" w:color="auto"/>
            <w:right w:val="none" w:sz="0" w:space="0" w:color="auto"/>
          </w:divBdr>
          <w:divsChild>
            <w:div w:id="1704285612">
              <w:marLeft w:val="0"/>
              <w:marRight w:val="0"/>
              <w:marTop w:val="0"/>
              <w:marBottom w:val="0"/>
              <w:divBdr>
                <w:top w:val="none" w:sz="0" w:space="0" w:color="auto"/>
                <w:left w:val="none" w:sz="0" w:space="0" w:color="auto"/>
                <w:bottom w:val="none" w:sz="0" w:space="0" w:color="auto"/>
                <w:right w:val="none" w:sz="0" w:space="0" w:color="auto"/>
              </w:divBdr>
              <w:divsChild>
                <w:div w:id="1613509561">
                  <w:marLeft w:val="0"/>
                  <w:marRight w:val="0"/>
                  <w:marTop w:val="0"/>
                  <w:marBottom w:val="0"/>
                  <w:divBdr>
                    <w:top w:val="none" w:sz="0" w:space="0" w:color="auto"/>
                    <w:left w:val="none" w:sz="0" w:space="0" w:color="auto"/>
                    <w:bottom w:val="none" w:sz="0" w:space="0" w:color="auto"/>
                    <w:right w:val="none" w:sz="0" w:space="0" w:color="auto"/>
                  </w:divBdr>
                  <w:divsChild>
                    <w:div w:id="1474255424">
                      <w:marLeft w:val="0"/>
                      <w:marRight w:val="0"/>
                      <w:marTop w:val="0"/>
                      <w:marBottom w:val="0"/>
                      <w:divBdr>
                        <w:top w:val="none" w:sz="0" w:space="0" w:color="auto"/>
                        <w:left w:val="none" w:sz="0" w:space="0" w:color="auto"/>
                        <w:bottom w:val="none" w:sz="0" w:space="0" w:color="auto"/>
                        <w:right w:val="none" w:sz="0" w:space="0" w:color="auto"/>
                      </w:divBdr>
                      <w:divsChild>
                        <w:div w:id="1847020024">
                          <w:marLeft w:val="0"/>
                          <w:marRight w:val="0"/>
                          <w:marTop w:val="0"/>
                          <w:marBottom w:val="0"/>
                          <w:divBdr>
                            <w:top w:val="none" w:sz="0" w:space="0" w:color="auto"/>
                            <w:left w:val="none" w:sz="0" w:space="0" w:color="auto"/>
                            <w:bottom w:val="none" w:sz="0" w:space="0" w:color="auto"/>
                            <w:right w:val="none" w:sz="0" w:space="0" w:color="auto"/>
                          </w:divBdr>
                          <w:divsChild>
                            <w:div w:id="1383796209">
                              <w:marLeft w:val="0"/>
                              <w:marRight w:val="0"/>
                              <w:marTop w:val="0"/>
                              <w:marBottom w:val="0"/>
                              <w:divBdr>
                                <w:top w:val="none" w:sz="0" w:space="0" w:color="auto"/>
                                <w:left w:val="none" w:sz="0" w:space="0" w:color="auto"/>
                                <w:bottom w:val="none" w:sz="0" w:space="0" w:color="auto"/>
                                <w:right w:val="none" w:sz="0" w:space="0" w:color="auto"/>
                              </w:divBdr>
                              <w:divsChild>
                                <w:div w:id="2112629048">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3685717">
      <w:bodyDiv w:val="1"/>
      <w:marLeft w:val="0"/>
      <w:marRight w:val="0"/>
      <w:marTop w:val="0"/>
      <w:marBottom w:val="0"/>
      <w:divBdr>
        <w:top w:val="none" w:sz="0" w:space="0" w:color="auto"/>
        <w:left w:val="none" w:sz="0" w:space="0" w:color="auto"/>
        <w:bottom w:val="none" w:sz="0" w:space="0" w:color="auto"/>
        <w:right w:val="none" w:sz="0" w:space="0" w:color="auto"/>
      </w:divBdr>
    </w:div>
    <w:div w:id="1542282719">
      <w:bodyDiv w:val="1"/>
      <w:marLeft w:val="0"/>
      <w:marRight w:val="0"/>
      <w:marTop w:val="0"/>
      <w:marBottom w:val="0"/>
      <w:divBdr>
        <w:top w:val="none" w:sz="0" w:space="0" w:color="auto"/>
        <w:left w:val="none" w:sz="0" w:space="0" w:color="auto"/>
        <w:bottom w:val="none" w:sz="0" w:space="0" w:color="auto"/>
        <w:right w:val="none" w:sz="0" w:space="0" w:color="auto"/>
      </w:divBdr>
    </w:div>
    <w:div w:id="1584411098">
      <w:bodyDiv w:val="1"/>
      <w:marLeft w:val="0"/>
      <w:marRight w:val="0"/>
      <w:marTop w:val="0"/>
      <w:marBottom w:val="0"/>
      <w:divBdr>
        <w:top w:val="none" w:sz="0" w:space="0" w:color="auto"/>
        <w:left w:val="none" w:sz="0" w:space="0" w:color="auto"/>
        <w:bottom w:val="none" w:sz="0" w:space="0" w:color="auto"/>
        <w:right w:val="none" w:sz="0" w:space="0" w:color="auto"/>
      </w:divBdr>
    </w:div>
    <w:div w:id="1620799198">
      <w:bodyDiv w:val="1"/>
      <w:marLeft w:val="0"/>
      <w:marRight w:val="0"/>
      <w:marTop w:val="0"/>
      <w:marBottom w:val="0"/>
      <w:divBdr>
        <w:top w:val="none" w:sz="0" w:space="0" w:color="auto"/>
        <w:left w:val="none" w:sz="0" w:space="0" w:color="auto"/>
        <w:bottom w:val="none" w:sz="0" w:space="0" w:color="auto"/>
        <w:right w:val="none" w:sz="0" w:space="0" w:color="auto"/>
      </w:divBdr>
    </w:div>
    <w:div w:id="1628272496">
      <w:bodyDiv w:val="1"/>
      <w:marLeft w:val="0"/>
      <w:marRight w:val="0"/>
      <w:marTop w:val="0"/>
      <w:marBottom w:val="0"/>
      <w:divBdr>
        <w:top w:val="none" w:sz="0" w:space="0" w:color="auto"/>
        <w:left w:val="none" w:sz="0" w:space="0" w:color="auto"/>
        <w:bottom w:val="none" w:sz="0" w:space="0" w:color="auto"/>
        <w:right w:val="none" w:sz="0" w:space="0" w:color="auto"/>
      </w:divBdr>
    </w:div>
    <w:div w:id="1696152598">
      <w:bodyDiv w:val="1"/>
      <w:marLeft w:val="0"/>
      <w:marRight w:val="0"/>
      <w:marTop w:val="0"/>
      <w:marBottom w:val="0"/>
      <w:divBdr>
        <w:top w:val="none" w:sz="0" w:space="0" w:color="auto"/>
        <w:left w:val="none" w:sz="0" w:space="0" w:color="auto"/>
        <w:bottom w:val="none" w:sz="0" w:space="0" w:color="auto"/>
        <w:right w:val="none" w:sz="0" w:space="0" w:color="auto"/>
      </w:divBdr>
    </w:div>
    <w:div w:id="1704213377">
      <w:bodyDiv w:val="1"/>
      <w:marLeft w:val="0"/>
      <w:marRight w:val="0"/>
      <w:marTop w:val="0"/>
      <w:marBottom w:val="0"/>
      <w:divBdr>
        <w:top w:val="none" w:sz="0" w:space="0" w:color="auto"/>
        <w:left w:val="none" w:sz="0" w:space="0" w:color="auto"/>
        <w:bottom w:val="none" w:sz="0" w:space="0" w:color="auto"/>
        <w:right w:val="none" w:sz="0" w:space="0" w:color="auto"/>
      </w:divBdr>
    </w:div>
    <w:div w:id="1713262364">
      <w:bodyDiv w:val="1"/>
      <w:marLeft w:val="0"/>
      <w:marRight w:val="0"/>
      <w:marTop w:val="0"/>
      <w:marBottom w:val="0"/>
      <w:divBdr>
        <w:top w:val="none" w:sz="0" w:space="0" w:color="auto"/>
        <w:left w:val="none" w:sz="0" w:space="0" w:color="auto"/>
        <w:bottom w:val="none" w:sz="0" w:space="0" w:color="auto"/>
        <w:right w:val="none" w:sz="0" w:space="0" w:color="auto"/>
      </w:divBdr>
    </w:div>
    <w:div w:id="1746683398">
      <w:bodyDiv w:val="1"/>
      <w:marLeft w:val="0"/>
      <w:marRight w:val="0"/>
      <w:marTop w:val="0"/>
      <w:marBottom w:val="0"/>
      <w:divBdr>
        <w:top w:val="none" w:sz="0" w:space="0" w:color="auto"/>
        <w:left w:val="none" w:sz="0" w:space="0" w:color="auto"/>
        <w:bottom w:val="none" w:sz="0" w:space="0" w:color="auto"/>
        <w:right w:val="none" w:sz="0" w:space="0" w:color="auto"/>
      </w:divBdr>
    </w:div>
    <w:div w:id="1874220931">
      <w:bodyDiv w:val="1"/>
      <w:marLeft w:val="0"/>
      <w:marRight w:val="0"/>
      <w:marTop w:val="0"/>
      <w:marBottom w:val="0"/>
      <w:divBdr>
        <w:top w:val="none" w:sz="0" w:space="0" w:color="auto"/>
        <w:left w:val="none" w:sz="0" w:space="0" w:color="auto"/>
        <w:bottom w:val="none" w:sz="0" w:space="0" w:color="auto"/>
        <w:right w:val="none" w:sz="0" w:space="0" w:color="auto"/>
      </w:divBdr>
    </w:div>
    <w:div w:id="1880580677">
      <w:bodyDiv w:val="1"/>
      <w:marLeft w:val="0"/>
      <w:marRight w:val="0"/>
      <w:marTop w:val="0"/>
      <w:marBottom w:val="0"/>
      <w:divBdr>
        <w:top w:val="none" w:sz="0" w:space="0" w:color="auto"/>
        <w:left w:val="none" w:sz="0" w:space="0" w:color="auto"/>
        <w:bottom w:val="none" w:sz="0" w:space="0" w:color="auto"/>
        <w:right w:val="none" w:sz="0" w:space="0" w:color="auto"/>
      </w:divBdr>
    </w:div>
    <w:div w:id="1921021243">
      <w:bodyDiv w:val="1"/>
      <w:marLeft w:val="0"/>
      <w:marRight w:val="0"/>
      <w:marTop w:val="0"/>
      <w:marBottom w:val="0"/>
      <w:divBdr>
        <w:top w:val="none" w:sz="0" w:space="0" w:color="auto"/>
        <w:left w:val="none" w:sz="0" w:space="0" w:color="auto"/>
        <w:bottom w:val="none" w:sz="0" w:space="0" w:color="auto"/>
        <w:right w:val="none" w:sz="0" w:space="0" w:color="auto"/>
      </w:divBdr>
    </w:div>
    <w:div w:id="1941906845">
      <w:bodyDiv w:val="1"/>
      <w:marLeft w:val="0"/>
      <w:marRight w:val="0"/>
      <w:marTop w:val="0"/>
      <w:marBottom w:val="0"/>
      <w:divBdr>
        <w:top w:val="none" w:sz="0" w:space="0" w:color="auto"/>
        <w:left w:val="none" w:sz="0" w:space="0" w:color="auto"/>
        <w:bottom w:val="none" w:sz="0" w:space="0" w:color="auto"/>
        <w:right w:val="none" w:sz="0" w:space="0" w:color="auto"/>
      </w:divBdr>
    </w:div>
    <w:div w:id="1947150189">
      <w:bodyDiv w:val="1"/>
      <w:marLeft w:val="0"/>
      <w:marRight w:val="0"/>
      <w:marTop w:val="0"/>
      <w:marBottom w:val="0"/>
      <w:divBdr>
        <w:top w:val="none" w:sz="0" w:space="0" w:color="auto"/>
        <w:left w:val="none" w:sz="0" w:space="0" w:color="auto"/>
        <w:bottom w:val="none" w:sz="0" w:space="0" w:color="auto"/>
        <w:right w:val="none" w:sz="0" w:space="0" w:color="auto"/>
      </w:divBdr>
    </w:div>
    <w:div w:id="1955748699">
      <w:bodyDiv w:val="1"/>
      <w:marLeft w:val="0"/>
      <w:marRight w:val="0"/>
      <w:marTop w:val="0"/>
      <w:marBottom w:val="0"/>
      <w:divBdr>
        <w:top w:val="none" w:sz="0" w:space="0" w:color="auto"/>
        <w:left w:val="none" w:sz="0" w:space="0" w:color="auto"/>
        <w:bottom w:val="none" w:sz="0" w:space="0" w:color="auto"/>
        <w:right w:val="none" w:sz="0" w:space="0" w:color="auto"/>
      </w:divBdr>
    </w:div>
    <w:div w:id="2002657802">
      <w:bodyDiv w:val="1"/>
      <w:marLeft w:val="0"/>
      <w:marRight w:val="0"/>
      <w:marTop w:val="0"/>
      <w:marBottom w:val="0"/>
      <w:divBdr>
        <w:top w:val="none" w:sz="0" w:space="0" w:color="auto"/>
        <w:left w:val="none" w:sz="0" w:space="0" w:color="auto"/>
        <w:bottom w:val="none" w:sz="0" w:space="0" w:color="auto"/>
        <w:right w:val="none" w:sz="0" w:space="0" w:color="auto"/>
      </w:divBdr>
    </w:div>
    <w:div w:id="2006206199">
      <w:bodyDiv w:val="1"/>
      <w:marLeft w:val="0"/>
      <w:marRight w:val="0"/>
      <w:marTop w:val="0"/>
      <w:marBottom w:val="0"/>
      <w:divBdr>
        <w:top w:val="none" w:sz="0" w:space="0" w:color="auto"/>
        <w:left w:val="none" w:sz="0" w:space="0" w:color="auto"/>
        <w:bottom w:val="none" w:sz="0" w:space="0" w:color="auto"/>
        <w:right w:val="none" w:sz="0" w:space="0" w:color="auto"/>
      </w:divBdr>
    </w:div>
    <w:div w:id="2046127411">
      <w:bodyDiv w:val="1"/>
      <w:marLeft w:val="0"/>
      <w:marRight w:val="0"/>
      <w:marTop w:val="0"/>
      <w:marBottom w:val="0"/>
      <w:divBdr>
        <w:top w:val="none" w:sz="0" w:space="0" w:color="auto"/>
        <w:left w:val="none" w:sz="0" w:space="0" w:color="auto"/>
        <w:bottom w:val="none" w:sz="0" w:space="0" w:color="auto"/>
        <w:right w:val="none" w:sz="0" w:space="0" w:color="auto"/>
      </w:divBdr>
    </w:div>
    <w:div w:id="2053460630">
      <w:bodyDiv w:val="1"/>
      <w:marLeft w:val="0"/>
      <w:marRight w:val="0"/>
      <w:marTop w:val="0"/>
      <w:marBottom w:val="0"/>
      <w:divBdr>
        <w:top w:val="none" w:sz="0" w:space="0" w:color="auto"/>
        <w:left w:val="none" w:sz="0" w:space="0" w:color="auto"/>
        <w:bottom w:val="none" w:sz="0" w:space="0" w:color="auto"/>
        <w:right w:val="none" w:sz="0" w:space="0" w:color="auto"/>
      </w:divBdr>
    </w:div>
    <w:div w:id="2088456658">
      <w:bodyDiv w:val="1"/>
      <w:marLeft w:val="0"/>
      <w:marRight w:val="0"/>
      <w:marTop w:val="0"/>
      <w:marBottom w:val="0"/>
      <w:divBdr>
        <w:top w:val="none" w:sz="0" w:space="0" w:color="auto"/>
        <w:left w:val="none" w:sz="0" w:space="0" w:color="auto"/>
        <w:bottom w:val="none" w:sz="0" w:space="0" w:color="auto"/>
        <w:right w:val="none" w:sz="0" w:space="0" w:color="auto"/>
      </w:divBdr>
    </w:div>
    <w:div w:id="2115903232">
      <w:bodyDiv w:val="1"/>
      <w:marLeft w:val="0"/>
      <w:marRight w:val="0"/>
      <w:marTop w:val="0"/>
      <w:marBottom w:val="0"/>
      <w:divBdr>
        <w:top w:val="none" w:sz="0" w:space="0" w:color="auto"/>
        <w:left w:val="none" w:sz="0" w:space="0" w:color="auto"/>
        <w:bottom w:val="none" w:sz="0" w:space="0" w:color="auto"/>
        <w:right w:val="none" w:sz="0" w:space="0" w:color="auto"/>
      </w:divBdr>
    </w:div>
    <w:div w:id="2136676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Tay161</b:Tag>
    <b:SourceType>Book</b:SourceType>
    <b:Guid>{C5C1699C-CFC1-4761-B010-D372A1C6B6FB}</b:Guid>
    <b:Author>
      <b:Author>
        <b:NameList>
          <b:Person>
            <b:Last>Taylor</b:Last>
            <b:First>Stephen</b:First>
          </b:Person>
          <b:Person>
            <b:Last>Wilkinson</b:Last>
            <b:First>Krystal</b:First>
          </b:Person>
        </b:NameList>
      </b:Author>
    </b:Author>
    <b:Title>Business Issuess and the Contexts of Human Resources</b:Title>
    <b:Year>2016</b:Year>
    <b:City>London</b:City>
    <b:Publisher>CIPD</b:Publisher>
    <b:RefOrder>9</b:RefOrder>
  </b:Source>
  <b:Source>
    <b:Tag>CIP174</b:Tag>
    <b:SourceType>DocumentFromInternetSite</b:SourceType>
    <b:Guid>{C66AE583-D454-40B8-83FE-BEFDE57334C7}</b:Guid>
    <b:Title>The HR Role</b:Title>
    <b:Year>2017</b:Year>
    <b:InternetSiteTitle>CIPD</b:InternetSiteTitle>
    <b:URL>https://www.cipd.co.uk/knowledge/strategy/hr</b:URL>
    <b:Author>
      <b:Author>
        <b:NameList>
          <b:Person>
            <b:Last>CIPD</b:Last>
          </b:Person>
        </b:NameList>
      </b:Author>
    </b:Author>
    <b:RefOrder>2</b:RefOrder>
  </b:Source>
  <b:Source>
    <b:Tag>CIP175</b:Tag>
    <b:SourceType>DocumentFromInternetSite</b:SourceType>
    <b:Guid>{9379BB09-0C66-48D5-BC49-681E235C6E12}</b:Guid>
    <b:Author>
      <b:Author>
        <b:NameList>
          <b:Person>
            <b:Last>CIPD</b:Last>
          </b:Person>
        </b:NameList>
      </b:Author>
    </b:Author>
    <b:Title>Strategic Human Resource Management</b:Title>
    <b:InternetSiteTitle>CIPD</b:InternetSiteTitle>
    <b:Year>2017</b:Year>
    <b:Month>11</b:Month>
    <b:Day>07</b:Day>
    <b:URL>https://www.cipd.co.uk/knowledge/strategy/hr/strategic-hrm-factsheet</b:URL>
    <b:RefOrder>3</b:RefOrder>
  </b:Source>
  <b:Source>
    <b:Tag>Kew16</b:Tag>
    <b:SourceType>Book</b:SourceType>
    <b:Guid>{20CD558E-3E9E-483E-95CE-9BCEE3672E48}</b:Guid>
    <b:Title>Human Resource Management in a Business Context</b:Title>
    <b:Year>2016</b:Year>
    <b:Author>
      <b:Author>
        <b:NameList>
          <b:Person>
            <b:Last>Kew</b:Last>
            <b:First>John</b:First>
          </b:Person>
          <b:Person>
            <b:Last>Stredwick</b:Last>
            <b:First>John</b:First>
          </b:Person>
        </b:NameList>
      </b:Author>
    </b:Author>
    <b:City>London</b:City>
    <b:Publisher>CIPD</b:Publisher>
    <b:RefOrder>1</b:RefOrder>
  </b:Source>
  <b:Source>
    <b:Tag>CIP15</b:Tag>
    <b:SourceType>DocumentFromInternetSite</b:SourceType>
    <b:Guid>{9A6D9395-D209-42C5-B730-A279354D173B}</b:Guid>
    <b:Author>
      <b:Author>
        <b:NameList>
          <b:Person>
            <b:Last>CIPD</b:Last>
          </b:Person>
        </b:NameList>
      </b:Author>
    </b:Author>
    <b:Title>Changing HR operating models</b:Title>
    <b:Year>2015</b:Year>
    <b:City>London</b:City>
    <b:Publisher>CIPD</b:Publisher>
    <b:InternetSiteTitle>CIPD</b:InternetSiteTitle>
    <b:Month>02</b:Month>
    <b:Day>17</b:Day>
    <b:URL>https://www.cipd.co.uk/knowledge/strategy/hr/operating-models</b:URL>
    <b:RefOrder>4</b:RefOrder>
  </b:Source>
  <b:Source>
    <b:Tag>War14</b:Tag>
    <b:SourceType>JournalArticle</b:SourceType>
    <b:Guid>{1FEFD055-1E6E-46B9-A5A8-8CE83BBF514A}</b:Guid>
    <b:Title>Small businesses and the UK economy</b:Title>
    <b:Year>2014</b:Year>
    <b:URL>http://researchbriefings.files.parliament.uk/documents/SN06078/SN06078.pdf</b:URL>
    <b:Author>
      <b:Author>
        <b:NameList>
          <b:Person>
            <b:Last>Ward</b:Last>
            <b:First>Matthew</b:First>
          </b:Person>
          <b:Person>
            <b:Last>Rhodes</b:Last>
            <b:First>Chris</b:First>
          </b:Person>
        </b:NameList>
      </b:Author>
    </b:Author>
    <b:JournalName>Economic Policy and Statistics</b:JournalName>
    <b:RefOrder>5</b:RefOrder>
  </b:Source>
  <b:Source>
    <b:Tag>Wil16</b:Tag>
    <b:SourceType>Book</b:SourceType>
    <b:Guid>{23F12ED5-4FEB-4C6F-AA5F-9DF080E0FFDD}</b:Guid>
    <b:Title>Managing and Co-ordinating the HR Function</b:Title>
    <b:Year>2016</b:Year>
    <b:Author>
      <b:Author>
        <b:NameList>
          <b:Person>
            <b:Last>Wilkinson</b:Last>
            <b:First>Krystal</b:First>
          </b:Person>
          <b:Person>
            <b:Last>Taylor</b:Last>
            <b:First>Stephen</b:First>
          </b:Person>
        </b:NameList>
      </b:Author>
    </b:Author>
    <b:City>London</b:City>
    <b:Publisher>CIPD</b:Publisher>
    <b:RefOrder>16</b:RefOrder>
  </b:Source>
  <b:Source>
    <b:Tag>Raw15</b:Tag>
    <b:SourceType>DocumentFromInternetSite</b:SourceType>
    <b:Guid>{8EC4A80E-8B52-4DB5-BAF2-B102A135E389}</b:Guid>
    <b:Title>Taking HR Analytics Beyond Technologists</b:Title>
    <b:Year>2015</b:Year>
    <b:Author>
      <b:Author>
        <b:NameList>
          <b:Person>
            <b:Last>Shah</b:Last>
            <b:First>Rawn</b:First>
          </b:Person>
        </b:NameList>
      </b:Author>
    </b:Author>
    <b:InternetSiteTitle>Forbes</b:InternetSiteTitle>
    <b:Month>04</b:Month>
    <b:Day>13</b:Day>
    <b:URL>https://www.forbes.com/sites/rawnshah/2015/04/13/taking-hr-analytics-beyond-technologists/#56f06aad6af2</b:URL>
    <b:RefOrder>6</b:RefOrder>
  </b:Source>
  <b:Source>
    <b:Tag>sim17</b:Tag>
    <b:SourceType>DocumentFromInternetSite</b:SourceType>
    <b:Guid>{A71E7D21-86F7-4868-87C3-907E14356D65}</b:Guid>
    <b:Author>
      <b:Author>
        <b:NameList>
          <b:Person>
            <b:Last>simplehrguide</b:Last>
          </b:Person>
        </b:NameList>
      </b:Author>
    </b:Author>
    <b:Title>HR Model</b:Title>
    <b:InternetSiteTitle>simplehrguide</b:InternetSiteTitle>
    <b:Year>2017</b:Year>
    <b:URL>http://www.simplehrguide.com/hr-model.html</b:URL>
    <b:RefOrder>7</b:RefOrder>
  </b:Source>
  <b:Source>
    <b:Tag>CIP176</b:Tag>
    <b:SourceType>DocumentFromInternetSite</b:SourceType>
    <b:Guid>{06F3EDCE-8341-42FD-A369-432B86F1903E}</b:Guid>
    <b:Author>
      <b:Author>
        <b:NameList>
          <b:Person>
            <b:Last>CIPD</b:Last>
          </b:Person>
        </b:NameList>
      </b:Author>
    </b:Author>
    <b:Title>HR Business Partnering</b:Title>
    <b:InternetSiteTitle>CIPD</b:InternetSiteTitle>
    <b:Year>2017</b:Year>
    <b:Month>08</b:Month>
    <b:Day>2</b:Day>
    <b:URL>https://www.cipd.co.uk/knowledge/fundamentals/people/hr/business-partnering-factsheet</b:URL>
    <b:RefOrder>8</b:RefOrder>
  </b:Source>
  <b:Source>
    <b:Tag>PES15</b:Tag>
    <b:SourceType>DocumentFromInternetSite</b:SourceType>
    <b:Guid>{0DDE0009-847B-4DCB-AEC5-FAEB0F9938E7}</b:Guid>
    <b:Author>
      <b:Author>
        <b:NameList>
          <b:Person>
            <b:Last>Contributor</b:Last>
            <b:First>PESTLEanalysis</b:First>
          </b:Person>
        </b:NameList>
      </b:Author>
    </b:Author>
    <b:Title>An Overview of the PESTLE Framework</b:Title>
    <b:InternetSiteTitle>pestleanalysis</b:InternetSiteTitle>
    <b:Year>2015</b:Year>
    <b:Month>02</b:Month>
    <b:Day>18</b:Day>
    <b:URL>http://pestleanalysis.com/pestel-framework/</b:URL>
    <b:RefOrder>11</b:RefOrder>
  </b:Source>
  <b:Source>
    <b:Tag>Jam11</b:Tag>
    <b:SourceType>DocumentFromInternetSite</b:SourceType>
    <b:Guid>{7CE5FDE1-F1B7-4677-BA5B-539DBDC9AF0E}</b:Guid>
    <b:Title>NHS East of England Annual Plan</b:Title>
    <b:Year>2011</b:Year>
    <b:Author>
      <b:Author>
        <b:NameList>
          <b:Person>
            <b:Last>McQuillan</b:Last>
            <b:First>James</b:First>
          </b:Person>
        </b:NameList>
      </b:Author>
    </b:Author>
    <b:InternetSiteTitle>NHS</b:InternetSiteTitle>
    <b:Month>03</b:Month>
    <b:Day>31</b:Day>
    <b:URL>https://www.westhertshospitals.nhs.uk/about/documents/Annual_plan_whht_2011-12_v9_final.pdf</b:URL>
    <b:RefOrder>10</b:RefOrder>
  </b:Source>
  <b:Source>
    <b:Tag>Por17</b:Tag>
    <b:SourceType>DocumentFromInternetSite</b:SourceType>
    <b:Guid>{EFF9A10F-00F9-46C0-9D95-24D78620E360}</b:Guid>
    <b:Title>Porter's Five Forces</b:Title>
    <b:InternetSiteTitle>mindtools</b:InternetSiteTitle>
    <b:Year>2017</b:Year>
    <b:URL>https://www.mindtools.com/pages/article/newTMC_08.htm</b:URL>
    <b:RefOrder>12</b:RefOrder>
  </b:Source>
  <b:Source>
    <b:Tag>Pel16</b:Tag>
    <b:SourceType>JournalArticle</b:SourceType>
    <b:Guid>{30E9347B-F33A-462D-9140-17052B5556D0}</b:Guid>
    <b:Title>Performance measurement system in the situation of simultaneous vertical and horizontal integration</b:Title>
    <b:Year>2016</b:Year>
    <b:JournalName>International Journal of Operations &amp; Production Management</b:JournalName>
    <b:Pages>1182-2000</b:Pages>
    <b:Author>
      <b:Author>
        <b:NameList>
          <b:Person>
            <b:Last>Pellinen</b:Last>
            <b:First>Jukka</b:First>
          </b:Person>
          <b:Person>
            <b:Last>Teittinen</b:Last>
            <b:First>Henri</b:First>
          </b:Person>
          <b:Person>
            <b:Last>Järvenpää</b:Last>
            <b:First>Marko</b:First>
          </b:Person>
        </b:NameList>
      </b:Author>
    </b:Author>
    <b:URL>http://librarycatalogue.uwtsd.ac.uk/primo_library/libweb/action/display.do?tabs=detailsTab&amp;ct=display&amp;fn=search&amp;doc=TN_proquest1826444187&amp;indx=1&amp;recIds=TN_proquest1826444187&amp;recIdxs=0&amp;elementId=0&amp;renderMode=poppedOut&amp;displayMode=full&amp;frbrVersion=&amp;frbg=&amp;&amp;d</b:URL>
    <b:RefOrder>13</b:RefOrder>
  </b:Source>
  <b:Source>
    <b:Tag>Cha17</b:Tag>
    <b:SourceType>DocumentFromInternetSite</b:SourceType>
    <b:Guid>{3D654649-00ED-4D0F-995B-7112F6F3ADF1}</b:Guid>
    <b:Title>Change Management</b:Title>
    <b:Year>2017</b:Year>
    <b:InternetSiteTitle>CIPD</b:InternetSiteTitle>
    <b:Month>10</b:Month>
    <b:Day>17</b:Day>
    <b:URL>https://www.cipd.co.uk/knowledge/strategy/change/management-factsheet#8086</b:URL>
    <b:RefOrder>15</b:RefOrder>
  </b:Source>
  <b:Source>
    <b:Tag>Arm14</b:Tag>
    <b:SourceType>Book</b:SourceType>
    <b:Guid>{8573A207-1023-4D28-93EA-6753A4F3AAB4}</b:Guid>
    <b:Title>Armstrong's Handbook of Human Resource Management Practice</b:Title>
    <b:Year>2014</b:Year>
    <b:Author>
      <b:Author>
        <b:NameList>
          <b:Person>
            <b:Last>Armstrong</b:Last>
            <b:First>Michael</b:First>
          </b:Person>
          <b:Person>
            <b:Last>Taylor</b:Last>
            <b:First>Stephen</b:First>
          </b:Person>
        </b:NameList>
      </b:Author>
    </b:Author>
    <b:City>London</b:City>
    <b:Publisher>Kogan Page Publishers</b:Publisher>
    <b:RefOrder>14</b:RefOrder>
  </b:Source>
  <b:Source>
    <b:Tag>Dav15</b:Tag>
    <b:SourceType>Book</b:SourceType>
    <b:Guid>{F48E47DC-33E1-46E6-B97A-E209CBAF123B}</b:Guid>
    <b:Title>Human Resource Management in Context: Insights, Strategy and Solutions</b:Title>
    <b:Year>2015</b:Year>
    <b:City>London</b:City>
    <b:Publisher>Kogan Page Publishers</b:Publisher>
    <b:Author>
      <b:Author>
        <b:NameList>
          <b:Person>
            <b:Last>Farnham</b:Last>
            <b:First>David</b:First>
          </b:Person>
        </b:NameList>
      </b:Author>
    </b:Author>
    <b:RefOrder>17</b:RefOrder>
  </b:Source>
</b:Sources>
</file>

<file path=customXml/itemProps1.xml><?xml version="1.0" encoding="utf-8"?>
<ds:datastoreItem xmlns:ds="http://schemas.openxmlformats.org/officeDocument/2006/customXml" ds:itemID="{C0C02266-3A80-46FA-A0FE-F4FB397DB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5953</TotalTime>
  <Pages>13</Pages>
  <Words>3444</Words>
  <Characters>19635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Corinne Sloley</dc:creator>
  <cp:keywords/>
  <dc:description/>
  <cp:lastModifiedBy>Corinne Sloley</cp:lastModifiedBy>
  <cp:revision>57</cp:revision>
  <dcterms:created xsi:type="dcterms:W3CDTF">2018-01-10T22:07:00Z</dcterms:created>
  <dcterms:modified xsi:type="dcterms:W3CDTF">2018-01-21T22:55:00Z</dcterms:modified>
</cp:coreProperties>
</file>