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0F327" w14:textId="77777777" w:rsidR="00F47EB2" w:rsidRDefault="00000000">
      <w:pPr>
        <w:spacing w:after="0" w:line="240" w:lineRule="auto"/>
        <w:ind w:left="0" w:firstLine="0"/>
        <w:jc w:val="left"/>
        <w:rPr>
          <w:rFonts w:ascii="Palatino Linotype" w:eastAsia="Palatino Linotype" w:hAnsi="Palatino Linotype" w:cs="Palatino Linotype"/>
          <w:b/>
          <w:bCs/>
          <w:i/>
          <w:iCs/>
          <w:color w:val="000000"/>
          <w:sz w:val="16"/>
          <w:szCs w:val="16"/>
        </w:rPr>
      </w:pPr>
      <w:bookmarkStart w:id="0" w:name="_Hlk218034552"/>
      <w:bookmarkEnd w:id="0"/>
      <w:r>
        <w:rPr>
          <w:rFonts w:ascii="Palatino Linotype" w:eastAsia="Palatino Linotype" w:hAnsi="Palatino Linotype" w:cs="Palatino Linotype"/>
          <w:b/>
          <w:bCs/>
          <w:i/>
          <w:iCs/>
          <w:color w:val="000000"/>
          <w:sz w:val="16"/>
          <w:szCs w:val="16"/>
        </w:rPr>
        <w:t>Research Article / Review Article / Communication / Editorial / Erratum</w:t>
      </w:r>
    </w:p>
    <w:p w14:paraId="597E4B99" w14:textId="77777777" w:rsidR="002333BA" w:rsidRDefault="002333BA">
      <w:pPr>
        <w:spacing w:after="81" w:line="259" w:lineRule="auto"/>
        <w:ind w:firstLine="0"/>
        <w:jc w:val="left"/>
        <w:rPr>
          <w:rFonts w:ascii="Palatino Linotype" w:eastAsia="Palatino Linotype" w:hAnsi="Palatino Linotype" w:cs="Palatino Linotype"/>
          <w:b/>
          <w:bCs/>
          <w:sz w:val="20"/>
          <w:szCs w:val="20"/>
        </w:rPr>
      </w:pPr>
    </w:p>
    <w:p w14:paraId="798762CE" w14:textId="614FCC25" w:rsidR="006F605A" w:rsidRPr="002333BA" w:rsidRDefault="004C6316">
      <w:pPr>
        <w:spacing w:after="81" w:line="259" w:lineRule="auto"/>
        <w:ind w:firstLine="0"/>
        <w:jc w:val="left"/>
        <w:rPr>
          <w:rFonts w:ascii="Palatino Linotype" w:eastAsia="Palatino Linotype" w:hAnsi="Palatino Linotype" w:cs="Palatino Linotype"/>
          <w:b/>
          <w:bCs/>
          <w:sz w:val="34"/>
          <w:szCs w:val="34"/>
        </w:rPr>
      </w:pPr>
      <w:bookmarkStart w:id="1" w:name="_Hlk218031366"/>
      <w:r w:rsidRPr="004C6316">
        <w:rPr>
          <w:rFonts w:ascii="Palatino Linotype" w:eastAsia="Palatino Linotype" w:hAnsi="Palatino Linotype" w:cs="Palatino Linotype"/>
          <w:b/>
          <w:bCs/>
          <w:sz w:val="34"/>
          <w:szCs w:val="34"/>
        </w:rPr>
        <w:t>Innovations in Environmental Monitoring for Timber Frame Structures</w:t>
      </w:r>
    </w:p>
    <w:p w14:paraId="2014D8B8" w14:textId="185DD7C0" w:rsidR="00F47EB2" w:rsidRDefault="004C6316">
      <w:pPr>
        <w:spacing w:after="81" w:line="259" w:lineRule="auto"/>
        <w:ind w:firstLine="0"/>
        <w:jc w:val="left"/>
        <w:rPr>
          <w:rFonts w:ascii="Palatino Linotype" w:eastAsia="Palatino Linotype" w:hAnsi="Palatino Linotype" w:cs="Palatino Linotype"/>
          <w:color w:val="4472C4"/>
        </w:rPr>
      </w:pPr>
      <w:bookmarkStart w:id="2" w:name="_Hlk218113375"/>
      <w:bookmarkStart w:id="3" w:name="_Hlk218035244"/>
      <w:bookmarkStart w:id="4" w:name="_Hlk218026750"/>
      <w:bookmarkEnd w:id="1"/>
      <w:r>
        <w:rPr>
          <w:rFonts w:ascii="Palatino Linotype" w:eastAsia="Palatino Linotype" w:hAnsi="Palatino Linotype" w:cs="Palatino Linotype"/>
          <w:b/>
          <w:bCs/>
          <w:color w:val="4472C4"/>
          <w:sz w:val="20"/>
          <w:szCs w:val="20"/>
        </w:rPr>
        <w:t>Thomas S.</w:t>
      </w:r>
      <w:r>
        <w:rPr>
          <w:rFonts w:ascii="Palatino Linotype" w:eastAsia="Palatino Linotype" w:hAnsi="Palatino Linotype" w:cs="Palatino Linotype"/>
          <w:b/>
          <w:bCs/>
          <w:color w:val="4472C4"/>
          <w:sz w:val="20"/>
          <w:szCs w:val="20"/>
          <w:vertAlign w:val="superscript"/>
        </w:rPr>
        <w:t>1</w:t>
      </w:r>
      <w:r w:rsidR="006F605A">
        <w:rPr>
          <w:rFonts w:ascii="Palatino Linotype" w:eastAsia="Palatino Linotype" w:hAnsi="Palatino Linotype" w:cs="Palatino Linotype"/>
          <w:b/>
          <w:bCs/>
          <w:color w:val="4472C4"/>
          <w:sz w:val="20"/>
          <w:szCs w:val="20"/>
        </w:rPr>
        <w:t>, Campbell</w:t>
      </w:r>
      <w:r w:rsidR="002333BA">
        <w:rPr>
          <w:rFonts w:ascii="Palatino Linotype" w:eastAsia="Palatino Linotype" w:hAnsi="Palatino Linotype" w:cs="Palatino Linotype"/>
          <w:b/>
          <w:bCs/>
          <w:color w:val="4472C4"/>
          <w:sz w:val="20"/>
          <w:szCs w:val="20"/>
        </w:rPr>
        <w:t xml:space="preserve"> C</w:t>
      </w:r>
      <w:r w:rsidR="0006060E">
        <w:rPr>
          <w:rFonts w:ascii="Palatino Linotype" w:eastAsia="Palatino Linotype" w:hAnsi="Palatino Linotype" w:cs="Palatino Linotype"/>
          <w:b/>
          <w:bCs/>
          <w:color w:val="4472C4"/>
          <w:sz w:val="20"/>
          <w:szCs w:val="20"/>
        </w:rPr>
        <w:t>.</w:t>
      </w:r>
      <w:r w:rsidR="002333BA">
        <w:rPr>
          <w:rFonts w:ascii="Palatino Linotype" w:eastAsia="Palatino Linotype" w:hAnsi="Palatino Linotype" w:cs="Palatino Linotype"/>
          <w:b/>
          <w:bCs/>
          <w:color w:val="4472C4"/>
          <w:sz w:val="20"/>
          <w:szCs w:val="20"/>
        </w:rPr>
        <w:t xml:space="preserve"> E-A</w:t>
      </w:r>
      <w:r w:rsidR="006F605A">
        <w:rPr>
          <w:rFonts w:ascii="Palatino Linotype" w:eastAsia="Palatino Linotype" w:hAnsi="Palatino Linotype" w:cs="Palatino Linotype"/>
          <w:b/>
          <w:bCs/>
          <w:color w:val="4472C4"/>
          <w:sz w:val="20"/>
          <w:szCs w:val="20"/>
          <w:vertAlign w:val="superscript"/>
        </w:rPr>
        <w:t>1</w:t>
      </w:r>
      <w:bookmarkEnd w:id="2"/>
      <w:r w:rsidR="006F605A">
        <w:rPr>
          <w:rFonts w:ascii="Palatino Linotype" w:eastAsia="Palatino Linotype" w:hAnsi="Palatino Linotype" w:cs="Palatino Linotype"/>
          <w:b/>
          <w:bCs/>
          <w:color w:val="4472C4"/>
          <w:sz w:val="20"/>
          <w:szCs w:val="20"/>
          <w:vertAlign w:val="superscript"/>
        </w:rPr>
        <w:t>*</w:t>
      </w:r>
      <w:r w:rsidR="00C727A5">
        <w:rPr>
          <w:rFonts w:ascii="Palatino Linotype" w:eastAsia="Palatino Linotype" w:hAnsi="Palatino Linotype" w:cs="Palatino Linotype"/>
          <w:b/>
          <w:bCs/>
          <w:color w:val="4472C4"/>
          <w:sz w:val="20"/>
          <w:szCs w:val="20"/>
        </w:rPr>
        <w:t xml:space="preserve">, </w:t>
      </w:r>
      <w:bookmarkEnd w:id="3"/>
    </w:p>
    <w:bookmarkEnd w:id="4"/>
    <w:p w14:paraId="5ACAD40C" w14:textId="1E6C5933" w:rsidR="00F47EB2" w:rsidRDefault="00000000">
      <w:pPr>
        <w:spacing w:after="0"/>
        <w:ind w:left="-14" w:firstLine="0"/>
        <w:rPr>
          <w:rFonts w:ascii="Palatino Linotype" w:eastAsia="Palatino Linotype" w:hAnsi="Palatino Linotype" w:cs="Palatino Linotype"/>
        </w:rPr>
      </w:pPr>
      <w:r>
        <w:rPr>
          <w:rFonts w:ascii="Palatino Linotype" w:eastAsia="Palatino Linotype" w:hAnsi="Palatino Linotype" w:cs="Palatino Linotype"/>
          <w:vertAlign w:val="superscript"/>
        </w:rPr>
        <w:t>1</w:t>
      </w:r>
      <w:r w:rsidR="006F605A">
        <w:rPr>
          <w:rFonts w:ascii="Palatino Linotype" w:eastAsia="Palatino Linotype" w:hAnsi="Palatino Linotype" w:cs="Palatino Linotype"/>
        </w:rPr>
        <w:t>Wales Institute of Science and Art, University of Wales Trinity Saint David, Swansea, UK</w:t>
      </w:r>
    </w:p>
    <w:p w14:paraId="6B273315" w14:textId="77777777" w:rsidR="000B4192" w:rsidRDefault="000B4192" w:rsidP="000B4192">
      <w:pPr>
        <w:spacing w:after="0"/>
        <w:ind w:left="0" w:firstLine="0"/>
        <w:rPr>
          <w:rFonts w:ascii="Palatino Linotype" w:eastAsia="Palatino Linotype" w:hAnsi="Palatino Linotype" w:cs="Palatino Linotype"/>
          <w:b/>
          <w:bCs/>
        </w:rPr>
      </w:pPr>
      <w:r>
        <w:rPr>
          <w:rFonts w:ascii="Palatino Linotype" w:eastAsia="Palatino Linotype" w:hAnsi="Palatino Linotype" w:cs="Palatino Linotype"/>
          <w:b/>
          <w:bCs/>
        </w:rPr>
        <w:t>*</w:t>
      </w:r>
      <w:hyperlink r:id="rId9" w:history="1">
        <w:r w:rsidRPr="00534B4C">
          <w:rPr>
            <w:rStyle w:val="Hyperlink"/>
          </w:rPr>
          <w:t>s.p.thomas@uwtsd.ac.uk</w:t>
        </w:r>
      </w:hyperlink>
      <w:r>
        <w:t xml:space="preserve"> , </w:t>
      </w:r>
      <w:r>
        <w:rPr>
          <w:rFonts w:ascii="Palatino Linotype" w:eastAsia="Palatino Linotype" w:hAnsi="Palatino Linotype" w:cs="Palatino Linotype"/>
          <w:b/>
          <w:bCs/>
        </w:rPr>
        <w:t>*</w:t>
      </w:r>
      <w:hyperlink r:id="rId10" w:history="1">
        <w:r w:rsidRPr="00AB345D">
          <w:rPr>
            <w:rStyle w:val="Hyperlink"/>
          </w:rPr>
          <w:t>carlene.campbell@uwtsd.ac.uk</w:t>
        </w:r>
      </w:hyperlink>
    </w:p>
    <w:p w14:paraId="5278798C" w14:textId="77777777" w:rsidR="00F47EB2" w:rsidRDefault="00000000">
      <w:pPr>
        <w:spacing w:after="162" w:line="259" w:lineRule="auto"/>
        <w:ind w:left="0" w:firstLine="0"/>
        <w:jc w:val="left"/>
        <w:rPr>
          <w:rFonts w:ascii="Palatino Linotype" w:eastAsia="Palatino Linotype" w:hAnsi="Palatino Linotype" w:cs="Palatino Linotype"/>
        </w:rPr>
      </w:pPr>
      <w:r>
        <w:rPr>
          <w:rFonts w:ascii="Palatino Linotype" w:eastAsia="Palatino Linotype" w:hAnsi="Palatino Linotype" w:cs="Palatino Linotype"/>
          <w:noProof/>
          <w:color w:val="000000"/>
          <w:sz w:val="22"/>
          <w:szCs w:val="22"/>
        </w:rPr>
        <mc:AlternateContent>
          <mc:Choice Requires="wpg">
            <w:drawing>
              <wp:inline distT="0" distB="0" distL="0" distR="0" wp14:anchorId="2EB3136F" wp14:editId="26FD4EEF">
                <wp:extent cx="5029200" cy="76200"/>
                <wp:effectExtent l="0" t="0" r="0" b="0"/>
                <wp:docPr id="1507459530" name="Group 1507459530"/>
                <wp:cNvGraphicFramePr/>
                <a:graphic xmlns:a="http://schemas.openxmlformats.org/drawingml/2006/main">
                  <a:graphicData uri="http://schemas.microsoft.com/office/word/2010/wordprocessingGroup">
                    <wpg:wgp>
                      <wpg:cNvGrpSpPr/>
                      <wpg:grpSpPr>
                        <a:xfrm>
                          <a:off x="0" y="0"/>
                          <a:ext cx="5029200" cy="76200"/>
                          <a:chOff x="2831400" y="3737125"/>
                          <a:chExt cx="5029200" cy="80975"/>
                        </a:xfrm>
                      </wpg:grpSpPr>
                      <wpg:grpSp>
                        <wpg:cNvPr id="347679079" name="Group 347679079"/>
                        <wpg:cNvGrpSpPr/>
                        <wpg:grpSpPr>
                          <a:xfrm>
                            <a:off x="2831400" y="3741900"/>
                            <a:ext cx="5029200" cy="76200"/>
                            <a:chOff x="0" y="0"/>
                            <a:chExt cx="4501312" cy="12700"/>
                          </a:xfrm>
                        </wpg:grpSpPr>
                        <wps:wsp>
                          <wps:cNvPr id="1916079239" name="Rectangle 1916079239"/>
                          <wps:cNvSpPr/>
                          <wps:spPr>
                            <a:xfrm>
                              <a:off x="0" y="0"/>
                              <a:ext cx="4501300" cy="12700"/>
                            </a:xfrm>
                            <a:prstGeom prst="rect">
                              <a:avLst/>
                            </a:prstGeom>
                            <a:noFill/>
                            <a:ln>
                              <a:noFill/>
                            </a:ln>
                          </wps:spPr>
                          <wps:txbx>
                            <w:txbxContent>
                              <w:p w14:paraId="501FFD0F" w14:textId="77777777" w:rsidR="00F47EB2" w:rsidRDefault="00F47EB2">
                                <w:pPr>
                                  <w:spacing w:after="0" w:line="240" w:lineRule="auto"/>
                                  <w:ind w:left="0" w:firstLine="0"/>
                                  <w:jc w:val="left"/>
                                  <w:textDirection w:val="btLr"/>
                                </w:pPr>
                              </w:p>
                            </w:txbxContent>
                          </wps:txbx>
                          <wps:bodyPr spcFirstLastPara="1" wrap="square" lIns="91425" tIns="91425" rIns="91425" bIns="91425" anchor="ctr" anchorCtr="0">
                            <a:noAutofit/>
                          </wps:bodyPr>
                        </wps:wsp>
                        <wps:wsp>
                          <wps:cNvPr id="1757866085" name="Freeform: Shape 1757866085"/>
                          <wps:cNvSpPr/>
                          <wps:spPr>
                            <a:xfrm>
                              <a:off x="0" y="0"/>
                              <a:ext cx="4501312" cy="0"/>
                            </a:xfrm>
                            <a:custGeom>
                              <a:avLst/>
                              <a:gdLst/>
                              <a:ahLst/>
                              <a:cxnLst/>
                              <a:rect l="l" t="t" r="r" b="b"/>
                              <a:pathLst>
                                <a:path w="4501312" h="120000" extrusionOk="0">
                                  <a:moveTo>
                                    <a:pt x="0" y="0"/>
                                  </a:moveTo>
                                  <a:lnTo>
                                    <a:pt x="4501312" y="0"/>
                                  </a:lnTo>
                                </a:path>
                              </a:pathLst>
                            </a:custGeom>
                            <a:noFill/>
                            <a:ln w="9525" cap="flat" cmpd="sng">
                              <a:solidFill>
                                <a:srgbClr val="181717"/>
                              </a:solidFill>
                              <a:prstDash val="solid"/>
                              <a:miter lim="100000"/>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2EB3136F" id="Group 1507459530" o:spid="_x0000_s1026" style="width:396pt;height:6pt;mso-position-horizontal-relative:char;mso-position-vertical-relative:line" coordorigin="28314,37371" coordsize="50292,8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">
                <v:group id="Group 347679079" o:spid="_x0000_s1027" style="position:absolute;left:28314;top:37419;width:50292;height:762" coordsize="45013,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">
                  <v:rect id="Rectangle 1916079239" o:spid="_x0000_s1028" style="position:absolute;width:45013;height: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" filled="f" stroked="f">
                    <v:textbox inset="2.53958mm,2.53958mm,2.53958mm,2.53958mm">
                      <w:txbxContent>
                        <w:p w14:paraId="501FFD0F" w14:textId="77777777" w:rsidR="00F47EB2" w:rsidRDefault="00F47EB2">
                          <w:pPr>
                            <w:spacing w:after="0" w:line="240" w:lineRule="auto"/>
                            <w:ind w:left="0" w:firstLine="0"/>
                            <w:jc w:val="left"/>
                            <w:textDirection w:val="btLr"/>
                          </w:pPr>
                        </w:p>
                      </w:txbxContent>
                    </v:textbox>
                  </v:rect>
                  <v:shape id="Freeform: Shape 1757866085" o:spid="_x0000_s1029" style="position:absolute;width:45013;height:0;visibility:visible;mso-wrap-style:square;v-text-anchor:middle" coordsize="4501312,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" path="m,l4501312,e" filled="f" strokecolor="#181717">
                    <v:stroke startarrowwidth="narrow" startarrowlength="short" endarrowwidth="narrow" endarrowlength="short" miterlimit="1" joinstyle="miter"/>
                    <v:path arrowok="t" o:extrusionok="f"/>
                  </v:shape>
                </v:group>
                <w10:anchorlock/>
              </v:group>
            </w:pict>
          </mc:Fallback>
        </mc:AlternateContent>
      </w:r>
    </w:p>
    <w:p w14:paraId="72DBDE00" w14:textId="77777777" w:rsidR="00F47EB2" w:rsidRDefault="00000000">
      <w:pPr>
        <w:spacing w:after="42" w:line="259" w:lineRule="auto"/>
        <w:ind w:left="-4" w:hanging="9"/>
        <w:jc w:val="left"/>
        <w:rPr>
          <w:rFonts w:ascii="Palatino Linotype" w:eastAsia="Palatino Linotype" w:hAnsi="Palatino Linotype" w:cs="Palatino Linotype"/>
        </w:rPr>
      </w:pPr>
      <w:r>
        <w:rPr>
          <w:rFonts w:ascii="Palatino Linotype" w:eastAsia="Palatino Linotype" w:hAnsi="Palatino Linotype" w:cs="Palatino Linotype"/>
          <w:b/>
          <w:bCs/>
        </w:rPr>
        <w:t>Abstract</w:t>
      </w:r>
      <w:r>
        <w:rPr>
          <w:rFonts w:ascii="Palatino Linotype" w:eastAsia="Palatino Linotype" w:hAnsi="Palatino Linotype" w:cs="Palatino Linotype"/>
        </w:rPr>
        <w:t xml:space="preserve"> </w:t>
      </w:r>
    </w:p>
    <w:p w14:paraId="173DE155" w14:textId="77777777" w:rsidR="004C6316" w:rsidRPr="004C6316" w:rsidRDefault="004C6316" w:rsidP="004C6316">
      <w:pPr>
        <w:spacing w:after="0" w:line="240" w:lineRule="auto"/>
        <w:ind w:left="0" w:firstLine="142"/>
        <w:rPr>
          <w:rFonts w:ascii="Palatino Linotype" w:eastAsia="Palatino Linotype" w:hAnsi="Palatino Linotype" w:cs="Palatino Linotype"/>
        </w:rPr>
      </w:pPr>
      <w:r w:rsidRPr="004C6316">
        <w:rPr>
          <w:rFonts w:ascii="Palatino Linotype" w:eastAsia="Palatino Linotype" w:hAnsi="Palatino Linotype" w:cs="Palatino Linotype"/>
        </w:rPr>
        <w:t xml:space="preserve">The immense development currently taking place in the field of connected devices has enabled a new generation of real time environmental data from low-cost sensor networks. This has enabled development of wireless sensor networks for situations that demand for a more automated system over the current systems that do not have the flexibility or scalability that goes with the progressive industry.  The paper investigated and developed wireless sensor network (WSN) technology that monitored and recorded predetermined factors within the Welsh larch building structures. </w:t>
      </w:r>
    </w:p>
    <w:p w14:paraId="006629DE" w14:textId="22A96E8A" w:rsidR="00F47EB2" w:rsidRDefault="00174EB5" w:rsidP="00174EB5">
      <w:pPr>
        <w:spacing w:after="0" w:line="254" w:lineRule="auto"/>
        <w:ind w:left="-4" w:firstLine="4"/>
        <w:rPr>
          <w:rFonts w:ascii="Palatino Linotype" w:eastAsia="Palatino Linotype" w:hAnsi="Palatino Linotype" w:cs="Palatino Linotype"/>
        </w:rPr>
      </w:pPr>
      <w:r>
        <w:rPr>
          <w:rFonts w:ascii="Palatino Linotype" w:eastAsia="Palatino Linotype" w:hAnsi="Palatino Linotype" w:cs="Palatino Linotype"/>
        </w:rPr>
        <w:t xml:space="preserve">  </w:t>
      </w:r>
      <w:r w:rsidRPr="00174EB5">
        <w:rPr>
          <w:rFonts w:ascii="Palatino Linotype" w:eastAsia="Palatino Linotype" w:hAnsi="Palatino Linotype" w:cs="Palatino Linotype"/>
        </w:rPr>
        <w:t xml:space="preserve">This study presents the design, implementation, and evaluation of a low-cost Wireless Sensor Network (WSN) for environmental monitoring in timber frame structures, with a focus on moisture-related degradation in Welsh larch buildings. While existing Internet of Things (IoT) monitoring systems are widely applied in smart environments, limited work addresses timber-specific environmental </w:t>
      </w:r>
      <w:proofErr w:type="spellStart"/>
      <w:r w:rsidRPr="00174EB5">
        <w:rPr>
          <w:rFonts w:ascii="Palatino Linotype" w:eastAsia="Palatino Linotype" w:hAnsi="Palatino Linotype" w:cs="Palatino Linotype"/>
        </w:rPr>
        <w:t>behavior</w:t>
      </w:r>
      <w:proofErr w:type="spellEnd"/>
      <w:r w:rsidRPr="00174EB5">
        <w:rPr>
          <w:rFonts w:ascii="Palatino Linotype" w:eastAsia="Palatino Linotype" w:hAnsi="Palatino Linotype" w:cs="Palatino Linotype"/>
        </w:rPr>
        <w:t xml:space="preserve"> using adaptable, open-source architectures.</w:t>
      </w:r>
    </w:p>
    <w:p w14:paraId="535A2162" w14:textId="77777777" w:rsidR="00174EB5" w:rsidRDefault="00174EB5">
      <w:pPr>
        <w:spacing w:after="0" w:line="254" w:lineRule="auto"/>
        <w:ind w:left="-4" w:hanging="9"/>
        <w:rPr>
          <w:rFonts w:ascii="Palatino Linotype" w:eastAsia="Palatino Linotype" w:hAnsi="Palatino Linotype" w:cs="Palatino Linotype"/>
          <w:b/>
          <w:bCs/>
        </w:rPr>
      </w:pPr>
    </w:p>
    <w:p w14:paraId="6A60CAFD" w14:textId="1601850E" w:rsidR="00F47EB2" w:rsidRDefault="00000000">
      <w:pPr>
        <w:spacing w:after="0" w:line="254" w:lineRule="auto"/>
        <w:ind w:left="-4" w:hanging="9"/>
        <w:rPr>
          <w:rFonts w:ascii="Palatino Linotype" w:eastAsia="Palatino Linotype" w:hAnsi="Palatino Linotype" w:cs="Palatino Linotype"/>
        </w:rPr>
      </w:pPr>
      <w:r>
        <w:rPr>
          <w:rFonts w:ascii="Palatino Linotype" w:eastAsia="Palatino Linotype" w:hAnsi="Palatino Linotype" w:cs="Palatino Linotype"/>
          <w:b/>
          <w:bCs/>
        </w:rPr>
        <w:t>Keywords</w:t>
      </w:r>
      <w:r>
        <w:rPr>
          <w:rFonts w:ascii="Palatino Linotype" w:eastAsia="Palatino Linotype" w:hAnsi="Palatino Linotype" w:cs="Palatino Linotype"/>
        </w:rPr>
        <w:t xml:space="preserve">: </w:t>
      </w:r>
      <w:r w:rsidR="004C6316" w:rsidRPr="004C6316">
        <w:rPr>
          <w:rFonts w:ascii="Palatino Linotype" w:eastAsia="Palatino Linotype" w:hAnsi="Palatino Linotype" w:cs="Palatino Linotype"/>
        </w:rPr>
        <w:t>Internet of Things, Wireless Sensor Networks, Raspberry Pi, IEEE 802.11, Environmental Monitoring</w:t>
      </w:r>
    </w:p>
    <w:p w14:paraId="1E584599" w14:textId="77777777" w:rsidR="00F47EB2" w:rsidRDefault="00000000">
      <w:pPr>
        <w:spacing w:after="171" w:line="259" w:lineRule="auto"/>
        <w:ind w:left="0" w:firstLine="0"/>
        <w:jc w:val="left"/>
        <w:rPr>
          <w:rFonts w:ascii="Palatino Linotype" w:eastAsia="Palatino Linotype" w:hAnsi="Palatino Linotype" w:cs="Palatino Linotype"/>
        </w:rPr>
      </w:pPr>
      <w:r>
        <w:rPr>
          <w:rFonts w:ascii="Palatino Linotype" w:eastAsia="Palatino Linotype" w:hAnsi="Palatino Linotype" w:cs="Palatino Linotype"/>
          <w:noProof/>
          <w:color w:val="000000"/>
          <w:sz w:val="22"/>
          <w:szCs w:val="22"/>
        </w:rPr>
        <mc:AlternateContent>
          <mc:Choice Requires="wpg">
            <w:drawing>
              <wp:inline distT="0" distB="0" distL="0" distR="0" wp14:anchorId="5EC9F6D9" wp14:editId="050FBC60">
                <wp:extent cx="5029200" cy="45719"/>
                <wp:effectExtent l="0" t="0" r="0" b="0"/>
                <wp:docPr id="1507459529" name="Group 1507459529"/>
                <wp:cNvGraphicFramePr/>
                <a:graphic xmlns:a="http://schemas.openxmlformats.org/drawingml/2006/main">
                  <a:graphicData uri="http://schemas.microsoft.com/office/word/2010/wordprocessingGroup">
                    <wpg:wgp>
                      <wpg:cNvGrpSpPr/>
                      <wpg:grpSpPr>
                        <a:xfrm>
                          <a:off x="0" y="0"/>
                          <a:ext cx="5029200" cy="45719"/>
                          <a:chOff x="2831400" y="3752375"/>
                          <a:chExt cx="5029200" cy="50500"/>
                        </a:xfrm>
                      </wpg:grpSpPr>
                      <wpg:grpSp>
                        <wpg:cNvPr id="1148074353" name="Group 1148074353"/>
                        <wpg:cNvGrpSpPr/>
                        <wpg:grpSpPr>
                          <a:xfrm>
                            <a:off x="2831400" y="3757141"/>
                            <a:ext cx="5029200" cy="45719"/>
                            <a:chOff x="0" y="0"/>
                            <a:chExt cx="4501312" cy="12700"/>
                          </a:xfrm>
                        </wpg:grpSpPr>
                        <wps:wsp>
                          <wps:cNvPr id="340480539" name="Rectangle 340480539"/>
                          <wps:cNvSpPr/>
                          <wps:spPr>
                            <a:xfrm>
                              <a:off x="0" y="0"/>
                              <a:ext cx="4501300" cy="12700"/>
                            </a:xfrm>
                            <a:prstGeom prst="rect">
                              <a:avLst/>
                            </a:prstGeom>
                            <a:noFill/>
                            <a:ln>
                              <a:noFill/>
                            </a:ln>
                          </wps:spPr>
                          <wps:txbx>
                            <w:txbxContent>
                              <w:p w14:paraId="759874EA" w14:textId="77777777" w:rsidR="00F47EB2" w:rsidRDefault="00F47EB2">
                                <w:pPr>
                                  <w:spacing w:after="0" w:line="240" w:lineRule="auto"/>
                                  <w:ind w:left="0" w:firstLine="0"/>
                                  <w:jc w:val="left"/>
                                  <w:textDirection w:val="btLr"/>
                                </w:pPr>
                              </w:p>
                            </w:txbxContent>
                          </wps:txbx>
                          <wps:bodyPr spcFirstLastPara="1" wrap="square" lIns="91425" tIns="91425" rIns="91425" bIns="91425" anchor="ctr" anchorCtr="0">
                            <a:noAutofit/>
                          </wps:bodyPr>
                        </wps:wsp>
                        <wps:wsp>
                          <wps:cNvPr id="601281811" name="Freeform: Shape 601281811"/>
                          <wps:cNvSpPr/>
                          <wps:spPr>
                            <a:xfrm>
                              <a:off x="0" y="0"/>
                              <a:ext cx="4501312" cy="0"/>
                            </a:xfrm>
                            <a:custGeom>
                              <a:avLst/>
                              <a:gdLst/>
                              <a:ahLst/>
                              <a:cxnLst/>
                              <a:rect l="l" t="t" r="r" b="b"/>
                              <a:pathLst>
                                <a:path w="4501312" h="120000" extrusionOk="0">
                                  <a:moveTo>
                                    <a:pt x="0" y="0"/>
                                  </a:moveTo>
                                  <a:lnTo>
                                    <a:pt x="4501312" y="0"/>
                                  </a:lnTo>
                                </a:path>
                              </a:pathLst>
                            </a:custGeom>
                            <a:noFill/>
                            <a:ln w="9525" cap="flat" cmpd="sng">
                              <a:solidFill>
                                <a:srgbClr val="181717"/>
                              </a:solidFill>
                              <a:prstDash val="solid"/>
                              <a:miter lim="100000"/>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5EC9F6D9" id="Group 1507459529" o:spid="_x0000_s1030" style="width:396pt;height:3.6pt;mso-position-horizontal-relative:char;mso-position-vertical-relative:line" coordorigin="28314,37523" coordsize="50292,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">
                <v:group id="Group 1148074353" o:spid="_x0000_s1031" style="position:absolute;left:28314;top:37571;width:50292;height:457" coordsize="45013,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">
                  <v:rect id="Rectangle 340480539" o:spid="_x0000_s1032" style="position:absolute;width:45013;height: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" filled="f" stroked="f">
                    <v:textbox inset="2.53958mm,2.53958mm,2.53958mm,2.53958mm">
                      <w:txbxContent>
                        <w:p w14:paraId="759874EA" w14:textId="77777777" w:rsidR="00F47EB2" w:rsidRDefault="00F47EB2">
                          <w:pPr>
                            <w:spacing w:after="0" w:line="240" w:lineRule="auto"/>
                            <w:ind w:left="0" w:firstLine="0"/>
                            <w:jc w:val="left"/>
                            <w:textDirection w:val="btLr"/>
                          </w:pPr>
                        </w:p>
                      </w:txbxContent>
                    </v:textbox>
                  </v:rect>
                  <v:shape id="Freeform: Shape 601281811" o:spid="_x0000_s1033" style="position:absolute;width:45013;height:0;visibility:visible;mso-wrap-style:square;v-text-anchor:middle" coordsize="4501312,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" path="m,l4501312,e" filled="f" strokecolor="#181717">
                    <v:stroke startarrowwidth="narrow" startarrowlength="short" endarrowwidth="narrow" endarrowlength="short" miterlimit="1" joinstyle="miter"/>
                    <v:path arrowok="t" o:extrusionok="f"/>
                  </v:shape>
                </v:group>
                <w10:anchorlock/>
              </v:group>
            </w:pict>
          </mc:Fallback>
        </mc:AlternateContent>
      </w:r>
    </w:p>
    <w:p w14:paraId="3B72BFD8" w14:textId="77777777" w:rsidR="00F47EB2" w:rsidRDefault="00000000">
      <w:pPr>
        <w:pStyle w:val="Heading1"/>
        <w:ind w:left="-5" w:firstLine="0"/>
        <w:rPr>
          <w:rFonts w:ascii="Palatino Linotype" w:eastAsia="Palatino Linotype" w:hAnsi="Palatino Linotype" w:cs="Palatino Linotype"/>
          <w:color w:val="4472C4"/>
          <w:sz w:val="24"/>
          <w:szCs w:val="24"/>
        </w:rPr>
      </w:pPr>
      <w:r>
        <w:rPr>
          <w:rFonts w:ascii="Palatino Linotype" w:eastAsia="Palatino Linotype" w:hAnsi="Palatino Linotype" w:cs="Palatino Linotype"/>
          <w:color w:val="4472C4"/>
          <w:sz w:val="24"/>
          <w:szCs w:val="24"/>
        </w:rPr>
        <w:t>INTRODUCTION</w:t>
      </w:r>
    </w:p>
    <w:p w14:paraId="7F54A3DF" w14:textId="77777777" w:rsidR="00174EB5" w:rsidRPr="00174EB5" w:rsidRDefault="00174EB5" w:rsidP="00174EB5">
      <w:pPr>
        <w:pStyle w:val="BodyText"/>
        <w:rPr>
          <w:rFonts w:ascii="Palatino Linotype" w:hAnsi="Palatino Linotype"/>
        </w:rPr>
      </w:pPr>
      <w:r w:rsidRPr="00174EB5">
        <w:rPr>
          <w:rFonts w:ascii="Palatino Linotype" w:hAnsi="Palatino Linotype"/>
        </w:rPr>
        <w:t xml:space="preserve">The rapid evolution of the Internet of Things (IoT) has enabled the deployment of distributed sensing systems capable of monitoring physical environments in real time. Wireless Sensor Networks (WSNs) </w:t>
      </w:r>
      <w:sdt>
        <w:sdtPr>
          <w:rPr>
            <w:rFonts w:ascii="Palatino Linotype" w:hAnsi="Palatino Linotype"/>
          </w:rPr>
          <w:id w:val="1082033381"/>
          <w:citation/>
        </w:sdtPr>
        <w:sdtContent>
          <w:r w:rsidRPr="00174EB5">
            <w:rPr>
              <w:rFonts w:ascii="Palatino Linotype" w:hAnsi="Palatino Linotype"/>
            </w:rPr>
            <w:fldChar w:fldCharType="begin"/>
          </w:r>
          <w:r w:rsidRPr="00174EB5">
            <w:rPr>
              <w:rFonts w:ascii="Palatino Linotype" w:hAnsi="Palatino Linotype"/>
              <w:lang w:val="en-GB"/>
            </w:rPr>
            <w:instrText xml:space="preserve">CITATION IFA10 \l 2057 </w:instrText>
          </w:r>
          <w:r w:rsidRPr="00174EB5">
            <w:rPr>
              <w:rFonts w:ascii="Palatino Linotype" w:hAnsi="Palatino Linotype"/>
            </w:rPr>
            <w:fldChar w:fldCharType="separate"/>
          </w:r>
          <w:r w:rsidRPr="00174EB5">
            <w:rPr>
              <w:rFonts w:ascii="Palatino Linotype" w:hAnsi="Palatino Linotype"/>
              <w:noProof/>
              <w:lang w:val="en-GB"/>
            </w:rPr>
            <w:t xml:space="preserve"> [1]</w:t>
          </w:r>
          <w:r w:rsidRPr="00174EB5">
            <w:rPr>
              <w:rFonts w:ascii="Palatino Linotype" w:hAnsi="Palatino Linotype"/>
            </w:rPr>
            <w:fldChar w:fldCharType="end"/>
          </w:r>
        </w:sdtContent>
      </w:sdt>
      <w:r w:rsidRPr="00174EB5">
        <w:rPr>
          <w:rFonts w:ascii="Palatino Linotype" w:hAnsi="Palatino Linotype"/>
        </w:rPr>
        <w:t>, as a core component of IoT, have been widely adopted in domains such as smart cities, industrial automation, and environmental monitoring. These systems enable continuous data acquisition using low-cost, networked sensor nodes. In the context of construction and sustainable architecture, environmental monitoring plays a critical role in assessing structural health, particularly for timber-based buildings</w:t>
      </w:r>
      <w:r w:rsidRPr="00174EB5">
        <w:rPr>
          <w:rFonts w:ascii="Palatino Linotype" w:hAnsi="Palatino Linotype"/>
          <w:lang w:val="en-GB"/>
        </w:rPr>
        <w:t xml:space="preserve"> </w:t>
      </w:r>
      <w:sdt>
        <w:sdtPr>
          <w:rPr>
            <w:rFonts w:ascii="Palatino Linotype" w:hAnsi="Palatino Linotype"/>
            <w:lang w:val="en-GB"/>
          </w:rPr>
          <w:id w:val="906428729"/>
          <w:citation/>
        </w:sdtPr>
        <w:sdtContent>
          <w:r w:rsidRPr="00174EB5">
            <w:rPr>
              <w:rFonts w:ascii="Palatino Linotype" w:hAnsi="Palatino Linotype"/>
              <w:lang w:val="en-GB"/>
            </w:rPr>
            <w:fldChar w:fldCharType="begin"/>
          </w:r>
          <w:r w:rsidRPr="00174EB5">
            <w:rPr>
              <w:rFonts w:ascii="Palatino Linotype" w:hAnsi="Palatino Linotype"/>
              <w:lang w:val="en-GB"/>
            </w:rPr>
            <w:instrText xml:space="preserve"> CITATION Fra99 \l 2057 </w:instrText>
          </w:r>
          <w:r w:rsidRPr="00174EB5">
            <w:rPr>
              <w:rFonts w:ascii="Palatino Linotype" w:hAnsi="Palatino Linotype"/>
              <w:lang w:val="en-GB"/>
            </w:rPr>
            <w:fldChar w:fldCharType="separate"/>
          </w:r>
          <w:r w:rsidRPr="00174EB5">
            <w:rPr>
              <w:rFonts w:ascii="Palatino Linotype" w:hAnsi="Palatino Linotype"/>
              <w:noProof/>
              <w:lang w:val="en-GB"/>
            </w:rPr>
            <w:t>[2]</w:t>
          </w:r>
          <w:r w:rsidRPr="00174EB5">
            <w:rPr>
              <w:rFonts w:ascii="Palatino Linotype" w:hAnsi="Palatino Linotype"/>
              <w:lang w:val="en-GB"/>
            </w:rPr>
            <w:fldChar w:fldCharType="end"/>
          </w:r>
        </w:sdtContent>
      </w:sdt>
      <w:r w:rsidRPr="00174EB5">
        <w:rPr>
          <w:rFonts w:ascii="Palatino Linotype" w:hAnsi="Palatino Linotype"/>
        </w:rPr>
        <w:t>. Timber is highly sensitive to environmental conditions such as temperature and humidity, which directly influence moisture content and, consequently, long-term durability. Despite the availability of generic environmental monitoring systems, there remains a lack of targeted, low-cost solutions specifically designed for timber frame structures.</w:t>
      </w:r>
    </w:p>
    <w:p w14:paraId="68A3C729" w14:textId="5120FE22" w:rsidR="00174EB5" w:rsidRDefault="00174EB5" w:rsidP="000B4192">
      <w:pPr>
        <w:pStyle w:val="BodyText"/>
        <w:rPr>
          <w:rFonts w:ascii="Palatino Linotype" w:hAnsi="Palatino Linotype"/>
        </w:rPr>
      </w:pPr>
      <w:r w:rsidRPr="00174EB5">
        <w:rPr>
          <w:rFonts w:ascii="Palatino Linotype" w:hAnsi="Palatino Linotype"/>
        </w:rPr>
        <w:lastRenderedPageBreak/>
        <w:t>Existing WSN-based monitoring systems often focus on general environmental sensing without addressing specific behaviour. Furthermore, many solutions rely on proprietary hardware or lack flexibility for adaptation in small-scale or community-driven projects. This paper addresses these limitations by developing an open-source, Wi-Fi-based WSN tailored for timber environmental monitoring. The system is designed for deployment in eco-friendly structures, with a focus on accessibility, scalability, and practical implementation.</w:t>
      </w:r>
    </w:p>
    <w:p w14:paraId="72823AB7" w14:textId="77777777" w:rsidR="00174EB5" w:rsidRPr="00502E44" w:rsidRDefault="00174EB5" w:rsidP="00502E44">
      <w:pPr>
        <w:pStyle w:val="Heading1"/>
        <w:rPr>
          <w:rFonts w:ascii="Palatino Linotype" w:hAnsi="Palatino Linotype"/>
          <w:i/>
          <w:iCs/>
          <w:color w:val="0070C0"/>
          <w:sz w:val="22"/>
          <w:szCs w:val="22"/>
        </w:rPr>
      </w:pPr>
      <w:r w:rsidRPr="00502E44">
        <w:rPr>
          <w:rFonts w:ascii="Palatino Linotype" w:hAnsi="Palatino Linotype"/>
          <w:i/>
          <w:iCs/>
          <w:color w:val="0070C0"/>
          <w:sz w:val="22"/>
          <w:szCs w:val="22"/>
        </w:rPr>
        <w:t>Research Contribution</w:t>
      </w:r>
    </w:p>
    <w:p w14:paraId="09137266" w14:textId="77777777" w:rsidR="00174EB5" w:rsidRPr="0026166B" w:rsidRDefault="00174EB5" w:rsidP="00174EB5">
      <w:pPr>
        <w:ind w:firstLine="288"/>
        <w:rPr>
          <w:rFonts w:ascii="Palatino Linotype" w:hAnsi="Palatino Linotype"/>
          <w:sz w:val="22"/>
          <w:szCs w:val="22"/>
        </w:rPr>
      </w:pPr>
      <w:r w:rsidRPr="0026166B">
        <w:rPr>
          <w:rFonts w:ascii="Palatino Linotype" w:hAnsi="Palatino Linotype"/>
          <w:sz w:val="20"/>
          <w:szCs w:val="20"/>
          <w:highlight w:val="yellow"/>
        </w:rPr>
        <w:t>This study investigates the feasibility of a low-cost, open-source IEEE 802.11 Wireless Sensor Network for environmental monitoring of timber-frame structures. The contribution is not a new wireless protocol or sensor; rather, it is the integration and evaluation of readily available sensing, computing and networking technologies within a timber-specific monitoring scenario, including distributed environmental sensing, network performance assessment and local estimation of timber equilibrium moisture content (EMC).</w:t>
      </w:r>
    </w:p>
    <w:p w14:paraId="4A186688" w14:textId="77777777" w:rsidR="00174EB5" w:rsidRPr="001A268E" w:rsidRDefault="00174EB5" w:rsidP="00174EB5">
      <w:pPr>
        <w:pStyle w:val="ListParagraph"/>
        <w:numPr>
          <w:ilvl w:val="0"/>
          <w:numId w:val="14"/>
        </w:numPr>
        <w:spacing w:after="0" w:line="240" w:lineRule="auto"/>
        <w:rPr>
          <w:rFonts w:ascii="Palatino Linotype" w:hAnsi="Palatino Linotype"/>
          <w:sz w:val="20"/>
          <w:szCs w:val="20"/>
        </w:rPr>
      </w:pPr>
      <w:r w:rsidRPr="001A268E">
        <w:rPr>
          <w:rFonts w:ascii="Palatino Linotype" w:hAnsi="Palatino Linotype"/>
          <w:sz w:val="20"/>
          <w:szCs w:val="20"/>
        </w:rPr>
        <w:t>Timber-Specific Monitoring Framework - A WSN architecture tailored for timber frame structures, incorporating environmental sensing aligned with moisture-related degradation factors.</w:t>
      </w:r>
    </w:p>
    <w:p w14:paraId="25224114" w14:textId="77777777" w:rsidR="00174EB5" w:rsidRPr="001A268E" w:rsidRDefault="00174EB5" w:rsidP="00174EB5">
      <w:pPr>
        <w:pStyle w:val="ListParagraph"/>
        <w:numPr>
          <w:ilvl w:val="0"/>
          <w:numId w:val="14"/>
        </w:numPr>
        <w:spacing w:after="0" w:line="240" w:lineRule="auto"/>
        <w:rPr>
          <w:rFonts w:ascii="Palatino Linotype" w:hAnsi="Palatino Linotype"/>
          <w:sz w:val="20"/>
          <w:szCs w:val="20"/>
        </w:rPr>
      </w:pPr>
      <w:r w:rsidRPr="001A268E">
        <w:rPr>
          <w:rFonts w:ascii="Palatino Linotype" w:hAnsi="Palatino Linotype"/>
          <w:sz w:val="20"/>
          <w:szCs w:val="20"/>
        </w:rPr>
        <w:t>Low-Cost Open-Source Architecture - A fully deployable system based on Raspberry Pi nodes, enabling reproducibility and accessibility for small-scale and research applications.</w:t>
      </w:r>
    </w:p>
    <w:p w14:paraId="2E2775A8" w14:textId="77777777" w:rsidR="00174EB5" w:rsidRPr="001A268E" w:rsidRDefault="00174EB5" w:rsidP="00174EB5">
      <w:pPr>
        <w:pStyle w:val="ListParagraph"/>
        <w:numPr>
          <w:ilvl w:val="0"/>
          <w:numId w:val="14"/>
        </w:numPr>
        <w:spacing w:after="0" w:line="240" w:lineRule="auto"/>
        <w:rPr>
          <w:rFonts w:ascii="Palatino Linotype" w:hAnsi="Palatino Linotype"/>
          <w:sz w:val="20"/>
          <w:szCs w:val="20"/>
        </w:rPr>
      </w:pPr>
      <w:r w:rsidRPr="001A268E">
        <w:rPr>
          <w:rFonts w:ascii="Palatino Linotype" w:hAnsi="Palatino Linotype"/>
          <w:sz w:val="20"/>
          <w:szCs w:val="20"/>
        </w:rPr>
        <w:t>Physical Deployment - Validation through deployment in a Welsh larch timber building, providing real-world insights into environmental variability and system performance.</w:t>
      </w:r>
    </w:p>
    <w:p w14:paraId="566854CA" w14:textId="77777777" w:rsidR="00502E44" w:rsidRDefault="00502E44" w:rsidP="00502E44">
      <w:pPr>
        <w:pStyle w:val="Heading1"/>
      </w:pPr>
    </w:p>
    <w:p w14:paraId="3AD97C42" w14:textId="1229532B" w:rsidR="00174EB5" w:rsidRPr="00502E44" w:rsidRDefault="00174EB5" w:rsidP="00502E44">
      <w:pPr>
        <w:pStyle w:val="Heading1"/>
        <w:rPr>
          <w:rFonts w:ascii="Palatino Linotype" w:hAnsi="Palatino Linotype"/>
          <w:i/>
          <w:iCs/>
          <w:color w:val="0070C0"/>
          <w:sz w:val="22"/>
          <w:szCs w:val="22"/>
        </w:rPr>
      </w:pPr>
      <w:r w:rsidRPr="00502E44">
        <w:rPr>
          <w:rFonts w:ascii="Palatino Linotype" w:hAnsi="Palatino Linotype"/>
          <w:i/>
          <w:iCs/>
          <w:color w:val="0070C0"/>
          <w:sz w:val="22"/>
          <w:szCs w:val="22"/>
        </w:rPr>
        <w:t>Milestones of Research</w:t>
      </w:r>
    </w:p>
    <w:p w14:paraId="4480BBBB" w14:textId="4E8ECACC" w:rsidR="00174EB5" w:rsidRPr="0026166B" w:rsidRDefault="00174EB5" w:rsidP="00174EB5">
      <w:pPr>
        <w:ind w:firstLine="288"/>
        <w:rPr>
          <w:rFonts w:ascii="Palatino Linotype" w:hAnsi="Palatino Linotype"/>
          <w:sz w:val="22"/>
          <w:szCs w:val="22"/>
        </w:rPr>
      </w:pPr>
      <w:r w:rsidRPr="0026166B">
        <w:rPr>
          <w:rFonts w:ascii="Palatino Linotype" w:hAnsi="Palatino Linotype"/>
          <w:sz w:val="20"/>
          <w:szCs w:val="20"/>
          <w:highlight w:val="yellow"/>
        </w:rPr>
        <w:t xml:space="preserve">To address the identified research problem, the study is guided by the following research questions </w:t>
      </w:r>
      <w:r w:rsidR="00C31CC7">
        <w:rPr>
          <w:rFonts w:ascii="Palatino Linotype" w:hAnsi="Palatino Linotype"/>
          <w:sz w:val="20"/>
          <w:szCs w:val="20"/>
          <w:highlight w:val="yellow"/>
        </w:rPr>
        <w:t xml:space="preserve">(RQ) </w:t>
      </w:r>
      <w:r w:rsidRPr="0026166B">
        <w:rPr>
          <w:rFonts w:ascii="Palatino Linotype" w:hAnsi="Palatino Linotype"/>
          <w:sz w:val="20"/>
          <w:szCs w:val="20"/>
          <w:highlight w:val="yellow"/>
        </w:rPr>
        <w:t>and testable hypotheses</w:t>
      </w:r>
      <w:r w:rsidR="00C31CC7">
        <w:rPr>
          <w:rFonts w:ascii="Palatino Linotype" w:hAnsi="Palatino Linotype"/>
          <w:sz w:val="20"/>
          <w:szCs w:val="20"/>
          <w:highlight w:val="yellow"/>
        </w:rPr>
        <w:t xml:space="preserve"> (H)</w:t>
      </w:r>
      <w:r w:rsidRPr="0026166B">
        <w:rPr>
          <w:rFonts w:ascii="Palatino Linotype" w:hAnsi="Palatino Linotype"/>
          <w:sz w:val="20"/>
          <w:szCs w:val="20"/>
          <w:highlight w:val="yellow"/>
        </w:rPr>
        <w:t>:</w:t>
      </w:r>
    </w:p>
    <w:p w14:paraId="19AEC0EA" w14:textId="77777777" w:rsidR="00174EB5" w:rsidRPr="0026166B" w:rsidRDefault="00174EB5" w:rsidP="0026166B">
      <w:pPr>
        <w:pStyle w:val="ListParagraph"/>
        <w:numPr>
          <w:ilvl w:val="0"/>
          <w:numId w:val="19"/>
        </w:numPr>
        <w:spacing w:after="0" w:line="240" w:lineRule="auto"/>
        <w:rPr>
          <w:rFonts w:ascii="Palatino Linotype" w:hAnsi="Palatino Linotype"/>
          <w:sz w:val="22"/>
          <w:szCs w:val="22"/>
        </w:rPr>
      </w:pPr>
      <w:r w:rsidRPr="0026166B">
        <w:rPr>
          <w:rFonts w:ascii="Palatino Linotype" w:hAnsi="Palatino Linotype"/>
          <w:sz w:val="20"/>
          <w:szCs w:val="20"/>
          <w:highlight w:val="yellow"/>
        </w:rPr>
        <w:t>RQ1: Can a low-cost IEEE 802.11-based WSN provide reliable communication between distributed environmental sensor nodes and a central hub within a timber-building monitoring scenario?</w:t>
      </w:r>
    </w:p>
    <w:p w14:paraId="602B8B86" w14:textId="77777777" w:rsidR="00174EB5" w:rsidRPr="0026166B" w:rsidRDefault="00174EB5" w:rsidP="0026166B">
      <w:pPr>
        <w:pStyle w:val="ListParagraph"/>
        <w:numPr>
          <w:ilvl w:val="0"/>
          <w:numId w:val="19"/>
        </w:numPr>
        <w:spacing w:after="0" w:line="240" w:lineRule="auto"/>
        <w:rPr>
          <w:rFonts w:ascii="Palatino Linotype" w:hAnsi="Palatino Linotype"/>
          <w:sz w:val="22"/>
          <w:szCs w:val="22"/>
        </w:rPr>
      </w:pPr>
      <w:r w:rsidRPr="0026166B">
        <w:rPr>
          <w:rFonts w:ascii="Palatino Linotype" w:hAnsi="Palatino Linotype"/>
          <w:sz w:val="20"/>
          <w:szCs w:val="20"/>
          <w:highlight w:val="yellow"/>
        </w:rPr>
        <w:t>RQ2: Can temperature and relative humidity measurements acquired using low-cost sensor nodes be processed locally to provide continuous estimates of timber equilibrium moisture content?</w:t>
      </w:r>
    </w:p>
    <w:p w14:paraId="4042AA77" w14:textId="68054793" w:rsidR="0026166B" w:rsidRPr="0026166B" w:rsidRDefault="00174EB5" w:rsidP="0026166B">
      <w:pPr>
        <w:pStyle w:val="ListParagraph"/>
        <w:numPr>
          <w:ilvl w:val="0"/>
          <w:numId w:val="19"/>
        </w:numPr>
        <w:rPr>
          <w:rFonts w:ascii="Palatino Linotype" w:hAnsi="Palatino Linotype"/>
          <w:sz w:val="22"/>
          <w:szCs w:val="22"/>
        </w:rPr>
      </w:pPr>
      <w:r w:rsidRPr="0026166B">
        <w:rPr>
          <w:rFonts w:ascii="Palatino Linotype" w:hAnsi="Palatino Linotype"/>
          <w:sz w:val="20"/>
          <w:szCs w:val="20"/>
          <w:highlight w:val="yellow"/>
        </w:rPr>
        <w:t>H1 - Network connectivity: The proposed WSN will establish communication between the central hub and the distributed sensor nodes across the experimental topology</w:t>
      </w:r>
      <w:r w:rsidR="0026166B">
        <w:rPr>
          <w:rFonts w:ascii="Palatino Linotype" w:hAnsi="Palatino Linotype"/>
          <w:sz w:val="20"/>
          <w:szCs w:val="20"/>
        </w:rPr>
        <w:t>.</w:t>
      </w:r>
    </w:p>
    <w:p w14:paraId="04679875" w14:textId="13666A09" w:rsidR="0026166B" w:rsidRPr="0026166B" w:rsidRDefault="00174EB5" w:rsidP="0026166B">
      <w:pPr>
        <w:pStyle w:val="ListParagraph"/>
        <w:numPr>
          <w:ilvl w:val="0"/>
          <w:numId w:val="19"/>
        </w:numPr>
        <w:rPr>
          <w:rFonts w:ascii="Palatino Linotype" w:hAnsi="Palatino Linotype"/>
          <w:sz w:val="22"/>
          <w:szCs w:val="22"/>
        </w:rPr>
      </w:pPr>
      <w:r w:rsidRPr="0026166B">
        <w:rPr>
          <w:rFonts w:ascii="Palatino Linotype" w:hAnsi="Palatino Linotype"/>
          <w:sz w:val="20"/>
          <w:szCs w:val="20"/>
          <w:highlight w:val="yellow"/>
        </w:rPr>
        <w:t>H2 - Communication performance: Node position and physical separation will produce measurable differences in latency, packet loss and throughput, but available bandwidth will remain sufficient</w:t>
      </w:r>
      <w:r w:rsidR="0026166B">
        <w:rPr>
          <w:rFonts w:ascii="Palatino Linotype" w:hAnsi="Palatino Linotype"/>
          <w:sz w:val="20"/>
          <w:szCs w:val="20"/>
          <w:highlight w:val="yellow"/>
        </w:rPr>
        <w:t>.</w:t>
      </w:r>
      <w:r w:rsidRPr="0026166B">
        <w:rPr>
          <w:rFonts w:ascii="Palatino Linotype" w:hAnsi="Palatino Linotype"/>
          <w:sz w:val="20"/>
          <w:szCs w:val="20"/>
          <w:highlight w:val="yellow"/>
        </w:rPr>
        <w:t xml:space="preserve"> </w:t>
      </w:r>
    </w:p>
    <w:p w14:paraId="77F37988" w14:textId="77777777" w:rsidR="0026166B" w:rsidRPr="0026166B" w:rsidRDefault="00174EB5" w:rsidP="0026166B">
      <w:pPr>
        <w:pStyle w:val="ListParagraph"/>
        <w:numPr>
          <w:ilvl w:val="0"/>
          <w:numId w:val="19"/>
        </w:numPr>
        <w:rPr>
          <w:rFonts w:ascii="Palatino Linotype" w:hAnsi="Palatino Linotype"/>
          <w:sz w:val="22"/>
          <w:szCs w:val="22"/>
        </w:rPr>
      </w:pPr>
      <w:r w:rsidRPr="0026166B">
        <w:rPr>
          <w:rFonts w:ascii="Palatino Linotype" w:hAnsi="Palatino Linotype"/>
          <w:sz w:val="20"/>
          <w:szCs w:val="20"/>
          <w:highlight w:val="yellow"/>
        </w:rPr>
        <w:t>H3 - Environmental data acquisition: Sensor nodes will autonomously acquire and record environmental measurements</w:t>
      </w:r>
      <w:r w:rsidR="0026166B">
        <w:rPr>
          <w:rFonts w:ascii="Palatino Linotype" w:hAnsi="Palatino Linotype"/>
          <w:sz w:val="20"/>
          <w:szCs w:val="20"/>
          <w:highlight w:val="yellow"/>
        </w:rPr>
        <w:t>.</w:t>
      </w:r>
    </w:p>
    <w:p w14:paraId="4E58E43C" w14:textId="27F8EEE5" w:rsidR="00174EB5" w:rsidRPr="0026166B" w:rsidRDefault="00174EB5" w:rsidP="0026166B">
      <w:pPr>
        <w:pStyle w:val="ListParagraph"/>
        <w:numPr>
          <w:ilvl w:val="0"/>
          <w:numId w:val="19"/>
        </w:numPr>
        <w:rPr>
          <w:rFonts w:ascii="Palatino Linotype" w:hAnsi="Palatino Linotype"/>
          <w:sz w:val="22"/>
          <w:szCs w:val="22"/>
        </w:rPr>
      </w:pPr>
      <w:r w:rsidRPr="0026166B">
        <w:rPr>
          <w:rFonts w:ascii="Palatino Linotype" w:hAnsi="Palatino Linotype"/>
          <w:sz w:val="20"/>
          <w:szCs w:val="20"/>
          <w:highlight w:val="yellow"/>
        </w:rPr>
        <w:t xml:space="preserve"> H4 - Moisture estimation: Temperature and relative humidity measurements can be processed using the implemented model to estimat</w:t>
      </w:r>
      <w:r w:rsidR="0026166B">
        <w:rPr>
          <w:rFonts w:ascii="Palatino Linotype" w:hAnsi="Palatino Linotype"/>
          <w:sz w:val="20"/>
          <w:szCs w:val="20"/>
          <w:highlight w:val="yellow"/>
        </w:rPr>
        <w:t>e</w:t>
      </w:r>
      <w:r w:rsidRPr="0026166B">
        <w:rPr>
          <w:rFonts w:ascii="Palatino Linotype" w:hAnsi="Palatino Linotype"/>
          <w:sz w:val="20"/>
          <w:szCs w:val="20"/>
          <w:highlight w:val="yellow"/>
        </w:rPr>
        <w:t xml:space="preserve"> timber moisture</w:t>
      </w:r>
      <w:r w:rsidR="0026166B">
        <w:rPr>
          <w:rFonts w:ascii="Palatino Linotype" w:hAnsi="Palatino Linotype"/>
          <w:sz w:val="20"/>
          <w:szCs w:val="20"/>
          <w:highlight w:val="yellow"/>
        </w:rPr>
        <w:t xml:space="preserve">. </w:t>
      </w:r>
    </w:p>
    <w:p w14:paraId="6FBD1333" w14:textId="4AA906D6" w:rsidR="00F47EB2" w:rsidRDefault="00000000" w:rsidP="00F810B8">
      <w:pPr>
        <w:pStyle w:val="Heading1"/>
        <w:ind w:left="-5" w:firstLine="0"/>
        <w:rPr>
          <w:rFonts w:ascii="Palatino Linotype" w:eastAsia="Palatino Linotype" w:hAnsi="Palatino Linotype" w:cs="Palatino Linotype"/>
          <w:color w:val="4472C4"/>
          <w:sz w:val="24"/>
          <w:szCs w:val="24"/>
        </w:rPr>
      </w:pPr>
      <w:r>
        <w:rPr>
          <w:rFonts w:ascii="Palatino Linotype" w:eastAsia="Palatino Linotype" w:hAnsi="Palatino Linotype" w:cs="Palatino Linotype"/>
          <w:color w:val="4472C4"/>
          <w:sz w:val="24"/>
          <w:szCs w:val="24"/>
        </w:rPr>
        <w:lastRenderedPageBreak/>
        <w:tab/>
      </w:r>
      <w:r w:rsidR="004C6316">
        <w:rPr>
          <w:rFonts w:ascii="Palatino Linotype" w:eastAsia="Palatino Linotype" w:hAnsi="Palatino Linotype" w:cs="Palatino Linotype"/>
          <w:color w:val="4472C4"/>
          <w:sz w:val="24"/>
          <w:szCs w:val="24"/>
        </w:rPr>
        <w:t>RELATED WORK</w:t>
      </w:r>
    </w:p>
    <w:p w14:paraId="539A6B04" w14:textId="3D080CC6" w:rsidR="00502E44" w:rsidRPr="00502E44" w:rsidRDefault="00502E44" w:rsidP="00502E44">
      <w:pPr>
        <w:pStyle w:val="BodyText"/>
        <w:rPr>
          <w:rFonts w:ascii="Palatino Linotype" w:hAnsi="Palatino Linotype"/>
        </w:rPr>
      </w:pPr>
      <w:r w:rsidRPr="00502E44">
        <w:rPr>
          <w:rFonts w:ascii="Palatino Linotype" w:hAnsi="Palatino Linotype"/>
        </w:rPr>
        <w:t xml:space="preserve">Environmental monitoring has evolved significantly with the advancement of the Internet of Things (IoT) and Wireless Sensor Networks (WSNs). Modern systems’ leverage distributed sensing nodes to collect real-time environmental data, enabling applications in smart cities, industrial systems, and building monitoring. Early WSN implementations focused on low-power microcontroller-based nodes with short-range communication protocols such as Zigbee and IEEE 802.15.4. More recent developments have expanded toward hybrid IoT architectures, incorporating cloud computing, edge processing, and long-range communication technologies such as </w:t>
      </w:r>
      <w:proofErr w:type="spellStart"/>
      <w:r w:rsidRPr="00502E44">
        <w:rPr>
          <w:rFonts w:ascii="Palatino Linotype" w:hAnsi="Palatino Linotype"/>
        </w:rPr>
        <w:t>LoRaWAN</w:t>
      </w:r>
      <w:proofErr w:type="spellEnd"/>
      <w:r w:rsidRPr="00502E44">
        <w:rPr>
          <w:rFonts w:ascii="Palatino Linotype" w:hAnsi="Palatino Linotype"/>
        </w:rPr>
        <w:t>. Despite these advancements, many systems remain generic in design, lacking domain-specific adaptation for materials such as timber, where environmental interaction is complex and highly dynamic.</w:t>
      </w:r>
    </w:p>
    <w:p w14:paraId="51C037AA" w14:textId="66085A9B" w:rsidR="00590A68" w:rsidRPr="002B57F3" w:rsidRDefault="004C6316" w:rsidP="001E5C94">
      <w:pPr>
        <w:pStyle w:val="Heading1"/>
        <w:spacing w:after="0" w:line="240" w:lineRule="auto"/>
        <w:ind w:left="0" w:firstLine="0"/>
        <w:rPr>
          <w:rFonts w:ascii="Palatino Linotype" w:hAnsi="Palatino Linotype"/>
          <w:i/>
          <w:iCs/>
          <w:color w:val="0070C0"/>
          <w:sz w:val="22"/>
          <w:szCs w:val="22"/>
        </w:rPr>
      </w:pPr>
      <w:r>
        <w:rPr>
          <w:rFonts w:ascii="Palatino Linotype" w:hAnsi="Palatino Linotype"/>
          <w:i/>
          <w:iCs/>
          <w:color w:val="0070C0"/>
          <w:sz w:val="22"/>
          <w:szCs w:val="22"/>
        </w:rPr>
        <w:t>Internet of Things</w:t>
      </w:r>
    </w:p>
    <w:p w14:paraId="599FADE6" w14:textId="77777777" w:rsidR="00502E44" w:rsidRPr="00502E44" w:rsidRDefault="00502E44" w:rsidP="00502E44">
      <w:pPr>
        <w:tabs>
          <w:tab w:val="left" w:pos="288"/>
        </w:tabs>
        <w:spacing w:after="120" w:line="228" w:lineRule="auto"/>
        <w:ind w:left="0" w:firstLine="288"/>
        <w:rPr>
          <w:rFonts w:ascii="Palatino Linotype" w:eastAsia="SimSun" w:hAnsi="Palatino Linotype" w:cs="Times New Roman"/>
          <w:color w:val="auto"/>
          <w:spacing w:val="-1"/>
          <w:sz w:val="20"/>
          <w:szCs w:val="20"/>
          <w:lang w:val="x-none" w:eastAsia="x-none"/>
        </w:rPr>
      </w:pPr>
      <w:r w:rsidRPr="00502E44">
        <w:rPr>
          <w:rFonts w:ascii="Palatino Linotype" w:eastAsia="SimSun" w:hAnsi="Palatino Linotype" w:cs="Times New Roman"/>
          <w:color w:val="auto"/>
          <w:spacing w:val="-1"/>
          <w:sz w:val="20"/>
          <w:szCs w:val="20"/>
          <w:lang w:val="x-none" w:eastAsia="x-none"/>
        </w:rPr>
        <w:t>The Internet of Things (IoT) sometimes referred to as the Internet of Everything describes a system or network of interconnected devices capable of communicating and exchanging data. Since the emergence of the internet in the 1980s</w:t>
      </w:r>
      <w:r w:rsidRPr="00502E44">
        <w:rPr>
          <w:rFonts w:ascii="Palatino Linotype" w:eastAsia="SimSun" w:hAnsi="Palatino Linotype" w:cs="Times New Roman"/>
          <w:color w:val="auto"/>
          <w:spacing w:val="-1"/>
          <w:sz w:val="20"/>
          <w:szCs w:val="20"/>
          <w:lang w:eastAsia="x-none"/>
        </w:rPr>
        <w:t xml:space="preserve"> </w:t>
      </w:r>
      <w:sdt>
        <w:sdtPr>
          <w:rPr>
            <w:rFonts w:ascii="Palatino Linotype" w:eastAsia="SimSun" w:hAnsi="Palatino Linotype" w:cs="Times New Roman"/>
            <w:color w:val="auto"/>
            <w:spacing w:val="-1"/>
            <w:sz w:val="20"/>
            <w:szCs w:val="20"/>
            <w:lang w:eastAsia="x-none"/>
          </w:rPr>
          <w:id w:val="-1168712791"/>
          <w:citation/>
        </w:sdtPr>
        <w:sdtContent>
          <w:r w:rsidRPr="00502E44">
            <w:rPr>
              <w:rFonts w:ascii="Palatino Linotype" w:eastAsia="SimSun" w:hAnsi="Palatino Linotype" w:cs="Times New Roman"/>
              <w:color w:val="auto"/>
              <w:spacing w:val="-1"/>
              <w:sz w:val="20"/>
              <w:szCs w:val="20"/>
              <w:lang w:eastAsia="x-none"/>
            </w:rPr>
            <w:fldChar w:fldCharType="begin"/>
          </w:r>
          <w:r w:rsidRPr="00502E44">
            <w:rPr>
              <w:rFonts w:ascii="Palatino Linotype" w:eastAsia="SimSun" w:hAnsi="Palatino Linotype" w:cs="Times New Roman"/>
              <w:color w:val="auto"/>
              <w:spacing w:val="-1"/>
              <w:sz w:val="20"/>
              <w:szCs w:val="20"/>
              <w:lang w:eastAsia="x-none"/>
            </w:rPr>
            <w:instrText xml:space="preserve"> CITATION EAn19 \l 2057 </w:instrText>
          </w:r>
          <w:r w:rsidRPr="00502E44">
            <w:rPr>
              <w:rFonts w:ascii="Palatino Linotype" w:eastAsia="SimSun" w:hAnsi="Palatino Linotype" w:cs="Times New Roman"/>
              <w:color w:val="auto"/>
              <w:spacing w:val="-1"/>
              <w:sz w:val="20"/>
              <w:szCs w:val="20"/>
              <w:lang w:eastAsia="x-none"/>
            </w:rPr>
            <w:fldChar w:fldCharType="separate"/>
          </w:r>
          <w:r w:rsidRPr="00502E44">
            <w:rPr>
              <w:rFonts w:ascii="Palatino Linotype" w:eastAsia="SimSun" w:hAnsi="Palatino Linotype" w:cs="Times New Roman"/>
              <w:noProof/>
              <w:color w:val="auto"/>
              <w:spacing w:val="-1"/>
              <w:sz w:val="20"/>
              <w:szCs w:val="20"/>
              <w:lang w:eastAsia="x-none"/>
            </w:rPr>
            <w:t>[3]</w:t>
          </w:r>
          <w:r w:rsidRPr="00502E44">
            <w:rPr>
              <w:rFonts w:ascii="Palatino Linotype" w:eastAsia="SimSun" w:hAnsi="Palatino Linotype" w:cs="Times New Roman"/>
              <w:color w:val="auto"/>
              <w:spacing w:val="-1"/>
              <w:sz w:val="20"/>
              <w:szCs w:val="20"/>
              <w:lang w:eastAsia="x-none"/>
            </w:rPr>
            <w:fldChar w:fldCharType="end"/>
          </w:r>
        </w:sdtContent>
      </w:sdt>
      <w:r w:rsidRPr="00502E44">
        <w:rPr>
          <w:rFonts w:ascii="Palatino Linotype" w:eastAsia="SimSun" w:hAnsi="Palatino Linotype" w:cs="Times New Roman"/>
          <w:color w:val="auto"/>
          <w:spacing w:val="-1"/>
          <w:sz w:val="20"/>
          <w:szCs w:val="20"/>
          <w:lang w:val="x-none" w:eastAsia="x-none"/>
        </w:rPr>
        <w:t xml:space="preserve">, this technological evolution has transformed science, business, and industry. These systems collect, analyse, and share data, converting it into actionable information that supports a wide range of applications in everyday life, whether in homes, workplaces, or public environments.  </w:t>
      </w:r>
    </w:p>
    <w:p w14:paraId="1799A0EC" w14:textId="77777777" w:rsidR="004C6316" w:rsidRPr="004C6316" w:rsidRDefault="004C6316" w:rsidP="004C6316">
      <w:pPr>
        <w:pStyle w:val="BodyText"/>
        <w:spacing w:after="0" w:line="240" w:lineRule="auto"/>
        <w:rPr>
          <w:rFonts w:ascii="Palatino Linotype" w:hAnsi="Palatino Linotype"/>
        </w:rPr>
      </w:pPr>
    </w:p>
    <w:p w14:paraId="404DC5B0" w14:textId="77777777" w:rsidR="004C6316" w:rsidRPr="004C6316" w:rsidRDefault="004C6316" w:rsidP="004C6316">
      <w:pPr>
        <w:pStyle w:val="BodyText"/>
        <w:spacing w:after="0" w:line="240" w:lineRule="auto"/>
        <w:ind w:firstLine="0"/>
        <w:jc w:val="center"/>
        <w:rPr>
          <w:rFonts w:ascii="Palatino Linotype" w:hAnsi="Palatino Linotype"/>
        </w:rPr>
      </w:pPr>
      <w:r w:rsidRPr="004C6316">
        <w:rPr>
          <w:rFonts w:ascii="Palatino Linotype" w:hAnsi="Palatino Linotype"/>
          <w:noProof/>
        </w:rPr>
        <w:drawing>
          <wp:inline distT="0" distB="0" distL="0" distR="0" wp14:anchorId="50BFBC82" wp14:editId="32AF6A27">
            <wp:extent cx="2921330" cy="2375105"/>
            <wp:effectExtent l="0" t="0" r="0" b="6350"/>
            <wp:docPr id="102078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2087" cy="2505804"/>
                    </a:xfrm>
                    <a:prstGeom prst="rect">
                      <a:avLst/>
                    </a:prstGeom>
                    <a:noFill/>
                  </pic:spPr>
                </pic:pic>
              </a:graphicData>
            </a:graphic>
          </wp:inline>
        </w:drawing>
      </w:r>
    </w:p>
    <w:p w14:paraId="02A5C457" w14:textId="77777777" w:rsidR="004C6316" w:rsidRDefault="004C6316" w:rsidP="004C6316">
      <w:pPr>
        <w:pStyle w:val="Caption"/>
        <w:spacing w:after="0"/>
        <w:jc w:val="center"/>
        <w:rPr>
          <w:rFonts w:ascii="Palatino Linotype" w:hAnsi="Palatino Linotype"/>
          <w:color w:val="auto"/>
        </w:rPr>
      </w:pPr>
      <w:r w:rsidRPr="004C6316">
        <w:rPr>
          <w:rFonts w:ascii="Palatino Linotype" w:hAnsi="Palatino Linotype"/>
          <w:color w:val="auto"/>
        </w:rPr>
        <w:t xml:space="preserve">Figure </w:t>
      </w:r>
      <w:r w:rsidRPr="004C6316">
        <w:rPr>
          <w:rFonts w:ascii="Palatino Linotype" w:hAnsi="Palatino Linotype"/>
          <w:color w:val="auto"/>
        </w:rPr>
        <w:fldChar w:fldCharType="begin"/>
      </w:r>
      <w:r w:rsidRPr="004C6316">
        <w:rPr>
          <w:rFonts w:ascii="Palatino Linotype" w:hAnsi="Palatino Linotype"/>
          <w:color w:val="auto"/>
        </w:rPr>
        <w:instrText xml:space="preserve"> SEQ Figure \* ARABIC </w:instrText>
      </w:r>
      <w:r w:rsidRPr="004C6316">
        <w:rPr>
          <w:rFonts w:ascii="Palatino Linotype" w:hAnsi="Palatino Linotype"/>
          <w:color w:val="auto"/>
        </w:rPr>
        <w:fldChar w:fldCharType="separate"/>
      </w:r>
      <w:r w:rsidRPr="004C6316">
        <w:rPr>
          <w:rFonts w:ascii="Palatino Linotype" w:hAnsi="Palatino Linotype"/>
          <w:noProof/>
          <w:color w:val="auto"/>
        </w:rPr>
        <w:t>1</w:t>
      </w:r>
      <w:r w:rsidRPr="004C6316">
        <w:rPr>
          <w:rFonts w:ascii="Palatino Linotype" w:hAnsi="Palatino Linotype"/>
          <w:color w:val="auto"/>
        </w:rPr>
        <w:fldChar w:fldCharType="end"/>
      </w:r>
      <w:r w:rsidRPr="004C6316">
        <w:rPr>
          <w:rFonts w:ascii="Palatino Linotype" w:hAnsi="Palatino Linotype"/>
          <w:color w:val="auto"/>
        </w:rPr>
        <w:t>. Internet of Things Diagram [4].</w:t>
      </w:r>
    </w:p>
    <w:p w14:paraId="739EAB1E" w14:textId="77777777" w:rsidR="000B4192" w:rsidRPr="000B4192" w:rsidRDefault="000B4192" w:rsidP="000B4192"/>
    <w:p w14:paraId="0CB6F51A" w14:textId="77777777" w:rsidR="00502E44" w:rsidRPr="00502E44" w:rsidRDefault="00502E44" w:rsidP="00502E44">
      <w:pPr>
        <w:pStyle w:val="BodyText"/>
        <w:rPr>
          <w:rFonts w:ascii="Palatino Linotype" w:hAnsi="Palatino Linotype"/>
        </w:rPr>
      </w:pPr>
      <w:r w:rsidRPr="00502E44">
        <w:rPr>
          <w:rFonts w:ascii="Palatino Linotype" w:hAnsi="Palatino Linotype"/>
        </w:rPr>
        <w:t>Business Insider’s industry research service BI Intelligence published a report back in 2016, in this report the authors John Greenough and Jonathan Camh</w:t>
      </w:r>
      <w:r w:rsidRPr="00502E44">
        <w:rPr>
          <w:rFonts w:ascii="Palatino Linotype" w:hAnsi="Palatino Linotype"/>
          <w:lang w:val="en-GB"/>
        </w:rPr>
        <w:t>i</w:t>
      </w:r>
      <w:r w:rsidRPr="00502E44">
        <w:rPr>
          <w:rFonts w:ascii="Palatino Linotype" w:hAnsi="Palatino Linotype"/>
        </w:rPr>
        <w:t xml:space="preserve"> wrote about how the Internet of Things ecosystem (Figure 1). Could be the field that causes the next industrial change or at least the next level of applications used on the internet, this report was reinforced by both voices of industry including experts and technology enthusiasts. IoT is now becoming more established as the format of future networking for businesses, governments, and consumers to interact with information</w:t>
      </w:r>
      <w:r w:rsidRPr="00502E44">
        <w:rPr>
          <w:rFonts w:ascii="Palatino Linotype" w:hAnsi="Palatino Linotype"/>
          <w:lang w:val="en-GB"/>
        </w:rPr>
        <w:t xml:space="preserve"> </w:t>
      </w:r>
      <w:sdt>
        <w:sdtPr>
          <w:rPr>
            <w:rFonts w:ascii="Palatino Linotype" w:hAnsi="Palatino Linotype"/>
            <w:lang w:val="en-GB"/>
          </w:rPr>
          <w:id w:val="1336501244"/>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CITATION JGr16 \l 2057 </w:instrText>
          </w:r>
          <w:r w:rsidRPr="00502E44">
            <w:rPr>
              <w:rFonts w:ascii="Palatino Linotype" w:hAnsi="Palatino Linotype"/>
              <w:lang w:val="en-GB"/>
            </w:rPr>
            <w:fldChar w:fldCharType="separate"/>
          </w:r>
          <w:r w:rsidRPr="00502E44">
            <w:rPr>
              <w:rFonts w:ascii="Palatino Linotype" w:hAnsi="Palatino Linotype"/>
              <w:noProof/>
              <w:lang w:val="en-GB"/>
            </w:rPr>
            <w:t>[4]</w:t>
          </w:r>
          <w:r w:rsidRPr="00502E44">
            <w:rPr>
              <w:rFonts w:ascii="Palatino Linotype" w:hAnsi="Palatino Linotype"/>
              <w:lang w:val="en-GB"/>
            </w:rPr>
            <w:fldChar w:fldCharType="end"/>
          </w:r>
        </w:sdtContent>
      </w:sdt>
      <w:r w:rsidRPr="00502E44">
        <w:rPr>
          <w:rFonts w:ascii="Palatino Linotype" w:hAnsi="Palatino Linotype"/>
        </w:rPr>
        <w:t>.</w:t>
      </w:r>
    </w:p>
    <w:p w14:paraId="61E5AEC0" w14:textId="77777777" w:rsidR="00502E44" w:rsidRPr="00502E44" w:rsidRDefault="00502E44" w:rsidP="00502E44">
      <w:pPr>
        <w:pStyle w:val="BodyText"/>
        <w:rPr>
          <w:rFonts w:ascii="Palatino Linotype" w:hAnsi="Palatino Linotype"/>
        </w:rPr>
      </w:pPr>
      <w:r w:rsidRPr="00502E44">
        <w:rPr>
          <w:rFonts w:ascii="Palatino Linotype" w:hAnsi="Palatino Linotype"/>
        </w:rPr>
        <w:t>Internet of Things was originally developed at the Massachusetts Institute of Technology (MIT), from the work that was being carried out within the established laboratory of the institute named the Auto-ID Labs</w:t>
      </w:r>
      <w:r w:rsidRPr="00502E44">
        <w:rPr>
          <w:rFonts w:ascii="Palatino Linotype" w:hAnsi="Palatino Linotype"/>
          <w:lang w:val="en-GB"/>
        </w:rPr>
        <w:t xml:space="preserve"> </w:t>
      </w:r>
      <w:sdt>
        <w:sdtPr>
          <w:rPr>
            <w:rFonts w:ascii="Palatino Linotype" w:hAnsi="Palatino Linotype"/>
            <w:lang w:val="en-GB"/>
          </w:rPr>
          <w:id w:val="669290985"/>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 CITATION DEv11 \l 2057 </w:instrText>
          </w:r>
          <w:r w:rsidRPr="00502E44">
            <w:rPr>
              <w:rFonts w:ascii="Palatino Linotype" w:hAnsi="Palatino Linotype"/>
              <w:lang w:val="en-GB"/>
            </w:rPr>
            <w:fldChar w:fldCharType="separate"/>
          </w:r>
          <w:r w:rsidRPr="00502E44">
            <w:rPr>
              <w:rFonts w:ascii="Palatino Linotype" w:hAnsi="Palatino Linotype"/>
              <w:noProof/>
              <w:lang w:val="en-GB"/>
            </w:rPr>
            <w:t>[5]</w:t>
          </w:r>
          <w:r w:rsidRPr="00502E44">
            <w:rPr>
              <w:rFonts w:ascii="Palatino Linotype" w:hAnsi="Palatino Linotype"/>
              <w:lang w:val="en-GB"/>
            </w:rPr>
            <w:fldChar w:fldCharType="end"/>
          </w:r>
        </w:sdtContent>
      </w:sdt>
      <w:r w:rsidRPr="00502E44">
        <w:rPr>
          <w:rFonts w:ascii="Palatino Linotype" w:hAnsi="Palatino Linotype"/>
        </w:rPr>
        <w:t xml:space="preserve">, </w:t>
      </w:r>
      <w:sdt>
        <w:sdtPr>
          <w:rPr>
            <w:rFonts w:ascii="Palatino Linotype" w:hAnsi="Palatino Linotype"/>
          </w:rPr>
          <w:id w:val="-1950607819"/>
          <w:citation/>
        </w:sdtPr>
        <w:sdtContent>
          <w:r w:rsidRPr="00502E44">
            <w:rPr>
              <w:rFonts w:ascii="Palatino Linotype" w:hAnsi="Palatino Linotype"/>
            </w:rPr>
            <w:fldChar w:fldCharType="begin"/>
          </w:r>
          <w:r w:rsidRPr="00502E44">
            <w:rPr>
              <w:rFonts w:ascii="Palatino Linotype" w:hAnsi="Palatino Linotype"/>
              <w:lang w:val="en-GB"/>
            </w:rPr>
            <w:instrText xml:space="preserve">CITATION The19 \l 2057 </w:instrText>
          </w:r>
          <w:r w:rsidRPr="00502E44">
            <w:rPr>
              <w:rFonts w:ascii="Palatino Linotype" w:hAnsi="Palatino Linotype"/>
            </w:rPr>
            <w:fldChar w:fldCharType="separate"/>
          </w:r>
          <w:r w:rsidRPr="00502E44">
            <w:rPr>
              <w:rFonts w:ascii="Palatino Linotype" w:hAnsi="Palatino Linotype"/>
              <w:noProof/>
              <w:lang w:val="en-GB"/>
            </w:rPr>
            <w:t>[6]</w:t>
          </w:r>
          <w:r w:rsidRPr="00502E44">
            <w:rPr>
              <w:rFonts w:ascii="Palatino Linotype" w:hAnsi="Palatino Linotype"/>
            </w:rPr>
            <w:fldChar w:fldCharType="end"/>
          </w:r>
        </w:sdtContent>
      </w:sdt>
      <w:r w:rsidRPr="00502E44">
        <w:rPr>
          <w:rFonts w:ascii="Palatino Linotype" w:hAnsi="Palatino Linotype"/>
          <w:lang w:val="en-GB"/>
        </w:rPr>
        <w:t>.</w:t>
      </w:r>
      <w:r w:rsidRPr="00502E44">
        <w:rPr>
          <w:rFonts w:ascii="Palatino Linotype" w:hAnsi="Palatino Linotype"/>
        </w:rPr>
        <w:t xml:space="preserve"> Established at the end of the 1990s the centre was an institute researching in the fields of networked radio frequency Identification (RFID) and other</w:t>
      </w:r>
      <w:r w:rsidRPr="00502E44">
        <w:rPr>
          <w:rFonts w:ascii="Palatino Linotype" w:hAnsi="Palatino Linotype"/>
          <w:lang w:val="en-GB"/>
        </w:rPr>
        <w:t xml:space="preserve"> concept</w:t>
      </w:r>
      <w:r w:rsidRPr="00502E44">
        <w:rPr>
          <w:rFonts w:ascii="Palatino Linotype" w:hAnsi="Palatino Linotype"/>
        </w:rPr>
        <w:t xml:space="preserve"> technology</w:t>
      </w:r>
      <w:r w:rsidRPr="00502E44">
        <w:rPr>
          <w:rFonts w:ascii="Palatino Linotype" w:hAnsi="Palatino Linotype"/>
          <w:lang w:val="en-GB"/>
        </w:rPr>
        <w:t xml:space="preserve"> </w:t>
      </w:r>
      <w:r w:rsidRPr="00502E44">
        <w:rPr>
          <w:rFonts w:ascii="Palatino Linotype" w:hAnsi="Palatino Linotype"/>
        </w:rPr>
        <w:t>prominently Internet of Things</w:t>
      </w:r>
      <w:sdt>
        <w:sdtPr>
          <w:rPr>
            <w:rFonts w:ascii="Palatino Linotype" w:hAnsi="Palatino Linotype"/>
          </w:rPr>
          <w:id w:val="1200587025"/>
          <w:citation/>
        </w:sdtPr>
        <w:sdtContent>
          <w:r w:rsidRPr="00502E44">
            <w:rPr>
              <w:rFonts w:ascii="Palatino Linotype" w:hAnsi="Palatino Linotype"/>
            </w:rPr>
            <w:fldChar w:fldCharType="begin"/>
          </w:r>
          <w:r w:rsidRPr="00502E44">
            <w:rPr>
              <w:rFonts w:ascii="Palatino Linotype" w:hAnsi="Palatino Linotype"/>
              <w:lang w:val="en-GB"/>
            </w:rPr>
            <w:instrText xml:space="preserve"> CITATION DEv11 \l 2057 </w:instrText>
          </w:r>
          <w:r w:rsidRPr="00502E44">
            <w:rPr>
              <w:rFonts w:ascii="Palatino Linotype" w:hAnsi="Palatino Linotype"/>
            </w:rPr>
            <w:fldChar w:fldCharType="separate"/>
          </w:r>
          <w:r w:rsidRPr="00502E44">
            <w:rPr>
              <w:rFonts w:ascii="Palatino Linotype" w:hAnsi="Palatino Linotype"/>
              <w:noProof/>
              <w:lang w:val="en-GB"/>
            </w:rPr>
            <w:t xml:space="preserve"> [5]</w:t>
          </w:r>
          <w:r w:rsidRPr="00502E44">
            <w:rPr>
              <w:rFonts w:ascii="Palatino Linotype" w:hAnsi="Palatino Linotype"/>
            </w:rPr>
            <w:fldChar w:fldCharType="end"/>
          </w:r>
        </w:sdtContent>
      </w:sdt>
      <w:r w:rsidRPr="00502E44">
        <w:rPr>
          <w:rFonts w:ascii="Palatino Linotype" w:hAnsi="Palatino Linotype"/>
        </w:rPr>
        <w:t>.</w:t>
      </w:r>
    </w:p>
    <w:p w14:paraId="436DE074" w14:textId="77777777" w:rsidR="00502E44" w:rsidRPr="00502E44" w:rsidRDefault="00502E44" w:rsidP="00502E44">
      <w:pPr>
        <w:pStyle w:val="BodyText"/>
        <w:rPr>
          <w:rFonts w:ascii="Palatino Linotype" w:hAnsi="Palatino Linotype"/>
        </w:rPr>
      </w:pPr>
      <w:r w:rsidRPr="00502E44">
        <w:rPr>
          <w:rFonts w:ascii="Palatino Linotype" w:hAnsi="Palatino Linotype"/>
        </w:rPr>
        <w:lastRenderedPageBreak/>
        <w:t>IBM followed suit by anticipating in a press conference that they would contain 1 trillion devices connected to the network of IoT by 2015</w:t>
      </w:r>
      <w:r w:rsidRPr="00502E44">
        <w:rPr>
          <w:rFonts w:ascii="Palatino Linotype" w:hAnsi="Palatino Linotype"/>
          <w:lang w:val="en-GB"/>
        </w:rPr>
        <w:t xml:space="preserve"> </w:t>
      </w:r>
      <w:sdt>
        <w:sdtPr>
          <w:rPr>
            <w:rFonts w:ascii="Palatino Linotype" w:hAnsi="Palatino Linotype"/>
            <w:lang w:val="en-GB"/>
          </w:rPr>
          <w:id w:val="-808791134"/>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 CITATION Iwa12 \l 2057 </w:instrText>
          </w:r>
          <w:r w:rsidRPr="00502E44">
            <w:rPr>
              <w:rFonts w:ascii="Palatino Linotype" w:hAnsi="Palatino Linotype"/>
              <w:lang w:val="en-GB"/>
            </w:rPr>
            <w:fldChar w:fldCharType="separate"/>
          </w:r>
          <w:r w:rsidRPr="00502E44">
            <w:rPr>
              <w:rFonts w:ascii="Palatino Linotype" w:hAnsi="Palatino Linotype"/>
              <w:noProof/>
              <w:lang w:val="en-GB"/>
            </w:rPr>
            <w:t>[7]</w:t>
          </w:r>
          <w:r w:rsidRPr="00502E44">
            <w:rPr>
              <w:rFonts w:ascii="Palatino Linotype" w:hAnsi="Palatino Linotype"/>
              <w:lang w:val="en-GB"/>
            </w:rPr>
            <w:fldChar w:fldCharType="end"/>
          </w:r>
        </w:sdtContent>
      </w:sdt>
      <w:r w:rsidRPr="00502E44">
        <w:rPr>
          <w:rFonts w:ascii="Palatino Linotype" w:hAnsi="Palatino Linotype"/>
        </w:rPr>
        <w:t xml:space="preserve">, this number quickly dismissed by several other industry researchers and organisation and was later proven to be correctly. With the expected number of connected devices, reaching being over 15 billion devices with a projections of </w:t>
      </w:r>
      <w:r w:rsidRPr="00502E44">
        <w:rPr>
          <w:rFonts w:ascii="Palatino Linotype" w:hAnsi="Palatino Linotype"/>
          <w:lang w:val="en-GB"/>
        </w:rPr>
        <w:t>an estimated 4</w:t>
      </w:r>
      <w:r w:rsidRPr="00502E44">
        <w:rPr>
          <w:rFonts w:ascii="Palatino Linotype" w:hAnsi="Palatino Linotype"/>
        </w:rPr>
        <w:t xml:space="preserve">0 billion devices by 2030 </w:t>
      </w:r>
      <w:sdt>
        <w:sdtPr>
          <w:rPr>
            <w:rFonts w:ascii="Palatino Linotype" w:hAnsi="Palatino Linotype"/>
            <w:lang w:val="en-GB"/>
          </w:rPr>
          <w:id w:val="431637348"/>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CITATION Rva17 \l 2057 </w:instrText>
          </w:r>
          <w:r w:rsidRPr="00502E44">
            <w:rPr>
              <w:rFonts w:ascii="Palatino Linotype" w:hAnsi="Palatino Linotype"/>
              <w:lang w:val="en-GB"/>
            </w:rPr>
            <w:fldChar w:fldCharType="separate"/>
          </w:r>
          <w:r w:rsidRPr="00502E44">
            <w:rPr>
              <w:rFonts w:ascii="Palatino Linotype" w:hAnsi="Palatino Linotype"/>
              <w:noProof/>
              <w:lang w:val="en-GB"/>
            </w:rPr>
            <w:t>[8]</w:t>
          </w:r>
          <w:r w:rsidRPr="00502E44">
            <w:rPr>
              <w:rFonts w:ascii="Palatino Linotype" w:hAnsi="Palatino Linotype"/>
              <w:lang w:val="en-GB"/>
            </w:rPr>
            <w:fldChar w:fldCharType="end"/>
          </w:r>
        </w:sdtContent>
      </w:sdt>
      <w:r w:rsidRPr="00502E44">
        <w:rPr>
          <w:rFonts w:ascii="Palatino Linotype" w:hAnsi="Palatino Linotype"/>
        </w:rPr>
        <w:t>.</w:t>
      </w:r>
    </w:p>
    <w:p w14:paraId="6948A0C6" w14:textId="77777777" w:rsidR="00502E44" w:rsidRPr="00502E44" w:rsidRDefault="00502E44" w:rsidP="00502E44">
      <w:pPr>
        <w:pStyle w:val="BodyText"/>
        <w:rPr>
          <w:rFonts w:ascii="Palatino Linotype" w:hAnsi="Palatino Linotype"/>
          <w:lang w:val="en-GB"/>
        </w:rPr>
      </w:pPr>
      <w:r w:rsidRPr="00502E44">
        <w:rPr>
          <w:rFonts w:ascii="Palatino Linotype" w:hAnsi="Palatino Linotype"/>
          <w:lang w:val="en-GB"/>
        </w:rPr>
        <w:t>Medium and large organisations increasingly depend on data‑driven decision‑making, and IoT‑enabled networking infrastructures provide a scalable foundation for future growth. These organisations derive value by analysing IoT‑generated data to identify operational opportunities and optimise the use of emerging technologies.</w:t>
      </w:r>
    </w:p>
    <w:p w14:paraId="224CB595" w14:textId="77777777" w:rsidR="00502E44" w:rsidRPr="00E642D1" w:rsidRDefault="00502E44" w:rsidP="00502E44">
      <w:pPr>
        <w:pStyle w:val="Heading1"/>
        <w:rPr>
          <w:rFonts w:ascii="Palatino Linotype" w:hAnsi="Palatino Linotype"/>
          <w:i/>
          <w:iCs/>
          <w:color w:val="0070C0"/>
          <w:sz w:val="22"/>
          <w:szCs w:val="22"/>
        </w:rPr>
      </w:pPr>
      <w:r w:rsidRPr="00E642D1">
        <w:rPr>
          <w:rFonts w:ascii="Palatino Linotype" w:hAnsi="Palatino Linotype"/>
          <w:i/>
          <w:iCs/>
          <w:color w:val="0070C0"/>
          <w:sz w:val="22"/>
          <w:szCs w:val="22"/>
        </w:rPr>
        <w:t>Wireless Sensor Networks</w:t>
      </w:r>
    </w:p>
    <w:p w14:paraId="73DECCF3" w14:textId="77777777" w:rsidR="00502E44" w:rsidRPr="00502E44" w:rsidRDefault="00502E44" w:rsidP="00502E44">
      <w:pPr>
        <w:pStyle w:val="BodyText"/>
        <w:rPr>
          <w:rFonts w:ascii="Palatino Linotype" w:hAnsi="Palatino Linotype"/>
        </w:rPr>
      </w:pPr>
      <w:r w:rsidRPr="00502E44">
        <w:rPr>
          <w:rFonts w:ascii="Palatino Linotype" w:hAnsi="Palatino Linotype"/>
        </w:rPr>
        <w:t>The application of Wireless Sensor Networks (WSN) has become integrated across industrial sectors, and considered one of the most significant technological advancements of the 21st century</w:t>
      </w:r>
      <w:r w:rsidRPr="00502E44">
        <w:rPr>
          <w:rFonts w:ascii="Palatino Linotype" w:hAnsi="Palatino Linotype"/>
          <w:lang w:val="en-GB"/>
        </w:rPr>
        <w:t xml:space="preserve"> </w:t>
      </w:r>
      <w:sdt>
        <w:sdtPr>
          <w:rPr>
            <w:rFonts w:ascii="Palatino Linotype" w:hAnsi="Palatino Linotype"/>
            <w:lang w:val="en-GB"/>
          </w:rPr>
          <w:id w:val="954979198"/>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CITATION Kum03 \l 2057 </w:instrText>
          </w:r>
          <w:r w:rsidRPr="00502E44">
            <w:rPr>
              <w:rFonts w:ascii="Palatino Linotype" w:hAnsi="Palatino Linotype"/>
              <w:lang w:val="en-GB"/>
            </w:rPr>
            <w:fldChar w:fldCharType="separate"/>
          </w:r>
          <w:r w:rsidRPr="00502E44">
            <w:rPr>
              <w:rFonts w:ascii="Palatino Linotype" w:hAnsi="Palatino Linotype"/>
              <w:noProof/>
              <w:lang w:val="en-GB"/>
            </w:rPr>
            <w:t>[9]</w:t>
          </w:r>
          <w:r w:rsidRPr="00502E44">
            <w:rPr>
              <w:rFonts w:ascii="Palatino Linotype" w:hAnsi="Palatino Linotype"/>
              <w:lang w:val="en-GB"/>
            </w:rPr>
            <w:fldChar w:fldCharType="end"/>
          </w:r>
        </w:sdtContent>
      </w:sdt>
      <w:r w:rsidRPr="00502E44">
        <w:rPr>
          <w:rFonts w:ascii="Palatino Linotype" w:hAnsi="Palatino Linotype"/>
        </w:rPr>
        <w:t>. Due to advancements in microelectronics and wireless communication, enabling the production of low-cost and intelligent sensors that can be deployed anywhere, even in rural and hazardous locations. The coexistence of IoT and WSN led to the development of advanced communication standards such as Zigbee and LoRa</w:t>
      </w:r>
      <w:r w:rsidRPr="00502E44">
        <w:rPr>
          <w:rFonts w:ascii="Palatino Linotype" w:hAnsi="Palatino Linotype"/>
          <w:lang w:val="en-GB"/>
        </w:rPr>
        <w:t xml:space="preserve"> mobile ad hoc networks (MANETS) </w:t>
      </w:r>
      <w:sdt>
        <w:sdtPr>
          <w:rPr>
            <w:rFonts w:ascii="Palatino Linotype" w:hAnsi="Palatino Linotype"/>
            <w:lang w:val="en-GB"/>
          </w:rPr>
          <w:id w:val="-444471370"/>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 CITATION Mar04 \l 2057 </w:instrText>
          </w:r>
          <w:r w:rsidRPr="00502E44">
            <w:rPr>
              <w:rFonts w:ascii="Palatino Linotype" w:hAnsi="Palatino Linotype"/>
              <w:lang w:val="en-GB"/>
            </w:rPr>
            <w:fldChar w:fldCharType="separate"/>
          </w:r>
          <w:r w:rsidRPr="00502E44">
            <w:rPr>
              <w:rFonts w:ascii="Palatino Linotype" w:hAnsi="Palatino Linotype"/>
              <w:noProof/>
              <w:lang w:val="en-GB"/>
            </w:rPr>
            <w:t>[10]</w:t>
          </w:r>
          <w:r w:rsidRPr="00502E44">
            <w:rPr>
              <w:rFonts w:ascii="Palatino Linotype" w:hAnsi="Palatino Linotype"/>
              <w:lang w:val="en-GB"/>
            </w:rPr>
            <w:fldChar w:fldCharType="end"/>
          </w:r>
        </w:sdtContent>
      </w:sdt>
      <w:r w:rsidRPr="00502E44">
        <w:rPr>
          <w:rFonts w:ascii="Palatino Linotype" w:hAnsi="Palatino Linotype"/>
        </w:rPr>
        <w:t>.</w:t>
      </w:r>
    </w:p>
    <w:p w14:paraId="45696C7B" w14:textId="77777777" w:rsidR="00502E44" w:rsidRPr="00502E44" w:rsidRDefault="00502E44" w:rsidP="00502E44">
      <w:pPr>
        <w:pStyle w:val="BodyText"/>
        <w:rPr>
          <w:rFonts w:ascii="Palatino Linotype" w:hAnsi="Palatino Linotype"/>
        </w:rPr>
      </w:pPr>
      <w:r w:rsidRPr="00502E44">
        <w:rPr>
          <w:rFonts w:ascii="Palatino Linotype" w:hAnsi="Palatino Linotype"/>
        </w:rPr>
        <w:t>A Wireless Sensor Network consists of sensor nodes that communicate with a network hub or gateway. These nodes, which are smaller than one might expect, possess the capability to process and communicate data, similar to a computer. Each sensor node typically comprises four hardware components: a microprocessor, a wireless module, required sensors, and a power supply unit. The nodes collect information from the environment through sensors, process the data using the microprocessor, and transmit it via the wireless transceiver to the network's controller or gateway shown in Figure 2</w:t>
      </w:r>
      <w:r w:rsidRPr="00502E44">
        <w:rPr>
          <w:rFonts w:ascii="Palatino Linotype" w:hAnsi="Palatino Linotype"/>
          <w:lang w:val="en-GB"/>
        </w:rPr>
        <w:t xml:space="preserve"> </w:t>
      </w:r>
      <w:sdt>
        <w:sdtPr>
          <w:rPr>
            <w:rFonts w:ascii="Palatino Linotype" w:hAnsi="Palatino Linotype"/>
            <w:lang w:val="en-GB"/>
          </w:rPr>
          <w:id w:val="-1668855430"/>
          <w:citation/>
        </w:sdtPr>
        <w:sdtContent>
          <w:r w:rsidRPr="00502E44">
            <w:rPr>
              <w:rFonts w:ascii="Palatino Linotype" w:hAnsi="Palatino Linotype"/>
              <w:lang w:val="en-GB"/>
            </w:rPr>
            <w:fldChar w:fldCharType="begin"/>
          </w:r>
          <w:r w:rsidRPr="00502E44">
            <w:rPr>
              <w:rFonts w:ascii="Palatino Linotype" w:hAnsi="Palatino Linotype"/>
              <w:lang w:val="en-GB"/>
            </w:rPr>
            <w:instrText xml:space="preserve"> CITATION SYi17 \l 2057 </w:instrText>
          </w:r>
          <w:r w:rsidRPr="00502E44">
            <w:rPr>
              <w:rFonts w:ascii="Palatino Linotype" w:hAnsi="Palatino Linotype"/>
              <w:lang w:val="en-GB"/>
            </w:rPr>
            <w:fldChar w:fldCharType="separate"/>
          </w:r>
          <w:r w:rsidRPr="00502E44">
            <w:rPr>
              <w:rFonts w:ascii="Palatino Linotype" w:hAnsi="Palatino Linotype"/>
              <w:noProof/>
              <w:lang w:val="en-GB"/>
            </w:rPr>
            <w:t>[11]</w:t>
          </w:r>
          <w:r w:rsidRPr="00502E44">
            <w:rPr>
              <w:rFonts w:ascii="Palatino Linotype" w:hAnsi="Palatino Linotype"/>
              <w:lang w:val="en-GB"/>
            </w:rPr>
            <w:fldChar w:fldCharType="end"/>
          </w:r>
        </w:sdtContent>
      </w:sdt>
      <w:r w:rsidRPr="00502E44">
        <w:rPr>
          <w:rFonts w:ascii="Palatino Linotype" w:hAnsi="Palatino Linotype"/>
        </w:rPr>
        <w:t>. This data is then sent to an application for further analysis and communication.</w:t>
      </w:r>
    </w:p>
    <w:p w14:paraId="4CFD983C" w14:textId="45A84FE6" w:rsidR="004C6316" w:rsidRPr="004C6316" w:rsidRDefault="004C6316" w:rsidP="004C6316">
      <w:pPr>
        <w:pStyle w:val="BodyText"/>
        <w:spacing w:after="0" w:line="240" w:lineRule="auto"/>
        <w:rPr>
          <w:rFonts w:ascii="Palatino Linotype" w:hAnsi="Palatino Linotype"/>
        </w:rPr>
      </w:pPr>
    </w:p>
    <w:p w14:paraId="37C62451" w14:textId="77777777" w:rsidR="004C6316" w:rsidRPr="004C6316" w:rsidRDefault="004C6316" w:rsidP="004C6316">
      <w:pPr>
        <w:pStyle w:val="BodyText"/>
        <w:spacing w:after="0" w:line="240" w:lineRule="auto"/>
        <w:ind w:firstLine="0"/>
        <w:jc w:val="center"/>
        <w:rPr>
          <w:rFonts w:ascii="Palatino Linotype" w:hAnsi="Palatino Linotype"/>
        </w:rPr>
      </w:pPr>
      <w:r w:rsidRPr="004C6316">
        <w:rPr>
          <w:rFonts w:ascii="Palatino Linotype" w:hAnsi="Palatino Linotype"/>
          <w:noProof/>
        </w:rPr>
        <w:drawing>
          <wp:inline distT="0" distB="0" distL="0" distR="0" wp14:anchorId="0F9EE224" wp14:editId="2EAF66AC">
            <wp:extent cx="3882247" cy="1609106"/>
            <wp:effectExtent l="0" t="0" r="4445" b="0"/>
            <wp:docPr id="1160213934" name="Picture 2"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13934" name="Picture 2" descr="A picture containing text, screenshot, font, 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6751" cy="1652421"/>
                    </a:xfrm>
                    <a:prstGeom prst="rect">
                      <a:avLst/>
                    </a:prstGeom>
                    <a:noFill/>
                  </pic:spPr>
                </pic:pic>
              </a:graphicData>
            </a:graphic>
          </wp:inline>
        </w:drawing>
      </w:r>
    </w:p>
    <w:p w14:paraId="476C0E31" w14:textId="77777777" w:rsidR="004C6316" w:rsidRPr="004641A0" w:rsidRDefault="004C6316" w:rsidP="004C6316">
      <w:pPr>
        <w:pStyle w:val="Caption"/>
        <w:spacing w:after="0"/>
        <w:jc w:val="center"/>
        <w:rPr>
          <w:rFonts w:ascii="Palatino Linotype" w:hAnsi="Palatino Linotype"/>
          <w:color w:val="auto"/>
        </w:rPr>
      </w:pPr>
      <w:r w:rsidRPr="004641A0">
        <w:rPr>
          <w:rFonts w:ascii="Palatino Linotype" w:hAnsi="Palatino Linotype"/>
          <w:color w:val="auto"/>
        </w:rPr>
        <w:t xml:space="preserve">Figure </w:t>
      </w:r>
      <w:r w:rsidRPr="004641A0">
        <w:rPr>
          <w:rFonts w:ascii="Palatino Linotype" w:hAnsi="Palatino Linotype"/>
          <w:color w:val="auto"/>
        </w:rPr>
        <w:fldChar w:fldCharType="begin"/>
      </w:r>
      <w:r w:rsidRPr="004641A0">
        <w:rPr>
          <w:rFonts w:ascii="Palatino Linotype" w:hAnsi="Palatino Linotype"/>
          <w:color w:val="auto"/>
        </w:rPr>
        <w:instrText xml:space="preserve"> SEQ Figure \* ARABIC </w:instrText>
      </w:r>
      <w:r w:rsidRPr="004641A0">
        <w:rPr>
          <w:rFonts w:ascii="Palatino Linotype" w:hAnsi="Palatino Linotype"/>
          <w:color w:val="auto"/>
        </w:rPr>
        <w:fldChar w:fldCharType="separate"/>
      </w:r>
      <w:r w:rsidRPr="004641A0">
        <w:rPr>
          <w:rFonts w:ascii="Palatino Linotype" w:hAnsi="Palatino Linotype"/>
          <w:noProof/>
          <w:color w:val="auto"/>
        </w:rPr>
        <w:t>2</w:t>
      </w:r>
      <w:r w:rsidRPr="004641A0">
        <w:rPr>
          <w:rFonts w:ascii="Palatino Linotype" w:hAnsi="Palatino Linotype"/>
          <w:color w:val="auto"/>
        </w:rPr>
        <w:fldChar w:fldCharType="end"/>
      </w:r>
      <w:r w:rsidRPr="004641A0">
        <w:rPr>
          <w:rFonts w:ascii="Palatino Linotype" w:hAnsi="Palatino Linotype"/>
          <w:color w:val="auto"/>
        </w:rPr>
        <w:t xml:space="preserve">. Hardware Structure of a Network Sensor </w:t>
      </w:r>
      <w:sdt>
        <w:sdtPr>
          <w:rPr>
            <w:rFonts w:ascii="Palatino Linotype" w:hAnsi="Palatino Linotype"/>
            <w:color w:val="auto"/>
          </w:rPr>
          <w:id w:val="-96485311"/>
          <w:citation/>
        </w:sdtPr>
        <w:sdtContent>
          <w:r w:rsidRPr="004641A0">
            <w:rPr>
              <w:rFonts w:ascii="Palatino Linotype" w:hAnsi="Palatino Linotype"/>
              <w:color w:val="auto"/>
            </w:rPr>
            <w:fldChar w:fldCharType="begin"/>
          </w:r>
          <w:r w:rsidRPr="004641A0">
            <w:rPr>
              <w:rFonts w:ascii="Palatino Linotype" w:hAnsi="Palatino Linotype"/>
              <w:color w:val="auto"/>
            </w:rPr>
            <w:instrText xml:space="preserve"> CITATION SYi17 \l 2057 </w:instrText>
          </w:r>
          <w:r w:rsidRPr="004641A0">
            <w:rPr>
              <w:rFonts w:ascii="Palatino Linotype" w:hAnsi="Palatino Linotype"/>
              <w:color w:val="auto"/>
            </w:rPr>
            <w:fldChar w:fldCharType="separate"/>
          </w:r>
          <w:r w:rsidRPr="004641A0">
            <w:rPr>
              <w:rFonts w:ascii="Palatino Linotype" w:hAnsi="Palatino Linotype"/>
              <w:noProof/>
              <w:color w:val="auto"/>
            </w:rPr>
            <w:t>[11]</w:t>
          </w:r>
          <w:r w:rsidRPr="004641A0">
            <w:rPr>
              <w:rFonts w:ascii="Palatino Linotype" w:hAnsi="Palatino Linotype"/>
              <w:color w:val="auto"/>
            </w:rPr>
            <w:fldChar w:fldCharType="end"/>
          </w:r>
        </w:sdtContent>
      </w:sdt>
      <w:r w:rsidRPr="004641A0">
        <w:rPr>
          <w:rFonts w:ascii="Palatino Linotype" w:hAnsi="Palatino Linotype"/>
          <w:color w:val="auto"/>
        </w:rPr>
        <w:t>.</w:t>
      </w:r>
    </w:p>
    <w:p w14:paraId="5A756084" w14:textId="77777777" w:rsidR="004641A0" w:rsidRPr="004641A0" w:rsidRDefault="004641A0" w:rsidP="004641A0"/>
    <w:p w14:paraId="7820FF6E" w14:textId="77777777" w:rsidR="00E642D1" w:rsidRPr="00E642D1" w:rsidRDefault="00E642D1" w:rsidP="00E642D1">
      <w:pPr>
        <w:pStyle w:val="BodyText"/>
        <w:rPr>
          <w:rFonts w:ascii="Palatino Linotype" w:hAnsi="Palatino Linotype"/>
          <w:lang w:val="en-GB"/>
        </w:rPr>
      </w:pPr>
      <w:r w:rsidRPr="00E642D1">
        <w:rPr>
          <w:rFonts w:ascii="Palatino Linotype" w:hAnsi="Palatino Linotype"/>
        </w:rPr>
        <w:t>Real-time capability is crucial in WSNs, as small latency can lead to significant inconsistencies in data. Furthermore, low energy consumption is essential for supporting long-term, independent operation, particularly for devices with batteries that are difficult to replace. Access network technologies like Bluetooth 4.0, IEEE 802.15.4e, and Zigbee have made notable progress in meeting these requirements for WSNs and IoT applications</w:t>
      </w:r>
      <w:r w:rsidRPr="00E642D1">
        <w:rPr>
          <w:rFonts w:ascii="Palatino Linotype" w:hAnsi="Palatino Linotype"/>
          <w:lang w:val="en-GB"/>
        </w:rPr>
        <w:t xml:space="preserve"> </w:t>
      </w:r>
      <w:sdt>
        <w:sdtPr>
          <w:rPr>
            <w:rFonts w:ascii="Palatino Linotype" w:hAnsi="Palatino Linotype"/>
            <w:lang w:val="en-GB"/>
          </w:rPr>
          <w:id w:val="-1272696029"/>
          <w:citation/>
        </w:sdtPr>
        <w:sdtContent>
          <w:r w:rsidRPr="00E642D1">
            <w:rPr>
              <w:rFonts w:ascii="Palatino Linotype" w:hAnsi="Palatino Linotype"/>
              <w:lang w:val="en-GB"/>
            </w:rPr>
            <w:fldChar w:fldCharType="begin"/>
          </w:r>
          <w:r w:rsidRPr="00E642D1">
            <w:rPr>
              <w:rFonts w:ascii="Palatino Linotype" w:hAnsi="Palatino Linotype"/>
              <w:lang w:val="en-GB"/>
            </w:rPr>
            <w:instrText xml:space="preserve">CITATION HKu18 \l 2057 </w:instrText>
          </w:r>
          <w:r w:rsidRPr="00E642D1">
            <w:rPr>
              <w:rFonts w:ascii="Palatino Linotype" w:hAnsi="Palatino Linotype"/>
              <w:lang w:val="en-GB"/>
            </w:rPr>
            <w:fldChar w:fldCharType="separate"/>
          </w:r>
          <w:r w:rsidRPr="00E642D1">
            <w:rPr>
              <w:rFonts w:ascii="Palatino Linotype" w:hAnsi="Palatino Linotype"/>
              <w:noProof/>
              <w:lang w:val="en-GB"/>
            </w:rPr>
            <w:t>[12]</w:t>
          </w:r>
          <w:r w:rsidRPr="00E642D1">
            <w:rPr>
              <w:rFonts w:ascii="Palatino Linotype" w:hAnsi="Palatino Linotype"/>
              <w:lang w:val="en-GB"/>
            </w:rPr>
            <w:fldChar w:fldCharType="end"/>
          </w:r>
        </w:sdtContent>
      </w:sdt>
      <w:r w:rsidRPr="00E642D1">
        <w:rPr>
          <w:rFonts w:ascii="Palatino Linotype" w:hAnsi="Palatino Linotype"/>
          <w:lang w:val="en-GB"/>
        </w:rPr>
        <w:t>.</w:t>
      </w:r>
    </w:p>
    <w:p w14:paraId="0C99D99E" w14:textId="24F412F4" w:rsidR="004C6316" w:rsidRDefault="00E642D1" w:rsidP="00E642D1">
      <w:pPr>
        <w:pStyle w:val="BodyText"/>
        <w:spacing w:after="0" w:line="240" w:lineRule="auto"/>
        <w:rPr>
          <w:rFonts w:ascii="Palatino Linotype" w:hAnsi="Palatino Linotype"/>
        </w:rPr>
      </w:pPr>
      <w:r w:rsidRPr="00E642D1">
        <w:rPr>
          <w:rFonts w:ascii="Palatino Linotype" w:hAnsi="Palatino Linotype"/>
        </w:rPr>
        <w:t xml:space="preserve">The nature of WSNs can be a point of vulnerability for potential attacks, even if the network is configured to hide signals. Interference from other wireless devices or electromagnetic fields in the environment can disrupt network stability and compromise </w:t>
      </w:r>
      <w:r w:rsidRPr="00E642D1">
        <w:rPr>
          <w:rFonts w:ascii="Palatino Linotype" w:hAnsi="Palatino Linotype"/>
        </w:rPr>
        <w:lastRenderedPageBreak/>
        <w:t>data integrity.</w:t>
      </w:r>
      <w:r w:rsidRPr="00E642D1">
        <w:rPr>
          <w:rFonts w:ascii="Palatino Linotype" w:hAnsi="Palatino Linotype"/>
          <w:lang w:val="en-GB"/>
        </w:rPr>
        <w:t xml:space="preserve"> When deployed a</w:t>
      </w:r>
      <w:r w:rsidRPr="00E642D1">
        <w:rPr>
          <w:rFonts w:ascii="Palatino Linotype" w:hAnsi="Palatino Linotype"/>
        </w:rPr>
        <w:t xml:space="preserve"> sensor node is both transmitter and receiver, the data source node sends data to a nearby nodes for data transmission to the gateway</w:t>
      </w:r>
      <w:r w:rsidRPr="00E642D1">
        <w:rPr>
          <w:rFonts w:ascii="Palatino Linotype" w:hAnsi="Palatino Linotype"/>
          <w:lang w:val="en-GB"/>
        </w:rPr>
        <w:t xml:space="preserve"> </w:t>
      </w:r>
      <w:sdt>
        <w:sdtPr>
          <w:rPr>
            <w:rFonts w:ascii="Palatino Linotype" w:hAnsi="Palatino Linotype"/>
            <w:lang w:val="en-GB"/>
          </w:rPr>
          <w:id w:val="1722861297"/>
          <w:citation/>
        </w:sdtPr>
        <w:sdtContent>
          <w:r w:rsidRPr="00E642D1">
            <w:rPr>
              <w:rFonts w:ascii="Palatino Linotype" w:hAnsi="Palatino Linotype"/>
              <w:lang w:val="en-GB"/>
            </w:rPr>
            <w:fldChar w:fldCharType="begin"/>
          </w:r>
          <w:r w:rsidRPr="00E642D1">
            <w:rPr>
              <w:rFonts w:ascii="Palatino Linotype" w:hAnsi="Palatino Linotype"/>
              <w:lang w:val="en-GB"/>
            </w:rPr>
            <w:instrText xml:space="preserve">CITATION HKa05 \l 2057 </w:instrText>
          </w:r>
          <w:r w:rsidRPr="00E642D1">
            <w:rPr>
              <w:rFonts w:ascii="Palatino Linotype" w:hAnsi="Palatino Linotype"/>
              <w:lang w:val="en-GB"/>
            </w:rPr>
            <w:fldChar w:fldCharType="separate"/>
          </w:r>
          <w:r w:rsidRPr="00E642D1">
            <w:rPr>
              <w:rFonts w:ascii="Palatino Linotype" w:hAnsi="Palatino Linotype"/>
              <w:noProof/>
              <w:lang w:val="en-GB"/>
            </w:rPr>
            <w:t>[13]</w:t>
          </w:r>
          <w:r w:rsidRPr="00E642D1">
            <w:rPr>
              <w:rFonts w:ascii="Palatino Linotype" w:hAnsi="Palatino Linotype"/>
              <w:lang w:val="en-GB"/>
            </w:rPr>
            <w:fldChar w:fldCharType="end"/>
          </w:r>
        </w:sdtContent>
      </w:sdt>
      <w:r w:rsidRPr="00E642D1">
        <w:rPr>
          <w:rFonts w:ascii="Palatino Linotype" w:hAnsi="Palatino Linotype"/>
        </w:rPr>
        <w:t>. The key features of WSNs always remain as self-organisation, self-adaption, limited nodes energy, and unstable transmission links</w:t>
      </w:r>
      <w:r w:rsidRPr="00E642D1">
        <w:rPr>
          <w:rFonts w:ascii="Palatino Linotype" w:hAnsi="Palatino Linotype"/>
          <w:lang w:val="en-GB"/>
        </w:rPr>
        <w:t xml:space="preserve"> </w:t>
      </w:r>
      <w:sdt>
        <w:sdtPr>
          <w:rPr>
            <w:rFonts w:ascii="Palatino Linotype" w:hAnsi="Palatino Linotype"/>
            <w:lang w:val="en-GB"/>
          </w:rPr>
          <w:id w:val="1884209397"/>
          <w:citation/>
        </w:sdtPr>
        <w:sdtContent>
          <w:r w:rsidRPr="00E642D1">
            <w:rPr>
              <w:rFonts w:ascii="Palatino Linotype" w:hAnsi="Palatino Linotype"/>
              <w:lang w:val="en-GB"/>
            </w:rPr>
            <w:fldChar w:fldCharType="begin"/>
          </w:r>
          <w:r w:rsidRPr="00E642D1">
            <w:rPr>
              <w:rFonts w:ascii="Palatino Linotype" w:hAnsi="Palatino Linotype"/>
              <w:lang w:val="en-GB"/>
            </w:rPr>
            <w:instrText xml:space="preserve"> CITATION SYi17 \l 2057 </w:instrText>
          </w:r>
          <w:r w:rsidRPr="00E642D1">
            <w:rPr>
              <w:rFonts w:ascii="Palatino Linotype" w:hAnsi="Palatino Linotype"/>
              <w:lang w:val="en-GB"/>
            </w:rPr>
            <w:fldChar w:fldCharType="separate"/>
          </w:r>
          <w:r w:rsidRPr="00E642D1">
            <w:rPr>
              <w:rFonts w:ascii="Palatino Linotype" w:hAnsi="Palatino Linotype"/>
              <w:noProof/>
              <w:lang w:val="en-GB"/>
            </w:rPr>
            <w:t>[11]</w:t>
          </w:r>
          <w:r w:rsidRPr="00E642D1">
            <w:rPr>
              <w:rFonts w:ascii="Palatino Linotype" w:hAnsi="Palatino Linotype"/>
              <w:lang w:val="en-GB"/>
            </w:rPr>
            <w:fldChar w:fldCharType="end"/>
          </w:r>
        </w:sdtContent>
      </w:sdt>
      <w:r w:rsidRPr="00E642D1">
        <w:rPr>
          <w:rFonts w:ascii="Palatino Linotype" w:hAnsi="Palatino Linotype"/>
        </w:rPr>
        <w:t>.</w:t>
      </w:r>
    </w:p>
    <w:p w14:paraId="11B84889" w14:textId="77777777" w:rsidR="000B4192" w:rsidRPr="00E642D1" w:rsidRDefault="000B4192" w:rsidP="00E642D1">
      <w:pPr>
        <w:pStyle w:val="BodyText"/>
        <w:spacing w:after="0" w:line="240" w:lineRule="auto"/>
        <w:rPr>
          <w:rFonts w:ascii="Palatino Linotype" w:hAnsi="Palatino Linotype"/>
        </w:rPr>
      </w:pPr>
    </w:p>
    <w:p w14:paraId="5F49AD31" w14:textId="77777777" w:rsidR="00E642D1" w:rsidRDefault="00E642D1" w:rsidP="004C6316">
      <w:pPr>
        <w:pStyle w:val="BodyText"/>
        <w:spacing w:after="0" w:line="240" w:lineRule="auto"/>
        <w:ind w:firstLine="0"/>
        <w:jc w:val="center"/>
        <w:rPr>
          <w:rFonts w:ascii="Palatino Linotype" w:hAnsi="Palatino Linotype"/>
        </w:rPr>
      </w:pPr>
    </w:p>
    <w:p w14:paraId="40ED29CB" w14:textId="28730313" w:rsidR="004C6316" w:rsidRPr="004C6316" w:rsidRDefault="004C6316" w:rsidP="004C6316">
      <w:pPr>
        <w:pStyle w:val="BodyText"/>
        <w:spacing w:after="0" w:line="240" w:lineRule="auto"/>
        <w:ind w:firstLine="0"/>
        <w:jc w:val="center"/>
        <w:rPr>
          <w:rFonts w:ascii="Palatino Linotype" w:hAnsi="Palatino Linotype"/>
        </w:rPr>
      </w:pPr>
      <w:r w:rsidRPr="004C6316">
        <w:rPr>
          <w:rFonts w:ascii="Palatino Linotype" w:hAnsi="Palatino Linotype"/>
          <w:noProof/>
        </w:rPr>
        <w:drawing>
          <wp:inline distT="0" distB="0" distL="0" distR="0" wp14:anchorId="4EDB6363" wp14:editId="2695074C">
            <wp:extent cx="3282287" cy="2201285"/>
            <wp:effectExtent l="0" t="0" r="0" b="8890"/>
            <wp:docPr id="1845806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6990" t="2851" r="6898" b="7640"/>
                    <a:stretch/>
                  </pic:blipFill>
                  <pic:spPr bwMode="auto">
                    <a:xfrm>
                      <a:off x="0" y="0"/>
                      <a:ext cx="3325604" cy="2230336"/>
                    </a:xfrm>
                    <a:prstGeom prst="rect">
                      <a:avLst/>
                    </a:prstGeom>
                    <a:noFill/>
                    <a:ln>
                      <a:noFill/>
                    </a:ln>
                    <a:extLst>
                      <a:ext uri="{53640926-AAD7-44D8-BBD7-CCE9431645EC}">
                        <a14:shadowObscured xmlns:a14="http://schemas.microsoft.com/office/drawing/2010/main"/>
                      </a:ext>
                    </a:extLst>
                  </pic:spPr>
                </pic:pic>
              </a:graphicData>
            </a:graphic>
          </wp:inline>
        </w:drawing>
      </w:r>
    </w:p>
    <w:p w14:paraId="432A51EA" w14:textId="6569318D" w:rsidR="001E5C94" w:rsidRPr="004641A0" w:rsidRDefault="004C6316" w:rsidP="004C6316">
      <w:pPr>
        <w:pStyle w:val="Heading2"/>
        <w:spacing w:before="0" w:after="0" w:line="240" w:lineRule="auto"/>
        <w:ind w:left="0" w:firstLine="284"/>
        <w:jc w:val="center"/>
        <w:rPr>
          <w:rFonts w:ascii="Palatino Linotype" w:eastAsia="SimSun" w:hAnsi="Palatino Linotype" w:cs="Times New Roman"/>
          <w:b w:val="0"/>
          <w:bCs w:val="0"/>
          <w:color w:val="auto"/>
          <w:spacing w:val="-1"/>
          <w:sz w:val="18"/>
          <w:szCs w:val="18"/>
          <w:lang w:val="en-US" w:eastAsia="x-none"/>
        </w:rPr>
      </w:pPr>
      <w:r w:rsidRPr="004641A0">
        <w:rPr>
          <w:rFonts w:ascii="Palatino Linotype" w:hAnsi="Palatino Linotype"/>
          <w:b w:val="0"/>
          <w:bCs w:val="0"/>
          <w:color w:val="auto"/>
          <w:sz w:val="18"/>
          <w:szCs w:val="18"/>
        </w:rPr>
        <w:t xml:space="preserve">Figure </w:t>
      </w:r>
      <w:r w:rsidRPr="004641A0">
        <w:rPr>
          <w:rFonts w:ascii="Palatino Linotype" w:hAnsi="Palatino Linotype"/>
          <w:b w:val="0"/>
          <w:bCs w:val="0"/>
          <w:color w:val="auto"/>
          <w:sz w:val="18"/>
          <w:szCs w:val="18"/>
        </w:rPr>
        <w:fldChar w:fldCharType="begin"/>
      </w:r>
      <w:r w:rsidRPr="004641A0">
        <w:rPr>
          <w:rFonts w:ascii="Palatino Linotype" w:hAnsi="Palatino Linotype"/>
          <w:b w:val="0"/>
          <w:bCs w:val="0"/>
          <w:color w:val="auto"/>
          <w:sz w:val="18"/>
          <w:szCs w:val="18"/>
        </w:rPr>
        <w:instrText xml:space="preserve"> SEQ Figure \* ARABIC </w:instrText>
      </w:r>
      <w:r w:rsidRPr="004641A0">
        <w:rPr>
          <w:rFonts w:ascii="Palatino Linotype" w:hAnsi="Palatino Linotype"/>
          <w:b w:val="0"/>
          <w:bCs w:val="0"/>
          <w:color w:val="auto"/>
          <w:sz w:val="18"/>
          <w:szCs w:val="18"/>
        </w:rPr>
        <w:fldChar w:fldCharType="separate"/>
      </w:r>
      <w:r w:rsidRPr="004641A0">
        <w:rPr>
          <w:rFonts w:ascii="Palatino Linotype" w:hAnsi="Palatino Linotype"/>
          <w:b w:val="0"/>
          <w:bCs w:val="0"/>
          <w:noProof/>
          <w:color w:val="auto"/>
          <w:sz w:val="18"/>
          <w:szCs w:val="18"/>
        </w:rPr>
        <w:t>3</w:t>
      </w:r>
      <w:r w:rsidRPr="004641A0">
        <w:rPr>
          <w:rFonts w:ascii="Palatino Linotype" w:hAnsi="Palatino Linotype"/>
          <w:b w:val="0"/>
          <w:bCs w:val="0"/>
          <w:color w:val="auto"/>
          <w:sz w:val="18"/>
          <w:szCs w:val="18"/>
        </w:rPr>
        <w:fldChar w:fldCharType="end"/>
      </w:r>
      <w:r w:rsidRPr="004641A0">
        <w:rPr>
          <w:rFonts w:ascii="Palatino Linotype" w:hAnsi="Palatino Linotype"/>
          <w:b w:val="0"/>
          <w:bCs w:val="0"/>
          <w:color w:val="auto"/>
          <w:sz w:val="18"/>
          <w:szCs w:val="18"/>
        </w:rPr>
        <w:t>. Example of a Deployed Wireless Sensor Network [39].</w:t>
      </w:r>
    </w:p>
    <w:p w14:paraId="3DBE80EA" w14:textId="77777777" w:rsidR="002B57F3" w:rsidRDefault="002B57F3" w:rsidP="001E5C94">
      <w:pPr>
        <w:pStyle w:val="Heading1"/>
        <w:tabs>
          <w:tab w:val="left" w:pos="216"/>
          <w:tab w:val="num" w:pos="576"/>
        </w:tabs>
        <w:spacing w:before="160" w:after="80" w:line="240" w:lineRule="auto"/>
        <w:ind w:left="0" w:firstLine="0"/>
      </w:pPr>
    </w:p>
    <w:p w14:paraId="547A6796" w14:textId="6F35A64F" w:rsidR="001E5C94" w:rsidRPr="001E5C94" w:rsidRDefault="004641A0" w:rsidP="00F03136">
      <w:pPr>
        <w:keepNext/>
        <w:keepLines/>
        <w:numPr>
          <w:ilvl w:val="1"/>
          <w:numId w:val="0"/>
        </w:numPr>
        <w:tabs>
          <w:tab w:val="num" w:pos="288"/>
        </w:tabs>
        <w:spacing w:after="0" w:line="240" w:lineRule="auto"/>
        <w:ind w:left="288" w:hanging="288"/>
        <w:jc w:val="left"/>
        <w:outlineLvl w:val="1"/>
        <w:rPr>
          <w:rFonts w:ascii="Palatino Linotype" w:eastAsia="SimSun" w:hAnsi="Palatino Linotype" w:cs="Times New Roman"/>
          <w:b/>
          <w:bCs/>
          <w:i/>
          <w:iCs/>
          <w:noProof/>
          <w:color w:val="0070C0"/>
          <w:sz w:val="22"/>
          <w:szCs w:val="22"/>
          <w:lang w:val="en-US" w:eastAsia="en-US"/>
        </w:rPr>
      </w:pPr>
      <w:r>
        <w:rPr>
          <w:rFonts w:ascii="Palatino Linotype" w:eastAsia="SimSun" w:hAnsi="Palatino Linotype" w:cs="Times New Roman"/>
          <w:b/>
          <w:bCs/>
          <w:i/>
          <w:iCs/>
          <w:noProof/>
          <w:color w:val="0070C0"/>
          <w:sz w:val="22"/>
          <w:szCs w:val="22"/>
          <w:lang w:val="en-US" w:eastAsia="en-US"/>
        </w:rPr>
        <w:t>Environmental Monitoring</w:t>
      </w:r>
    </w:p>
    <w:p w14:paraId="08CFEC8A" w14:textId="5EDF69F9" w:rsidR="00E642D1" w:rsidRPr="00E642D1" w:rsidRDefault="00E642D1" w:rsidP="00E642D1">
      <w:pPr>
        <w:spacing w:after="120"/>
        <w:ind w:firstLine="288"/>
        <w:rPr>
          <w:rFonts w:ascii="Palatino Linotype" w:hAnsi="Palatino Linotype"/>
          <w:sz w:val="20"/>
          <w:szCs w:val="20"/>
        </w:rPr>
      </w:pPr>
      <w:r w:rsidRPr="00E642D1">
        <w:rPr>
          <w:rFonts w:ascii="Palatino Linotype" w:hAnsi="Palatino Linotype"/>
          <w:sz w:val="20"/>
          <w:szCs w:val="20"/>
        </w:rPr>
        <w:t xml:space="preserve">While environmental monitoring isn’t necessarily a new trend, due to the similar systems being used by companies that deal with hazardous materials such as power plants and transportation of petroleum </w:t>
      </w:r>
      <w:sdt>
        <w:sdtPr>
          <w:rPr>
            <w:rFonts w:ascii="Palatino Linotype" w:hAnsi="Palatino Linotype"/>
            <w:sz w:val="20"/>
            <w:szCs w:val="20"/>
          </w:rPr>
          <w:id w:val="985657541"/>
          <w:citation/>
        </w:sdtPr>
        <w:sdtContent>
          <w:r w:rsidRPr="00E642D1">
            <w:rPr>
              <w:rFonts w:ascii="Palatino Linotype" w:hAnsi="Palatino Linotype"/>
              <w:sz w:val="20"/>
              <w:szCs w:val="20"/>
            </w:rPr>
            <w:fldChar w:fldCharType="begin"/>
          </w:r>
          <w:r w:rsidRPr="00E642D1">
            <w:rPr>
              <w:rFonts w:ascii="Palatino Linotype" w:hAnsi="Palatino Linotype"/>
              <w:sz w:val="20"/>
              <w:szCs w:val="20"/>
            </w:rPr>
            <w:instrText xml:space="preserve"> CITATION AHR \l 2057 </w:instrText>
          </w:r>
          <w:r w:rsidRPr="00E642D1">
            <w:rPr>
              <w:rFonts w:ascii="Palatino Linotype" w:hAnsi="Palatino Linotype"/>
              <w:sz w:val="20"/>
              <w:szCs w:val="20"/>
            </w:rPr>
            <w:fldChar w:fldCharType="separate"/>
          </w:r>
          <w:r w:rsidRPr="00E642D1">
            <w:rPr>
              <w:rFonts w:ascii="Palatino Linotype" w:hAnsi="Palatino Linotype"/>
              <w:noProof/>
              <w:sz w:val="20"/>
              <w:szCs w:val="20"/>
            </w:rPr>
            <w:t>[14]</w:t>
          </w:r>
          <w:r w:rsidRPr="00E642D1">
            <w:rPr>
              <w:rFonts w:ascii="Palatino Linotype" w:hAnsi="Palatino Linotype"/>
              <w:sz w:val="20"/>
              <w:szCs w:val="20"/>
            </w:rPr>
            <w:fldChar w:fldCharType="end"/>
          </w:r>
        </w:sdtContent>
      </w:sdt>
      <w:r w:rsidRPr="00E642D1">
        <w:rPr>
          <w:rFonts w:ascii="Palatino Linotype" w:hAnsi="Palatino Linotype"/>
          <w:sz w:val="20"/>
          <w:szCs w:val="20"/>
        </w:rPr>
        <w:t xml:space="preserve">. Through advancements in technology environmental monitoring is a vital tool used by businesses to ensure compliance with environmental regulations, evaluating clean-up operations and for ensuring safety. </w:t>
      </w:r>
      <w:r>
        <w:rPr>
          <w:rFonts w:ascii="Palatino Linotype" w:hAnsi="Palatino Linotype"/>
          <w:sz w:val="20"/>
          <w:szCs w:val="20"/>
        </w:rPr>
        <w:t>E</w:t>
      </w:r>
      <w:r w:rsidRPr="00E642D1">
        <w:rPr>
          <w:rFonts w:ascii="Palatino Linotype" w:hAnsi="Palatino Linotype"/>
          <w:sz w:val="20"/>
          <w:szCs w:val="20"/>
        </w:rPr>
        <w:t xml:space="preserve">nvironmental monitoring is also used for investigations into the state of an environment including both its natural changes as well as the impact of human activity </w:t>
      </w:r>
      <w:sdt>
        <w:sdtPr>
          <w:rPr>
            <w:rFonts w:ascii="Palatino Linotype" w:hAnsi="Palatino Linotype"/>
            <w:sz w:val="20"/>
            <w:szCs w:val="20"/>
          </w:rPr>
          <w:id w:val="961842915"/>
          <w:citation/>
        </w:sdtPr>
        <w:sdtContent>
          <w:r w:rsidRPr="00E642D1">
            <w:rPr>
              <w:rFonts w:ascii="Palatino Linotype" w:hAnsi="Palatino Linotype"/>
              <w:sz w:val="20"/>
              <w:szCs w:val="20"/>
            </w:rPr>
            <w:fldChar w:fldCharType="begin"/>
          </w:r>
          <w:r w:rsidRPr="00E642D1">
            <w:rPr>
              <w:rFonts w:ascii="Palatino Linotype" w:hAnsi="Palatino Linotype"/>
              <w:sz w:val="20"/>
              <w:szCs w:val="20"/>
            </w:rPr>
            <w:instrText xml:space="preserve"> CITATION Env191 \l 2057 </w:instrText>
          </w:r>
          <w:r w:rsidRPr="00E642D1">
            <w:rPr>
              <w:rFonts w:ascii="Palatino Linotype" w:hAnsi="Palatino Linotype"/>
              <w:sz w:val="20"/>
              <w:szCs w:val="20"/>
            </w:rPr>
            <w:fldChar w:fldCharType="separate"/>
          </w:r>
          <w:r w:rsidRPr="00E642D1">
            <w:rPr>
              <w:rFonts w:ascii="Palatino Linotype" w:hAnsi="Palatino Linotype"/>
              <w:noProof/>
              <w:sz w:val="20"/>
              <w:szCs w:val="20"/>
            </w:rPr>
            <w:t>[15]</w:t>
          </w:r>
          <w:r w:rsidRPr="00E642D1">
            <w:rPr>
              <w:rFonts w:ascii="Palatino Linotype" w:hAnsi="Palatino Linotype"/>
              <w:sz w:val="20"/>
              <w:szCs w:val="20"/>
            </w:rPr>
            <w:fldChar w:fldCharType="end"/>
          </w:r>
        </w:sdtContent>
      </w:sdt>
      <w:r w:rsidRPr="00E642D1">
        <w:rPr>
          <w:rFonts w:ascii="Palatino Linotype" w:hAnsi="Palatino Linotype"/>
          <w:sz w:val="20"/>
          <w:szCs w:val="20"/>
        </w:rPr>
        <w:t xml:space="preserve">. </w:t>
      </w:r>
    </w:p>
    <w:p w14:paraId="2BB229AC" w14:textId="77777777" w:rsidR="00E642D1" w:rsidRPr="009353AF" w:rsidRDefault="00E642D1" w:rsidP="00E642D1">
      <w:pPr>
        <w:spacing w:after="120"/>
        <w:ind w:firstLine="288"/>
      </w:pPr>
      <w:r w:rsidRPr="00E642D1">
        <w:rPr>
          <w:rFonts w:ascii="Palatino Linotype" w:hAnsi="Palatino Linotype"/>
          <w:sz w:val="20"/>
          <w:szCs w:val="20"/>
        </w:rPr>
        <w:t xml:space="preserve">Current systems used within European and Central Asian lack an international methodology across different monitoring metropolitans, even their forms of classification and documentation are often incompatible due to each nation using their own standards </w:t>
      </w:r>
      <w:sdt>
        <w:sdtPr>
          <w:rPr>
            <w:rFonts w:ascii="Palatino Linotype" w:hAnsi="Palatino Linotype"/>
            <w:sz w:val="20"/>
            <w:szCs w:val="20"/>
          </w:rPr>
          <w:id w:val="697282640"/>
          <w:citation/>
        </w:sdtPr>
        <w:sdtContent>
          <w:r w:rsidRPr="00E642D1">
            <w:rPr>
              <w:rFonts w:ascii="Palatino Linotype" w:hAnsi="Palatino Linotype"/>
              <w:sz w:val="20"/>
              <w:szCs w:val="20"/>
            </w:rPr>
            <w:fldChar w:fldCharType="begin"/>
          </w:r>
          <w:r w:rsidRPr="00E642D1">
            <w:rPr>
              <w:rFonts w:ascii="Palatino Linotype" w:hAnsi="Palatino Linotype"/>
              <w:sz w:val="20"/>
              <w:szCs w:val="20"/>
            </w:rPr>
            <w:instrText xml:space="preserve">CITATION Env19 \l 2057 </w:instrText>
          </w:r>
          <w:r w:rsidRPr="00E642D1">
            <w:rPr>
              <w:rFonts w:ascii="Palatino Linotype" w:hAnsi="Palatino Linotype"/>
              <w:sz w:val="20"/>
              <w:szCs w:val="20"/>
            </w:rPr>
            <w:fldChar w:fldCharType="separate"/>
          </w:r>
          <w:r w:rsidRPr="00E642D1">
            <w:rPr>
              <w:rFonts w:ascii="Palatino Linotype" w:hAnsi="Palatino Linotype"/>
              <w:noProof/>
              <w:sz w:val="20"/>
              <w:szCs w:val="20"/>
            </w:rPr>
            <w:t>[16]</w:t>
          </w:r>
          <w:r w:rsidRPr="00E642D1">
            <w:rPr>
              <w:rFonts w:ascii="Palatino Linotype" w:hAnsi="Palatino Linotype"/>
              <w:sz w:val="20"/>
              <w:szCs w:val="20"/>
            </w:rPr>
            <w:fldChar w:fldCharType="end"/>
          </w:r>
        </w:sdtContent>
      </w:sdt>
      <w:r w:rsidRPr="00E642D1">
        <w:rPr>
          <w:rFonts w:ascii="Palatino Linotype" w:hAnsi="Palatino Linotype"/>
          <w:sz w:val="20"/>
          <w:szCs w:val="20"/>
        </w:rPr>
        <w:t>. In 2003 at the Fifth Environment for Europe Conference, UNECE Ministers endorsed recommendations for establishing environmental monitoring systems in European and Central Asian countries prepared by the UNECE Working Group. These documents provide a road map for strengthening, monitoring, and reporting in the European and Central Asian subregion</w:t>
      </w:r>
      <w:sdt>
        <w:sdtPr>
          <w:rPr>
            <w:rFonts w:ascii="Palatino Linotype" w:hAnsi="Palatino Linotype"/>
            <w:sz w:val="20"/>
            <w:szCs w:val="20"/>
          </w:rPr>
          <w:id w:val="225491717"/>
          <w:citation/>
        </w:sdtPr>
        <w:sdtContent>
          <w:r w:rsidRPr="00E642D1">
            <w:rPr>
              <w:rFonts w:ascii="Palatino Linotype" w:hAnsi="Palatino Linotype"/>
              <w:sz w:val="20"/>
              <w:szCs w:val="20"/>
            </w:rPr>
            <w:fldChar w:fldCharType="begin"/>
          </w:r>
          <w:r w:rsidRPr="00E642D1">
            <w:rPr>
              <w:rFonts w:ascii="Palatino Linotype" w:hAnsi="Palatino Linotype"/>
              <w:sz w:val="20"/>
              <w:szCs w:val="20"/>
            </w:rPr>
            <w:instrText xml:space="preserve">CITATION Env19 \l 2057 </w:instrText>
          </w:r>
          <w:r w:rsidRPr="00E642D1">
            <w:rPr>
              <w:rFonts w:ascii="Palatino Linotype" w:hAnsi="Palatino Linotype"/>
              <w:sz w:val="20"/>
              <w:szCs w:val="20"/>
            </w:rPr>
            <w:fldChar w:fldCharType="separate"/>
          </w:r>
          <w:r w:rsidRPr="00E642D1">
            <w:rPr>
              <w:rFonts w:ascii="Palatino Linotype" w:hAnsi="Palatino Linotype"/>
              <w:noProof/>
              <w:sz w:val="20"/>
              <w:szCs w:val="20"/>
            </w:rPr>
            <w:t xml:space="preserve"> [16]</w:t>
          </w:r>
          <w:r w:rsidRPr="00E642D1">
            <w:rPr>
              <w:rFonts w:ascii="Palatino Linotype" w:hAnsi="Palatino Linotype"/>
              <w:sz w:val="20"/>
              <w:szCs w:val="20"/>
            </w:rPr>
            <w:fldChar w:fldCharType="end"/>
          </w:r>
        </w:sdtContent>
      </w:sdt>
      <w:r>
        <w:t>.</w:t>
      </w:r>
    </w:p>
    <w:p w14:paraId="46B3539D" w14:textId="29F6E394" w:rsidR="001E5C94" w:rsidRPr="004641A0" w:rsidRDefault="004641A0" w:rsidP="00F03136">
      <w:pPr>
        <w:keepNext/>
        <w:keepLines/>
        <w:numPr>
          <w:ilvl w:val="1"/>
          <w:numId w:val="0"/>
        </w:numPr>
        <w:tabs>
          <w:tab w:val="num" w:pos="288"/>
        </w:tabs>
        <w:spacing w:after="0" w:line="240" w:lineRule="auto"/>
        <w:ind w:left="288" w:hanging="288"/>
        <w:jc w:val="left"/>
        <w:outlineLvl w:val="1"/>
        <w:rPr>
          <w:rFonts w:ascii="Palatino Linotype" w:eastAsia="SimSun" w:hAnsi="Palatino Linotype" w:cs="Times New Roman"/>
          <w:b/>
          <w:bCs/>
          <w:i/>
          <w:iCs/>
          <w:noProof/>
          <w:color w:val="0070C0"/>
          <w:sz w:val="20"/>
          <w:szCs w:val="20"/>
          <w:lang w:val="en-US" w:eastAsia="en-US"/>
        </w:rPr>
      </w:pPr>
      <w:r w:rsidRPr="004641A0">
        <w:rPr>
          <w:rFonts w:ascii="Palatino Linotype" w:eastAsia="SimSun" w:hAnsi="Palatino Linotype" w:cs="Times New Roman"/>
          <w:b/>
          <w:bCs/>
          <w:i/>
          <w:iCs/>
          <w:noProof/>
          <w:color w:val="0070C0"/>
          <w:sz w:val="20"/>
          <w:szCs w:val="20"/>
          <w:lang w:val="en-US" w:eastAsia="en-US"/>
        </w:rPr>
        <w:t>Environmental Monitoring of Heritage Buildings</w:t>
      </w:r>
    </w:p>
    <w:p w14:paraId="13EE0FAB" w14:textId="77777777" w:rsidR="00E642D1" w:rsidRPr="00E642D1" w:rsidRDefault="00E642D1" w:rsidP="00E642D1">
      <w:pPr>
        <w:spacing w:after="120"/>
        <w:ind w:left="288" w:firstLine="432"/>
        <w:rPr>
          <w:rFonts w:ascii="Palatino Linotype" w:hAnsi="Palatino Linotype" w:cstheme="minorHAnsi"/>
          <w:sz w:val="20"/>
          <w:szCs w:val="20"/>
        </w:rPr>
      </w:pPr>
      <w:r w:rsidRPr="00E642D1">
        <w:rPr>
          <w:rFonts w:ascii="Palatino Linotype" w:hAnsi="Palatino Linotype" w:cstheme="minorHAnsi"/>
          <w:sz w:val="20"/>
          <w:szCs w:val="20"/>
        </w:rPr>
        <w:t xml:space="preserve">This study aimed to develop a discreet environmental monitoring system for heritage buildings and the artifacts they contain </w:t>
      </w:r>
      <w:sdt>
        <w:sdtPr>
          <w:rPr>
            <w:rFonts w:ascii="Palatino Linotype" w:hAnsi="Palatino Linotype" w:cstheme="minorHAnsi"/>
            <w:sz w:val="20"/>
            <w:szCs w:val="20"/>
          </w:rPr>
          <w:id w:val="1516960986"/>
          <w:citation/>
        </w:sdtPr>
        <w:sdtContent>
          <w:r w:rsidRPr="00E642D1">
            <w:rPr>
              <w:rFonts w:ascii="Palatino Linotype" w:hAnsi="Palatino Linotype" w:cstheme="minorHAnsi"/>
              <w:sz w:val="20"/>
              <w:szCs w:val="20"/>
            </w:rPr>
            <w:fldChar w:fldCharType="begin"/>
          </w:r>
          <w:r w:rsidRPr="00E642D1">
            <w:rPr>
              <w:rFonts w:ascii="Palatino Linotype" w:hAnsi="Palatino Linotype" w:cstheme="minorHAnsi"/>
              <w:sz w:val="20"/>
              <w:szCs w:val="20"/>
            </w:rPr>
            <w:instrText xml:space="preserve">CITATION Ale09 \l 2057 </w:instrText>
          </w:r>
          <w:r w:rsidRPr="00E642D1">
            <w:rPr>
              <w:rFonts w:ascii="Palatino Linotype" w:hAnsi="Palatino Linotype" w:cstheme="minorHAnsi"/>
              <w:sz w:val="20"/>
              <w:szCs w:val="20"/>
            </w:rPr>
            <w:fldChar w:fldCharType="separate"/>
          </w:r>
          <w:r w:rsidRPr="00E642D1">
            <w:rPr>
              <w:rFonts w:ascii="Palatino Linotype" w:hAnsi="Palatino Linotype" w:cstheme="minorHAnsi"/>
              <w:noProof/>
              <w:sz w:val="20"/>
              <w:szCs w:val="20"/>
            </w:rPr>
            <w:t>[17]</w:t>
          </w:r>
          <w:r w:rsidRPr="00E642D1">
            <w:rPr>
              <w:rFonts w:ascii="Palatino Linotype" w:hAnsi="Palatino Linotype" w:cstheme="minorHAnsi"/>
              <w:sz w:val="20"/>
              <w:szCs w:val="20"/>
            </w:rPr>
            <w:fldChar w:fldCharType="end"/>
          </w:r>
        </w:sdtContent>
      </w:sdt>
      <w:r w:rsidRPr="00E642D1">
        <w:rPr>
          <w:rFonts w:ascii="Palatino Linotype" w:hAnsi="Palatino Linotype" w:cstheme="minorHAnsi"/>
          <w:sz w:val="20"/>
          <w:szCs w:val="20"/>
        </w:rPr>
        <w:t xml:space="preserve">. The introduction outlined the challenges associated with installing conventional monitoring technologies in such structures, where the absence of modern infrastructure necessitates solutions that are unobtrusive and sensitive to conservation requirements. The research was conducted </w:t>
      </w:r>
      <w:r w:rsidRPr="00E642D1">
        <w:rPr>
          <w:rFonts w:ascii="Palatino Linotype" w:hAnsi="Palatino Linotype" w:cstheme="minorHAnsi"/>
          <w:sz w:val="20"/>
          <w:szCs w:val="20"/>
        </w:rPr>
        <w:lastRenderedPageBreak/>
        <w:t>in a Roman</w:t>
      </w:r>
      <w:r w:rsidRPr="00E642D1">
        <w:rPr>
          <w:rFonts w:ascii="Palatino Linotype" w:hAnsi="Palatino Linotype" w:cs="Cambria Math"/>
          <w:sz w:val="20"/>
          <w:szCs w:val="20"/>
        </w:rPr>
        <w:t>‑</w:t>
      </w:r>
      <w:r w:rsidRPr="00E642D1">
        <w:rPr>
          <w:rFonts w:ascii="Palatino Linotype" w:hAnsi="Palatino Linotype" w:cstheme="minorHAnsi"/>
          <w:sz w:val="20"/>
          <w:szCs w:val="20"/>
        </w:rPr>
        <w:t>style Italian villa, where maintaining visual discretion was a key design consideration.</w:t>
      </w:r>
    </w:p>
    <w:p w14:paraId="2EDBC7B9" w14:textId="77777777" w:rsidR="00E642D1" w:rsidRPr="00E642D1" w:rsidRDefault="00E642D1" w:rsidP="00E642D1">
      <w:pPr>
        <w:spacing w:after="120"/>
        <w:ind w:left="288" w:firstLine="432"/>
        <w:rPr>
          <w:rFonts w:ascii="Palatino Linotype" w:hAnsi="Palatino Linotype" w:cstheme="minorHAnsi"/>
          <w:sz w:val="20"/>
          <w:szCs w:val="20"/>
        </w:rPr>
      </w:pPr>
      <w:r w:rsidRPr="00E642D1">
        <w:rPr>
          <w:rFonts w:ascii="Palatino Linotype" w:hAnsi="Palatino Linotype" w:cstheme="minorHAnsi"/>
          <w:sz w:val="20"/>
          <w:szCs w:val="20"/>
        </w:rPr>
        <w:t xml:space="preserve">The paper also detailed the building’s presence of mercury within mirrored surfaces. Over time, mercury can evaporate and form toxic </w:t>
      </w:r>
      <w:proofErr w:type="spellStart"/>
      <w:r w:rsidRPr="00E642D1">
        <w:rPr>
          <w:rFonts w:ascii="Palatino Linotype" w:hAnsi="Palatino Linotype" w:cstheme="minorHAnsi"/>
          <w:sz w:val="20"/>
          <w:szCs w:val="20"/>
        </w:rPr>
        <w:t>vapors</w:t>
      </w:r>
      <w:proofErr w:type="spellEnd"/>
      <w:r w:rsidRPr="00E642D1">
        <w:rPr>
          <w:rFonts w:ascii="Palatino Linotype" w:hAnsi="Palatino Linotype" w:cstheme="minorHAnsi"/>
          <w:sz w:val="20"/>
          <w:szCs w:val="20"/>
        </w:rPr>
        <w:t>. To address these concerns, two types of sensors were deployed. Compact temperature and humidity sensors designed to remain visually unobtrusive, and specialised mercury sensors to detect hazardous vapor levels.</w:t>
      </w:r>
    </w:p>
    <w:p w14:paraId="69B62B5A" w14:textId="2DFFE0B8" w:rsidR="004641A0" w:rsidRPr="0026166B" w:rsidRDefault="0026166B" w:rsidP="004641A0">
      <w:pPr>
        <w:pStyle w:val="BodyText"/>
        <w:spacing w:after="0" w:line="240" w:lineRule="auto"/>
        <w:ind w:firstLine="0"/>
        <w:rPr>
          <w:rFonts w:ascii="Palatino Linotype" w:hAnsi="Palatino Linotype"/>
          <w:lang w:val="en-GB"/>
        </w:rPr>
      </w:pPr>
      <w:r>
        <w:rPr>
          <w:rFonts w:ascii="Palatino Linotype" w:hAnsi="Palatino Linotype"/>
          <w:highlight w:val="yellow"/>
        </w:rPr>
        <w:tab/>
      </w:r>
      <w:r w:rsidR="004641A0" w:rsidRPr="0026166B">
        <w:rPr>
          <w:rFonts w:ascii="Palatino Linotype" w:hAnsi="Palatino Linotype"/>
          <w:highlight w:val="yellow"/>
        </w:rPr>
        <w:t>The reviewed literature demonstrates the value of IoT and WSN technologies for distributed environmental sensing, including open-source monitoring systems and discreet monitoring within heritage buildings. However, the reviewed systems are primarily concerned with generic environmental, meteorological or heritage-preservation applications rather than the relationship between environmental conditions and exposed structural timber. The original project also identified practical WSN design tensions involving scalability, fault tolerance, communication range, power consumption, hardware functionality and security. Within this context, the present work addresses an application gap: the integration of readily available open-source hardware, IEEE 802.11 networking and environmental sensing into a timber-specific monitoring architecture that can be evaluated for connectivity, throughput, autonomous data acquisition and EMC estimation.</w:t>
      </w:r>
    </w:p>
    <w:p w14:paraId="103EE026" w14:textId="77777777" w:rsidR="0026166B" w:rsidRDefault="0026166B" w:rsidP="004641A0">
      <w:pPr>
        <w:pStyle w:val="BodyText"/>
        <w:spacing w:after="0" w:line="240" w:lineRule="auto"/>
        <w:ind w:firstLine="0"/>
        <w:rPr>
          <w:rFonts w:ascii="Palatino Linotype" w:hAnsi="Palatino Linotype"/>
          <w:highlight w:val="yellow"/>
        </w:rPr>
      </w:pPr>
    </w:p>
    <w:p w14:paraId="7A67F6F8" w14:textId="4C5CCE7B" w:rsidR="0026166B" w:rsidRDefault="0026166B" w:rsidP="004641A0">
      <w:pPr>
        <w:pStyle w:val="BodyText"/>
        <w:spacing w:after="0" w:line="240" w:lineRule="auto"/>
        <w:ind w:firstLine="0"/>
        <w:rPr>
          <w:rFonts w:ascii="Palatino Linotype" w:hAnsi="Palatino Linotype"/>
          <w:highlight w:val="yellow"/>
        </w:rPr>
      </w:pPr>
      <w:r>
        <w:rPr>
          <w:rFonts w:ascii="Palatino Linotype" w:hAnsi="Palatino Linotype"/>
          <w:highlight w:val="yellow"/>
        </w:rPr>
        <w:tab/>
      </w:r>
      <w:r w:rsidR="004641A0" w:rsidRPr="0026166B">
        <w:rPr>
          <w:rFonts w:ascii="Palatino Linotype" w:hAnsi="Palatino Linotype"/>
          <w:highlight w:val="yellow"/>
        </w:rPr>
        <w:t xml:space="preserve">Three gaps motivate the study: </w:t>
      </w:r>
    </w:p>
    <w:p w14:paraId="42E78318" w14:textId="2324E337" w:rsidR="0026166B" w:rsidRDefault="0026166B" w:rsidP="0026166B">
      <w:pPr>
        <w:pStyle w:val="BodyText"/>
        <w:numPr>
          <w:ilvl w:val="0"/>
          <w:numId w:val="18"/>
        </w:numPr>
        <w:spacing w:after="0" w:line="240" w:lineRule="auto"/>
        <w:rPr>
          <w:rFonts w:ascii="Palatino Linotype" w:hAnsi="Palatino Linotype"/>
          <w:highlight w:val="yellow"/>
        </w:rPr>
      </w:pPr>
      <w:r>
        <w:rPr>
          <w:rFonts w:ascii="Palatino Linotype" w:hAnsi="Palatino Linotype"/>
          <w:highlight w:val="yellow"/>
        </w:rPr>
        <w:t>A</w:t>
      </w:r>
      <w:r w:rsidR="004641A0" w:rsidRPr="0026166B">
        <w:rPr>
          <w:rFonts w:ascii="Palatino Linotype" w:hAnsi="Palatino Linotype"/>
          <w:highlight w:val="yellow"/>
        </w:rPr>
        <w:t>pplication specificity - limited treatment in the reviewed work of monitoring architectures designed around exposed structural timber</w:t>
      </w:r>
      <w:r>
        <w:rPr>
          <w:rFonts w:ascii="Palatino Linotype" w:hAnsi="Palatino Linotype"/>
          <w:highlight w:val="yellow"/>
        </w:rPr>
        <w:t>.</w:t>
      </w:r>
      <w:r w:rsidR="004641A0" w:rsidRPr="0026166B">
        <w:rPr>
          <w:rFonts w:ascii="Palatino Linotype" w:hAnsi="Palatino Linotype"/>
          <w:highlight w:val="yellow"/>
        </w:rPr>
        <w:t xml:space="preserve"> </w:t>
      </w:r>
    </w:p>
    <w:p w14:paraId="2D3F8892" w14:textId="42527575" w:rsidR="0026166B" w:rsidRDefault="0026166B" w:rsidP="0026166B">
      <w:pPr>
        <w:pStyle w:val="BodyText"/>
        <w:numPr>
          <w:ilvl w:val="0"/>
          <w:numId w:val="18"/>
        </w:numPr>
        <w:spacing w:after="0" w:line="240" w:lineRule="auto"/>
        <w:rPr>
          <w:rFonts w:ascii="Palatino Linotype" w:hAnsi="Palatino Linotype"/>
          <w:highlight w:val="yellow"/>
        </w:rPr>
      </w:pPr>
      <w:r>
        <w:rPr>
          <w:rFonts w:ascii="Palatino Linotype" w:hAnsi="Palatino Linotype"/>
          <w:highlight w:val="yellow"/>
        </w:rPr>
        <w:t>O</w:t>
      </w:r>
      <w:r w:rsidR="004641A0" w:rsidRPr="0026166B">
        <w:rPr>
          <w:rFonts w:ascii="Palatino Linotype" w:hAnsi="Palatino Linotype"/>
          <w:highlight w:val="yellow"/>
        </w:rPr>
        <w:t xml:space="preserve">pen and adaptable implementation </w:t>
      </w:r>
      <w:r w:rsidR="00C31CC7">
        <w:rPr>
          <w:rFonts w:ascii="Palatino Linotype" w:hAnsi="Palatino Linotype"/>
          <w:highlight w:val="yellow"/>
        </w:rPr>
        <w:t>–</w:t>
      </w:r>
      <w:r w:rsidR="004641A0" w:rsidRPr="0026166B">
        <w:rPr>
          <w:rFonts w:ascii="Palatino Linotype" w:hAnsi="Palatino Linotype"/>
          <w:highlight w:val="yellow"/>
        </w:rPr>
        <w:t xml:space="preserve"> </w:t>
      </w:r>
      <w:r w:rsidR="00C31CC7">
        <w:rPr>
          <w:rFonts w:ascii="Palatino Linotype" w:hAnsi="Palatino Linotype"/>
          <w:highlight w:val="yellow"/>
        </w:rPr>
        <w:t xml:space="preserve">a </w:t>
      </w:r>
      <w:r w:rsidR="004641A0" w:rsidRPr="0026166B">
        <w:rPr>
          <w:rFonts w:ascii="Palatino Linotype" w:hAnsi="Palatino Linotype"/>
          <w:highlight w:val="yellow"/>
        </w:rPr>
        <w:t>reproducible platform based on readily available hardware and open-source software</w:t>
      </w:r>
      <w:r>
        <w:rPr>
          <w:rFonts w:ascii="Palatino Linotype" w:hAnsi="Palatino Linotype"/>
          <w:highlight w:val="yellow"/>
        </w:rPr>
        <w:t>.</w:t>
      </w:r>
    </w:p>
    <w:p w14:paraId="0CA9FA09" w14:textId="616F4215" w:rsidR="004641A0" w:rsidRPr="0026166B" w:rsidRDefault="0026166B" w:rsidP="0026166B">
      <w:pPr>
        <w:pStyle w:val="BodyText"/>
        <w:numPr>
          <w:ilvl w:val="0"/>
          <w:numId w:val="18"/>
        </w:numPr>
        <w:spacing w:after="0" w:line="240" w:lineRule="auto"/>
        <w:rPr>
          <w:rFonts w:ascii="Palatino Linotype" w:hAnsi="Palatino Linotype"/>
          <w:highlight w:val="yellow"/>
        </w:rPr>
      </w:pPr>
      <w:r>
        <w:rPr>
          <w:rFonts w:ascii="Palatino Linotype" w:hAnsi="Palatino Linotype"/>
          <w:highlight w:val="yellow"/>
        </w:rPr>
        <w:t>P</w:t>
      </w:r>
      <w:r w:rsidR="004641A0" w:rsidRPr="0026166B">
        <w:rPr>
          <w:rFonts w:ascii="Palatino Linotype" w:hAnsi="Palatino Linotype"/>
          <w:highlight w:val="yellow"/>
        </w:rPr>
        <w:t>ractical deployment evidence - to examine communication and sensing behaviour under the spatial and environmental constraints associated with a timber-frame structure. The resulting novelty is therefore contextual and systems-oriented rather than the invention of a new sensor or communications protocol.</w:t>
      </w:r>
    </w:p>
    <w:p w14:paraId="719B5F38" w14:textId="2DBF6945" w:rsidR="00222ADC" w:rsidRDefault="004641A0" w:rsidP="002F0D4A">
      <w:pPr>
        <w:pStyle w:val="BodyText"/>
        <w:spacing w:after="0" w:line="240" w:lineRule="auto"/>
        <w:ind w:firstLine="0"/>
      </w:pPr>
      <w:r>
        <w:rPr>
          <w:rFonts w:ascii="Palatino Linotype" w:eastAsia="Book Antiqua" w:hAnsi="Palatino Linotype" w:cs="Book Antiqua"/>
          <w:b/>
          <w:color w:val="0070C0"/>
          <w:spacing w:val="0"/>
          <w:sz w:val="24"/>
          <w:szCs w:val="24"/>
          <w:lang w:val="en-GB" w:eastAsia="en-GB"/>
        </w:rPr>
        <w:t>DESIGN &amp; IMPLEMENTATION</w:t>
      </w:r>
      <w:r w:rsidR="00590A68">
        <w:tab/>
      </w:r>
    </w:p>
    <w:p w14:paraId="05B31713" w14:textId="77777777" w:rsidR="00E642D1" w:rsidRPr="00E642D1" w:rsidRDefault="00E642D1" w:rsidP="00E642D1">
      <w:pPr>
        <w:ind w:firstLine="288"/>
        <w:rPr>
          <w:rFonts w:ascii="Palatino Linotype" w:hAnsi="Palatino Linotype"/>
          <w:sz w:val="20"/>
          <w:szCs w:val="20"/>
        </w:rPr>
      </w:pPr>
      <w:r w:rsidRPr="00E642D1">
        <w:rPr>
          <w:rFonts w:ascii="Palatino Linotype" w:hAnsi="Palatino Linotype"/>
          <w:sz w:val="20"/>
          <w:szCs w:val="20"/>
        </w:rPr>
        <w:t>The design and implementation of the proposed Wireless Sensor Network (WSN) were guided by the specific requirements of monitoring environmental conditions within timber frame structures. The system was developed to ensure accurate data collection, low‑cost deployment, minimal intrusion on the physical building, and reliable communication between distributed nodes. This section outlines the architectural considerations, hardware selection, and prototype development process that informed the final system design.</w:t>
      </w:r>
    </w:p>
    <w:p w14:paraId="12C11704" w14:textId="77777777" w:rsidR="00F03136" w:rsidRPr="000B4192" w:rsidRDefault="00F03136" w:rsidP="00F03136">
      <w:pPr>
        <w:pStyle w:val="BodyText"/>
        <w:spacing w:after="0" w:line="240" w:lineRule="auto"/>
        <w:ind w:firstLine="0"/>
        <w:rPr>
          <w:rFonts w:ascii="Palatino Linotype" w:eastAsia="Book Antiqua" w:hAnsi="Palatino Linotype" w:cs="Book Antiqua"/>
          <w:b/>
          <w:color w:val="0070C0"/>
          <w:spacing w:val="0"/>
          <w:lang w:val="en-GB" w:eastAsia="en-GB"/>
        </w:rPr>
      </w:pPr>
    </w:p>
    <w:p w14:paraId="23C05801" w14:textId="24FCD55D" w:rsidR="004641A0" w:rsidRPr="004641A0" w:rsidRDefault="004641A0" w:rsidP="004641A0">
      <w:pPr>
        <w:tabs>
          <w:tab w:val="left" w:pos="288"/>
        </w:tabs>
        <w:spacing w:after="0" w:line="240" w:lineRule="auto"/>
        <w:ind w:left="0" w:firstLine="0"/>
        <w:rPr>
          <w:rFonts w:ascii="Palatino Linotype" w:eastAsia="SimSun" w:hAnsi="Palatino Linotype" w:cs="Times New Roman"/>
          <w:b/>
          <w:bCs/>
          <w:i/>
          <w:iCs/>
          <w:noProof/>
          <w:color w:val="0070C0"/>
          <w:sz w:val="22"/>
          <w:szCs w:val="22"/>
          <w:lang w:val="en-US" w:eastAsia="en-US"/>
        </w:rPr>
      </w:pPr>
      <w:r w:rsidRPr="004641A0">
        <w:rPr>
          <w:rFonts w:ascii="Palatino Linotype" w:eastAsia="SimSun" w:hAnsi="Palatino Linotype" w:cs="Times New Roman"/>
          <w:b/>
          <w:bCs/>
          <w:i/>
          <w:iCs/>
          <w:noProof/>
          <w:color w:val="0070C0"/>
          <w:sz w:val="22"/>
          <w:szCs w:val="22"/>
          <w:lang w:val="en-US" w:eastAsia="en-US"/>
        </w:rPr>
        <w:t>Design Parameters</w:t>
      </w:r>
    </w:p>
    <w:p w14:paraId="151E8914" w14:textId="77777777" w:rsidR="00E642D1" w:rsidRPr="00E642D1" w:rsidRDefault="00E642D1" w:rsidP="00E642D1">
      <w:pPr>
        <w:pStyle w:val="BodyText"/>
        <w:rPr>
          <w:rFonts w:ascii="Palatino Linotype" w:hAnsi="Palatino Linotype"/>
          <w:lang w:val="en-GB"/>
        </w:rPr>
      </w:pPr>
      <w:r w:rsidRPr="00E642D1">
        <w:rPr>
          <w:rFonts w:ascii="Palatino Linotype" w:hAnsi="Palatino Linotype"/>
          <w:lang w:val="en-GB"/>
        </w:rPr>
        <w:t>The test environment consisted of a single‑storey timber structure constructed entirely from Welsh larch, with internal walls filled using a clay‑like mixture reinforced with wool fibres. The building’s roof comprised compacted soil for natural insulation, and the structural frame remained visibly exposed throughout the interior (Figure 4). These characteristics influenced the sensor layout and placement strategy.</w:t>
      </w:r>
    </w:p>
    <w:p w14:paraId="6FE9D2AE" w14:textId="77777777" w:rsidR="00E642D1" w:rsidRPr="0026166B" w:rsidRDefault="00E642D1" w:rsidP="00E642D1">
      <w:pPr>
        <w:pStyle w:val="BodyText"/>
        <w:rPr>
          <w:rFonts w:ascii="Palatino Linotype" w:hAnsi="Palatino Linotype"/>
          <w:lang w:val="en-GB"/>
        </w:rPr>
      </w:pPr>
      <w:r w:rsidRPr="0026166B">
        <w:rPr>
          <w:rFonts w:ascii="Palatino Linotype" w:hAnsi="Palatino Linotype"/>
          <w:highlight w:val="yellow"/>
        </w:rPr>
        <w:lastRenderedPageBreak/>
        <w:t>The original project requirements specified that each sensor node should operate on a 15-minute acquisition cycle. This interval was selected to provide repeated environmental observations while avoiding unnecessary processing and communication load. The intended rural deployment site also introduced two practical constraints: internet access was provided through a comparatively limited satellite connection, and power distribution to spatially separated nodes could be challenging. These constraints influenced the decision to support local processing and storage rather than depend entirely on a continuously available cloud backend.</w:t>
      </w:r>
    </w:p>
    <w:p w14:paraId="2530ACA4" w14:textId="77777777" w:rsidR="009A2890" w:rsidRPr="009A2890" w:rsidRDefault="009A2890" w:rsidP="009A2890">
      <w:pPr>
        <w:pStyle w:val="BodyText"/>
        <w:spacing w:after="0" w:line="240" w:lineRule="auto"/>
        <w:rPr>
          <w:rFonts w:ascii="Palatino Linotype" w:hAnsi="Palatino Linotype"/>
          <w:lang w:val="en-GB"/>
        </w:rPr>
      </w:pPr>
    </w:p>
    <w:p w14:paraId="7E6D6030" w14:textId="59B7A574" w:rsidR="004641A0" w:rsidRPr="009A2890" w:rsidRDefault="00E642D1" w:rsidP="009A2890">
      <w:pPr>
        <w:pStyle w:val="BodyText"/>
        <w:spacing w:after="0" w:line="240" w:lineRule="auto"/>
        <w:ind w:firstLine="0"/>
        <w:jc w:val="center"/>
        <w:rPr>
          <w:rFonts w:ascii="Palatino Linotype" w:hAnsi="Palatino Linotype"/>
          <w:lang w:val="en-GB"/>
        </w:rPr>
      </w:pPr>
      <w:r>
        <w:rPr>
          <w:noProof/>
        </w:rPr>
        <w:drawing>
          <wp:inline distT="0" distB="0" distL="0" distR="0" wp14:anchorId="10E8A571" wp14:editId="481F8A16">
            <wp:extent cx="2801304" cy="253485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5432" r="27060" b="12845"/>
                    <a:stretch>
                      <a:fillRect/>
                    </a:stretch>
                  </pic:blipFill>
                  <pic:spPr bwMode="auto">
                    <a:xfrm>
                      <a:off x="0" y="0"/>
                      <a:ext cx="2830770" cy="2561519"/>
                    </a:xfrm>
                    <a:prstGeom prst="rect">
                      <a:avLst/>
                    </a:prstGeom>
                    <a:noFill/>
                    <a:ln>
                      <a:noFill/>
                    </a:ln>
                    <a:extLst>
                      <a:ext uri="{53640926-AAD7-44D8-BBD7-CCE9431645EC}">
                        <a14:shadowObscured xmlns:a14="http://schemas.microsoft.com/office/drawing/2010/main"/>
                      </a:ext>
                    </a:extLst>
                  </pic:spPr>
                </pic:pic>
              </a:graphicData>
            </a:graphic>
          </wp:inline>
        </w:drawing>
      </w:r>
    </w:p>
    <w:p w14:paraId="45100E31" w14:textId="08B87C50" w:rsidR="004641A0" w:rsidRPr="009A2890" w:rsidRDefault="004641A0" w:rsidP="009A2890">
      <w:pPr>
        <w:pStyle w:val="Caption"/>
        <w:spacing w:after="0"/>
        <w:jc w:val="center"/>
        <w:rPr>
          <w:rFonts w:ascii="Palatino Linotype" w:hAnsi="Palatino Linotype"/>
          <w:color w:val="auto"/>
          <w:sz w:val="20"/>
          <w:szCs w:val="20"/>
        </w:rPr>
      </w:pPr>
      <w:r w:rsidRPr="009A2890">
        <w:rPr>
          <w:rFonts w:ascii="Palatino Linotype" w:hAnsi="Palatino Linotype"/>
          <w:color w:val="auto"/>
          <w:sz w:val="20"/>
          <w:szCs w:val="20"/>
        </w:rPr>
        <w:t xml:space="preserve">Figure </w:t>
      </w:r>
      <w:r w:rsidRPr="009A2890">
        <w:rPr>
          <w:rFonts w:ascii="Palatino Linotype" w:hAnsi="Palatino Linotype"/>
          <w:color w:val="auto"/>
          <w:sz w:val="20"/>
          <w:szCs w:val="20"/>
        </w:rPr>
        <w:fldChar w:fldCharType="begin"/>
      </w:r>
      <w:r w:rsidRPr="009A2890">
        <w:rPr>
          <w:rFonts w:ascii="Palatino Linotype" w:hAnsi="Palatino Linotype"/>
          <w:color w:val="auto"/>
          <w:sz w:val="20"/>
          <w:szCs w:val="20"/>
        </w:rPr>
        <w:instrText xml:space="preserve"> SEQ Figure \* ARABIC </w:instrText>
      </w:r>
      <w:r w:rsidRPr="009A2890">
        <w:rPr>
          <w:rFonts w:ascii="Palatino Linotype" w:hAnsi="Palatino Linotype"/>
          <w:color w:val="auto"/>
          <w:sz w:val="20"/>
          <w:szCs w:val="20"/>
        </w:rPr>
        <w:fldChar w:fldCharType="separate"/>
      </w:r>
      <w:r w:rsidRPr="009A2890">
        <w:rPr>
          <w:rFonts w:ascii="Palatino Linotype" w:hAnsi="Palatino Linotype"/>
          <w:noProof/>
          <w:color w:val="auto"/>
          <w:sz w:val="20"/>
          <w:szCs w:val="20"/>
        </w:rPr>
        <w:t>4</w:t>
      </w:r>
      <w:r w:rsidRPr="009A2890">
        <w:rPr>
          <w:rFonts w:ascii="Palatino Linotype" w:hAnsi="Palatino Linotype"/>
          <w:color w:val="auto"/>
          <w:sz w:val="20"/>
          <w:szCs w:val="20"/>
        </w:rPr>
        <w:fldChar w:fldCharType="end"/>
      </w:r>
      <w:r w:rsidRPr="009A2890">
        <w:rPr>
          <w:rFonts w:ascii="Palatino Linotype" w:hAnsi="Palatino Linotype"/>
          <w:color w:val="auto"/>
          <w:sz w:val="20"/>
          <w:szCs w:val="20"/>
        </w:rPr>
        <w:t>. Test Site</w:t>
      </w:r>
      <w:r w:rsidR="00E642D1">
        <w:rPr>
          <w:rFonts w:ascii="Palatino Linotype" w:hAnsi="Palatino Linotype"/>
          <w:color w:val="auto"/>
          <w:sz w:val="20"/>
          <w:szCs w:val="20"/>
        </w:rPr>
        <w:t xml:space="preserve"> Topology</w:t>
      </w:r>
      <w:r w:rsidRPr="009A2890">
        <w:rPr>
          <w:rFonts w:ascii="Palatino Linotype" w:hAnsi="Palatino Linotype"/>
          <w:color w:val="auto"/>
          <w:sz w:val="20"/>
          <w:szCs w:val="20"/>
        </w:rPr>
        <w:t>.</w:t>
      </w:r>
    </w:p>
    <w:p w14:paraId="79B51AF5" w14:textId="77777777" w:rsidR="009A2890" w:rsidRDefault="009A2890" w:rsidP="009A2890">
      <w:pPr>
        <w:spacing w:after="0" w:line="240" w:lineRule="auto"/>
        <w:ind w:firstLine="288"/>
        <w:rPr>
          <w:rFonts w:ascii="Palatino Linotype" w:hAnsi="Palatino Linotype"/>
          <w:sz w:val="20"/>
          <w:szCs w:val="20"/>
        </w:rPr>
      </w:pPr>
      <w:bookmarkStart w:id="5" w:name="_Hlk139537008"/>
    </w:p>
    <w:bookmarkEnd w:id="5"/>
    <w:p w14:paraId="4C375A42" w14:textId="77777777" w:rsidR="00E642D1" w:rsidRPr="00E642D1" w:rsidRDefault="00E642D1" w:rsidP="00E642D1">
      <w:pPr>
        <w:pStyle w:val="BodyText"/>
        <w:rPr>
          <w:rFonts w:ascii="Palatino Linotype" w:hAnsi="Palatino Linotype"/>
          <w:lang w:val="en-GB"/>
        </w:rPr>
      </w:pPr>
      <w:r w:rsidRPr="00E642D1">
        <w:rPr>
          <w:rFonts w:ascii="Palatino Linotype" w:hAnsi="Palatino Linotype"/>
          <w:lang w:val="en-GB"/>
        </w:rPr>
        <w:t>Timber degradation is closely linked to moisture accumulation. Therefore, the condition of the timber was examined during the design phase. Natural splitting observed in the larch beams, typically caused by drying was considered when designing a minimally intrusive sensing method capable of measuring environmental characteristics without compromising the structural integrity of the wood.</w:t>
      </w:r>
    </w:p>
    <w:p w14:paraId="028E6C26" w14:textId="77777777" w:rsidR="00E642D1" w:rsidRPr="00E642D1" w:rsidRDefault="00E642D1" w:rsidP="00E642D1">
      <w:pPr>
        <w:pStyle w:val="BodyText"/>
        <w:rPr>
          <w:rFonts w:ascii="Palatino Linotype" w:hAnsi="Palatino Linotype"/>
          <w:lang w:val="en-GB"/>
        </w:rPr>
      </w:pPr>
      <w:r w:rsidRPr="00E642D1">
        <w:rPr>
          <w:rFonts w:ascii="Palatino Linotype" w:hAnsi="Palatino Linotype"/>
          <w:lang w:val="en-GB"/>
        </w:rPr>
        <w:t>The overall WSN topology consisted of a central hub server and fifteen sensor nodes distributed around the structure. Five of these nodes were installed internally, with the remaining ten positioned externally to form a digital perimeter covering all exposed timber elements. This layout ensured that environmental variations across both internal and external building components could be continuously monitored.</w:t>
      </w:r>
    </w:p>
    <w:p w14:paraId="6863485E" w14:textId="60BD7BA2" w:rsidR="00F03136" w:rsidRPr="00E642D1" w:rsidRDefault="00F03136" w:rsidP="004641A0">
      <w:pPr>
        <w:tabs>
          <w:tab w:val="left" w:pos="288"/>
        </w:tabs>
        <w:spacing w:after="0" w:line="240" w:lineRule="auto"/>
        <w:ind w:left="0" w:firstLine="289"/>
        <w:rPr>
          <w:rFonts w:ascii="Palatino Linotype" w:eastAsia="SimSun" w:hAnsi="Palatino Linotype" w:cs="Times New Roman"/>
          <w:color w:val="auto"/>
          <w:spacing w:val="-1"/>
          <w:sz w:val="20"/>
          <w:szCs w:val="20"/>
          <w:lang w:eastAsia="x-none"/>
        </w:rPr>
      </w:pPr>
    </w:p>
    <w:p w14:paraId="362B76FE" w14:textId="1095C468" w:rsidR="009A2890" w:rsidRDefault="009A2890" w:rsidP="009A2890">
      <w:pPr>
        <w:tabs>
          <w:tab w:val="left" w:pos="288"/>
        </w:tabs>
        <w:spacing w:after="0" w:line="240" w:lineRule="auto"/>
        <w:ind w:left="0" w:firstLine="0"/>
        <w:rPr>
          <w:rFonts w:ascii="Palatino Linotype" w:eastAsia="SimSun" w:hAnsi="Palatino Linotype" w:cs="Times New Roman"/>
          <w:b/>
          <w:bCs/>
          <w:i/>
          <w:iCs/>
          <w:noProof/>
          <w:color w:val="0070C0"/>
          <w:sz w:val="22"/>
          <w:szCs w:val="22"/>
          <w:lang w:val="en-US" w:eastAsia="en-US"/>
        </w:rPr>
      </w:pPr>
      <w:r w:rsidRPr="009A2890">
        <w:rPr>
          <w:rFonts w:ascii="Palatino Linotype" w:eastAsia="SimSun" w:hAnsi="Palatino Linotype" w:cs="Times New Roman"/>
          <w:b/>
          <w:bCs/>
          <w:i/>
          <w:iCs/>
          <w:noProof/>
          <w:color w:val="0070C0"/>
          <w:sz w:val="22"/>
          <w:szCs w:val="22"/>
          <w:lang w:val="en-US" w:eastAsia="en-US"/>
        </w:rPr>
        <w:t>Prototype Design</w:t>
      </w:r>
    </w:p>
    <w:p w14:paraId="6C12D355" w14:textId="77777777" w:rsidR="00F40136" w:rsidRPr="0026166B" w:rsidRDefault="00F40136" w:rsidP="00F40136">
      <w:pPr>
        <w:pStyle w:val="BodyText"/>
        <w:rPr>
          <w:rFonts w:ascii="Palatino Linotype" w:hAnsi="Palatino Linotype"/>
          <w:lang w:val="en-GB"/>
        </w:rPr>
      </w:pPr>
      <w:r w:rsidRPr="0026166B">
        <w:rPr>
          <w:rFonts w:ascii="Palatino Linotype" w:hAnsi="Palatino Linotype"/>
          <w:highlight w:val="yellow"/>
        </w:rPr>
        <w:t>Preliminary prototypes used an Arduino MKR1000 with environmental sensors and a capacitive soil-moisture sensor. Two prototype nodes were constructed so that failures could be distinguished from isolated hardware faults or assembly errors. Testing identified two important limitations: the microcontroller configuration did not provide sufficient capability for the intended processing workflow, and the capacitive soil-moisture approach measured volumetric water behaviour rather than the timber moisture quantity required by the study. These findings prompted redesign around a Raspberry Pi platform and an EMC calculation derived from temperature and relative humidity.</w:t>
      </w:r>
    </w:p>
    <w:p w14:paraId="29424AAF" w14:textId="77777777" w:rsidR="00F40136" w:rsidRPr="00F40136" w:rsidRDefault="00F40136" w:rsidP="00F40136">
      <w:pPr>
        <w:pStyle w:val="BodyText"/>
        <w:rPr>
          <w:rFonts w:ascii="Palatino Linotype" w:hAnsi="Palatino Linotype"/>
          <w:lang w:val="en-GB"/>
        </w:rPr>
      </w:pPr>
      <w:r w:rsidRPr="00F40136">
        <w:rPr>
          <w:rFonts w:ascii="Palatino Linotype" w:hAnsi="Palatino Linotype"/>
          <w:lang w:val="en-GB"/>
        </w:rPr>
        <w:lastRenderedPageBreak/>
        <w:t>The Raspberry Pi Zero was selected as the sensor node platform. As a single‑board computer running the Raspbian operating system, it provided significantly greater processing power, programmability, and flexibility. Its open‑source enabled seamless integration with additional software packages.</w:t>
      </w:r>
    </w:p>
    <w:p w14:paraId="6F37D724" w14:textId="77777777" w:rsidR="00F40136" w:rsidRPr="00F40136" w:rsidRDefault="00F40136" w:rsidP="00F40136">
      <w:pPr>
        <w:pStyle w:val="BodyText"/>
        <w:rPr>
          <w:rFonts w:ascii="Palatino Linotype" w:hAnsi="Palatino Linotype"/>
          <w:lang w:val="en-GB"/>
        </w:rPr>
      </w:pPr>
      <w:r w:rsidRPr="00F40136">
        <w:rPr>
          <w:rFonts w:ascii="Palatino Linotype" w:hAnsi="Palatino Linotype"/>
          <w:lang w:val="en-GB"/>
        </w:rPr>
        <w:t>To maintain platform consistency, the network hub was also implemented using a Raspberry Pi 3B. This device served as both a file transfer server and a dedicated Wi‑Fi access point using its built‑in wireless capabilities. The private network created by the hub enabled secure and isolated communication among the sensor nodes, supporting reliable data transfer without dependence on external infrastructure.</w:t>
      </w:r>
    </w:p>
    <w:p w14:paraId="78444BE0" w14:textId="77777777" w:rsidR="00F40136" w:rsidRPr="0026166B" w:rsidRDefault="00F40136" w:rsidP="00F40136">
      <w:pPr>
        <w:pStyle w:val="BodyText"/>
        <w:rPr>
          <w:rFonts w:ascii="Palatino Linotype" w:hAnsi="Palatino Linotype"/>
          <w:lang w:val="en-GB"/>
        </w:rPr>
      </w:pPr>
      <w:r w:rsidRPr="0026166B">
        <w:rPr>
          <w:rFonts w:ascii="Palatino Linotype" w:hAnsi="Palatino Linotype"/>
          <w:highlight w:val="yellow"/>
        </w:rPr>
        <w:t>The IEEE 802.11 network was configured with WPA2 authentication and CCMP encryption. The implementation also used a randomly generated network password and disabled SSID broadcast as additional basic controls. Timestamp consistency was addressed through Network Time Protocol (NTP). However, the limited internet connectivity of the intended deployment site and the absence of persistent real-time clocks on the Raspberry Pi nodes complicated reliable time synchronisation, which is treated as a limitation of the prototype.</w:t>
      </w:r>
    </w:p>
    <w:p w14:paraId="012F94E7" w14:textId="77777777" w:rsidR="009A2890" w:rsidRPr="009A2890" w:rsidRDefault="009A2890" w:rsidP="009A2890">
      <w:pPr>
        <w:spacing w:after="0" w:line="240" w:lineRule="auto"/>
        <w:ind w:firstLine="289"/>
        <w:rPr>
          <w:rFonts w:ascii="Palatino Linotype" w:hAnsi="Palatino Linotype"/>
          <w:sz w:val="20"/>
          <w:szCs w:val="20"/>
        </w:rPr>
      </w:pPr>
    </w:p>
    <w:p w14:paraId="3F3A2A0A" w14:textId="77777777" w:rsidR="009A2890" w:rsidRPr="009A2890" w:rsidRDefault="009A2890" w:rsidP="009A2890">
      <w:pPr>
        <w:pStyle w:val="BodyText"/>
        <w:spacing w:after="0" w:line="240" w:lineRule="auto"/>
        <w:ind w:firstLine="0"/>
        <w:jc w:val="center"/>
        <w:rPr>
          <w:rFonts w:ascii="Palatino Linotype" w:hAnsi="Palatino Linotype"/>
          <w:lang w:val="en-GB"/>
        </w:rPr>
      </w:pPr>
      <w:r w:rsidRPr="009A2890">
        <w:rPr>
          <w:rFonts w:ascii="Palatino Linotype" w:hAnsi="Palatino Linotype"/>
          <w:noProof/>
        </w:rPr>
        <w:drawing>
          <wp:inline distT="0" distB="0" distL="0" distR="0" wp14:anchorId="4A3FE1DF" wp14:editId="309EEC76">
            <wp:extent cx="4060684" cy="1442852"/>
            <wp:effectExtent l="0" t="0" r="0" b="5080"/>
            <wp:docPr id="55" name="Picture 5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white background with black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85915" cy="1451817"/>
                    </a:xfrm>
                    <a:prstGeom prst="rect">
                      <a:avLst/>
                    </a:prstGeom>
                    <a:noFill/>
                  </pic:spPr>
                </pic:pic>
              </a:graphicData>
            </a:graphic>
          </wp:inline>
        </w:drawing>
      </w:r>
    </w:p>
    <w:p w14:paraId="356BA909" w14:textId="77777777" w:rsidR="009A2890" w:rsidRPr="009A2890" w:rsidRDefault="009A2890" w:rsidP="009A2890">
      <w:pPr>
        <w:pStyle w:val="Caption"/>
        <w:spacing w:after="0"/>
        <w:jc w:val="center"/>
        <w:rPr>
          <w:rFonts w:ascii="Palatino Linotype" w:hAnsi="Palatino Linotype"/>
          <w:color w:val="auto"/>
        </w:rPr>
      </w:pPr>
      <w:r w:rsidRPr="009A2890">
        <w:rPr>
          <w:rFonts w:ascii="Palatino Linotype" w:hAnsi="Palatino Linotype"/>
          <w:color w:val="auto"/>
        </w:rPr>
        <w:t xml:space="preserve">Figure </w:t>
      </w:r>
      <w:r w:rsidRPr="009A2890">
        <w:rPr>
          <w:rFonts w:ascii="Palatino Linotype" w:hAnsi="Palatino Linotype"/>
          <w:color w:val="auto"/>
        </w:rPr>
        <w:fldChar w:fldCharType="begin"/>
      </w:r>
      <w:r w:rsidRPr="009A2890">
        <w:rPr>
          <w:rFonts w:ascii="Palatino Linotype" w:hAnsi="Palatino Linotype"/>
          <w:color w:val="auto"/>
        </w:rPr>
        <w:instrText xml:space="preserve"> SEQ Figure \* ARABIC </w:instrText>
      </w:r>
      <w:r w:rsidRPr="009A2890">
        <w:rPr>
          <w:rFonts w:ascii="Palatino Linotype" w:hAnsi="Palatino Linotype"/>
          <w:color w:val="auto"/>
        </w:rPr>
        <w:fldChar w:fldCharType="separate"/>
      </w:r>
      <w:r w:rsidRPr="009A2890">
        <w:rPr>
          <w:rFonts w:ascii="Palatino Linotype" w:hAnsi="Palatino Linotype"/>
          <w:noProof/>
          <w:color w:val="auto"/>
        </w:rPr>
        <w:t>5</w:t>
      </w:r>
      <w:r w:rsidRPr="009A2890">
        <w:rPr>
          <w:rFonts w:ascii="Palatino Linotype" w:hAnsi="Palatino Linotype"/>
          <w:color w:val="auto"/>
        </w:rPr>
        <w:fldChar w:fldCharType="end"/>
      </w:r>
      <w:r w:rsidRPr="009A2890">
        <w:rPr>
          <w:rFonts w:ascii="Palatino Linotype" w:hAnsi="Palatino Linotype"/>
          <w:color w:val="auto"/>
        </w:rPr>
        <w:t>. Mathematical Formula for Wood Moisture.</w:t>
      </w:r>
    </w:p>
    <w:p w14:paraId="08088996" w14:textId="77777777" w:rsidR="009A2890" w:rsidRDefault="009A2890" w:rsidP="009A2890">
      <w:pPr>
        <w:spacing w:after="0" w:line="240" w:lineRule="auto"/>
        <w:ind w:firstLine="289"/>
        <w:rPr>
          <w:rFonts w:ascii="Palatino Linotype" w:hAnsi="Palatino Linotype"/>
          <w:sz w:val="20"/>
          <w:szCs w:val="20"/>
        </w:rPr>
      </w:pPr>
    </w:p>
    <w:p w14:paraId="22EF7AA7" w14:textId="77777777" w:rsidR="00F40136" w:rsidRPr="00F40136" w:rsidRDefault="00F40136" w:rsidP="00F40136">
      <w:pPr>
        <w:pStyle w:val="BodyText"/>
        <w:rPr>
          <w:rFonts w:ascii="Palatino Linotype" w:hAnsi="Palatino Linotype"/>
          <w:lang w:val="en-GB"/>
        </w:rPr>
      </w:pPr>
      <w:r w:rsidRPr="00F40136">
        <w:rPr>
          <w:rFonts w:ascii="Palatino Linotype" w:hAnsi="Palatino Linotype"/>
          <w:lang w:val="en-GB"/>
        </w:rPr>
        <w:t>The adopted formula (Figure 5), derived from established equilibrium moisture content (EMC) principles</w:t>
      </w:r>
      <w:r w:rsidRPr="00F40136">
        <w:rPr>
          <w:rFonts w:ascii="Palatino Linotype" w:hAnsi="Palatino Linotype"/>
        </w:rPr>
        <w:t xml:space="preserve"> </w:t>
      </w:r>
      <w:sdt>
        <w:sdtPr>
          <w:rPr>
            <w:rFonts w:ascii="Palatino Linotype" w:hAnsi="Palatino Linotype"/>
          </w:rPr>
          <w:id w:val="1681155230"/>
          <w:citation/>
        </w:sdtPr>
        <w:sdtContent>
          <w:r w:rsidRPr="00F40136">
            <w:rPr>
              <w:rFonts w:ascii="Palatino Linotype" w:hAnsi="Palatino Linotype"/>
            </w:rPr>
            <w:fldChar w:fldCharType="begin"/>
          </w:r>
          <w:r w:rsidRPr="00F40136">
            <w:rPr>
              <w:rFonts w:ascii="Palatino Linotype" w:hAnsi="Palatino Linotype"/>
              <w:lang w:val="en-GB"/>
            </w:rPr>
            <w:instrText xml:space="preserve"> CITATION PMi17 \l 2057 </w:instrText>
          </w:r>
          <w:r w:rsidRPr="00F40136">
            <w:rPr>
              <w:rFonts w:ascii="Palatino Linotype" w:hAnsi="Palatino Linotype"/>
            </w:rPr>
            <w:fldChar w:fldCharType="separate"/>
          </w:r>
          <w:r w:rsidRPr="00F40136">
            <w:rPr>
              <w:rFonts w:ascii="Palatino Linotype" w:hAnsi="Palatino Linotype"/>
              <w:noProof/>
              <w:lang w:val="en-GB"/>
            </w:rPr>
            <w:t>[18]</w:t>
          </w:r>
          <w:r w:rsidRPr="00F40136">
            <w:rPr>
              <w:rFonts w:ascii="Palatino Linotype" w:hAnsi="Palatino Linotype"/>
            </w:rPr>
            <w:fldChar w:fldCharType="end"/>
          </w:r>
        </w:sdtContent>
      </w:sdt>
      <w:r w:rsidRPr="00F40136">
        <w:rPr>
          <w:rFonts w:ascii="Palatino Linotype" w:hAnsi="Palatino Linotype"/>
          <w:lang w:val="en-GB"/>
        </w:rPr>
        <w:t>, was adapted and implemented directly within the Python processing script running on each node. The BME280 sensor module (Figure 6) was selected for its ability to capture temperature and relative humidity both required inputs for the EMC calculation. Sensor readings were processed locally by the Raspberry Pi Zero and logged to a spreadsheet automatically generated by the system.</w:t>
      </w:r>
    </w:p>
    <w:p w14:paraId="0D29D217" w14:textId="5841198E" w:rsidR="009A2890" w:rsidRDefault="00F40136" w:rsidP="00F40136">
      <w:pPr>
        <w:spacing w:after="0" w:line="240" w:lineRule="auto"/>
        <w:ind w:firstLine="289"/>
        <w:rPr>
          <w:rFonts w:ascii="Palatino Linotype" w:hAnsi="Palatino Linotype"/>
          <w:sz w:val="20"/>
          <w:szCs w:val="20"/>
        </w:rPr>
      </w:pPr>
      <w:r w:rsidRPr="00F40136">
        <w:rPr>
          <w:rFonts w:ascii="Palatino Linotype" w:hAnsi="Palatino Linotype"/>
          <w:sz w:val="20"/>
          <w:szCs w:val="20"/>
        </w:rPr>
        <w:t>The finalised sensor node represents a convergence of compact environmental sensing hardware and embedded computing. Its small physical footprint enables installation within confined or visually sensitive areas of a timber frame structure. Furthermore, the integration of autonomous network management, data processing, and environmental sensing allows the system to be deployed with minimal technical expertise.</w:t>
      </w:r>
    </w:p>
    <w:p w14:paraId="2016E723" w14:textId="77777777" w:rsidR="00F40136" w:rsidRDefault="00F40136" w:rsidP="00F40136">
      <w:pPr>
        <w:spacing w:after="0" w:line="240" w:lineRule="auto"/>
        <w:ind w:firstLine="289"/>
        <w:rPr>
          <w:rFonts w:ascii="Palatino Linotype" w:hAnsi="Palatino Linotype"/>
          <w:sz w:val="20"/>
          <w:szCs w:val="20"/>
        </w:rPr>
      </w:pPr>
    </w:p>
    <w:p w14:paraId="4D1DE36E" w14:textId="77777777" w:rsidR="009A2890" w:rsidRPr="009A2890" w:rsidRDefault="009A2890" w:rsidP="009A2890">
      <w:pPr>
        <w:spacing w:after="0" w:line="240" w:lineRule="auto"/>
        <w:ind w:firstLine="289"/>
        <w:rPr>
          <w:rFonts w:ascii="Palatino Linotype" w:hAnsi="Palatino Linotype"/>
          <w:sz w:val="20"/>
          <w:szCs w:val="20"/>
        </w:rPr>
      </w:pPr>
    </w:p>
    <w:p w14:paraId="7B4FED3E" w14:textId="14F4C5C2" w:rsidR="00F721D0" w:rsidRDefault="009A2890" w:rsidP="00F721D0">
      <w:pPr>
        <w:pStyle w:val="Heading1"/>
        <w:spacing w:after="0" w:line="240" w:lineRule="auto"/>
        <w:rPr>
          <w:rFonts w:ascii="Palatino Linotype" w:eastAsia="Palatino Linotype" w:hAnsi="Palatino Linotype" w:cs="Palatino Linotype"/>
          <w:color w:val="4472C4"/>
          <w:sz w:val="24"/>
          <w:szCs w:val="24"/>
        </w:rPr>
      </w:pPr>
      <w:bookmarkStart w:id="6" w:name="_Hlk218031144"/>
      <w:r w:rsidRPr="009A2890">
        <w:rPr>
          <w:rFonts w:ascii="Palatino Linotype" w:eastAsia="Palatino Linotype" w:hAnsi="Palatino Linotype" w:cs="Palatino Linotype"/>
          <w:color w:val="4472C4"/>
          <w:sz w:val="24"/>
          <w:szCs w:val="24"/>
        </w:rPr>
        <w:t>DATA ANALYSIS AND RESULTS</w:t>
      </w:r>
    </w:p>
    <w:bookmarkEnd w:id="6"/>
    <w:p w14:paraId="72934730" w14:textId="30EC4F69" w:rsidR="00F40136" w:rsidRDefault="00F40136" w:rsidP="00F40136">
      <w:pPr>
        <w:pStyle w:val="BodyText"/>
        <w:rPr>
          <w:rFonts w:ascii="Palatino Linotype" w:hAnsi="Palatino Linotype"/>
        </w:rPr>
      </w:pPr>
      <w:r w:rsidRPr="00F40136">
        <w:rPr>
          <w:rFonts w:ascii="Palatino Linotype" w:hAnsi="Palatino Linotype"/>
        </w:rPr>
        <w:t>The evaluation of the proposed Wireless Sensor Network (WSN) focused on three key areas: node connectivity and reliability, network throughput performance, and verification of environmental data acquisition and moisture content estimation. A sequence of controlled tests was conducted within the deployed network to assess its operational stability and suitability for timber‑specific environmental monitoring.</w:t>
      </w:r>
    </w:p>
    <w:p w14:paraId="6F1FDB84" w14:textId="427D0599" w:rsidR="00F40136" w:rsidRPr="00F40136" w:rsidRDefault="0026166B" w:rsidP="0026166B">
      <w:pPr>
        <w:pStyle w:val="BodyText"/>
        <w:rPr>
          <w:rFonts w:ascii="Palatino Linotype" w:hAnsi="Palatino Linotype"/>
        </w:rPr>
      </w:pPr>
      <w:r>
        <w:rPr>
          <w:rFonts w:ascii="Palatino Linotype" w:hAnsi="Palatino Linotype"/>
          <w:i/>
          <w:iCs/>
          <w:color w:val="0070C0"/>
          <w:sz w:val="22"/>
          <w:szCs w:val="22"/>
        </w:rPr>
        <w:lastRenderedPageBreak/>
        <w:t>Experimental Protocol</w:t>
      </w:r>
    </w:p>
    <w:p w14:paraId="34353CA2" w14:textId="77777777" w:rsidR="00F40136" w:rsidRPr="0026166B" w:rsidRDefault="00F40136" w:rsidP="00F40136">
      <w:pPr>
        <w:pStyle w:val="BodyText"/>
        <w:rPr>
          <w:rFonts w:ascii="Palatino Linotype" w:hAnsi="Palatino Linotype"/>
        </w:rPr>
      </w:pPr>
      <w:r w:rsidRPr="0026166B">
        <w:rPr>
          <w:rFonts w:ascii="Palatino Linotype" w:hAnsi="Palatino Linotype"/>
          <w:highlight w:val="yellow"/>
        </w:rPr>
        <w:t>The evaluation comprised two experimental activities. First, the complete WSN was arranged to approximate the planned topology and tested for node reachability and communication performance. A Python connection-test script sequentially contacted each sensor node, while iPerf client/server tests were used to assess throughput. Representative near and far nodes were examined in greater detail to identify location-dependent variation. Second, a sample of sensor nodes was installed within a timber-framed environment to verify environmental acquisition, automated data logging and execution of the EMC calculation. Measurements were recorded on the programmed 15-minute cycle. The evaluation therefore considered node availability, packet loss/response behaviour, throughput, successful generation of structured environmental records and continuity of EMC outputs.</w:t>
      </w:r>
    </w:p>
    <w:p w14:paraId="171EE27E" w14:textId="5AD96D20" w:rsidR="00F40136" w:rsidRPr="00F40136" w:rsidRDefault="00F40136" w:rsidP="00F40136">
      <w:pPr>
        <w:pStyle w:val="Heading1"/>
        <w:rPr>
          <w:rFonts w:ascii="Palatino Linotype" w:hAnsi="Palatino Linotype"/>
          <w:i/>
          <w:iCs/>
          <w:color w:val="0070C0"/>
          <w:sz w:val="22"/>
          <w:szCs w:val="22"/>
        </w:rPr>
      </w:pPr>
      <w:r w:rsidRPr="00F40136">
        <w:rPr>
          <w:rFonts w:ascii="Palatino Linotype" w:hAnsi="Palatino Linotype"/>
          <w:i/>
          <w:iCs/>
          <w:color w:val="0070C0"/>
          <w:sz w:val="22"/>
          <w:szCs w:val="22"/>
        </w:rPr>
        <w:t>Connectivity and Node Availability</w:t>
      </w:r>
    </w:p>
    <w:p w14:paraId="16E3BE8A" w14:textId="77777777" w:rsidR="00F40136" w:rsidRPr="00F40136" w:rsidRDefault="00F40136" w:rsidP="00F40136">
      <w:pPr>
        <w:pStyle w:val="BodyText"/>
        <w:rPr>
          <w:rFonts w:ascii="Palatino Linotype" w:hAnsi="Palatino Linotype"/>
        </w:rPr>
      </w:pPr>
      <w:r w:rsidRPr="00F40136">
        <w:rPr>
          <w:rFonts w:ascii="Palatino Linotype" w:hAnsi="Palatino Linotype"/>
        </w:rPr>
        <w:t>An initial connectivity test was implemented using a Python script executed on the network hub. The script sequentially transmitted test packets to each of the fifteen sensor nodes and awaited a response before proceeding to the next device. Nodes that responded within the defined timeout interval were classified as online, whereas nodes that failed to respond were labelled offline.</w:t>
      </w:r>
    </w:p>
    <w:p w14:paraId="3A11618A" w14:textId="77777777" w:rsidR="00F40136" w:rsidRPr="0026166B" w:rsidRDefault="00F40136" w:rsidP="00F40136">
      <w:pPr>
        <w:pStyle w:val="BodyText"/>
        <w:rPr>
          <w:rFonts w:ascii="Palatino Linotype" w:hAnsi="Palatino Linotype"/>
        </w:rPr>
      </w:pPr>
      <w:r w:rsidRPr="0026166B">
        <w:rPr>
          <w:rFonts w:ascii="Palatino Linotype" w:hAnsi="Palatino Linotype"/>
          <w:highlight w:val="yellow"/>
        </w:rPr>
        <w:t>At the time of the initial connectivity experiment, all fifteen sensor nodes successfully responded to the hub, demonstrating complete reachability for that test cycle. More detailed inspection nevertheless showed that connectivity quality was not uniform: the reported comparison recorded 10% packet loss for DTE02, whereas DTE14 completed the sampled transmission without packet loss. This result supports H1 for the evaluated topology while also showing that successful association with the hub does not imply identical link quality across node locations. The architecture therefore benefits from spatial redundancy, but the experiment does not establish long-term uptime.</w:t>
      </w:r>
    </w:p>
    <w:p w14:paraId="47D7C7D2" w14:textId="1CA4004E" w:rsidR="00F40136" w:rsidRPr="00F40136" w:rsidRDefault="00F40136" w:rsidP="00F40136">
      <w:pPr>
        <w:pStyle w:val="Heading1"/>
        <w:rPr>
          <w:rFonts w:ascii="Palatino Linotype" w:hAnsi="Palatino Linotype"/>
          <w:i/>
          <w:iCs/>
          <w:color w:val="0070C0"/>
          <w:sz w:val="22"/>
          <w:szCs w:val="22"/>
        </w:rPr>
      </w:pPr>
      <w:r w:rsidRPr="00F40136">
        <w:rPr>
          <w:rFonts w:ascii="Palatino Linotype" w:hAnsi="Palatino Linotype"/>
          <w:i/>
          <w:iCs/>
          <w:color w:val="0070C0"/>
          <w:sz w:val="22"/>
          <w:szCs w:val="22"/>
        </w:rPr>
        <w:t>Throughput and Communication Performance</w:t>
      </w:r>
    </w:p>
    <w:p w14:paraId="3C199137" w14:textId="77777777" w:rsidR="00F40136" w:rsidRPr="0026166B" w:rsidRDefault="00F40136" w:rsidP="0026166B">
      <w:pPr>
        <w:rPr>
          <w:rFonts w:ascii="Times New Roman" w:hAnsi="Times New Roman" w:cs="Times New Roman"/>
          <w:noProof/>
          <w:sz w:val="20"/>
          <w:szCs w:val="20"/>
          <w:lang w:val="en-US"/>
        </w:rPr>
      </w:pPr>
      <w:r w:rsidRPr="0026166B">
        <w:rPr>
          <w:rFonts w:ascii="Times New Roman" w:hAnsi="Times New Roman" w:cs="Times New Roman"/>
          <w:sz w:val="20"/>
          <w:szCs w:val="20"/>
        </w:rPr>
        <w:t xml:space="preserve">To evaluate communication performance between each sensor node and the hub, network throughput was measured using the </w:t>
      </w:r>
      <w:proofErr w:type="spellStart"/>
      <w:r w:rsidRPr="0026166B">
        <w:rPr>
          <w:rFonts w:ascii="Times New Roman" w:hAnsi="Times New Roman" w:cs="Times New Roman"/>
          <w:sz w:val="20"/>
          <w:szCs w:val="20"/>
        </w:rPr>
        <w:t>iPerf</w:t>
      </w:r>
      <w:proofErr w:type="spellEnd"/>
      <w:r w:rsidRPr="0026166B">
        <w:rPr>
          <w:rFonts w:ascii="Times New Roman" w:hAnsi="Times New Roman" w:cs="Times New Roman"/>
          <w:sz w:val="20"/>
          <w:szCs w:val="20"/>
        </w:rPr>
        <w:t xml:space="preserve"> speed‑testing tool</w:t>
      </w:r>
      <w:r w:rsidRPr="0026166B">
        <w:rPr>
          <w:rFonts w:ascii="Times New Roman" w:hAnsi="Times New Roman" w:cs="Times New Roman"/>
          <w:i/>
          <w:iCs/>
          <w:sz w:val="20"/>
          <w:szCs w:val="20"/>
        </w:rPr>
        <w:t xml:space="preserve"> </w:t>
      </w:r>
      <w:sdt>
        <w:sdtPr>
          <w:rPr>
            <w:rFonts w:ascii="Times New Roman" w:hAnsi="Times New Roman" w:cs="Times New Roman"/>
            <w:i/>
            <w:iCs/>
            <w:sz w:val="20"/>
            <w:szCs w:val="20"/>
          </w:rPr>
          <w:id w:val="628903493"/>
          <w:citation/>
        </w:sdtPr>
        <w:sdtContent>
          <w:r w:rsidRPr="0026166B">
            <w:rPr>
              <w:rFonts w:ascii="Times New Roman" w:hAnsi="Times New Roman" w:cs="Times New Roman"/>
              <w:i/>
              <w:iCs/>
              <w:sz w:val="20"/>
              <w:szCs w:val="20"/>
            </w:rPr>
            <w:fldChar w:fldCharType="begin"/>
          </w:r>
          <w:r w:rsidRPr="0026166B">
            <w:rPr>
              <w:rFonts w:ascii="Times New Roman" w:hAnsi="Times New Roman" w:cs="Times New Roman"/>
              <w:sz w:val="20"/>
              <w:szCs w:val="20"/>
            </w:rPr>
            <w:instrText xml:space="preserve"> CITATION iPe19 \l 2057 </w:instrText>
          </w:r>
          <w:r w:rsidRPr="0026166B">
            <w:rPr>
              <w:rFonts w:ascii="Times New Roman" w:hAnsi="Times New Roman" w:cs="Times New Roman"/>
              <w:i/>
              <w:iCs/>
              <w:sz w:val="20"/>
              <w:szCs w:val="20"/>
            </w:rPr>
            <w:fldChar w:fldCharType="separate"/>
          </w:r>
          <w:r w:rsidRPr="0026166B">
            <w:rPr>
              <w:rFonts w:ascii="Times New Roman" w:hAnsi="Times New Roman" w:cs="Times New Roman"/>
              <w:noProof/>
              <w:sz w:val="20"/>
              <w:szCs w:val="20"/>
            </w:rPr>
            <w:t>[19]</w:t>
          </w:r>
          <w:r w:rsidRPr="0026166B">
            <w:rPr>
              <w:rFonts w:ascii="Times New Roman" w:hAnsi="Times New Roman" w:cs="Times New Roman"/>
              <w:i/>
              <w:iCs/>
              <w:sz w:val="20"/>
              <w:szCs w:val="20"/>
            </w:rPr>
            <w:fldChar w:fldCharType="end"/>
          </w:r>
        </w:sdtContent>
      </w:sdt>
      <w:r w:rsidRPr="0026166B">
        <w:rPr>
          <w:rFonts w:ascii="Times New Roman" w:hAnsi="Times New Roman" w:cs="Times New Roman"/>
          <w:sz w:val="20"/>
          <w:szCs w:val="20"/>
        </w:rPr>
        <w:t>. Two representative nodes were selected to illustrate differences associated with physical placement: one positioned in close proximity to the hub, and one located at the furthest practical distance within the deployment topology. As shown in Figure 8, the nearer node exhibited substantially higher transfer rates compared to the more distant node.</w:t>
      </w:r>
      <w:r w:rsidRPr="0026166B">
        <w:rPr>
          <w:rFonts w:ascii="Times New Roman" w:hAnsi="Times New Roman" w:cs="Times New Roman"/>
          <w:noProof/>
          <w:sz w:val="20"/>
          <w:szCs w:val="20"/>
          <w:lang w:val="en-US"/>
        </w:rPr>
        <w:t xml:space="preserve"> </w:t>
      </w:r>
    </w:p>
    <w:p w14:paraId="7F6E890A" w14:textId="77777777" w:rsidR="009A2890" w:rsidRPr="009A2890" w:rsidRDefault="009A2890" w:rsidP="009A2890">
      <w:pPr>
        <w:pStyle w:val="BodyText"/>
        <w:spacing w:after="0" w:line="240" w:lineRule="auto"/>
        <w:ind w:firstLine="0"/>
        <w:jc w:val="center"/>
        <w:rPr>
          <w:rFonts w:ascii="Palatino Linotype" w:hAnsi="Palatino Linotype"/>
          <w:lang w:val="en-US"/>
        </w:rPr>
      </w:pPr>
      <w:r w:rsidRPr="009A2890">
        <w:rPr>
          <w:rFonts w:ascii="Palatino Linotype" w:hAnsi="Palatino Linotype"/>
          <w:noProof/>
          <w:lang w:val="en-US"/>
        </w:rPr>
        <w:lastRenderedPageBreak/>
        <w:drawing>
          <wp:inline distT="0" distB="0" distL="0" distR="0" wp14:anchorId="1AB57EE6" wp14:editId="334D9952">
            <wp:extent cx="3105457" cy="2321626"/>
            <wp:effectExtent l="0" t="0" r="0" b="2540"/>
            <wp:docPr id="12201544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59961" cy="2362373"/>
                    </a:xfrm>
                    <a:prstGeom prst="rect">
                      <a:avLst/>
                    </a:prstGeom>
                    <a:noFill/>
                  </pic:spPr>
                </pic:pic>
              </a:graphicData>
            </a:graphic>
          </wp:inline>
        </w:drawing>
      </w:r>
    </w:p>
    <w:p w14:paraId="4E8C4223" w14:textId="29769ED9" w:rsidR="009A2890" w:rsidRPr="009A2890" w:rsidRDefault="009A2890" w:rsidP="009A2890">
      <w:pPr>
        <w:pStyle w:val="Caption"/>
        <w:spacing w:after="0"/>
        <w:jc w:val="center"/>
        <w:rPr>
          <w:rFonts w:ascii="Palatino Linotype" w:hAnsi="Palatino Linotype"/>
          <w:color w:val="auto"/>
        </w:rPr>
      </w:pPr>
      <w:r w:rsidRPr="009A2890">
        <w:rPr>
          <w:rFonts w:ascii="Palatino Linotype" w:hAnsi="Palatino Linotype"/>
          <w:color w:val="auto"/>
        </w:rPr>
        <w:t xml:space="preserve">Figure </w:t>
      </w:r>
      <w:r w:rsidR="00F40136">
        <w:rPr>
          <w:rFonts w:ascii="Palatino Linotype" w:hAnsi="Palatino Linotype"/>
          <w:color w:val="auto"/>
        </w:rPr>
        <w:t>6</w:t>
      </w:r>
      <w:r w:rsidRPr="009A2890">
        <w:rPr>
          <w:rFonts w:ascii="Palatino Linotype" w:hAnsi="Palatino Linotype"/>
          <w:color w:val="auto"/>
        </w:rPr>
        <w:t>. Sample of Node Throughput Test.</w:t>
      </w:r>
    </w:p>
    <w:p w14:paraId="09D36277" w14:textId="2BC0B228" w:rsidR="00F40136" w:rsidRPr="00F40136" w:rsidRDefault="0026166B" w:rsidP="0026166B">
      <w:pPr>
        <w:pStyle w:val="BodyText"/>
        <w:spacing w:after="0" w:line="240" w:lineRule="auto"/>
        <w:ind w:firstLine="0"/>
        <w:rPr>
          <w:rFonts w:ascii="Palatino Linotype" w:hAnsi="Palatino Linotype"/>
        </w:rPr>
      </w:pPr>
      <w:r>
        <w:rPr>
          <w:rFonts w:ascii="Palatino Linotype" w:hAnsi="Palatino Linotype"/>
        </w:rPr>
        <w:tab/>
      </w:r>
      <w:r w:rsidR="00F40136" w:rsidRPr="00F40136">
        <w:rPr>
          <w:rFonts w:ascii="Palatino Linotype" w:hAnsi="Palatino Linotype"/>
        </w:rPr>
        <w:t>Throughput varied by approximately 6 Mbytes in data volume and 5 Mbit/s in bitrate between the two tested devices. This disparity aligns with expectations based on Wi‑Fi signal attenuation and environmental interference within timber‑based structures. Although notable, the observed performance remained within acceptable limits for this application. The system requires only small, periodic data transfers from each node, meaning that reduced throughput does not impede functionality. However, the findings suggest that significant increases in data payload size such as incorporating higher‑resolution sensor data could introduce transmission delays in future system iterations.</w:t>
      </w:r>
    </w:p>
    <w:p w14:paraId="0D751E24" w14:textId="4B7B1BAE" w:rsidR="00F40136" w:rsidRPr="00F40136" w:rsidRDefault="00F40136" w:rsidP="00F40136">
      <w:pPr>
        <w:pStyle w:val="Heading1"/>
        <w:rPr>
          <w:rFonts w:ascii="Palatino Linotype" w:hAnsi="Palatino Linotype"/>
          <w:i/>
          <w:iCs/>
          <w:color w:val="0070C0"/>
          <w:sz w:val="22"/>
          <w:szCs w:val="22"/>
        </w:rPr>
      </w:pPr>
      <w:r w:rsidRPr="00F40136">
        <w:rPr>
          <w:rFonts w:ascii="Palatino Linotype" w:hAnsi="Palatino Linotype"/>
          <w:i/>
          <w:iCs/>
          <w:color w:val="0070C0"/>
          <w:sz w:val="22"/>
          <w:szCs w:val="22"/>
        </w:rPr>
        <w:t>Environmental Data Output and Moisture Content Estimation</w:t>
      </w:r>
    </w:p>
    <w:p w14:paraId="6111F350" w14:textId="77777777" w:rsidR="00F40136" w:rsidRPr="00F40136" w:rsidRDefault="00F40136" w:rsidP="00F40136">
      <w:pPr>
        <w:pStyle w:val="BodyText"/>
        <w:rPr>
          <w:rFonts w:ascii="Palatino Linotype" w:hAnsi="Palatino Linotype"/>
        </w:rPr>
      </w:pPr>
      <w:r w:rsidRPr="00F40136">
        <w:rPr>
          <w:rFonts w:ascii="Palatino Linotype" w:hAnsi="Palatino Linotype"/>
        </w:rPr>
        <w:t>The final stage of the evaluation focused on verifying data acquisition and the correct execution of the adapted moisture content model incorporated into each sensor node. Figure 9 displays an excerpt from the automatically generated Excel output produced by the network.</w:t>
      </w:r>
    </w:p>
    <w:p w14:paraId="75D21C24" w14:textId="08B032A9" w:rsidR="009A2890" w:rsidRPr="00F40136" w:rsidRDefault="009A2890" w:rsidP="009A2890">
      <w:pPr>
        <w:pStyle w:val="BodyText"/>
        <w:spacing w:after="0" w:line="240" w:lineRule="auto"/>
        <w:ind w:firstLine="0"/>
        <w:rPr>
          <w:rFonts w:ascii="Palatino Linotype" w:hAnsi="Palatino Linotype"/>
        </w:rPr>
      </w:pPr>
    </w:p>
    <w:p w14:paraId="188E92B5" w14:textId="77777777" w:rsidR="009A2890" w:rsidRPr="009A2890" w:rsidRDefault="009A2890" w:rsidP="009A2890">
      <w:pPr>
        <w:pStyle w:val="BodyText"/>
        <w:spacing w:after="0" w:line="240" w:lineRule="auto"/>
        <w:ind w:firstLine="0"/>
        <w:jc w:val="center"/>
        <w:rPr>
          <w:rFonts w:ascii="Palatino Linotype" w:hAnsi="Palatino Linotype"/>
          <w:lang w:val="en-US"/>
        </w:rPr>
      </w:pPr>
      <w:r w:rsidRPr="009A2890">
        <w:rPr>
          <w:rFonts w:ascii="Palatino Linotype" w:hAnsi="Palatino Linotype"/>
          <w:noProof/>
          <w:lang w:val="en-US"/>
        </w:rPr>
        <w:drawing>
          <wp:inline distT="0" distB="0" distL="0" distR="0" wp14:anchorId="75888105" wp14:editId="10CAA62A">
            <wp:extent cx="2908809" cy="942975"/>
            <wp:effectExtent l="0" t="0" r="6350" b="0"/>
            <wp:docPr id="6260844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l="29761"/>
                    <a:stretch/>
                  </pic:blipFill>
                  <pic:spPr bwMode="auto">
                    <a:xfrm>
                      <a:off x="0" y="0"/>
                      <a:ext cx="3044140" cy="986846"/>
                    </a:xfrm>
                    <a:prstGeom prst="rect">
                      <a:avLst/>
                    </a:prstGeom>
                    <a:noFill/>
                    <a:ln>
                      <a:noFill/>
                    </a:ln>
                    <a:extLst>
                      <a:ext uri="{53640926-AAD7-44D8-BBD7-CCE9431645EC}">
                        <a14:shadowObscured xmlns:a14="http://schemas.microsoft.com/office/drawing/2010/main"/>
                      </a:ext>
                    </a:extLst>
                  </pic:spPr>
                </pic:pic>
              </a:graphicData>
            </a:graphic>
          </wp:inline>
        </w:drawing>
      </w:r>
    </w:p>
    <w:p w14:paraId="309EE686" w14:textId="7A52B2E7" w:rsidR="009A2890" w:rsidRPr="009A2890" w:rsidRDefault="009A2890" w:rsidP="009A2890">
      <w:pPr>
        <w:pStyle w:val="Caption"/>
        <w:spacing w:after="0"/>
        <w:jc w:val="center"/>
        <w:rPr>
          <w:rFonts w:ascii="Palatino Linotype" w:hAnsi="Palatino Linotype"/>
          <w:color w:val="auto"/>
        </w:rPr>
      </w:pPr>
      <w:r w:rsidRPr="009A2890">
        <w:rPr>
          <w:rFonts w:ascii="Palatino Linotype" w:hAnsi="Palatino Linotype"/>
          <w:color w:val="auto"/>
        </w:rPr>
        <w:t xml:space="preserve">Figure </w:t>
      </w:r>
      <w:r w:rsidR="00F40136">
        <w:rPr>
          <w:rFonts w:ascii="Palatino Linotype" w:hAnsi="Palatino Linotype"/>
          <w:color w:val="auto"/>
        </w:rPr>
        <w:t>7</w:t>
      </w:r>
      <w:r w:rsidRPr="009A2890">
        <w:rPr>
          <w:rFonts w:ascii="Palatino Linotype" w:hAnsi="Palatino Linotype"/>
          <w:color w:val="auto"/>
        </w:rPr>
        <w:t>. Excel Sheet displaying Output of Sensor Node.</w:t>
      </w:r>
    </w:p>
    <w:p w14:paraId="6701B12E" w14:textId="77777777" w:rsidR="00F40136" w:rsidRDefault="00F40136" w:rsidP="00F40136">
      <w:pPr>
        <w:pStyle w:val="BodyText"/>
        <w:rPr>
          <w:rFonts w:ascii="Palatino Linotype" w:hAnsi="Palatino Linotype"/>
        </w:rPr>
      </w:pPr>
    </w:p>
    <w:p w14:paraId="509806D1" w14:textId="659A2EC9" w:rsidR="00F40136" w:rsidRPr="00F40136" w:rsidRDefault="00F40136" w:rsidP="00F40136">
      <w:pPr>
        <w:pStyle w:val="BodyText"/>
        <w:rPr>
          <w:rFonts w:ascii="Palatino Linotype" w:hAnsi="Palatino Linotype"/>
        </w:rPr>
      </w:pPr>
      <w:r w:rsidRPr="00F40136">
        <w:rPr>
          <w:rFonts w:ascii="Palatino Linotype" w:hAnsi="Palatino Linotype"/>
        </w:rPr>
        <w:t>All required fields, including temperature, relative humidity, and calculated moisture content, were successfully populated with numerical values. Although independent laboratory equipment was unavailable to validate absolute accuracy, two indicators confirmed correct system behaviour:</w:t>
      </w:r>
    </w:p>
    <w:p w14:paraId="734A6BD2" w14:textId="77777777" w:rsidR="00F40136" w:rsidRPr="00F40136" w:rsidRDefault="00F40136" w:rsidP="00F40136">
      <w:pPr>
        <w:pStyle w:val="BodyText"/>
        <w:numPr>
          <w:ilvl w:val="0"/>
          <w:numId w:val="16"/>
        </w:numPr>
        <w:rPr>
          <w:rFonts w:ascii="Palatino Linotype" w:hAnsi="Palatino Linotype"/>
        </w:rPr>
      </w:pPr>
      <w:r w:rsidRPr="00F40136">
        <w:rPr>
          <w:rFonts w:ascii="Palatino Linotype" w:hAnsi="Palatino Linotype"/>
        </w:rPr>
        <w:t>Successful file generation, demonstrating that the embedded Python script processed sensor data and executed the equilibrium moisture content formula without error; and</w:t>
      </w:r>
    </w:p>
    <w:p w14:paraId="091746B6" w14:textId="77777777" w:rsidR="00F40136" w:rsidRPr="00F40136" w:rsidRDefault="00F40136" w:rsidP="00F40136">
      <w:pPr>
        <w:pStyle w:val="BodyText"/>
        <w:numPr>
          <w:ilvl w:val="0"/>
          <w:numId w:val="16"/>
        </w:numPr>
        <w:rPr>
          <w:rFonts w:ascii="Palatino Linotype" w:hAnsi="Palatino Linotype"/>
        </w:rPr>
      </w:pPr>
      <w:r w:rsidRPr="00F40136">
        <w:rPr>
          <w:rFonts w:ascii="Palatino Linotype" w:hAnsi="Palatino Linotype"/>
        </w:rPr>
        <w:t xml:space="preserve">Consistent incremental variation between successive measurement cycles. Observed differences ranged from 1–4%, which is characteristic of natural </w:t>
      </w:r>
      <w:r w:rsidRPr="00F40136">
        <w:rPr>
          <w:rFonts w:ascii="Palatino Linotype" w:hAnsi="Palatino Linotype"/>
        </w:rPr>
        <w:lastRenderedPageBreak/>
        <w:t>fluctuations in environmental conditions rather than systemic malfunction. Large or erratic deviations would have indicated computational or sensing errors, none of which were detected.</w:t>
      </w:r>
    </w:p>
    <w:p w14:paraId="5D006B7D" w14:textId="7CE244CC" w:rsidR="00F40136" w:rsidRPr="00C31CC7" w:rsidRDefault="00F40136" w:rsidP="00C31CC7">
      <w:pPr>
        <w:rPr>
          <w:rFonts w:ascii="Palatino Linotype" w:hAnsi="Palatino Linotype"/>
          <w:sz w:val="20"/>
          <w:szCs w:val="20"/>
        </w:rPr>
      </w:pPr>
      <w:r w:rsidRPr="00C31CC7">
        <w:rPr>
          <w:rFonts w:ascii="Palatino Linotype" w:hAnsi="Palatino Linotype"/>
          <w:sz w:val="20"/>
          <w:szCs w:val="20"/>
          <w:highlight w:val="yellow"/>
        </w:rPr>
        <w:t>These outcomes support H3 and demonstrate successful functional execution of H4</w:t>
      </w:r>
      <w:r w:rsidR="00BB4E20" w:rsidRPr="00C31CC7">
        <w:rPr>
          <w:rFonts w:ascii="Palatino Linotype" w:hAnsi="Palatino Linotype"/>
          <w:sz w:val="20"/>
          <w:szCs w:val="20"/>
          <w:highlight w:val="yellow"/>
        </w:rPr>
        <w:t>,</w:t>
      </w:r>
      <w:r w:rsidRPr="00C31CC7">
        <w:rPr>
          <w:rFonts w:ascii="Palatino Linotype" w:hAnsi="Palatino Linotype"/>
          <w:sz w:val="20"/>
          <w:szCs w:val="20"/>
          <w:highlight w:val="yellow"/>
        </w:rPr>
        <w:t xml:space="preserve"> the nodes autonomously generated structured environmental records and the implemented EMC algorithm returned numerical moisture estimates on the programmed cycle. However, because calibrated reference instrumentation was unavailable, the experiment validates software execution and output continuity rather than the absolute accuracy of the estimated timber moisture content.</w:t>
      </w:r>
    </w:p>
    <w:p w14:paraId="7963D90E" w14:textId="0C15A074" w:rsidR="00590A68" w:rsidRPr="00BB4E20" w:rsidRDefault="00BB4E20" w:rsidP="00BB4E20">
      <w:pPr>
        <w:pStyle w:val="BodyText"/>
        <w:ind w:firstLine="0"/>
        <w:rPr>
          <w:rFonts w:ascii="Palatino Linotype" w:hAnsi="Palatino Linotype"/>
        </w:rPr>
      </w:pPr>
      <w:r>
        <w:rPr>
          <w:rFonts w:ascii="Palatino Linotype" w:hAnsi="Palatino Linotype"/>
          <w:i/>
          <w:iCs/>
          <w:color w:val="0070C0"/>
          <w:sz w:val="22"/>
          <w:szCs w:val="22"/>
        </w:rPr>
        <w:t>Discussion</w:t>
      </w:r>
    </w:p>
    <w:p w14:paraId="068AF5DC" w14:textId="0959DA36" w:rsidR="00590A68" w:rsidRPr="00BB4E20" w:rsidRDefault="00590A68" w:rsidP="00C31CC7">
      <w:pPr>
        <w:ind w:left="0" w:firstLine="289"/>
        <w:rPr>
          <w:rFonts w:ascii="Palatino Linotype" w:eastAsia="Palatino Linotype" w:hAnsi="Palatino Linotype" w:cs="Palatino Linotype"/>
          <w:color w:val="4472C4"/>
          <w:sz w:val="28"/>
          <w:szCs w:val="28"/>
        </w:rPr>
      </w:pPr>
      <w:r w:rsidRPr="00BB4E20">
        <w:rPr>
          <w:rFonts w:ascii="Palatino Linotype" w:hAnsi="Palatino Linotype"/>
          <w:sz w:val="20"/>
          <w:szCs w:val="20"/>
          <w:highlight w:val="yellow"/>
        </w:rPr>
        <w:t xml:space="preserve">The results demonstrate a practical trade-off between the flexibility of an IEEE 802.11/Raspberry Pi architecture and the low-power characteristics commonly associated with conventional WSN platforms. The </w:t>
      </w:r>
      <w:r w:rsidR="0006208B">
        <w:rPr>
          <w:rFonts w:ascii="Palatino Linotype" w:hAnsi="Palatino Linotype"/>
          <w:sz w:val="20"/>
          <w:szCs w:val="20"/>
          <w:highlight w:val="yellow"/>
        </w:rPr>
        <w:t>switch</w:t>
      </w:r>
      <w:r w:rsidRPr="00BB4E20">
        <w:rPr>
          <w:rFonts w:ascii="Palatino Linotype" w:hAnsi="Palatino Linotype"/>
          <w:sz w:val="20"/>
          <w:szCs w:val="20"/>
          <w:highlight w:val="yellow"/>
        </w:rPr>
        <w:t xml:space="preserve"> from Arduino to Raspberry Pi increased processing capability and enabled local Python-based sensing, file generation and standard IP networking, but it also introduced greater power requirements. For this application, therefore, network availability and robustness are more significant than peak throughput.</w:t>
      </w:r>
    </w:p>
    <w:p w14:paraId="1C06B17F" w14:textId="4FD98C8B" w:rsidR="00590A68" w:rsidRDefault="00590A68" w:rsidP="00BB4E20">
      <w:pPr>
        <w:rPr>
          <w:rFonts w:ascii="Palatino Linotype" w:hAnsi="Palatino Linotype"/>
          <w:sz w:val="20"/>
          <w:szCs w:val="20"/>
        </w:rPr>
      </w:pPr>
      <w:r w:rsidRPr="00BB4E20">
        <w:rPr>
          <w:rFonts w:ascii="Palatino Linotype" w:hAnsi="Palatino Linotype"/>
          <w:sz w:val="20"/>
          <w:szCs w:val="20"/>
          <w:highlight w:val="yellow"/>
        </w:rPr>
        <w:t xml:space="preserve">The study also shows why the contribution should be interpreted as a timber-specific systems integration and feasibility study rather than as a new sensing technology. The architecture combined open-source single-board computers, environmental sensors, local processing and standard wireless networking in response </w:t>
      </w:r>
      <w:r w:rsidR="0006208B">
        <w:rPr>
          <w:rFonts w:ascii="Palatino Linotype" w:hAnsi="Palatino Linotype"/>
          <w:sz w:val="20"/>
          <w:szCs w:val="20"/>
          <w:highlight w:val="yellow"/>
        </w:rPr>
        <w:t>of a rugged timber framed structure</w:t>
      </w:r>
      <w:r w:rsidRPr="00BB4E20">
        <w:rPr>
          <w:rFonts w:ascii="Palatino Linotype" w:hAnsi="Palatino Linotype"/>
          <w:sz w:val="20"/>
          <w:szCs w:val="20"/>
          <w:highlight w:val="yellow"/>
        </w:rPr>
        <w:t>. All nodes were reachable in the initial connectivity test, and the sensing software generated the intended environmental and EMC records. At the same time, the 10% packet loss observed on one representative node and the approximately 5 Mbit/s throughput difference between representative positions demonstrate that deployment geometry remains an important engineering consideration.</w:t>
      </w:r>
    </w:p>
    <w:p w14:paraId="4030E13C" w14:textId="4369CC43" w:rsidR="00BB4E20" w:rsidRPr="00BB4E20" w:rsidRDefault="00BB4E20" w:rsidP="00BB4E20">
      <w:pPr>
        <w:rPr>
          <w:rFonts w:ascii="Palatino Linotype" w:eastAsia="Palatino Linotype" w:hAnsi="Palatino Linotype" w:cs="Palatino Linotype"/>
          <w:color w:val="4472C4"/>
          <w:sz w:val="28"/>
          <w:szCs w:val="28"/>
        </w:rPr>
      </w:pPr>
      <w:r>
        <w:rPr>
          <w:rFonts w:ascii="Palatino Linotype" w:hAnsi="Palatino Linotype"/>
          <w:i/>
          <w:iCs/>
          <w:color w:val="0070C0"/>
          <w:sz w:val="22"/>
          <w:szCs w:val="22"/>
        </w:rPr>
        <w:t>Limitations and Threat to Validity</w:t>
      </w:r>
    </w:p>
    <w:p w14:paraId="2D275787" w14:textId="77777777" w:rsidR="00590A68" w:rsidRPr="00BB4E20" w:rsidRDefault="00590A68" w:rsidP="00BB4E20">
      <w:pPr>
        <w:rPr>
          <w:rFonts w:ascii="Palatino Linotype" w:eastAsia="Palatino Linotype" w:hAnsi="Palatino Linotype" w:cs="Palatino Linotype"/>
          <w:color w:val="4472C4"/>
          <w:sz w:val="28"/>
          <w:szCs w:val="28"/>
        </w:rPr>
      </w:pPr>
      <w:r w:rsidRPr="00BB4E20">
        <w:rPr>
          <w:rFonts w:ascii="Palatino Linotype" w:hAnsi="Palatino Linotype"/>
          <w:sz w:val="20"/>
          <w:szCs w:val="20"/>
          <w:highlight w:val="yellow"/>
        </w:rPr>
        <w:t>Measurement validity is the principal limitation. Independent calibrated instrumentation was not available, so the absolute accuracy of the BME280-derived measurements and calculated EMC values could not be established. The moisture results must therefore be interpreted as evidence that the sensing and calculation pipeline operated correctly, not as validated measurements of timber moisture content. Experimental validity is also constrained because access restrictions prevented the complete network from being evaluated at the intended rural building during the final test period; the full WSN was instead arranged in a laboratory to approximate the planned topology, while a smaller deployment was evaluated in a timber-framed environment. Network measurements are consequently evidence of feasibility within the tested configuration rather than universal performance characteristics.</w:t>
      </w:r>
    </w:p>
    <w:p w14:paraId="59559761" w14:textId="77777777" w:rsidR="00590A68" w:rsidRPr="00BB4E20" w:rsidRDefault="00590A68" w:rsidP="00BB4E20">
      <w:pPr>
        <w:rPr>
          <w:rFonts w:ascii="Palatino Linotype" w:eastAsia="Palatino Linotype" w:hAnsi="Palatino Linotype" w:cs="Palatino Linotype"/>
          <w:color w:val="4472C4"/>
          <w:sz w:val="28"/>
          <w:szCs w:val="28"/>
        </w:rPr>
      </w:pPr>
      <w:r w:rsidRPr="00BB4E20">
        <w:rPr>
          <w:rFonts w:ascii="Palatino Linotype" w:hAnsi="Palatino Linotype"/>
          <w:sz w:val="20"/>
          <w:szCs w:val="20"/>
          <w:highlight w:val="yellow"/>
        </w:rPr>
        <w:lastRenderedPageBreak/>
        <w:t>Additional limitations concern time synchronisation, sampling resolution and power. NTP synchronisation was affected by limited internet access and the Raspberry Pi nodes lacked persistent real-time clocks. The 15-minute sampling interval provides useful periodic monitoring but may miss short-duration environmental fluctuations. Finally, the study did not quantify long-term energy consumption or autonomous battery life. These limitations restrict claims regarding metrological accuracy and long-duration field performance, but they do not invalidate the demonstrated integration of distributed sensing, local processing, network communication and EMC estimation within the prototype architecture.</w:t>
      </w:r>
    </w:p>
    <w:p w14:paraId="5166ADD9" w14:textId="1DBA453C" w:rsidR="00F47EB2" w:rsidRDefault="00000000" w:rsidP="00F721D0">
      <w:pPr>
        <w:pStyle w:val="Heading1"/>
        <w:spacing w:after="0" w:line="240" w:lineRule="auto"/>
        <w:rPr>
          <w:rFonts w:ascii="Palatino Linotype" w:eastAsia="Palatino Linotype" w:hAnsi="Palatino Linotype" w:cs="Palatino Linotype"/>
          <w:color w:val="4472C4"/>
          <w:sz w:val="24"/>
          <w:szCs w:val="24"/>
        </w:rPr>
      </w:pPr>
      <w:r>
        <w:rPr>
          <w:rFonts w:ascii="Palatino Linotype" w:eastAsia="Palatino Linotype" w:hAnsi="Palatino Linotype" w:cs="Palatino Linotype"/>
          <w:color w:val="4472C4"/>
          <w:sz w:val="24"/>
          <w:szCs w:val="24"/>
        </w:rPr>
        <w:tab/>
        <w:t>CONCLUSION</w:t>
      </w:r>
    </w:p>
    <w:p w14:paraId="0DB62259" w14:textId="77777777" w:rsidR="00F40136" w:rsidRPr="00C31CC7" w:rsidRDefault="00F40136" w:rsidP="00C31CC7">
      <w:pPr>
        <w:rPr>
          <w:rFonts w:ascii="Palatino Linotype" w:hAnsi="Palatino Linotype"/>
          <w:sz w:val="20"/>
          <w:szCs w:val="20"/>
        </w:rPr>
      </w:pPr>
      <w:r w:rsidRPr="00C31CC7">
        <w:rPr>
          <w:rFonts w:ascii="Palatino Linotype" w:hAnsi="Palatino Linotype"/>
          <w:sz w:val="20"/>
          <w:szCs w:val="20"/>
          <w:highlight w:val="yellow"/>
        </w:rPr>
        <w:t>This study investigated whether a low-cost IEEE 802.11 Wireless Sensor Network could support environmental monitoring within a timber-frame building scenario and whether temperature and relative humidity measurements could be processed to estimate timber equilibrium moisture content. For RQ1, the initial network test demonstrated reachability across all fifteen sensor nodes, while detailed tests identified location-dependent packet loss and throughput variation. The available communication capacity nevertheless remained sufficient for the low-volume environmental data generated at 15-minute intervals. For RQ2, the sensor nodes successfully acquired environmental measurements and executed the implemented EMC model, producing structured numerical moisture estimates without manual intervention.</w:t>
      </w:r>
    </w:p>
    <w:p w14:paraId="5A0697F2" w14:textId="1F5058CC" w:rsidR="009137CF" w:rsidRPr="00C31CC7" w:rsidRDefault="00F40136" w:rsidP="00C31CC7">
      <w:pPr>
        <w:ind w:left="0" w:firstLine="289"/>
        <w:rPr>
          <w:rFonts w:ascii="Palatino Linotype" w:hAnsi="Palatino Linotype"/>
          <w:sz w:val="20"/>
          <w:szCs w:val="20"/>
        </w:rPr>
      </w:pPr>
      <w:r w:rsidRPr="00C31CC7">
        <w:rPr>
          <w:rFonts w:ascii="Palatino Linotype" w:hAnsi="Palatino Linotype"/>
          <w:sz w:val="20"/>
          <w:szCs w:val="20"/>
          <w:highlight w:val="yellow"/>
        </w:rPr>
        <w:t>The results therefore support the functional feasibility of the proposed architecture, but the conclusions must remain bounded by the available evidence. In particular, the absence of independent calibrated reference equipment means that the study cannot claim validated absolute timber-moisture accuracy, and the restricted final deployment prevents claims of long-term field reliability. The principal contribution is instead the design and evaluation of an open, adaptable and timber-specific monitoring architecture that integrates distributed sensing, local computation, standard Wi-Fi communication and EMC estimation using readily available hardware. Future work should prioritise calibrated ground-truth comparison, longer deployments across multiple timber structures, quantified power consumption, improved time synchronisation and systematic evaluation of alternative low-power communication technologies.</w:t>
      </w:r>
    </w:p>
    <w:p w14:paraId="131E4663" w14:textId="77777777" w:rsidR="00F40136" w:rsidRPr="00F40136" w:rsidRDefault="00F40136" w:rsidP="00F40136">
      <w:pPr>
        <w:pStyle w:val="BodyText"/>
        <w:spacing w:after="0" w:line="240" w:lineRule="auto"/>
        <w:ind w:firstLine="289"/>
        <w:rPr>
          <w:rFonts w:ascii="Palatino Linotype" w:hAnsi="Palatino Linotype"/>
        </w:rPr>
      </w:pPr>
    </w:p>
    <w:p w14:paraId="0090974D" w14:textId="77777777" w:rsidR="00F47EB2" w:rsidRDefault="00000000">
      <w:pPr>
        <w:pStyle w:val="Heading1"/>
        <w:rPr>
          <w:rFonts w:ascii="Palatino Linotype" w:eastAsia="Palatino Linotype" w:hAnsi="Palatino Linotype" w:cs="Palatino Linotype"/>
          <w:color w:val="4472C4"/>
          <w:sz w:val="24"/>
          <w:szCs w:val="24"/>
        </w:rPr>
      </w:pPr>
      <w:r>
        <w:rPr>
          <w:rFonts w:ascii="Palatino Linotype" w:eastAsia="Palatino Linotype" w:hAnsi="Palatino Linotype" w:cs="Palatino Linotype"/>
          <w:color w:val="4472C4"/>
          <w:sz w:val="24"/>
          <w:szCs w:val="24"/>
        </w:rPr>
        <w:t>ACKNOWLEDGMENT</w:t>
      </w:r>
    </w:p>
    <w:p w14:paraId="1EE17CE6" w14:textId="18444B23" w:rsidR="00F810B8" w:rsidRDefault="009A2890" w:rsidP="00F810B8">
      <w:pPr>
        <w:rPr>
          <w:rFonts w:ascii="Palatino Linotype" w:eastAsia="Palatino Linotype" w:hAnsi="Palatino Linotype" w:cs="Palatino Linotype"/>
          <w:sz w:val="20"/>
          <w:szCs w:val="20"/>
        </w:rPr>
      </w:pPr>
      <w:r w:rsidRPr="009A2890">
        <w:rPr>
          <w:rFonts w:ascii="Palatino Linotype" w:eastAsia="Palatino Linotype" w:hAnsi="Palatino Linotype" w:cs="Palatino Linotype"/>
          <w:sz w:val="20"/>
          <w:szCs w:val="20"/>
        </w:rPr>
        <w:t xml:space="preserve">This research was supported by the University of Wales Trinity St David School of Applied Computing and the </w:t>
      </w:r>
      <w:proofErr w:type="gramStart"/>
      <w:r w:rsidRPr="009A2890">
        <w:rPr>
          <w:rFonts w:ascii="Palatino Linotype" w:eastAsia="Palatino Linotype" w:hAnsi="Palatino Linotype" w:cs="Palatino Linotype"/>
          <w:sz w:val="20"/>
          <w:szCs w:val="20"/>
        </w:rPr>
        <w:t>Down to Earth</w:t>
      </w:r>
      <w:proofErr w:type="gramEnd"/>
      <w:r w:rsidRPr="009A2890">
        <w:rPr>
          <w:rFonts w:ascii="Palatino Linotype" w:eastAsia="Palatino Linotype" w:hAnsi="Palatino Linotype" w:cs="Palatino Linotype"/>
          <w:sz w:val="20"/>
          <w:szCs w:val="20"/>
        </w:rPr>
        <w:t xml:space="preserve"> Project.</w:t>
      </w:r>
    </w:p>
    <w:p w14:paraId="62B46B36" w14:textId="77777777" w:rsidR="00F47EB2" w:rsidRDefault="00000000">
      <w:pPr>
        <w:pStyle w:val="Heading1"/>
        <w:rPr>
          <w:rFonts w:ascii="Palatino Linotype" w:eastAsia="Palatino Linotype" w:hAnsi="Palatino Linotype" w:cs="Palatino Linotype"/>
          <w:color w:val="4472C4"/>
          <w:sz w:val="24"/>
          <w:szCs w:val="24"/>
        </w:rPr>
      </w:pPr>
      <w:r>
        <w:rPr>
          <w:rFonts w:ascii="Palatino Linotype" w:eastAsia="Palatino Linotype" w:hAnsi="Palatino Linotype" w:cs="Palatino Linotype"/>
          <w:color w:val="4472C4"/>
          <w:sz w:val="24"/>
          <w:szCs w:val="24"/>
        </w:rPr>
        <w:t>CONFLICT OF INTERESTS</w:t>
      </w:r>
    </w:p>
    <w:p w14:paraId="3E81E98F" w14:textId="57C8B685" w:rsidR="00F47EB2" w:rsidRDefault="00000000">
      <w:pPr>
        <w:rPr>
          <w:rFonts w:ascii="Palatino Linotype" w:eastAsia="Palatino Linotype" w:hAnsi="Palatino Linotype" w:cs="Palatino Linotype"/>
          <w:sz w:val="20"/>
          <w:szCs w:val="20"/>
        </w:rPr>
      </w:pPr>
      <w:r>
        <w:rPr>
          <w:rFonts w:ascii="Palatino Linotype" w:eastAsia="Palatino Linotype" w:hAnsi="Palatino Linotype" w:cs="Palatino Linotype"/>
          <w:sz w:val="20"/>
          <w:szCs w:val="20"/>
        </w:rPr>
        <w:t>The authors confirm that there is no conflict of interest associated with this publication.</w:t>
      </w:r>
    </w:p>
    <w:p w14:paraId="3AEDAB3E" w14:textId="77777777" w:rsidR="00F47EB2" w:rsidRPr="009137CF" w:rsidRDefault="00000000">
      <w:pPr>
        <w:pStyle w:val="Heading1"/>
        <w:spacing w:after="120"/>
        <w:ind w:left="11" w:hanging="11"/>
        <w:rPr>
          <w:rFonts w:ascii="Palatino Linotype" w:eastAsia="Palatino Linotype" w:hAnsi="Palatino Linotype" w:cs="Palatino Linotype"/>
          <w:color w:val="4472C4"/>
        </w:rPr>
      </w:pPr>
      <w:r>
        <w:rPr>
          <w:rFonts w:ascii="Palatino Linotype" w:eastAsia="Palatino Linotype" w:hAnsi="Palatino Linotype" w:cs="Palatino Linotype"/>
          <w:color w:val="4472C4"/>
          <w:sz w:val="24"/>
          <w:szCs w:val="24"/>
        </w:rPr>
        <w:lastRenderedPageBreak/>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92"/>
        <w:gridCol w:w="7244"/>
      </w:tblGrid>
      <w:tr w:rsidR="009A2890" w14:paraId="796E71D7" w14:textId="77777777" w:rsidTr="005E4ABF">
        <w:trPr>
          <w:tblCellSpacing w:w="15" w:type="dxa"/>
        </w:trPr>
        <w:tc>
          <w:tcPr>
            <w:tcW w:w="50" w:type="pct"/>
            <w:hideMark/>
          </w:tcPr>
          <w:p w14:paraId="4F2C2F7C" w14:textId="77777777" w:rsidR="009A2890" w:rsidRDefault="009A2890" w:rsidP="005E4ABF">
            <w:pPr>
              <w:pStyle w:val="Bibliography"/>
              <w:rPr>
                <w:noProof/>
                <w:sz w:val="24"/>
                <w:szCs w:val="24"/>
              </w:rPr>
            </w:pPr>
            <w:r>
              <w:rPr>
                <w:noProof/>
              </w:rPr>
              <w:t xml:space="preserve">[1] </w:t>
            </w:r>
          </w:p>
        </w:tc>
        <w:tc>
          <w:tcPr>
            <w:tcW w:w="0" w:type="auto"/>
            <w:hideMark/>
          </w:tcPr>
          <w:p w14:paraId="6D2682A2" w14:textId="77777777" w:rsidR="009A2890" w:rsidRDefault="009A2890" w:rsidP="009A2890">
            <w:pPr>
              <w:pStyle w:val="Bibliography"/>
              <w:ind w:left="0" w:firstLine="0"/>
              <w:rPr>
                <w:noProof/>
              </w:rPr>
            </w:pPr>
            <w:r>
              <w:rPr>
                <w:noProof/>
              </w:rPr>
              <w:t xml:space="preserve">I. F. Akyildiz and M. C. Vuran, Wireless Sensor Networks, John Wiley &amp; Sons, 2010. </w:t>
            </w:r>
          </w:p>
        </w:tc>
      </w:tr>
      <w:tr w:rsidR="009A2890" w14:paraId="7331F794" w14:textId="77777777" w:rsidTr="005E4ABF">
        <w:trPr>
          <w:tblCellSpacing w:w="15" w:type="dxa"/>
        </w:trPr>
        <w:tc>
          <w:tcPr>
            <w:tcW w:w="50" w:type="pct"/>
            <w:hideMark/>
          </w:tcPr>
          <w:p w14:paraId="1D124203" w14:textId="77777777" w:rsidR="009A2890" w:rsidRDefault="009A2890" w:rsidP="005E4ABF">
            <w:pPr>
              <w:pStyle w:val="Bibliography"/>
              <w:rPr>
                <w:noProof/>
              </w:rPr>
            </w:pPr>
            <w:r>
              <w:rPr>
                <w:noProof/>
              </w:rPr>
              <w:t xml:space="preserve">[2] </w:t>
            </w:r>
          </w:p>
        </w:tc>
        <w:tc>
          <w:tcPr>
            <w:tcW w:w="0" w:type="auto"/>
            <w:hideMark/>
          </w:tcPr>
          <w:p w14:paraId="607B3F22" w14:textId="77777777" w:rsidR="009A2890" w:rsidRDefault="009A2890" w:rsidP="009A2890">
            <w:pPr>
              <w:pStyle w:val="Bibliography"/>
              <w:ind w:left="0" w:firstLine="0"/>
              <w:rPr>
                <w:noProof/>
              </w:rPr>
            </w:pPr>
            <w:r>
              <w:rPr>
                <w:noProof/>
              </w:rPr>
              <w:t>F. Fukuyama, "21 Ideas of the 21st Century," Business Weekly, 1999, pp. 78-167.</w:t>
            </w:r>
          </w:p>
        </w:tc>
      </w:tr>
      <w:tr w:rsidR="009A2890" w14:paraId="71EE5A7F" w14:textId="77777777" w:rsidTr="005E4ABF">
        <w:trPr>
          <w:tblCellSpacing w:w="15" w:type="dxa"/>
        </w:trPr>
        <w:tc>
          <w:tcPr>
            <w:tcW w:w="50" w:type="pct"/>
            <w:hideMark/>
          </w:tcPr>
          <w:p w14:paraId="5EF3EF1C" w14:textId="77777777" w:rsidR="009A2890" w:rsidRDefault="009A2890" w:rsidP="005E4ABF">
            <w:pPr>
              <w:pStyle w:val="Bibliography"/>
              <w:rPr>
                <w:noProof/>
              </w:rPr>
            </w:pPr>
            <w:r>
              <w:rPr>
                <w:noProof/>
              </w:rPr>
              <w:t xml:space="preserve">[3] </w:t>
            </w:r>
          </w:p>
        </w:tc>
        <w:tc>
          <w:tcPr>
            <w:tcW w:w="0" w:type="auto"/>
            <w:hideMark/>
          </w:tcPr>
          <w:p w14:paraId="4F28F93C" w14:textId="594AE9C9" w:rsidR="009A2890" w:rsidRDefault="009A2890" w:rsidP="009A2890">
            <w:pPr>
              <w:pStyle w:val="Bibliography"/>
              <w:ind w:firstLine="0"/>
              <w:rPr>
                <w:noProof/>
              </w:rPr>
            </w:pPr>
            <w:r>
              <w:rPr>
                <w:noProof/>
              </w:rPr>
              <w:t xml:space="preserve">E. Andrews, "Who Invented the Internet," 2019. [Online]. Available: https://www.history.com/news/who-invented-the-internet. [Accessed </w:t>
            </w:r>
            <w:r w:rsidR="00F41369">
              <w:rPr>
                <w:noProof/>
              </w:rPr>
              <w:t>26</w:t>
            </w:r>
            <w:r>
              <w:rPr>
                <w:noProof/>
              </w:rPr>
              <w:t xml:space="preserve"> </w:t>
            </w:r>
            <w:r w:rsidR="00F41369">
              <w:rPr>
                <w:noProof/>
              </w:rPr>
              <w:t>March</w:t>
            </w:r>
            <w:r>
              <w:rPr>
                <w:noProof/>
              </w:rPr>
              <w:t xml:space="preserve"> 20</w:t>
            </w:r>
            <w:r w:rsidR="00F41369">
              <w:rPr>
                <w:noProof/>
              </w:rPr>
              <w:t>26</w:t>
            </w:r>
            <w:r>
              <w:rPr>
                <w:noProof/>
              </w:rPr>
              <w:t>].</w:t>
            </w:r>
          </w:p>
        </w:tc>
      </w:tr>
      <w:tr w:rsidR="009A2890" w14:paraId="6C35E82A" w14:textId="77777777" w:rsidTr="005E4ABF">
        <w:trPr>
          <w:tblCellSpacing w:w="15" w:type="dxa"/>
        </w:trPr>
        <w:tc>
          <w:tcPr>
            <w:tcW w:w="50" w:type="pct"/>
            <w:hideMark/>
          </w:tcPr>
          <w:p w14:paraId="6012A2F6" w14:textId="77777777" w:rsidR="009A2890" w:rsidRDefault="009A2890" w:rsidP="005E4ABF">
            <w:pPr>
              <w:pStyle w:val="Bibliography"/>
              <w:rPr>
                <w:noProof/>
              </w:rPr>
            </w:pPr>
            <w:r>
              <w:rPr>
                <w:noProof/>
              </w:rPr>
              <w:t xml:space="preserve">[4] </w:t>
            </w:r>
          </w:p>
        </w:tc>
        <w:tc>
          <w:tcPr>
            <w:tcW w:w="0" w:type="auto"/>
            <w:hideMark/>
          </w:tcPr>
          <w:p w14:paraId="460295B4" w14:textId="1889015A" w:rsidR="009A2890" w:rsidRDefault="009A2890" w:rsidP="009A2890">
            <w:pPr>
              <w:pStyle w:val="Bibliography"/>
              <w:ind w:firstLine="0"/>
              <w:rPr>
                <w:noProof/>
              </w:rPr>
            </w:pPr>
            <w:r>
              <w:rPr>
                <w:noProof/>
              </w:rPr>
              <w:t xml:space="preserve">J. Camhi and J. Greennough, "The Future of IoT: Trends, Growth &amp; Megatrends," 2016. [Online]. Available: https://www.businessinsider.com/top-internet-of-things-trends-2016-1?r=US&amp;IR=T.. [Accessed </w:t>
            </w:r>
            <w:r w:rsidR="00F41369">
              <w:rPr>
                <w:noProof/>
              </w:rPr>
              <w:t>26</w:t>
            </w:r>
            <w:r>
              <w:rPr>
                <w:noProof/>
              </w:rPr>
              <w:t xml:space="preserve"> </w:t>
            </w:r>
            <w:r w:rsidR="00F41369">
              <w:rPr>
                <w:noProof/>
              </w:rPr>
              <w:t>March</w:t>
            </w:r>
            <w:r>
              <w:rPr>
                <w:noProof/>
              </w:rPr>
              <w:t xml:space="preserve"> 20</w:t>
            </w:r>
            <w:r w:rsidR="00F41369">
              <w:rPr>
                <w:noProof/>
              </w:rPr>
              <w:t>26</w:t>
            </w:r>
            <w:r>
              <w:rPr>
                <w:noProof/>
              </w:rPr>
              <w:t>].</w:t>
            </w:r>
          </w:p>
        </w:tc>
      </w:tr>
      <w:tr w:rsidR="009A2890" w14:paraId="17AE880E" w14:textId="77777777" w:rsidTr="005E4ABF">
        <w:trPr>
          <w:tblCellSpacing w:w="15" w:type="dxa"/>
        </w:trPr>
        <w:tc>
          <w:tcPr>
            <w:tcW w:w="50" w:type="pct"/>
            <w:hideMark/>
          </w:tcPr>
          <w:p w14:paraId="6B1881ED" w14:textId="77777777" w:rsidR="009A2890" w:rsidRDefault="009A2890" w:rsidP="005E4ABF">
            <w:pPr>
              <w:pStyle w:val="Bibliography"/>
              <w:rPr>
                <w:noProof/>
              </w:rPr>
            </w:pPr>
            <w:r>
              <w:rPr>
                <w:noProof/>
              </w:rPr>
              <w:t xml:space="preserve">[5] </w:t>
            </w:r>
          </w:p>
        </w:tc>
        <w:tc>
          <w:tcPr>
            <w:tcW w:w="0" w:type="auto"/>
            <w:hideMark/>
          </w:tcPr>
          <w:p w14:paraId="263D45E1" w14:textId="77777777" w:rsidR="009A2890" w:rsidRPr="00CE6112" w:rsidRDefault="009A2890" w:rsidP="009A2890">
            <w:pPr>
              <w:pStyle w:val="Bibliography"/>
              <w:ind w:firstLine="0"/>
              <w:rPr>
                <w:noProof/>
                <w:highlight w:val="yellow"/>
              </w:rPr>
            </w:pPr>
            <w:r w:rsidRPr="00CE6112">
              <w:rPr>
                <w:noProof/>
                <w:highlight w:val="yellow"/>
              </w:rPr>
              <w:t xml:space="preserve">D. Evans, The Internet of Things How the Next Evolution of the Internet Is Changing Everything, 2011. </w:t>
            </w:r>
          </w:p>
        </w:tc>
      </w:tr>
      <w:tr w:rsidR="009A2890" w14:paraId="1C0F20B7" w14:textId="77777777" w:rsidTr="005E4ABF">
        <w:trPr>
          <w:tblCellSpacing w:w="15" w:type="dxa"/>
        </w:trPr>
        <w:tc>
          <w:tcPr>
            <w:tcW w:w="50" w:type="pct"/>
            <w:hideMark/>
          </w:tcPr>
          <w:p w14:paraId="1DA64739" w14:textId="77777777" w:rsidR="009A2890" w:rsidRDefault="009A2890" w:rsidP="005E4ABF">
            <w:pPr>
              <w:pStyle w:val="Bibliography"/>
              <w:rPr>
                <w:noProof/>
              </w:rPr>
            </w:pPr>
            <w:r>
              <w:rPr>
                <w:noProof/>
              </w:rPr>
              <w:t xml:space="preserve">[6] </w:t>
            </w:r>
          </w:p>
        </w:tc>
        <w:tc>
          <w:tcPr>
            <w:tcW w:w="0" w:type="auto"/>
            <w:hideMark/>
          </w:tcPr>
          <w:p w14:paraId="0F0709C9" w14:textId="77777777" w:rsidR="009A2890" w:rsidRPr="00CE6112" w:rsidRDefault="009A2890" w:rsidP="009A2890">
            <w:pPr>
              <w:pStyle w:val="Bibliography"/>
              <w:ind w:firstLine="0"/>
              <w:rPr>
                <w:noProof/>
                <w:highlight w:val="yellow"/>
              </w:rPr>
            </w:pPr>
            <w:r w:rsidRPr="00CE6112">
              <w:rPr>
                <w:noProof/>
                <w:highlight w:val="yellow"/>
              </w:rPr>
              <w:t>"The MIT Auto-ID Lab," Massachusetts Institute of Technology, [Online]. Available: https://auto.mit.edu/. [Accessed 04 September 2019].</w:t>
            </w:r>
          </w:p>
        </w:tc>
      </w:tr>
      <w:tr w:rsidR="009A2890" w14:paraId="142B7206" w14:textId="77777777" w:rsidTr="005E4ABF">
        <w:trPr>
          <w:tblCellSpacing w:w="15" w:type="dxa"/>
        </w:trPr>
        <w:tc>
          <w:tcPr>
            <w:tcW w:w="50" w:type="pct"/>
            <w:hideMark/>
          </w:tcPr>
          <w:p w14:paraId="0B66C4E8" w14:textId="77777777" w:rsidR="009A2890" w:rsidRDefault="009A2890" w:rsidP="005E4ABF">
            <w:pPr>
              <w:pStyle w:val="Bibliography"/>
              <w:rPr>
                <w:noProof/>
              </w:rPr>
            </w:pPr>
            <w:r>
              <w:rPr>
                <w:noProof/>
              </w:rPr>
              <w:t xml:space="preserve">[7] </w:t>
            </w:r>
          </w:p>
        </w:tc>
        <w:tc>
          <w:tcPr>
            <w:tcW w:w="0" w:type="auto"/>
            <w:hideMark/>
          </w:tcPr>
          <w:p w14:paraId="009CA325" w14:textId="77777777" w:rsidR="009A2890" w:rsidRDefault="009A2890" w:rsidP="009A2890">
            <w:pPr>
              <w:pStyle w:val="Bibliography"/>
              <w:ind w:left="0" w:firstLine="0"/>
              <w:rPr>
                <w:noProof/>
              </w:rPr>
            </w:pPr>
            <w:r w:rsidRPr="00CE6112">
              <w:rPr>
                <w:noProof/>
                <w:highlight w:val="yellow"/>
              </w:rPr>
              <w:t>J. Iwata, Making Markets: Smarter Planet, 2012.</w:t>
            </w:r>
            <w:r>
              <w:rPr>
                <w:noProof/>
              </w:rPr>
              <w:t xml:space="preserve"> </w:t>
            </w:r>
          </w:p>
        </w:tc>
      </w:tr>
      <w:tr w:rsidR="009A2890" w14:paraId="3A1012D5" w14:textId="77777777" w:rsidTr="005E4ABF">
        <w:trPr>
          <w:tblCellSpacing w:w="15" w:type="dxa"/>
        </w:trPr>
        <w:tc>
          <w:tcPr>
            <w:tcW w:w="50" w:type="pct"/>
            <w:hideMark/>
          </w:tcPr>
          <w:p w14:paraId="61C210C4" w14:textId="77777777" w:rsidR="009A2890" w:rsidRDefault="009A2890" w:rsidP="005E4ABF">
            <w:pPr>
              <w:pStyle w:val="Bibliography"/>
              <w:rPr>
                <w:noProof/>
              </w:rPr>
            </w:pPr>
            <w:r>
              <w:rPr>
                <w:noProof/>
              </w:rPr>
              <w:t xml:space="preserve">[8] </w:t>
            </w:r>
          </w:p>
        </w:tc>
        <w:tc>
          <w:tcPr>
            <w:tcW w:w="0" w:type="auto"/>
            <w:hideMark/>
          </w:tcPr>
          <w:p w14:paraId="6D0A2A92" w14:textId="77777777" w:rsidR="009A2890" w:rsidRDefault="009A2890" w:rsidP="009A2890">
            <w:pPr>
              <w:pStyle w:val="Bibliography"/>
              <w:ind w:firstLine="0"/>
              <w:rPr>
                <w:noProof/>
              </w:rPr>
            </w:pPr>
            <w:r w:rsidRPr="00CE6112">
              <w:rPr>
                <w:noProof/>
                <w:highlight w:val="yellow"/>
              </w:rPr>
              <w:t>R. Van Der Meulen, Gartner Says 8.4 Billion Connected ‘Things’ Will Be in Use in 2017, Up 31 Percent From 2016, 2017.</w:t>
            </w:r>
            <w:r>
              <w:rPr>
                <w:noProof/>
              </w:rPr>
              <w:t xml:space="preserve"> </w:t>
            </w:r>
          </w:p>
        </w:tc>
      </w:tr>
      <w:tr w:rsidR="009A2890" w14:paraId="35D7BF68" w14:textId="77777777" w:rsidTr="005E4ABF">
        <w:trPr>
          <w:tblCellSpacing w:w="15" w:type="dxa"/>
        </w:trPr>
        <w:tc>
          <w:tcPr>
            <w:tcW w:w="50" w:type="pct"/>
            <w:hideMark/>
          </w:tcPr>
          <w:p w14:paraId="15AF4F85" w14:textId="77777777" w:rsidR="009A2890" w:rsidRDefault="009A2890" w:rsidP="005E4ABF">
            <w:pPr>
              <w:pStyle w:val="Bibliography"/>
              <w:rPr>
                <w:noProof/>
              </w:rPr>
            </w:pPr>
            <w:r>
              <w:rPr>
                <w:noProof/>
              </w:rPr>
              <w:t xml:space="preserve">[9] </w:t>
            </w:r>
          </w:p>
        </w:tc>
        <w:tc>
          <w:tcPr>
            <w:tcW w:w="0" w:type="auto"/>
            <w:hideMark/>
          </w:tcPr>
          <w:p w14:paraId="018A6881" w14:textId="77777777" w:rsidR="009A2890" w:rsidRDefault="009A2890" w:rsidP="009A2890">
            <w:pPr>
              <w:pStyle w:val="Bibliography"/>
              <w:ind w:firstLine="0"/>
              <w:rPr>
                <w:noProof/>
              </w:rPr>
            </w:pPr>
            <w:r>
              <w:rPr>
                <w:noProof/>
              </w:rPr>
              <w:t xml:space="preserve">C.-Y. Chong and S. P. Kumar, "Sensor networks: Evolution, opportunities, and challenges," </w:t>
            </w:r>
            <w:r>
              <w:rPr>
                <w:i/>
                <w:iCs/>
                <w:noProof/>
              </w:rPr>
              <w:t xml:space="preserve">IEEE, </w:t>
            </w:r>
            <w:r>
              <w:rPr>
                <w:noProof/>
              </w:rPr>
              <w:t xml:space="preserve">vol. 91, no. 8, pp. 1247-1256, 2003. </w:t>
            </w:r>
          </w:p>
        </w:tc>
      </w:tr>
      <w:tr w:rsidR="009A2890" w14:paraId="623643AF" w14:textId="77777777" w:rsidTr="005E4ABF">
        <w:trPr>
          <w:tblCellSpacing w:w="15" w:type="dxa"/>
        </w:trPr>
        <w:tc>
          <w:tcPr>
            <w:tcW w:w="50" w:type="pct"/>
            <w:hideMark/>
          </w:tcPr>
          <w:p w14:paraId="30D6C882" w14:textId="77777777" w:rsidR="009A2890" w:rsidRDefault="009A2890" w:rsidP="005E4ABF">
            <w:pPr>
              <w:pStyle w:val="Bibliography"/>
              <w:rPr>
                <w:noProof/>
              </w:rPr>
            </w:pPr>
            <w:r>
              <w:rPr>
                <w:noProof/>
              </w:rPr>
              <w:t xml:space="preserve">[10] </w:t>
            </w:r>
          </w:p>
        </w:tc>
        <w:tc>
          <w:tcPr>
            <w:tcW w:w="0" w:type="auto"/>
            <w:hideMark/>
          </w:tcPr>
          <w:p w14:paraId="3AD6EC5B" w14:textId="77777777" w:rsidR="009A2890" w:rsidRDefault="009A2890" w:rsidP="009A2890">
            <w:pPr>
              <w:pStyle w:val="Bibliography"/>
              <w:ind w:left="0" w:firstLine="0"/>
              <w:rPr>
                <w:noProof/>
              </w:rPr>
            </w:pPr>
            <w:r>
              <w:rPr>
                <w:noProof/>
              </w:rPr>
              <w:t xml:space="preserve">M. Basagni, Mobile Ad Hoc Networking: An Essential Guide, Prentice Hall, 2004. </w:t>
            </w:r>
          </w:p>
        </w:tc>
      </w:tr>
      <w:tr w:rsidR="009A2890" w14:paraId="262F254B" w14:textId="77777777" w:rsidTr="005E4ABF">
        <w:trPr>
          <w:tblCellSpacing w:w="15" w:type="dxa"/>
        </w:trPr>
        <w:tc>
          <w:tcPr>
            <w:tcW w:w="50" w:type="pct"/>
            <w:hideMark/>
          </w:tcPr>
          <w:p w14:paraId="56CF8E9A" w14:textId="77777777" w:rsidR="009A2890" w:rsidRDefault="009A2890" w:rsidP="005E4ABF">
            <w:pPr>
              <w:pStyle w:val="Bibliography"/>
              <w:rPr>
                <w:noProof/>
              </w:rPr>
            </w:pPr>
            <w:r>
              <w:rPr>
                <w:noProof/>
              </w:rPr>
              <w:t xml:space="preserve">[11] </w:t>
            </w:r>
          </w:p>
        </w:tc>
        <w:tc>
          <w:tcPr>
            <w:tcW w:w="0" w:type="auto"/>
            <w:hideMark/>
          </w:tcPr>
          <w:p w14:paraId="739E97B6" w14:textId="77777777" w:rsidR="009A2890" w:rsidRDefault="009A2890" w:rsidP="009A2890">
            <w:pPr>
              <w:pStyle w:val="Bibliography"/>
              <w:ind w:left="0" w:firstLine="0"/>
              <w:rPr>
                <w:noProof/>
              </w:rPr>
            </w:pPr>
            <w:r w:rsidRPr="00CE6112">
              <w:rPr>
                <w:noProof/>
                <w:highlight w:val="yellow"/>
              </w:rPr>
              <w:t>S. Yinbiao, "Internet of Things: Wireless Sensor Networks," 2017.</w:t>
            </w:r>
          </w:p>
        </w:tc>
      </w:tr>
      <w:tr w:rsidR="009A2890" w14:paraId="64838D19" w14:textId="77777777" w:rsidTr="005E4ABF">
        <w:trPr>
          <w:tblCellSpacing w:w="15" w:type="dxa"/>
        </w:trPr>
        <w:tc>
          <w:tcPr>
            <w:tcW w:w="50" w:type="pct"/>
            <w:hideMark/>
          </w:tcPr>
          <w:p w14:paraId="79B6719A" w14:textId="77777777" w:rsidR="009A2890" w:rsidRDefault="009A2890" w:rsidP="005E4ABF">
            <w:pPr>
              <w:pStyle w:val="Bibliography"/>
              <w:rPr>
                <w:noProof/>
              </w:rPr>
            </w:pPr>
            <w:r>
              <w:rPr>
                <w:noProof/>
              </w:rPr>
              <w:t xml:space="preserve">[12] </w:t>
            </w:r>
          </w:p>
        </w:tc>
        <w:tc>
          <w:tcPr>
            <w:tcW w:w="0" w:type="auto"/>
            <w:hideMark/>
          </w:tcPr>
          <w:p w14:paraId="67312C76" w14:textId="77777777" w:rsidR="009A2890" w:rsidRDefault="009A2890" w:rsidP="009A2890">
            <w:pPr>
              <w:pStyle w:val="Bibliography"/>
              <w:ind w:firstLine="0"/>
              <w:rPr>
                <w:noProof/>
              </w:rPr>
            </w:pPr>
            <w:r>
              <w:rPr>
                <w:noProof/>
              </w:rPr>
              <w:t xml:space="preserve">H. Kurunthan, R. Severino, A. Koubaa and E. Tovar, "IEEE 802.15.4e in a Nutshell: Survey and Performance Evaluation," </w:t>
            </w:r>
            <w:r>
              <w:rPr>
                <w:i/>
                <w:iCs/>
                <w:noProof/>
              </w:rPr>
              <w:t xml:space="preserve">IEEE Community, </w:t>
            </w:r>
            <w:r>
              <w:rPr>
                <w:noProof/>
              </w:rPr>
              <w:t xml:space="preserve">vol. 20, no. 3, pp. 1989-2010, 2018. </w:t>
            </w:r>
          </w:p>
        </w:tc>
      </w:tr>
      <w:tr w:rsidR="009A2890" w14:paraId="5AFE51D8" w14:textId="77777777" w:rsidTr="005E4ABF">
        <w:trPr>
          <w:tblCellSpacing w:w="15" w:type="dxa"/>
        </w:trPr>
        <w:tc>
          <w:tcPr>
            <w:tcW w:w="50" w:type="pct"/>
            <w:hideMark/>
          </w:tcPr>
          <w:p w14:paraId="25C8D6F1" w14:textId="77777777" w:rsidR="009A2890" w:rsidRDefault="009A2890" w:rsidP="005E4ABF">
            <w:pPr>
              <w:pStyle w:val="Bibliography"/>
              <w:rPr>
                <w:noProof/>
              </w:rPr>
            </w:pPr>
            <w:r>
              <w:rPr>
                <w:noProof/>
              </w:rPr>
              <w:t xml:space="preserve">[13] </w:t>
            </w:r>
          </w:p>
        </w:tc>
        <w:tc>
          <w:tcPr>
            <w:tcW w:w="0" w:type="auto"/>
            <w:hideMark/>
          </w:tcPr>
          <w:p w14:paraId="24EAB3BE" w14:textId="77777777" w:rsidR="009A2890" w:rsidRDefault="009A2890" w:rsidP="009A2890">
            <w:pPr>
              <w:pStyle w:val="Bibliography"/>
              <w:ind w:firstLine="0"/>
              <w:rPr>
                <w:noProof/>
              </w:rPr>
            </w:pPr>
            <w:r>
              <w:rPr>
                <w:noProof/>
              </w:rPr>
              <w:t xml:space="preserve">H. Karl and A. Wilig, Network Architecture,” in Protocols and Architectures for Wireless Sensor Networks, Wiley, 2005. </w:t>
            </w:r>
          </w:p>
        </w:tc>
      </w:tr>
      <w:tr w:rsidR="009A2890" w14:paraId="5F9B1F38" w14:textId="77777777" w:rsidTr="005E4ABF">
        <w:trPr>
          <w:tblCellSpacing w:w="15" w:type="dxa"/>
        </w:trPr>
        <w:tc>
          <w:tcPr>
            <w:tcW w:w="50" w:type="pct"/>
            <w:hideMark/>
          </w:tcPr>
          <w:p w14:paraId="6996B2CB" w14:textId="77777777" w:rsidR="009A2890" w:rsidRDefault="009A2890" w:rsidP="005E4ABF">
            <w:pPr>
              <w:pStyle w:val="Bibliography"/>
              <w:rPr>
                <w:noProof/>
              </w:rPr>
            </w:pPr>
            <w:r>
              <w:rPr>
                <w:noProof/>
              </w:rPr>
              <w:t xml:space="preserve">[14] </w:t>
            </w:r>
          </w:p>
        </w:tc>
        <w:tc>
          <w:tcPr>
            <w:tcW w:w="0" w:type="auto"/>
            <w:hideMark/>
          </w:tcPr>
          <w:p w14:paraId="55560217" w14:textId="77777777" w:rsidR="009A2890" w:rsidRPr="00CE6112" w:rsidRDefault="009A2890" w:rsidP="009A2890">
            <w:pPr>
              <w:pStyle w:val="Bibliography"/>
              <w:ind w:left="0" w:firstLine="0"/>
              <w:rPr>
                <w:noProof/>
                <w:highlight w:val="yellow"/>
              </w:rPr>
            </w:pPr>
            <w:r w:rsidRPr="00CE6112">
              <w:rPr>
                <w:noProof/>
                <w:highlight w:val="yellow"/>
              </w:rPr>
              <w:t>A. H. Rogers, "States' Environmental Monitoring at Nuclear Power Plants".</w:t>
            </w:r>
          </w:p>
        </w:tc>
      </w:tr>
      <w:tr w:rsidR="009A2890" w14:paraId="11D20E4E" w14:textId="77777777" w:rsidTr="005E4ABF">
        <w:trPr>
          <w:tblCellSpacing w:w="15" w:type="dxa"/>
        </w:trPr>
        <w:tc>
          <w:tcPr>
            <w:tcW w:w="50" w:type="pct"/>
            <w:hideMark/>
          </w:tcPr>
          <w:p w14:paraId="5D0992A4" w14:textId="77777777" w:rsidR="009A2890" w:rsidRDefault="009A2890" w:rsidP="005E4ABF">
            <w:pPr>
              <w:pStyle w:val="Bibliography"/>
              <w:rPr>
                <w:noProof/>
              </w:rPr>
            </w:pPr>
            <w:r>
              <w:rPr>
                <w:noProof/>
              </w:rPr>
              <w:t xml:space="preserve">[15] </w:t>
            </w:r>
          </w:p>
        </w:tc>
        <w:tc>
          <w:tcPr>
            <w:tcW w:w="0" w:type="auto"/>
            <w:hideMark/>
          </w:tcPr>
          <w:p w14:paraId="534B7B9D" w14:textId="390060D6" w:rsidR="009A2890" w:rsidRDefault="009A2890" w:rsidP="009A2890">
            <w:pPr>
              <w:pStyle w:val="Bibliography"/>
              <w:ind w:firstLine="0"/>
              <w:rPr>
                <w:noProof/>
              </w:rPr>
            </w:pPr>
            <w:r>
              <w:rPr>
                <w:noProof/>
              </w:rPr>
              <w:t xml:space="preserve">E. Online, "What is Environmental Monitoring?," [Online]. Available: https://www.envirotech-online.com/news/air-monitoring/6/breaking-news/what-is-environmental-monitoring/31597.. [Accessed </w:t>
            </w:r>
            <w:r w:rsidR="00F41369">
              <w:rPr>
                <w:noProof/>
              </w:rPr>
              <w:t>26</w:t>
            </w:r>
            <w:r>
              <w:rPr>
                <w:noProof/>
              </w:rPr>
              <w:t xml:space="preserve"> </w:t>
            </w:r>
            <w:r w:rsidR="00F41369">
              <w:rPr>
                <w:noProof/>
              </w:rPr>
              <w:t>March</w:t>
            </w:r>
            <w:r>
              <w:rPr>
                <w:noProof/>
              </w:rPr>
              <w:t xml:space="preserve"> 20</w:t>
            </w:r>
            <w:r w:rsidR="00F41369">
              <w:rPr>
                <w:noProof/>
              </w:rPr>
              <w:t>26</w:t>
            </w:r>
            <w:r>
              <w:rPr>
                <w:noProof/>
              </w:rPr>
              <w:t>].</w:t>
            </w:r>
          </w:p>
        </w:tc>
      </w:tr>
      <w:tr w:rsidR="009A2890" w14:paraId="1C0BF6B8" w14:textId="77777777" w:rsidTr="005E4ABF">
        <w:trPr>
          <w:tblCellSpacing w:w="15" w:type="dxa"/>
        </w:trPr>
        <w:tc>
          <w:tcPr>
            <w:tcW w:w="50" w:type="pct"/>
            <w:hideMark/>
          </w:tcPr>
          <w:p w14:paraId="427B78C3" w14:textId="77777777" w:rsidR="009A2890" w:rsidRDefault="009A2890" w:rsidP="005E4ABF">
            <w:pPr>
              <w:pStyle w:val="Bibliography"/>
              <w:rPr>
                <w:noProof/>
              </w:rPr>
            </w:pPr>
            <w:r>
              <w:rPr>
                <w:noProof/>
              </w:rPr>
              <w:t xml:space="preserve">[16] </w:t>
            </w:r>
          </w:p>
        </w:tc>
        <w:tc>
          <w:tcPr>
            <w:tcW w:w="0" w:type="auto"/>
            <w:hideMark/>
          </w:tcPr>
          <w:p w14:paraId="15D4B40C" w14:textId="195364A6" w:rsidR="009A2890" w:rsidRDefault="009A2890" w:rsidP="009A2890">
            <w:pPr>
              <w:pStyle w:val="Bibliography"/>
              <w:ind w:firstLine="0"/>
              <w:rPr>
                <w:noProof/>
              </w:rPr>
            </w:pPr>
            <w:r>
              <w:rPr>
                <w:noProof/>
              </w:rPr>
              <w:t xml:space="preserve">"Environmental Monitoring. United Nations Economic Commission for Europe," [Online]. Available: https://www.unece.org/environmental-policy/environmental-monitoring-and-assessment/areas-of-work/environmental-monitoring.html. [Accessed </w:t>
            </w:r>
            <w:r w:rsidR="00F41369">
              <w:rPr>
                <w:noProof/>
              </w:rPr>
              <w:t>26 March 2026</w:t>
            </w:r>
            <w:r>
              <w:rPr>
                <w:noProof/>
              </w:rPr>
              <w:t>].</w:t>
            </w:r>
          </w:p>
        </w:tc>
      </w:tr>
      <w:tr w:rsidR="009A2890" w14:paraId="3CE8D1E1" w14:textId="77777777" w:rsidTr="005E4ABF">
        <w:trPr>
          <w:tblCellSpacing w:w="15" w:type="dxa"/>
        </w:trPr>
        <w:tc>
          <w:tcPr>
            <w:tcW w:w="50" w:type="pct"/>
            <w:hideMark/>
          </w:tcPr>
          <w:p w14:paraId="1204B9D4" w14:textId="77777777" w:rsidR="009A2890" w:rsidRDefault="009A2890" w:rsidP="005E4ABF">
            <w:pPr>
              <w:pStyle w:val="Bibliography"/>
              <w:rPr>
                <w:noProof/>
              </w:rPr>
            </w:pPr>
            <w:r>
              <w:rPr>
                <w:noProof/>
              </w:rPr>
              <w:t xml:space="preserve">[17] </w:t>
            </w:r>
          </w:p>
        </w:tc>
        <w:tc>
          <w:tcPr>
            <w:tcW w:w="0" w:type="auto"/>
            <w:hideMark/>
          </w:tcPr>
          <w:p w14:paraId="5A59AA58" w14:textId="77777777" w:rsidR="009A2890" w:rsidRDefault="009A2890" w:rsidP="009A2890">
            <w:pPr>
              <w:pStyle w:val="Bibliography"/>
              <w:ind w:firstLine="0"/>
              <w:rPr>
                <w:noProof/>
              </w:rPr>
            </w:pPr>
            <w:r>
              <w:rPr>
                <w:noProof/>
              </w:rPr>
              <w:t>A. Neri, S. Corbellini, M. Parvis, S. Grassini, M. Piantanida and E. Angelini, "Environmental Monitoring of Heritage Buildings," IEEE, 2009.</w:t>
            </w:r>
          </w:p>
        </w:tc>
      </w:tr>
      <w:tr w:rsidR="009A2890" w14:paraId="20B54F12" w14:textId="77777777" w:rsidTr="005E4ABF">
        <w:trPr>
          <w:tblCellSpacing w:w="15" w:type="dxa"/>
        </w:trPr>
        <w:tc>
          <w:tcPr>
            <w:tcW w:w="50" w:type="pct"/>
            <w:hideMark/>
          </w:tcPr>
          <w:p w14:paraId="4AC86B65" w14:textId="77777777" w:rsidR="009A2890" w:rsidRDefault="009A2890" w:rsidP="005E4ABF">
            <w:pPr>
              <w:pStyle w:val="Bibliography"/>
              <w:rPr>
                <w:noProof/>
              </w:rPr>
            </w:pPr>
            <w:r>
              <w:rPr>
                <w:noProof/>
              </w:rPr>
              <w:t xml:space="preserve">[18] </w:t>
            </w:r>
          </w:p>
        </w:tc>
        <w:tc>
          <w:tcPr>
            <w:tcW w:w="0" w:type="auto"/>
            <w:hideMark/>
          </w:tcPr>
          <w:p w14:paraId="05CCE68C" w14:textId="77777777" w:rsidR="009A2890" w:rsidRPr="00CE6112" w:rsidRDefault="009A2890" w:rsidP="009A2890">
            <w:pPr>
              <w:pStyle w:val="Bibliography"/>
              <w:ind w:firstLine="0"/>
              <w:rPr>
                <w:noProof/>
                <w:highlight w:val="yellow"/>
              </w:rPr>
            </w:pPr>
            <w:r w:rsidRPr="00CE6112">
              <w:rPr>
                <w:noProof/>
                <w:highlight w:val="yellow"/>
              </w:rPr>
              <w:t xml:space="preserve">P. Mitchel, "Calculating the Equilibruim Moisture Content - Wood Products Extensions," 2017. </w:t>
            </w:r>
          </w:p>
        </w:tc>
      </w:tr>
      <w:tr w:rsidR="009A2890" w14:paraId="0C42EBFA" w14:textId="77777777" w:rsidTr="005E4ABF">
        <w:trPr>
          <w:tblCellSpacing w:w="15" w:type="dxa"/>
        </w:trPr>
        <w:tc>
          <w:tcPr>
            <w:tcW w:w="50" w:type="pct"/>
            <w:hideMark/>
          </w:tcPr>
          <w:p w14:paraId="66A72095" w14:textId="77777777" w:rsidR="009A2890" w:rsidRDefault="009A2890" w:rsidP="005E4ABF">
            <w:pPr>
              <w:pStyle w:val="Bibliography"/>
              <w:rPr>
                <w:noProof/>
              </w:rPr>
            </w:pPr>
            <w:r>
              <w:rPr>
                <w:noProof/>
              </w:rPr>
              <w:t xml:space="preserve">[19] </w:t>
            </w:r>
          </w:p>
        </w:tc>
        <w:tc>
          <w:tcPr>
            <w:tcW w:w="0" w:type="auto"/>
            <w:hideMark/>
          </w:tcPr>
          <w:p w14:paraId="3499D310" w14:textId="3DD44640" w:rsidR="009A2890" w:rsidRDefault="009A2890" w:rsidP="009A2890">
            <w:pPr>
              <w:pStyle w:val="Bibliography"/>
              <w:ind w:firstLine="0"/>
              <w:rPr>
                <w:noProof/>
              </w:rPr>
            </w:pPr>
            <w:r>
              <w:rPr>
                <w:noProof/>
              </w:rPr>
              <w:t xml:space="preserve">"iPerf - The TCP, UDP and SCTP network bandwidth measurement tool," iPerf, [Online]. Available: https://iperf.fr/. [Accessed </w:t>
            </w:r>
            <w:r w:rsidR="00F41369">
              <w:rPr>
                <w:noProof/>
              </w:rPr>
              <w:t>26</w:t>
            </w:r>
            <w:r>
              <w:rPr>
                <w:noProof/>
              </w:rPr>
              <w:t xml:space="preserve"> </w:t>
            </w:r>
            <w:r w:rsidR="00F41369">
              <w:rPr>
                <w:noProof/>
              </w:rPr>
              <w:t>March</w:t>
            </w:r>
            <w:r>
              <w:rPr>
                <w:noProof/>
              </w:rPr>
              <w:t xml:space="preserve"> 20</w:t>
            </w:r>
            <w:r w:rsidR="00F41369">
              <w:rPr>
                <w:noProof/>
              </w:rPr>
              <w:t>26</w:t>
            </w:r>
            <w:r>
              <w:rPr>
                <w:noProof/>
              </w:rPr>
              <w:t>].</w:t>
            </w:r>
          </w:p>
        </w:tc>
      </w:tr>
    </w:tbl>
    <w:p w14:paraId="1704D02D" w14:textId="52C7912E" w:rsidR="00F47EB2" w:rsidRPr="009137CF" w:rsidRDefault="00F47EB2" w:rsidP="00B5316E">
      <w:pPr>
        <w:pStyle w:val="references"/>
        <w:numPr>
          <w:ilvl w:val="0"/>
          <w:numId w:val="0"/>
        </w:numPr>
        <w:ind w:left="360"/>
        <w:rPr>
          <w:rFonts w:ascii="Palatino Linotype" w:eastAsia="Palatino Linotype" w:hAnsi="Palatino Linotype" w:cs="Palatino Linotype"/>
          <w:color w:val="222222"/>
          <w:sz w:val="18"/>
          <w:szCs w:val="18"/>
        </w:rPr>
      </w:pPr>
    </w:p>
    <w:sectPr w:rsidR="00F47EB2" w:rsidRPr="009137CF">
      <w:headerReference w:type="even" r:id="rId18"/>
      <w:headerReference w:type="default" r:id="rId19"/>
      <w:headerReference w:type="first" r:id="rId20"/>
      <w:footerReference w:type="first" r:id="rId21"/>
      <w:pgSz w:w="11906" w:h="16838"/>
      <w:pgMar w:top="1985" w:right="1985" w:bottom="1985" w:left="1985"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7AE75" w14:textId="77777777" w:rsidR="00BE6FC8" w:rsidRDefault="00BE6FC8">
      <w:pPr>
        <w:spacing w:after="0" w:line="240" w:lineRule="auto"/>
      </w:pPr>
      <w:r>
        <w:separator/>
      </w:r>
    </w:p>
  </w:endnote>
  <w:endnote w:type="continuationSeparator" w:id="0">
    <w:p w14:paraId="3B31547C" w14:textId="77777777" w:rsidR="00BE6FC8" w:rsidRDefault="00BE6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C903ABE0-EF2E-4B6B-8190-E068E8E6CF22}"/>
  </w:font>
  <w:font w:name="Cambria">
    <w:panose1 w:val="02040503050406030204"/>
    <w:charset w:val="00"/>
    <w:family w:val="roman"/>
    <w:pitch w:val="variable"/>
    <w:sig w:usb0="E00006FF" w:usb1="420024FF" w:usb2="02000000" w:usb3="00000000" w:csb0="0000019F" w:csb1="00000000"/>
    <w:embedRegular r:id="rId2" w:fontKey="{53BB27B9-8225-41DC-BFFF-3D1B37DE7311}"/>
    <w:embedBold r:id="rId3" w:fontKey="{6F5C1337-75CE-4ED0-BB45-6149C514F31B}"/>
    <w:embedItalic r:id="rId4" w:fontKey="{0E7D1536-D7D6-4E34-9CC2-9D5605CB16B9}"/>
  </w:font>
  <w:font w:name="Book Antiqua">
    <w:panose1 w:val="02040602050305030304"/>
    <w:charset w:val="00"/>
    <w:family w:val="roman"/>
    <w:pitch w:val="variable"/>
    <w:sig w:usb0="00000287" w:usb1="00000000" w:usb2="00000000" w:usb3="00000000" w:csb0="0000009F" w:csb1="00000000"/>
    <w:embedRegular r:id="rId5" w:fontKey="{2BA65E6C-659C-4317-AB6E-BE74CB1B585E}"/>
    <w:embedBold r:id="rId6" w:fontKey="{845263BA-5FA3-4797-AEF6-3F813759B167}"/>
    <w:embedItalic r:id="rId7" w:fontKey="{AD44D2A4-7E39-49EF-9351-B92AAB7C261A}"/>
    <w:embedBoldItalic r:id="rId8" w:fontKey="{265D3703-1F93-448E-9512-F9C4552897D3}"/>
  </w:font>
  <w:font w:name="Georgia">
    <w:panose1 w:val="02040502050405020303"/>
    <w:charset w:val="00"/>
    <w:family w:val="roman"/>
    <w:pitch w:val="variable"/>
    <w:sig w:usb0="00000287" w:usb1="00000000" w:usb2="00000000" w:usb3="00000000" w:csb0="0000009F" w:csb1="00000000"/>
    <w:embedItalic r:id="rId9" w:fontKey="{CFEB2B66-9065-4FA2-B7CA-73189AC317F0}"/>
  </w:font>
  <w:font w:name="MS Mincho">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embedRegular r:id="rId10" w:fontKey="{72ABF198-C009-4486-A014-DDB63304E36F}"/>
    <w:embedBold r:id="rId11" w:fontKey="{CFF1494C-6E93-4D08-871B-04ADB9F5FD85}"/>
    <w:embedItalic r:id="rId12" w:fontKey="{3E8A9E46-8A4D-4565-8FC6-7AE55BF5FFD8}"/>
    <w:embedBoldItalic r:id="rId13" w:fontKey="{6F613115-DD04-45D6-AE52-D9C8801616E2}"/>
  </w:font>
  <w:font w:name="Calibri">
    <w:panose1 w:val="020F0502020204030204"/>
    <w:charset w:val="00"/>
    <w:family w:val="swiss"/>
    <w:pitch w:val="variable"/>
    <w:sig w:usb0="E4002EFF" w:usb1="C200247B" w:usb2="00000009" w:usb3="00000000" w:csb0="000001FF" w:csb1="00000000"/>
    <w:embedRegular r:id="rId14" w:fontKey="{7FD6ADC1-8AFC-4C3D-A12E-1986BAC56317}"/>
  </w:font>
  <w:font w:name="Cambria Math">
    <w:panose1 w:val="02040503050406030204"/>
    <w:charset w:val="00"/>
    <w:family w:val="roman"/>
    <w:pitch w:val="variable"/>
    <w:sig w:usb0="E00006FF" w:usb1="420024FF" w:usb2="02000000" w:usb3="00000000" w:csb0="0000019F" w:csb1="00000000"/>
    <w:embedRegular r:id="rId15" w:fontKey="{240ED477-38C7-4FF3-AA14-F044DBCFFAF6}"/>
  </w:font>
  <w:font w:name="Calibri Light">
    <w:panose1 w:val="020F0302020204030204"/>
    <w:charset w:val="00"/>
    <w:family w:val="swiss"/>
    <w:pitch w:val="variable"/>
    <w:sig w:usb0="E4002EFF" w:usb1="C200247B" w:usb2="00000009" w:usb3="00000000" w:csb0="000001FF" w:csb1="00000000"/>
    <w:embedRegular r:id="rId16" w:fontKey="{AC176059-C54E-4593-A5D5-3202C93499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FCE73" w14:textId="77777777" w:rsidR="00F47EB2" w:rsidRDefault="00F47EB2">
    <w:pPr>
      <w:widowControl w:val="0"/>
      <w:pBdr>
        <w:top w:val="nil"/>
        <w:left w:val="nil"/>
        <w:bottom w:val="nil"/>
        <w:right w:val="nil"/>
        <w:between w:val="nil"/>
      </w:pBdr>
      <w:spacing w:after="0" w:line="276" w:lineRule="auto"/>
      <w:ind w:left="0" w:firstLine="0"/>
      <w:jc w:val="left"/>
    </w:pPr>
  </w:p>
  <w:tbl>
    <w:tblPr>
      <w:tblStyle w:val="a2"/>
      <w:tblW w:w="9640" w:type="dxa"/>
      <w:tblInd w:w="-714" w:type="dxa"/>
      <w:tblBorders>
        <w:top w:val="single" w:sz="4" w:space="0" w:color="000000"/>
        <w:left w:val="nil"/>
        <w:bottom w:val="nil"/>
        <w:right w:val="nil"/>
        <w:insideH w:val="nil"/>
        <w:insideV w:val="nil"/>
      </w:tblBorders>
      <w:tblLayout w:type="fixed"/>
      <w:tblLook w:val="0400" w:firstRow="0" w:lastRow="0" w:firstColumn="0" w:lastColumn="0" w:noHBand="0" w:noVBand="1"/>
    </w:tblPr>
    <w:tblGrid>
      <w:gridCol w:w="3833"/>
      <w:gridCol w:w="5807"/>
    </w:tblGrid>
    <w:tr w:rsidR="00F47EB2" w14:paraId="6F482E6A" w14:textId="77777777">
      <w:tc>
        <w:tcPr>
          <w:tcW w:w="3833" w:type="dxa"/>
          <w:vAlign w:val="center"/>
        </w:tcPr>
        <w:p w14:paraId="3FBFF223" w14:textId="77777777" w:rsidR="00F47EB2" w:rsidRDefault="00000000">
          <w:pPr>
            <w:pBdr>
              <w:top w:val="nil"/>
              <w:left w:val="nil"/>
              <w:bottom w:val="nil"/>
              <w:right w:val="nil"/>
              <w:between w:val="nil"/>
            </w:pBdr>
            <w:tabs>
              <w:tab w:val="center" w:pos="4513"/>
              <w:tab w:val="right" w:pos="9026"/>
            </w:tabs>
            <w:spacing w:before="120" w:after="120"/>
            <w:ind w:left="0" w:firstLine="0"/>
            <w:jc w:val="center"/>
            <w:rPr>
              <w:rFonts w:ascii="Palatino Linotype" w:eastAsia="Palatino Linotype" w:hAnsi="Palatino Linotype" w:cs="Palatino Linotype"/>
              <w:i/>
              <w:iCs/>
              <w:color w:val="4472C4"/>
            </w:rPr>
          </w:pPr>
          <w:r>
            <w:rPr>
              <w:rFonts w:ascii="Palatino Linotype" w:eastAsia="Palatino Linotype" w:hAnsi="Palatino Linotype" w:cs="Palatino Linotype"/>
              <w:i/>
              <w:iCs/>
              <w:color w:val="4472C4"/>
            </w:rPr>
            <w:t>International Journal of Innovative Technology and Interdisciplinary Sciences</w:t>
          </w:r>
        </w:p>
      </w:tc>
      <w:tc>
        <w:tcPr>
          <w:tcW w:w="5807" w:type="dxa"/>
          <w:vAlign w:val="center"/>
        </w:tcPr>
        <w:p w14:paraId="41B8F2D2" w14:textId="77777777" w:rsidR="00F47EB2" w:rsidRDefault="00000000">
          <w:pPr>
            <w:pBdr>
              <w:top w:val="nil"/>
              <w:left w:val="nil"/>
              <w:bottom w:val="nil"/>
              <w:right w:val="nil"/>
              <w:between w:val="nil"/>
            </w:pBdr>
            <w:tabs>
              <w:tab w:val="center" w:pos="4513"/>
              <w:tab w:val="right" w:pos="9026"/>
            </w:tabs>
            <w:spacing w:before="120" w:after="120"/>
            <w:ind w:left="0" w:firstLine="0"/>
            <w:jc w:val="left"/>
            <w:rPr>
              <w:rFonts w:ascii="Palatino Linotype" w:eastAsia="Palatino Linotype" w:hAnsi="Palatino Linotype" w:cs="Palatino Linotype"/>
              <w:b/>
              <w:bCs/>
              <w:i/>
              <w:iCs/>
              <w:color w:val="FF3300"/>
            </w:rPr>
          </w:pPr>
          <w:r>
            <w:rPr>
              <w:rFonts w:ascii="Palatino Linotype" w:eastAsia="Palatino Linotype" w:hAnsi="Palatino Linotype" w:cs="Palatino Linotype"/>
              <w:b/>
              <w:bCs/>
              <w:i/>
              <w:iCs/>
              <w:sz w:val="16"/>
              <w:szCs w:val="16"/>
            </w:rPr>
            <w:t>https://doi.org/10.15157/ijitis.</w:t>
          </w:r>
          <w:r>
            <w:rPr>
              <w:rFonts w:ascii="Palatino Linotype" w:eastAsia="Palatino Linotype" w:hAnsi="Palatino Linotype" w:cs="Palatino Linotype"/>
              <w:b/>
              <w:bCs/>
              <w:i/>
              <w:iCs/>
              <w:color w:val="FF3300"/>
            </w:rPr>
            <w:t xml:space="preserve"> </w:t>
          </w:r>
        </w:p>
      </w:tc>
    </w:tr>
    <w:tr w:rsidR="00F47EB2" w14:paraId="3138BB03" w14:textId="77777777">
      <w:tc>
        <w:tcPr>
          <w:tcW w:w="3833" w:type="dxa"/>
          <w:vAlign w:val="center"/>
        </w:tcPr>
        <w:p w14:paraId="3F298754" w14:textId="77777777" w:rsidR="00F47EB2" w:rsidRDefault="00000000">
          <w:pPr>
            <w:pBdr>
              <w:top w:val="nil"/>
              <w:left w:val="nil"/>
              <w:bottom w:val="nil"/>
              <w:right w:val="nil"/>
              <w:between w:val="nil"/>
            </w:pBdr>
            <w:tabs>
              <w:tab w:val="center" w:pos="4513"/>
              <w:tab w:val="right" w:pos="9026"/>
            </w:tabs>
            <w:ind w:left="0" w:firstLine="0"/>
            <w:jc w:val="center"/>
            <w:rPr>
              <w:rFonts w:ascii="Palatino Linotype" w:eastAsia="Palatino Linotype" w:hAnsi="Palatino Linotype" w:cs="Palatino Linotype"/>
              <w:i/>
              <w:iCs/>
              <w:color w:val="262626"/>
              <w:sz w:val="16"/>
              <w:szCs w:val="16"/>
            </w:rPr>
          </w:pPr>
          <w:r>
            <w:rPr>
              <w:rFonts w:ascii="Palatino Linotype" w:eastAsia="Palatino Linotype" w:hAnsi="Palatino Linotype" w:cs="Palatino Linotype"/>
              <w:i/>
              <w:iCs/>
              <w:noProof/>
              <w:color w:val="262626"/>
              <w:sz w:val="16"/>
              <w:szCs w:val="16"/>
            </w:rPr>
            <w:drawing>
              <wp:inline distT="0" distB="0" distL="0" distR="0" wp14:anchorId="03E78939" wp14:editId="6487FDC9">
                <wp:extent cx="874670" cy="305764"/>
                <wp:effectExtent l="0" t="0" r="0" b="0"/>
                <wp:docPr id="1507459538" name="image1.png" descr="A grey and black sign with a person in a circ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grey and black sign with a person in a circle&#10;&#10;Description automatically generated"/>
                        <pic:cNvPicPr preferRelativeResize="0"/>
                      </pic:nvPicPr>
                      <pic:blipFill>
                        <a:blip r:embed="rId1"/>
                        <a:srcRect/>
                        <a:stretch>
                          <a:fillRect/>
                        </a:stretch>
                      </pic:blipFill>
                      <pic:spPr>
                        <a:xfrm>
                          <a:off x="0" y="0"/>
                          <a:ext cx="874670" cy="305764"/>
                        </a:xfrm>
                        <a:prstGeom prst="rect">
                          <a:avLst/>
                        </a:prstGeom>
                        <a:ln/>
                      </pic:spPr>
                    </pic:pic>
                  </a:graphicData>
                </a:graphic>
              </wp:inline>
            </w:drawing>
          </w:r>
        </w:p>
      </w:tc>
      <w:tc>
        <w:tcPr>
          <w:tcW w:w="5807" w:type="dxa"/>
          <w:vAlign w:val="center"/>
        </w:tcPr>
        <w:p w14:paraId="37396DDE" w14:textId="77777777" w:rsidR="00F47EB2" w:rsidRDefault="00000000">
          <w:pPr>
            <w:pBdr>
              <w:top w:val="nil"/>
              <w:left w:val="nil"/>
              <w:bottom w:val="nil"/>
              <w:right w:val="nil"/>
              <w:between w:val="nil"/>
            </w:pBdr>
            <w:tabs>
              <w:tab w:val="center" w:pos="4513"/>
              <w:tab w:val="right" w:pos="9026"/>
            </w:tabs>
            <w:ind w:left="0" w:firstLine="0"/>
            <w:jc w:val="left"/>
            <w:rPr>
              <w:rFonts w:ascii="Palatino Linotype" w:eastAsia="Palatino Linotype" w:hAnsi="Palatino Linotype" w:cs="Palatino Linotype"/>
              <w:i/>
              <w:iCs/>
              <w:color w:val="262626"/>
              <w:sz w:val="16"/>
              <w:szCs w:val="16"/>
            </w:rPr>
          </w:pPr>
          <w:r>
            <w:rPr>
              <w:rFonts w:ascii="Palatino Linotype" w:eastAsia="Palatino Linotype" w:hAnsi="Palatino Linotype" w:cs="Palatino Linotype"/>
              <w:i/>
              <w:iCs/>
              <w:color w:val="262626"/>
              <w:sz w:val="16"/>
              <w:szCs w:val="16"/>
            </w:rPr>
            <w:t>© 2025Authors. This is an Open Access article distributed under the terms and conditions of the Creative Commons Attribution 4.0 International License CC BY 4.0 (http://creativecommons.org/licenses/by/4.0).</w:t>
          </w:r>
        </w:p>
      </w:tc>
    </w:tr>
  </w:tbl>
  <w:p w14:paraId="686B2200" w14:textId="77777777" w:rsidR="00F47EB2" w:rsidRDefault="00000000">
    <w:pPr>
      <w:pBdr>
        <w:top w:val="nil"/>
        <w:left w:val="nil"/>
        <w:bottom w:val="nil"/>
        <w:right w:val="nil"/>
        <w:between w:val="nil"/>
      </w:pBdr>
      <w:tabs>
        <w:tab w:val="center" w:pos="4513"/>
        <w:tab w:val="right" w:pos="9026"/>
      </w:tabs>
      <w:spacing w:after="0" w:line="240" w:lineRule="auto"/>
      <w:jc w:val="right"/>
      <w:rPr>
        <w:rFonts w:ascii="Palatino Linotype" w:eastAsia="Palatino Linotype" w:hAnsi="Palatino Linotype" w:cs="Palatino Linotype"/>
      </w:rPr>
    </w:pPr>
    <w:r>
      <w:rPr>
        <w:rFonts w:ascii="Palatino Linotype" w:eastAsia="Palatino Linotype" w:hAnsi="Palatino Linotype" w:cs="Palatino Linotype"/>
      </w:rPr>
      <w:fldChar w:fldCharType="begin"/>
    </w:r>
    <w:r>
      <w:rPr>
        <w:rFonts w:ascii="Palatino Linotype" w:eastAsia="Palatino Linotype" w:hAnsi="Palatino Linotype" w:cs="Palatino Linotype"/>
      </w:rPr>
      <w:instrText>PAGE</w:instrText>
    </w:r>
    <w:r>
      <w:rPr>
        <w:rFonts w:ascii="Palatino Linotype" w:eastAsia="Palatino Linotype" w:hAnsi="Palatino Linotype" w:cs="Palatino Linotype"/>
      </w:rPr>
      <w:fldChar w:fldCharType="separate"/>
    </w:r>
    <w:r w:rsidR="006F605A">
      <w:rPr>
        <w:rFonts w:ascii="Palatino Linotype" w:eastAsia="Palatino Linotype" w:hAnsi="Palatino Linotype" w:cs="Palatino Linotype"/>
        <w:noProof/>
      </w:rPr>
      <w:t>1</w:t>
    </w:r>
    <w:r>
      <w:rPr>
        <w:rFonts w:ascii="Palatino Linotype" w:eastAsia="Palatino Linotype" w:hAnsi="Palatino Linotype" w:cs="Palatino Linotype"/>
      </w:rPr>
      <w:fldChar w:fldCharType="end"/>
    </w:r>
  </w:p>
  <w:p w14:paraId="710457E0" w14:textId="77777777" w:rsidR="00F47EB2" w:rsidRDefault="00F47EB2">
    <w:pPr>
      <w:pBdr>
        <w:top w:val="nil"/>
        <w:left w:val="nil"/>
        <w:bottom w:val="nil"/>
        <w:right w:val="nil"/>
        <w:between w:val="nil"/>
      </w:pBdr>
      <w:tabs>
        <w:tab w:val="center" w:pos="4513"/>
        <w:tab w:val="right" w:pos="9026"/>
      </w:tabs>
      <w:spacing w:after="0" w:line="240" w:lineRule="auto"/>
      <w:rPr>
        <w:rFonts w:ascii="Palatino Linotype" w:eastAsia="Palatino Linotype" w:hAnsi="Palatino Linotype" w:cs="Palatino Linotyp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0D56F" w14:textId="77777777" w:rsidR="00BE6FC8" w:rsidRDefault="00BE6FC8">
      <w:pPr>
        <w:spacing w:after="0" w:line="240" w:lineRule="auto"/>
      </w:pPr>
      <w:r>
        <w:separator/>
      </w:r>
    </w:p>
  </w:footnote>
  <w:footnote w:type="continuationSeparator" w:id="0">
    <w:p w14:paraId="748E83EE" w14:textId="77777777" w:rsidR="00BE6FC8" w:rsidRDefault="00BE6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784F9" w14:textId="77777777" w:rsidR="00F47EB2" w:rsidRDefault="00000000">
    <w:pPr>
      <w:pBdr>
        <w:top w:val="nil"/>
        <w:left w:val="nil"/>
        <w:bottom w:val="nil"/>
        <w:right w:val="nil"/>
        <w:between w:val="nil"/>
      </w:pBdr>
      <w:tabs>
        <w:tab w:val="center" w:pos="4513"/>
        <w:tab w:val="right" w:pos="9026"/>
      </w:tabs>
      <w:spacing w:after="0" w:line="240" w:lineRule="auto"/>
    </w:pPr>
    <w:r>
      <w:rPr>
        <w:noProof/>
      </w:rPr>
      <mc:AlternateContent>
        <mc:Choice Requires="wps">
          <w:drawing>
            <wp:anchor distT="0" distB="0" distL="114300" distR="114300" simplePos="0" relativeHeight="251660288" behindDoc="0" locked="0" layoutInCell="1" hidden="0" allowOverlap="1" wp14:anchorId="545CC833" wp14:editId="0679349B">
              <wp:simplePos x="0" y="0"/>
              <wp:positionH relativeFrom="margin">
                <wp:align>left</wp:align>
              </wp:positionH>
              <wp:positionV relativeFrom="topMargin">
                <wp:align>center</wp:align>
              </wp:positionV>
              <wp:extent cx="5953125" cy="180340"/>
              <wp:effectExtent l="0" t="0" r="0" b="0"/>
              <wp:wrapNone/>
              <wp:docPr id="1507459534" name="Rectangle 1507459534"/>
              <wp:cNvGraphicFramePr/>
              <a:graphic xmlns:a="http://schemas.openxmlformats.org/drawingml/2006/main">
                <a:graphicData uri="http://schemas.microsoft.com/office/word/2010/wordprocessingShape">
                  <wps:wsp>
                    <wps:cNvSpPr/>
                    <wps:spPr>
                      <a:xfrm>
                        <a:off x="2374200" y="3694593"/>
                        <a:ext cx="5943600" cy="170815"/>
                      </a:xfrm>
                      <a:prstGeom prst="rect">
                        <a:avLst/>
                      </a:prstGeom>
                      <a:noFill/>
                      <a:ln>
                        <a:noFill/>
                      </a:ln>
                    </wps:spPr>
                    <wps:txbx>
                      <w:txbxContent>
                        <w:p w14:paraId="557D32BB" w14:textId="42A62AB3" w:rsidR="00F47EB2" w:rsidRDefault="00B86E92">
                          <w:pPr>
                            <w:spacing w:after="0" w:line="240" w:lineRule="auto"/>
                            <w:ind w:left="0" w:firstLine="0"/>
                            <w:textDirection w:val="btLr"/>
                          </w:pPr>
                          <w:r w:rsidRPr="00B86E92">
                            <w:rPr>
                              <w:rFonts w:ascii="Palatino Linotype" w:eastAsia="Palatino Linotype" w:hAnsi="Palatino Linotype" w:cs="Palatino Linotype"/>
                              <w:b/>
                              <w:bCs/>
                              <w:i/>
                              <w:iCs/>
                              <w:color w:val="4472C4"/>
                            </w:rPr>
                            <w:t>Thomas S., Campbell C. E-A</w:t>
                          </w:r>
                        </w:p>
                      </w:txbxContent>
                    </wps:txbx>
                    <wps:bodyPr spcFirstLastPara="1" wrap="square" lIns="91425" tIns="0" rIns="91425" bIns="0" anchor="ctr" anchorCtr="0">
                      <a:noAutofit/>
                    </wps:bodyPr>
                  </wps:wsp>
                </a:graphicData>
              </a:graphic>
            </wp:anchor>
          </w:drawing>
        </mc:Choice>
        <mc:Fallback>
          <w:pict>
            <v:rect w14:anchorId="545CC833" id="Rectangle 1507459534" o:spid="_x0000_s1034" style="position:absolute;left:0;text-align:left;margin-left:0;margin-top:0;width:468.75pt;height:14.2pt;z-index:251660288;visibility:visible;mso-wrap-style:square;mso-wrap-distance-left:9pt;mso-wrap-distance-top:0;mso-wrap-distance-right:9pt;mso-wrap-distance-bottom:0;mso-position-horizontal:left;mso-position-horizontal-relative:margin;mso-position-vertical:center;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" filled="f" stroked="f">
              <v:textbox inset="2.53958mm,0,2.53958mm,0">
                <w:txbxContent>
                  <w:p w14:paraId="557D32BB" w14:textId="42A62AB3" w:rsidR="00F47EB2" w:rsidRDefault="00B86E92">
                    <w:pPr>
                      <w:spacing w:after="0" w:line="240" w:lineRule="auto"/>
                      <w:ind w:left="0" w:firstLine="0"/>
                      <w:textDirection w:val="btLr"/>
                    </w:pPr>
                    <w:r w:rsidRPr="00B86E92">
                      <w:rPr>
                        <w:rFonts w:ascii="Palatino Linotype" w:eastAsia="Palatino Linotype" w:hAnsi="Palatino Linotype" w:cs="Palatino Linotype"/>
                        <w:b/>
                        <w:bCs/>
                        <w:i/>
                        <w:iCs/>
                        <w:color w:val="4472C4"/>
                      </w:rPr>
                      <w:t>Thomas S., Campbell C. E-A</w:t>
                    </w:r>
                  </w:p>
                </w:txbxContent>
              </v:textbox>
              <w10:wrap anchorx="margin" anchory="margin"/>
            </v:rect>
          </w:pict>
        </mc:Fallback>
      </mc:AlternateContent>
    </w:r>
    <w:r>
      <w:rPr>
        <w:noProof/>
      </w:rPr>
      <mc:AlternateContent>
        <mc:Choice Requires="wps">
          <w:drawing>
            <wp:anchor distT="0" distB="0" distL="114300" distR="114300" simplePos="0" relativeHeight="251661312" behindDoc="0" locked="0" layoutInCell="1" hidden="0" allowOverlap="1" wp14:anchorId="72E3DD3F" wp14:editId="2AABA9E8">
              <wp:simplePos x="0" y="0"/>
              <wp:positionH relativeFrom="page">
                <wp:align>left</wp:align>
              </wp:positionH>
              <wp:positionV relativeFrom="topMargin">
                <wp:align>center</wp:align>
              </wp:positionV>
              <wp:extent cx="933450" cy="189865"/>
              <wp:effectExtent l="0" t="0" r="0" b="0"/>
              <wp:wrapNone/>
              <wp:docPr id="1507459533" name="Rectangle 1507459533"/>
              <wp:cNvGraphicFramePr/>
              <a:graphic xmlns:a="http://schemas.openxmlformats.org/drawingml/2006/main">
                <a:graphicData uri="http://schemas.microsoft.com/office/word/2010/wordprocessingShape">
                  <wps:wsp>
                    <wps:cNvSpPr/>
                    <wps:spPr>
                      <a:xfrm>
                        <a:off x="4888800" y="3694593"/>
                        <a:ext cx="914400" cy="170815"/>
                      </a:xfrm>
                      <a:prstGeom prst="rect">
                        <a:avLst/>
                      </a:prstGeom>
                      <a:solidFill>
                        <a:schemeClr val="accent1"/>
                      </a:solidFill>
                      <a:ln w="19050" cap="flat" cmpd="sng">
                        <a:solidFill>
                          <a:schemeClr val="lt1"/>
                        </a:solidFill>
                        <a:prstDash val="solid"/>
                        <a:miter lim="800000"/>
                        <a:headEnd type="none" w="sm" len="sm"/>
                        <a:tailEnd type="none" w="sm" len="sm"/>
                      </a:ln>
                    </wps:spPr>
                    <wps:txbx>
                      <w:txbxContent>
                        <w:p w14:paraId="66B83290" w14:textId="77777777" w:rsidR="00F47EB2" w:rsidRDefault="00000000">
                          <w:pPr>
                            <w:spacing w:after="0" w:line="240" w:lineRule="auto"/>
                            <w:ind w:firstLine="291"/>
                            <w:jc w:val="right"/>
                            <w:textDirection w:val="btLr"/>
                          </w:pPr>
                          <w:r>
                            <w:rPr>
                              <w:rFonts w:ascii="Palatino Linotype" w:eastAsia="Palatino Linotype" w:hAnsi="Palatino Linotype" w:cs="Palatino Linotype"/>
                            </w:rPr>
                            <w:t xml:space="preserve"> PAGE   \* MERGEFORMAT </w:t>
                          </w:r>
                          <w:r>
                            <w:rPr>
                              <w:rFonts w:ascii="Palatino Linotype" w:eastAsia="Palatino Linotype" w:hAnsi="Palatino Linotype" w:cs="Palatino Linotype"/>
                              <w:color w:val="FFFFFF"/>
                            </w:rPr>
                            <w:t>2</w:t>
                          </w:r>
                        </w:p>
                      </w:txbxContent>
                    </wps:txbx>
                    <wps:bodyPr spcFirstLastPara="1" wrap="square" lIns="91425" tIns="0" rIns="91425" bIns="0" anchor="ctr" anchorCtr="0">
                      <a:noAutofit/>
                    </wps:bodyPr>
                  </wps:wsp>
                </a:graphicData>
              </a:graphic>
            </wp:anchor>
          </w:drawing>
        </mc:Choice>
        <mc:Fallback>
          <w:pict>
            <v:rect w14:anchorId="72E3DD3F" id="Rectangle 1507459533" o:spid="_x0000_s1035" style="position:absolute;left:0;text-align:left;margin-left:0;margin-top:0;width:73.5pt;height:14.95pt;z-index:251661312;visibility:visible;mso-wrap-style:square;mso-wrap-distance-left:9pt;mso-wrap-distance-top:0;mso-wrap-distance-right:9pt;mso-wrap-distance-bottom:0;mso-position-horizontal:left;mso-position-horizontal-relative:page;mso-position-vertical:center;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" fillcolor="#4472c4 [3204]" strokecolor="white [3201]" strokeweight="1.5pt">
              <v:stroke startarrowwidth="narrow" startarrowlength="short" endarrowwidth="narrow" endarrowlength="short"/>
              <v:textbox inset="2.53958mm,0,2.53958mm,0">
                <w:txbxContent>
                  <w:p w14:paraId="66B83290" w14:textId="77777777" w:rsidR="00F47EB2" w:rsidRDefault="00000000">
                    <w:pPr>
                      <w:spacing w:after="0" w:line="240" w:lineRule="auto"/>
                      <w:ind w:firstLine="291"/>
                      <w:jc w:val="right"/>
                      <w:textDirection w:val="btLr"/>
                    </w:pPr>
                    <w:r>
                      <w:rPr>
                        <w:rFonts w:ascii="Palatino Linotype" w:eastAsia="Palatino Linotype" w:hAnsi="Palatino Linotype" w:cs="Palatino Linotype"/>
                      </w:rPr>
                      <w:t xml:space="preserve"> PAGE   \* MERGEFORMAT </w:t>
                    </w:r>
                    <w:r>
                      <w:rPr>
                        <w:rFonts w:ascii="Palatino Linotype" w:eastAsia="Palatino Linotype" w:hAnsi="Palatino Linotype" w:cs="Palatino Linotype"/>
                        <w:color w:val="FFFFFF"/>
                      </w:rPr>
                      <w:t>2</w:t>
                    </w:r>
                  </w:p>
                </w:txbxContent>
              </v:textbox>
              <w10:wrap anchorx="page" anchory="margin"/>
            </v:rect>
          </w:pict>
        </mc:Fallback>
      </mc:AlternateContent>
    </w:r>
  </w:p>
  <w:p w14:paraId="780536A5" w14:textId="77777777" w:rsidR="00F47EB2" w:rsidRDefault="00F47EB2">
    <w:pPr>
      <w:pBdr>
        <w:top w:val="nil"/>
        <w:left w:val="nil"/>
        <w:bottom w:val="nil"/>
        <w:right w:val="nil"/>
        <w:between w:val="nil"/>
      </w:pBdr>
      <w:tabs>
        <w:tab w:val="center" w:pos="4513"/>
        <w:tab w:val="right" w:pos="9026"/>
      </w:tabs>
      <w:spacing w:after="0" w:line="240"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FE115" w14:textId="77777777" w:rsidR="00F47EB2" w:rsidRDefault="00000000">
    <w:pPr>
      <w:pBdr>
        <w:top w:val="nil"/>
        <w:left w:val="nil"/>
        <w:bottom w:val="nil"/>
        <w:right w:val="nil"/>
        <w:between w:val="nil"/>
      </w:pBdr>
      <w:tabs>
        <w:tab w:val="center" w:pos="4513"/>
        <w:tab w:val="right" w:pos="9026"/>
      </w:tabs>
      <w:spacing w:after="0" w:line="240" w:lineRule="auto"/>
    </w:pPr>
    <w:r>
      <w:rPr>
        <w:noProof/>
      </w:rPr>
      <mc:AlternateContent>
        <mc:Choice Requires="wps">
          <w:drawing>
            <wp:anchor distT="0" distB="0" distL="114300" distR="114300" simplePos="0" relativeHeight="251658240" behindDoc="0" locked="0" layoutInCell="1" hidden="0" allowOverlap="1" wp14:anchorId="16A1F20A" wp14:editId="5DCF2B6B">
              <wp:simplePos x="0" y="0"/>
              <wp:positionH relativeFrom="margin">
                <wp:align>left</wp:align>
              </wp:positionH>
              <wp:positionV relativeFrom="topMargin">
                <wp:align>center</wp:align>
              </wp:positionV>
              <wp:extent cx="5953125" cy="180340"/>
              <wp:effectExtent l="0" t="0" r="0" b="0"/>
              <wp:wrapNone/>
              <wp:docPr id="1507459532" name="Rectangle 1507459532"/>
              <wp:cNvGraphicFramePr/>
              <a:graphic xmlns:a="http://schemas.openxmlformats.org/drawingml/2006/main">
                <a:graphicData uri="http://schemas.microsoft.com/office/word/2010/wordprocessingShape">
                  <wps:wsp>
                    <wps:cNvSpPr/>
                    <wps:spPr>
                      <a:xfrm>
                        <a:off x="2374200" y="3694593"/>
                        <a:ext cx="5943600" cy="170815"/>
                      </a:xfrm>
                      <a:prstGeom prst="rect">
                        <a:avLst/>
                      </a:prstGeom>
                      <a:noFill/>
                      <a:ln>
                        <a:noFill/>
                      </a:ln>
                    </wps:spPr>
                    <wps:txbx>
                      <w:txbxContent>
                        <w:p w14:paraId="7D495CA8" w14:textId="085239DC" w:rsidR="00F47EB2" w:rsidRDefault="00B86E92">
                          <w:pPr>
                            <w:spacing w:after="0" w:line="240" w:lineRule="auto"/>
                            <w:ind w:left="0" w:firstLine="0"/>
                            <w:textDirection w:val="btLr"/>
                          </w:pPr>
                          <w:r w:rsidRPr="00B86E92">
                            <w:rPr>
                              <w:i/>
                            </w:rPr>
                            <w:t>Innovations in Environmental Monitoring for Timber Frame Structures</w:t>
                          </w:r>
                        </w:p>
                      </w:txbxContent>
                    </wps:txbx>
                    <wps:bodyPr spcFirstLastPara="1" wrap="square" lIns="91425" tIns="0" rIns="91425" bIns="0" anchor="ctr" anchorCtr="0">
                      <a:noAutofit/>
                    </wps:bodyPr>
                  </wps:wsp>
                </a:graphicData>
              </a:graphic>
            </wp:anchor>
          </w:drawing>
        </mc:Choice>
        <mc:Fallback>
          <w:pict>
            <v:rect w14:anchorId="16A1F20A" id="Rectangle 1507459532" o:spid="_x0000_s1036" style="position:absolute;left:0;text-align:left;margin-left:0;margin-top:0;width:468.75pt;height:14.2pt;z-index:251658240;visibility:visible;mso-wrap-style:square;mso-wrap-distance-left:9pt;mso-wrap-distance-top:0;mso-wrap-distance-right:9pt;mso-wrap-distance-bottom:0;mso-position-horizontal:left;mso-position-horizontal-relative:margin;mso-position-vertical:center;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" filled="f" stroked="f">
              <v:textbox inset="2.53958mm,0,2.53958mm,0">
                <w:txbxContent>
                  <w:p w14:paraId="7D495CA8" w14:textId="085239DC" w:rsidR="00F47EB2" w:rsidRDefault="00B86E92">
                    <w:pPr>
                      <w:spacing w:after="0" w:line="240" w:lineRule="auto"/>
                      <w:ind w:left="0" w:firstLine="0"/>
                      <w:textDirection w:val="btLr"/>
                    </w:pPr>
                    <w:r w:rsidRPr="00B86E92">
                      <w:rPr>
                        <w:i/>
                      </w:rPr>
                      <w:t>Innovations in Environmental Monitoring for Timber Frame Structures</w:t>
                    </w:r>
                  </w:p>
                </w:txbxContent>
              </v:textbox>
              <w10:wrap anchorx="margin" anchory="margin"/>
            </v:rect>
          </w:pict>
        </mc:Fallback>
      </mc:AlternateContent>
    </w:r>
    <w:r>
      <w:rPr>
        <w:noProof/>
      </w:rPr>
      <mc:AlternateContent>
        <mc:Choice Requires="wps">
          <w:drawing>
            <wp:anchor distT="0" distB="0" distL="114300" distR="114300" simplePos="0" relativeHeight="251659264" behindDoc="0" locked="0" layoutInCell="1" hidden="0" allowOverlap="1" wp14:anchorId="6FC19424" wp14:editId="705D14F9">
              <wp:simplePos x="0" y="0"/>
              <wp:positionH relativeFrom="page">
                <wp:align>left</wp:align>
              </wp:positionH>
              <wp:positionV relativeFrom="topMargin">
                <wp:align>center</wp:align>
              </wp:positionV>
              <wp:extent cx="933450" cy="189865"/>
              <wp:effectExtent l="0" t="0" r="0" b="0"/>
              <wp:wrapNone/>
              <wp:docPr id="1507459531" name="Rectangle 1507459531"/>
              <wp:cNvGraphicFramePr/>
              <a:graphic xmlns:a="http://schemas.openxmlformats.org/drawingml/2006/main">
                <a:graphicData uri="http://schemas.microsoft.com/office/word/2010/wordprocessingShape">
                  <wps:wsp>
                    <wps:cNvSpPr/>
                    <wps:spPr>
                      <a:xfrm>
                        <a:off x="4888800" y="3694593"/>
                        <a:ext cx="914400" cy="170815"/>
                      </a:xfrm>
                      <a:prstGeom prst="rect">
                        <a:avLst/>
                      </a:prstGeom>
                      <a:solidFill>
                        <a:schemeClr val="accent1"/>
                      </a:solidFill>
                      <a:ln w="19050" cap="flat" cmpd="sng">
                        <a:solidFill>
                          <a:schemeClr val="lt1"/>
                        </a:solidFill>
                        <a:prstDash val="solid"/>
                        <a:miter lim="800000"/>
                        <a:headEnd type="none" w="sm" len="sm"/>
                        <a:tailEnd type="none" w="sm" len="sm"/>
                      </a:ln>
                    </wps:spPr>
                    <wps:txbx>
                      <w:txbxContent>
                        <w:p w14:paraId="4E0D85C8" w14:textId="77777777" w:rsidR="00F47EB2" w:rsidRDefault="00000000">
                          <w:pPr>
                            <w:spacing w:after="0" w:line="240" w:lineRule="auto"/>
                            <w:ind w:firstLine="291"/>
                            <w:jc w:val="right"/>
                            <w:textDirection w:val="btLr"/>
                          </w:pPr>
                          <w:r>
                            <w:t xml:space="preserve"> PAGE   \* MERGEFORMAT </w:t>
                          </w:r>
                          <w:r>
                            <w:rPr>
                              <w:color w:val="FFFFFF"/>
                            </w:rPr>
                            <w:t>2</w:t>
                          </w:r>
                        </w:p>
                      </w:txbxContent>
                    </wps:txbx>
                    <wps:bodyPr spcFirstLastPara="1" wrap="square" lIns="91425" tIns="0" rIns="91425" bIns="0" anchor="ctr" anchorCtr="0">
                      <a:noAutofit/>
                    </wps:bodyPr>
                  </wps:wsp>
                </a:graphicData>
              </a:graphic>
            </wp:anchor>
          </w:drawing>
        </mc:Choice>
        <mc:Fallback>
          <w:pict>
            <v:rect w14:anchorId="6FC19424" id="Rectangle 1507459531" o:spid="_x0000_s1037" style="position:absolute;left:0;text-align:left;margin-left:0;margin-top:0;width:73.5pt;height:14.95pt;z-index:251659264;visibility:visible;mso-wrap-style:square;mso-wrap-distance-left:9pt;mso-wrap-distance-top:0;mso-wrap-distance-right:9pt;mso-wrap-distance-bottom:0;mso-position-horizontal:left;mso-position-horizontal-relative:page;mso-position-vertical:center;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" fillcolor="#4472c4 [3204]" strokecolor="white [3201]" strokeweight="1.5pt">
              <v:stroke startarrowwidth="narrow" startarrowlength="short" endarrowwidth="narrow" endarrowlength="short"/>
              <v:textbox inset="2.53958mm,0,2.53958mm,0">
                <w:txbxContent>
                  <w:p w14:paraId="4E0D85C8" w14:textId="77777777" w:rsidR="00F47EB2" w:rsidRDefault="00000000">
                    <w:pPr>
                      <w:spacing w:after="0" w:line="240" w:lineRule="auto"/>
                      <w:ind w:firstLine="291"/>
                      <w:jc w:val="right"/>
                      <w:textDirection w:val="btLr"/>
                    </w:pPr>
                    <w:r>
                      <w:t xml:space="preserve"> PAGE   \* MERGEFORMAT </w:t>
                    </w:r>
                    <w:r>
                      <w:rPr>
                        <w:color w:val="FFFFFF"/>
                      </w:rPr>
                      <w:t>2</w:t>
                    </w:r>
                  </w:p>
                </w:txbxContent>
              </v:textbox>
              <w10:wrap anchorx="page" anchory="margin"/>
            </v:rect>
          </w:pict>
        </mc:Fallback>
      </mc:AlternateContent>
    </w:r>
  </w:p>
  <w:p w14:paraId="667AE4ED" w14:textId="77777777" w:rsidR="00F47EB2" w:rsidRDefault="00F47EB2">
    <w:pPr>
      <w:pBdr>
        <w:top w:val="nil"/>
        <w:left w:val="nil"/>
        <w:bottom w:val="nil"/>
        <w:right w:val="nil"/>
        <w:between w:val="nil"/>
      </w:pBdr>
      <w:tabs>
        <w:tab w:val="center" w:pos="4513"/>
        <w:tab w:val="right" w:pos="9026"/>
      </w:tabs>
      <w:spacing w:after="0" w:line="240"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95BEB" w14:textId="77777777" w:rsidR="00F47EB2" w:rsidRDefault="00F47EB2">
    <w:pPr>
      <w:widowControl w:val="0"/>
      <w:pBdr>
        <w:top w:val="nil"/>
        <w:left w:val="nil"/>
        <w:bottom w:val="nil"/>
        <w:right w:val="nil"/>
        <w:between w:val="nil"/>
      </w:pBdr>
      <w:spacing w:after="0" w:line="276" w:lineRule="auto"/>
      <w:ind w:left="0" w:firstLine="0"/>
      <w:jc w:val="left"/>
    </w:pPr>
  </w:p>
  <w:tbl>
    <w:tblPr>
      <w:tblStyle w:val="a1"/>
      <w:tblW w:w="9356" w:type="dxa"/>
      <w:tblInd w:w="-714" w:type="dxa"/>
      <w:tblBorders>
        <w:top w:val="nil"/>
        <w:left w:val="nil"/>
        <w:bottom w:val="nil"/>
        <w:right w:val="nil"/>
        <w:insideH w:val="nil"/>
        <w:insideV w:val="nil"/>
      </w:tblBorders>
      <w:tblLayout w:type="fixed"/>
      <w:tblLook w:val="0400" w:firstRow="0" w:lastRow="0" w:firstColumn="0" w:lastColumn="0" w:noHBand="0" w:noVBand="1"/>
    </w:tblPr>
    <w:tblGrid>
      <w:gridCol w:w="1982"/>
      <w:gridCol w:w="5549"/>
      <w:gridCol w:w="1825"/>
    </w:tblGrid>
    <w:tr w:rsidR="00F47EB2" w14:paraId="54140EF9" w14:textId="77777777">
      <w:tc>
        <w:tcPr>
          <w:tcW w:w="1982" w:type="dxa"/>
          <w:vAlign w:val="center"/>
        </w:tcPr>
        <w:p w14:paraId="13F84155" w14:textId="77777777" w:rsidR="00F47EB2" w:rsidRDefault="00000000">
          <w:pPr>
            <w:tabs>
              <w:tab w:val="right" w:pos="9566"/>
            </w:tabs>
            <w:ind w:right="-1180" w:firstLine="37"/>
            <w:rPr>
              <w:rFonts w:ascii="Palatino Linotype" w:eastAsia="Palatino Linotype" w:hAnsi="Palatino Linotype" w:cs="Palatino Linotype"/>
              <w:b/>
              <w:bCs/>
              <w:color w:val="2A4791"/>
              <w:sz w:val="31"/>
              <w:szCs w:val="31"/>
            </w:rPr>
          </w:pPr>
          <w:r>
            <w:rPr>
              <w:noProof/>
            </w:rPr>
            <w:drawing>
              <wp:inline distT="0" distB="0" distL="0" distR="0" wp14:anchorId="3DFA83E0" wp14:editId="4EA2061C">
                <wp:extent cx="952534" cy="969543"/>
                <wp:effectExtent l="0" t="0" r="0" b="0"/>
                <wp:docPr id="15074595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952534" cy="969543"/>
                        </a:xfrm>
                        <a:prstGeom prst="rect">
                          <a:avLst/>
                        </a:prstGeom>
                        <a:ln/>
                      </pic:spPr>
                    </pic:pic>
                  </a:graphicData>
                </a:graphic>
              </wp:inline>
            </w:drawing>
          </w:r>
        </w:p>
      </w:tc>
      <w:tc>
        <w:tcPr>
          <w:tcW w:w="5549" w:type="dxa"/>
          <w:vAlign w:val="center"/>
        </w:tcPr>
        <w:p w14:paraId="35EF1034" w14:textId="77777777" w:rsidR="00F47EB2" w:rsidRDefault="00000000">
          <w:pPr>
            <w:tabs>
              <w:tab w:val="right" w:pos="9566"/>
            </w:tabs>
            <w:ind w:left="-1237" w:right="-1180" w:firstLine="0"/>
            <w:jc w:val="center"/>
            <w:rPr>
              <w:rFonts w:ascii="Palatino Linotype" w:eastAsia="Palatino Linotype" w:hAnsi="Palatino Linotype" w:cs="Palatino Linotype"/>
              <w:b/>
              <w:bCs/>
              <w:color w:val="3B3838"/>
              <w:sz w:val="20"/>
              <w:szCs w:val="20"/>
            </w:rPr>
          </w:pPr>
          <w:r>
            <w:rPr>
              <w:rFonts w:ascii="Palatino Linotype" w:eastAsia="Palatino Linotype" w:hAnsi="Palatino Linotype" w:cs="Palatino Linotype"/>
              <w:b/>
              <w:bCs/>
              <w:color w:val="3B3838"/>
              <w:sz w:val="20"/>
              <w:szCs w:val="20"/>
            </w:rPr>
            <w:t xml:space="preserve">International Journal of Innovative Technology and </w:t>
          </w:r>
        </w:p>
        <w:p w14:paraId="2F4D68D1" w14:textId="77777777" w:rsidR="00F47EB2" w:rsidRDefault="00000000">
          <w:pPr>
            <w:tabs>
              <w:tab w:val="right" w:pos="9566"/>
            </w:tabs>
            <w:ind w:left="-1237" w:right="-1180" w:firstLine="0"/>
            <w:jc w:val="center"/>
            <w:rPr>
              <w:rFonts w:ascii="Palatino Linotype" w:eastAsia="Palatino Linotype" w:hAnsi="Palatino Linotype" w:cs="Palatino Linotype"/>
              <w:b/>
              <w:bCs/>
              <w:color w:val="3B3838"/>
              <w:sz w:val="20"/>
              <w:szCs w:val="20"/>
            </w:rPr>
          </w:pPr>
          <w:r>
            <w:rPr>
              <w:rFonts w:ascii="Palatino Linotype" w:eastAsia="Palatino Linotype" w:hAnsi="Palatino Linotype" w:cs="Palatino Linotype"/>
              <w:b/>
              <w:bCs/>
              <w:color w:val="3B3838"/>
              <w:sz w:val="20"/>
              <w:szCs w:val="20"/>
            </w:rPr>
            <w:t xml:space="preserve">Interdisciplinary Sciences </w:t>
          </w:r>
        </w:p>
        <w:p w14:paraId="47BAF02B" w14:textId="77777777" w:rsidR="00F47EB2" w:rsidRDefault="00000000">
          <w:pPr>
            <w:tabs>
              <w:tab w:val="right" w:pos="9566"/>
            </w:tabs>
            <w:ind w:left="-1237" w:right="-1180" w:firstLine="0"/>
            <w:jc w:val="center"/>
            <w:rPr>
              <w:rFonts w:ascii="Palatino Linotype" w:eastAsia="Palatino Linotype" w:hAnsi="Palatino Linotype" w:cs="Palatino Linotype"/>
              <w:b/>
              <w:bCs/>
              <w:color w:val="4472C4"/>
              <w:sz w:val="16"/>
              <w:szCs w:val="16"/>
            </w:rPr>
          </w:pPr>
          <w:r>
            <w:rPr>
              <w:rFonts w:ascii="Palatino Linotype" w:eastAsia="Palatino Linotype" w:hAnsi="Palatino Linotype" w:cs="Palatino Linotype"/>
              <w:b/>
              <w:bCs/>
              <w:color w:val="4472C4"/>
              <w:sz w:val="16"/>
              <w:szCs w:val="16"/>
            </w:rPr>
            <w:t>https://journals.tultech.eu/index.php/ijitis</w:t>
          </w:r>
        </w:p>
        <w:p w14:paraId="699C7E15" w14:textId="77777777" w:rsidR="00F47EB2" w:rsidRDefault="00000000">
          <w:pPr>
            <w:tabs>
              <w:tab w:val="right" w:pos="9566"/>
            </w:tabs>
            <w:ind w:left="-1237" w:right="-1180" w:firstLine="0"/>
            <w:jc w:val="center"/>
            <w:rPr>
              <w:rFonts w:ascii="Palatino Linotype" w:eastAsia="Palatino Linotype" w:hAnsi="Palatino Linotype" w:cs="Palatino Linotype"/>
              <w:b/>
              <w:bCs/>
              <w:color w:val="3B3838"/>
              <w:sz w:val="16"/>
              <w:szCs w:val="16"/>
            </w:rPr>
          </w:pPr>
          <w:r>
            <w:rPr>
              <w:rFonts w:ascii="Palatino Linotype" w:eastAsia="Palatino Linotype" w:hAnsi="Palatino Linotype" w:cs="Palatino Linotype"/>
              <w:b/>
              <w:bCs/>
              <w:color w:val="3B3838"/>
              <w:sz w:val="16"/>
              <w:szCs w:val="16"/>
            </w:rPr>
            <w:t>ISSN: 2613-7305</w:t>
          </w:r>
        </w:p>
        <w:p w14:paraId="339DCB04" w14:textId="77777777" w:rsidR="00F47EB2" w:rsidRDefault="00000000">
          <w:pPr>
            <w:tabs>
              <w:tab w:val="right" w:pos="9566"/>
            </w:tabs>
            <w:ind w:left="-1237" w:right="-1180" w:firstLine="0"/>
            <w:jc w:val="center"/>
            <w:rPr>
              <w:rFonts w:ascii="Palatino Linotype" w:eastAsia="Palatino Linotype" w:hAnsi="Palatino Linotype" w:cs="Palatino Linotype"/>
              <w:b/>
              <w:bCs/>
              <w:color w:val="3B3838"/>
              <w:sz w:val="16"/>
              <w:szCs w:val="16"/>
            </w:rPr>
          </w:pPr>
          <w:r>
            <w:rPr>
              <w:rFonts w:ascii="Palatino Linotype" w:eastAsia="Palatino Linotype" w:hAnsi="Palatino Linotype" w:cs="Palatino Linotype"/>
              <w:b/>
              <w:bCs/>
              <w:color w:val="3B3838"/>
              <w:sz w:val="16"/>
              <w:szCs w:val="16"/>
            </w:rPr>
            <w:t xml:space="preserve">Volume, Issue </w:t>
          </w:r>
        </w:p>
        <w:p w14:paraId="478214B2" w14:textId="77777777" w:rsidR="00F47EB2" w:rsidRDefault="00000000">
          <w:pPr>
            <w:tabs>
              <w:tab w:val="right" w:pos="9566"/>
            </w:tabs>
            <w:ind w:left="-1237" w:right="-1180" w:firstLine="0"/>
            <w:jc w:val="center"/>
            <w:rPr>
              <w:rFonts w:ascii="Palatino Linotype" w:eastAsia="Palatino Linotype" w:hAnsi="Palatino Linotype" w:cs="Palatino Linotype"/>
              <w:b/>
              <w:bCs/>
              <w:color w:val="3B3838"/>
              <w:sz w:val="16"/>
              <w:szCs w:val="16"/>
            </w:rPr>
          </w:pPr>
          <w:r>
            <w:rPr>
              <w:rFonts w:ascii="Palatino Linotype" w:eastAsia="Palatino Linotype" w:hAnsi="Palatino Linotype" w:cs="Palatino Linotype"/>
              <w:b/>
              <w:bCs/>
              <w:color w:val="3B3838"/>
              <w:sz w:val="16"/>
              <w:szCs w:val="16"/>
            </w:rPr>
            <w:t>DOI: https://doi.org/10.15157/ijitis.</w:t>
          </w:r>
        </w:p>
        <w:p w14:paraId="6460CC00" w14:textId="77777777" w:rsidR="00F47EB2" w:rsidRDefault="00000000">
          <w:pPr>
            <w:tabs>
              <w:tab w:val="right" w:pos="9566"/>
            </w:tabs>
            <w:ind w:left="-1237" w:right="-1180" w:firstLine="0"/>
            <w:jc w:val="center"/>
            <w:rPr>
              <w:rFonts w:ascii="Palatino Linotype" w:eastAsia="Palatino Linotype" w:hAnsi="Palatino Linotype" w:cs="Palatino Linotype"/>
              <w:color w:val="7D7E7E"/>
              <w:sz w:val="24"/>
              <w:szCs w:val="24"/>
            </w:rPr>
          </w:pPr>
          <w:r>
            <w:rPr>
              <w:rFonts w:ascii="Palatino Linotype" w:eastAsia="Palatino Linotype" w:hAnsi="Palatino Linotype" w:cs="Palatino Linotype"/>
              <w:color w:val="3B3838"/>
              <w:sz w:val="16"/>
              <w:szCs w:val="16"/>
            </w:rPr>
            <w:t>Received</w:t>
          </w:r>
          <w:proofErr w:type="gramStart"/>
          <w:r>
            <w:rPr>
              <w:rFonts w:ascii="Palatino Linotype" w:eastAsia="Palatino Linotype" w:hAnsi="Palatino Linotype" w:cs="Palatino Linotype"/>
              <w:color w:val="3B3838"/>
              <w:sz w:val="16"/>
              <w:szCs w:val="16"/>
            </w:rPr>
            <w:t>: ;</w:t>
          </w:r>
          <w:proofErr w:type="gramEnd"/>
          <w:r>
            <w:rPr>
              <w:rFonts w:ascii="Palatino Linotype" w:eastAsia="Palatino Linotype" w:hAnsi="Palatino Linotype" w:cs="Palatino Linotype"/>
              <w:color w:val="3B3838"/>
              <w:sz w:val="16"/>
              <w:szCs w:val="16"/>
            </w:rPr>
            <w:t xml:space="preserve"> Revised:</w:t>
          </w:r>
          <w:proofErr w:type="gramStart"/>
          <w:r>
            <w:rPr>
              <w:rFonts w:ascii="Palatino Linotype" w:eastAsia="Palatino Linotype" w:hAnsi="Palatino Linotype" w:cs="Palatino Linotype"/>
              <w:color w:val="3B3838"/>
              <w:sz w:val="16"/>
              <w:szCs w:val="16"/>
            </w:rPr>
            <w:t xml:space="preserve">  ;</w:t>
          </w:r>
          <w:proofErr w:type="gramEnd"/>
          <w:r>
            <w:rPr>
              <w:rFonts w:ascii="Palatino Linotype" w:eastAsia="Palatino Linotype" w:hAnsi="Palatino Linotype" w:cs="Palatino Linotype"/>
              <w:color w:val="3B3838"/>
              <w:sz w:val="16"/>
              <w:szCs w:val="16"/>
            </w:rPr>
            <w:t xml:space="preserve"> Accepted:  </w:t>
          </w:r>
        </w:p>
      </w:tc>
      <w:tc>
        <w:tcPr>
          <w:tcW w:w="1825" w:type="dxa"/>
          <w:vAlign w:val="center"/>
        </w:tcPr>
        <w:p w14:paraId="707F05F2" w14:textId="77777777" w:rsidR="00F47EB2" w:rsidRDefault="00000000">
          <w:pPr>
            <w:tabs>
              <w:tab w:val="right" w:pos="9566"/>
            </w:tabs>
            <w:ind w:left="0" w:firstLine="289"/>
            <w:jc w:val="center"/>
            <w:rPr>
              <w:rFonts w:ascii="Palatino Linotype" w:eastAsia="Palatino Linotype" w:hAnsi="Palatino Linotype" w:cs="Palatino Linotype"/>
              <w:b/>
              <w:bCs/>
              <w:color w:val="2A4791"/>
              <w:sz w:val="31"/>
              <w:szCs w:val="31"/>
            </w:rPr>
          </w:pPr>
          <w:r>
            <w:rPr>
              <w:rFonts w:ascii="Palatino Linotype" w:eastAsia="Palatino Linotype" w:hAnsi="Palatino Linotype" w:cs="Palatino Linotype"/>
              <w:noProof/>
            </w:rPr>
            <w:drawing>
              <wp:inline distT="0" distB="0" distL="0" distR="0" wp14:anchorId="38D142EE" wp14:editId="4F01675F">
                <wp:extent cx="836998" cy="851104"/>
                <wp:effectExtent l="0" t="0" r="0" b="0"/>
                <wp:docPr id="1507459536" name="image10.png" descr="A logo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logo with a black background&#10;&#10;Description automatically generated"/>
                        <pic:cNvPicPr preferRelativeResize="0"/>
                      </pic:nvPicPr>
                      <pic:blipFill>
                        <a:blip r:embed="rId2"/>
                        <a:srcRect/>
                        <a:stretch>
                          <a:fillRect/>
                        </a:stretch>
                      </pic:blipFill>
                      <pic:spPr>
                        <a:xfrm>
                          <a:off x="0" y="0"/>
                          <a:ext cx="836998" cy="851104"/>
                        </a:xfrm>
                        <a:prstGeom prst="rect">
                          <a:avLst/>
                        </a:prstGeom>
                        <a:ln/>
                      </pic:spPr>
                    </pic:pic>
                  </a:graphicData>
                </a:graphic>
              </wp:inline>
            </w:drawing>
          </w:r>
        </w:p>
      </w:tc>
    </w:tr>
  </w:tbl>
  <w:p w14:paraId="208F3C41" w14:textId="77777777" w:rsidR="00F47EB2" w:rsidRDefault="00F47EB2">
    <w:pPr>
      <w:pBdr>
        <w:top w:val="nil"/>
        <w:left w:val="nil"/>
        <w:bottom w:val="nil"/>
        <w:right w:val="nil"/>
        <w:between w:val="nil"/>
      </w:pBdr>
      <w:tabs>
        <w:tab w:val="center" w:pos="4513"/>
        <w:tab w:val="right" w:pos="9026"/>
      </w:tabs>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F1345"/>
    <w:multiLevelType w:val="hybridMultilevel"/>
    <w:tmpl w:val="05B2D17E"/>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 w15:restartNumberingAfterBreak="0">
    <w:nsid w:val="06785130"/>
    <w:multiLevelType w:val="hybridMultilevel"/>
    <w:tmpl w:val="49607740"/>
    <w:lvl w:ilvl="0" w:tplc="DA101D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D659A"/>
    <w:multiLevelType w:val="hybridMultilevel"/>
    <w:tmpl w:val="33CC9732"/>
    <w:lvl w:ilvl="0" w:tplc="0809000F">
      <w:start w:val="1"/>
      <w:numFmt w:val="decimal"/>
      <w:lvlText w:val="%1."/>
      <w:lvlJc w:val="left"/>
      <w:pPr>
        <w:ind w:left="648" w:hanging="360"/>
      </w:p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3" w15:restartNumberingAfterBreak="0">
    <w:nsid w:val="1CD41896"/>
    <w:multiLevelType w:val="hybridMultilevel"/>
    <w:tmpl w:val="E36C65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C459A"/>
    <w:multiLevelType w:val="hybridMultilevel"/>
    <w:tmpl w:val="AECE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A7145"/>
    <w:multiLevelType w:val="hybridMultilevel"/>
    <w:tmpl w:val="BCD6EF6E"/>
    <w:lvl w:ilvl="0" w:tplc="32DEC2C0">
      <w:start w:val="1"/>
      <w:numFmt w:val="upperLetter"/>
      <w:lvlText w:val="%1."/>
      <w:lvlJc w:val="left"/>
      <w:pPr>
        <w:ind w:left="720" w:hanging="432"/>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6"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B950989"/>
    <w:multiLevelType w:val="hybridMultilevel"/>
    <w:tmpl w:val="11B013FA"/>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8" w15:restartNumberingAfterBreak="0">
    <w:nsid w:val="41E22C86"/>
    <w:multiLevelType w:val="hybridMultilevel"/>
    <w:tmpl w:val="BB485FCE"/>
    <w:lvl w:ilvl="0" w:tplc="08090001">
      <w:start w:val="1"/>
      <w:numFmt w:val="bullet"/>
      <w:lvlText w:val=""/>
      <w:lvlJc w:val="left"/>
      <w:pPr>
        <w:ind w:left="721" w:hanging="360"/>
      </w:pPr>
      <w:rPr>
        <w:rFonts w:ascii="Symbol" w:hAnsi="Symbol" w:hint="default"/>
      </w:rPr>
    </w:lvl>
    <w:lvl w:ilvl="1" w:tplc="08090003" w:tentative="1">
      <w:start w:val="1"/>
      <w:numFmt w:val="bullet"/>
      <w:lvlText w:val="o"/>
      <w:lvlJc w:val="left"/>
      <w:pPr>
        <w:ind w:left="1441" w:hanging="360"/>
      </w:pPr>
      <w:rPr>
        <w:rFonts w:ascii="Courier New" w:hAnsi="Courier New" w:cs="Courier New" w:hint="default"/>
      </w:rPr>
    </w:lvl>
    <w:lvl w:ilvl="2" w:tplc="08090005" w:tentative="1">
      <w:start w:val="1"/>
      <w:numFmt w:val="bullet"/>
      <w:lvlText w:val=""/>
      <w:lvlJc w:val="left"/>
      <w:pPr>
        <w:ind w:left="2161" w:hanging="360"/>
      </w:pPr>
      <w:rPr>
        <w:rFonts w:ascii="Wingdings" w:hAnsi="Wingdings" w:hint="default"/>
      </w:rPr>
    </w:lvl>
    <w:lvl w:ilvl="3" w:tplc="08090001" w:tentative="1">
      <w:start w:val="1"/>
      <w:numFmt w:val="bullet"/>
      <w:lvlText w:val=""/>
      <w:lvlJc w:val="left"/>
      <w:pPr>
        <w:ind w:left="2881" w:hanging="360"/>
      </w:pPr>
      <w:rPr>
        <w:rFonts w:ascii="Symbol" w:hAnsi="Symbol" w:hint="default"/>
      </w:rPr>
    </w:lvl>
    <w:lvl w:ilvl="4" w:tplc="08090003" w:tentative="1">
      <w:start w:val="1"/>
      <w:numFmt w:val="bullet"/>
      <w:lvlText w:val="o"/>
      <w:lvlJc w:val="left"/>
      <w:pPr>
        <w:ind w:left="3601" w:hanging="360"/>
      </w:pPr>
      <w:rPr>
        <w:rFonts w:ascii="Courier New" w:hAnsi="Courier New" w:cs="Courier New" w:hint="default"/>
      </w:rPr>
    </w:lvl>
    <w:lvl w:ilvl="5" w:tplc="08090005" w:tentative="1">
      <w:start w:val="1"/>
      <w:numFmt w:val="bullet"/>
      <w:lvlText w:val=""/>
      <w:lvlJc w:val="left"/>
      <w:pPr>
        <w:ind w:left="4321" w:hanging="360"/>
      </w:pPr>
      <w:rPr>
        <w:rFonts w:ascii="Wingdings" w:hAnsi="Wingdings" w:hint="default"/>
      </w:rPr>
    </w:lvl>
    <w:lvl w:ilvl="6" w:tplc="08090001" w:tentative="1">
      <w:start w:val="1"/>
      <w:numFmt w:val="bullet"/>
      <w:lvlText w:val=""/>
      <w:lvlJc w:val="left"/>
      <w:pPr>
        <w:ind w:left="5041" w:hanging="360"/>
      </w:pPr>
      <w:rPr>
        <w:rFonts w:ascii="Symbol" w:hAnsi="Symbol" w:hint="default"/>
      </w:rPr>
    </w:lvl>
    <w:lvl w:ilvl="7" w:tplc="08090003" w:tentative="1">
      <w:start w:val="1"/>
      <w:numFmt w:val="bullet"/>
      <w:lvlText w:val="o"/>
      <w:lvlJc w:val="left"/>
      <w:pPr>
        <w:ind w:left="5761" w:hanging="360"/>
      </w:pPr>
      <w:rPr>
        <w:rFonts w:ascii="Courier New" w:hAnsi="Courier New" w:cs="Courier New" w:hint="default"/>
      </w:rPr>
    </w:lvl>
    <w:lvl w:ilvl="8" w:tplc="08090005" w:tentative="1">
      <w:start w:val="1"/>
      <w:numFmt w:val="bullet"/>
      <w:lvlText w:val=""/>
      <w:lvlJc w:val="left"/>
      <w:pPr>
        <w:ind w:left="6481" w:hanging="360"/>
      </w:pPr>
      <w:rPr>
        <w:rFonts w:ascii="Wingdings" w:hAnsi="Wingdings" w:hint="default"/>
      </w:rPr>
    </w:lvl>
  </w:abstractNum>
  <w:abstractNum w:abstractNumId="9" w15:restartNumberingAfterBreak="0">
    <w:nsid w:val="464F1189"/>
    <w:multiLevelType w:val="multilevel"/>
    <w:tmpl w:val="F2FEBA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4C9F289C"/>
    <w:multiLevelType w:val="hybridMultilevel"/>
    <w:tmpl w:val="6898F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2" w15:restartNumberingAfterBreak="0">
    <w:nsid w:val="5AD4400A"/>
    <w:multiLevelType w:val="hybridMultilevel"/>
    <w:tmpl w:val="15BA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2E095C"/>
    <w:multiLevelType w:val="hybridMultilevel"/>
    <w:tmpl w:val="923EE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6CD73221"/>
    <w:multiLevelType w:val="hybridMultilevel"/>
    <w:tmpl w:val="C90AF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394300"/>
    <w:multiLevelType w:val="hybridMultilevel"/>
    <w:tmpl w:val="4342B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BC1520"/>
    <w:multiLevelType w:val="hybridMultilevel"/>
    <w:tmpl w:val="4F40C54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8" w15:restartNumberingAfterBreak="0">
    <w:nsid w:val="7F3F5D0E"/>
    <w:multiLevelType w:val="multilevel"/>
    <w:tmpl w:val="6F6C0ECE"/>
    <w:lvl w:ilvl="0">
      <w:start w:val="1"/>
      <w:numFmt w:val="decimal"/>
      <w:lvlText w:val="%1."/>
      <w:lvlJc w:val="left"/>
      <w:pPr>
        <w:ind w:left="721" w:hanging="360"/>
      </w:pPr>
      <w:rPr>
        <w:sz w:val="18"/>
        <w:szCs w:val="18"/>
      </w:rPr>
    </w:lvl>
    <w:lvl w:ilvl="1">
      <w:start w:val="1"/>
      <w:numFmt w:val="lowerLetter"/>
      <w:lvlText w:val="%2."/>
      <w:lvlJc w:val="left"/>
      <w:pPr>
        <w:ind w:left="1441" w:hanging="360"/>
      </w:pPr>
    </w:lvl>
    <w:lvl w:ilvl="2">
      <w:start w:val="1"/>
      <w:numFmt w:val="lowerRoman"/>
      <w:lvlText w:val="%3."/>
      <w:lvlJc w:val="right"/>
      <w:pPr>
        <w:ind w:left="2161" w:hanging="180"/>
      </w:pPr>
    </w:lvl>
    <w:lvl w:ilvl="3">
      <w:start w:val="1"/>
      <w:numFmt w:val="decimal"/>
      <w:lvlText w:val="%4."/>
      <w:lvlJc w:val="left"/>
      <w:pPr>
        <w:ind w:left="2881" w:hanging="360"/>
      </w:pPr>
    </w:lvl>
    <w:lvl w:ilvl="4">
      <w:start w:val="1"/>
      <w:numFmt w:val="lowerLetter"/>
      <w:lvlText w:val="%5."/>
      <w:lvlJc w:val="left"/>
      <w:pPr>
        <w:ind w:left="3601" w:hanging="360"/>
      </w:pPr>
    </w:lvl>
    <w:lvl w:ilvl="5">
      <w:start w:val="1"/>
      <w:numFmt w:val="lowerRoman"/>
      <w:lvlText w:val="%6."/>
      <w:lvlJc w:val="right"/>
      <w:pPr>
        <w:ind w:left="4321" w:hanging="180"/>
      </w:pPr>
    </w:lvl>
    <w:lvl w:ilvl="6">
      <w:start w:val="1"/>
      <w:numFmt w:val="decimal"/>
      <w:lvlText w:val="%7."/>
      <w:lvlJc w:val="left"/>
      <w:pPr>
        <w:ind w:left="5041" w:hanging="360"/>
      </w:pPr>
    </w:lvl>
    <w:lvl w:ilvl="7">
      <w:start w:val="1"/>
      <w:numFmt w:val="lowerLetter"/>
      <w:lvlText w:val="%8."/>
      <w:lvlJc w:val="left"/>
      <w:pPr>
        <w:ind w:left="5761" w:hanging="360"/>
      </w:pPr>
    </w:lvl>
    <w:lvl w:ilvl="8">
      <w:start w:val="1"/>
      <w:numFmt w:val="lowerRoman"/>
      <w:lvlText w:val="%9."/>
      <w:lvlJc w:val="right"/>
      <w:pPr>
        <w:ind w:left="6481" w:hanging="180"/>
      </w:pPr>
    </w:lvl>
  </w:abstractNum>
  <w:num w:numId="1" w16cid:durableId="1296720208">
    <w:abstractNumId w:val="18"/>
  </w:num>
  <w:num w:numId="2" w16cid:durableId="807666729">
    <w:abstractNumId w:val="9"/>
  </w:num>
  <w:num w:numId="3" w16cid:durableId="1744982629">
    <w:abstractNumId w:val="11"/>
  </w:num>
  <w:num w:numId="4" w16cid:durableId="32777192">
    <w:abstractNumId w:val="6"/>
  </w:num>
  <w:num w:numId="5" w16cid:durableId="368649323">
    <w:abstractNumId w:val="14"/>
  </w:num>
  <w:num w:numId="6" w16cid:durableId="1370304854">
    <w:abstractNumId w:val="3"/>
  </w:num>
  <w:num w:numId="7" w16cid:durableId="328794947">
    <w:abstractNumId w:val="15"/>
  </w:num>
  <w:num w:numId="8" w16cid:durableId="472606409">
    <w:abstractNumId w:val="12"/>
  </w:num>
  <w:num w:numId="9" w16cid:durableId="1260942977">
    <w:abstractNumId w:val="17"/>
  </w:num>
  <w:num w:numId="10" w16cid:durableId="277371744">
    <w:abstractNumId w:val="13"/>
  </w:num>
  <w:num w:numId="11" w16cid:durableId="967861658">
    <w:abstractNumId w:val="4"/>
  </w:num>
  <w:num w:numId="12" w16cid:durableId="2075858339">
    <w:abstractNumId w:val="16"/>
  </w:num>
  <w:num w:numId="13" w16cid:durableId="303046701">
    <w:abstractNumId w:val="5"/>
  </w:num>
  <w:num w:numId="14" w16cid:durableId="686754252">
    <w:abstractNumId w:val="2"/>
  </w:num>
  <w:num w:numId="15" w16cid:durableId="39280721">
    <w:abstractNumId w:val="7"/>
  </w:num>
  <w:num w:numId="16" w16cid:durableId="1170173305">
    <w:abstractNumId w:val="0"/>
  </w:num>
  <w:num w:numId="17" w16cid:durableId="1652975607">
    <w:abstractNumId w:val="10"/>
  </w:num>
  <w:num w:numId="18" w16cid:durableId="1523281696">
    <w:abstractNumId w:val="1"/>
  </w:num>
  <w:num w:numId="19" w16cid:durableId="707348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EB2"/>
    <w:rsid w:val="00021C9E"/>
    <w:rsid w:val="00054445"/>
    <w:rsid w:val="0006060E"/>
    <w:rsid w:val="0006208B"/>
    <w:rsid w:val="000B4192"/>
    <w:rsid w:val="00174EB5"/>
    <w:rsid w:val="0019679E"/>
    <w:rsid w:val="0019762D"/>
    <w:rsid w:val="001A268E"/>
    <w:rsid w:val="001E5C94"/>
    <w:rsid w:val="00222ADC"/>
    <w:rsid w:val="002333BA"/>
    <w:rsid w:val="0026166B"/>
    <w:rsid w:val="002B57F3"/>
    <w:rsid w:val="002D5611"/>
    <w:rsid w:val="002F0D4A"/>
    <w:rsid w:val="00351045"/>
    <w:rsid w:val="00370ABE"/>
    <w:rsid w:val="004641A0"/>
    <w:rsid w:val="004C6316"/>
    <w:rsid w:val="00502E44"/>
    <w:rsid w:val="00562752"/>
    <w:rsid w:val="00590A68"/>
    <w:rsid w:val="005C34B9"/>
    <w:rsid w:val="006613D9"/>
    <w:rsid w:val="006B52F4"/>
    <w:rsid w:val="006F605A"/>
    <w:rsid w:val="0075143C"/>
    <w:rsid w:val="008756B1"/>
    <w:rsid w:val="009137CF"/>
    <w:rsid w:val="00973705"/>
    <w:rsid w:val="009A2890"/>
    <w:rsid w:val="009A53EB"/>
    <w:rsid w:val="009D4577"/>
    <w:rsid w:val="00A46E9E"/>
    <w:rsid w:val="00B5316E"/>
    <w:rsid w:val="00B86E92"/>
    <w:rsid w:val="00BB4E20"/>
    <w:rsid w:val="00BE6FC8"/>
    <w:rsid w:val="00C31CC7"/>
    <w:rsid w:val="00C71EDA"/>
    <w:rsid w:val="00C727A5"/>
    <w:rsid w:val="00C73004"/>
    <w:rsid w:val="00CE6112"/>
    <w:rsid w:val="00D01965"/>
    <w:rsid w:val="00D05CD6"/>
    <w:rsid w:val="00DB3A24"/>
    <w:rsid w:val="00DD110B"/>
    <w:rsid w:val="00E642D1"/>
    <w:rsid w:val="00E8683B"/>
    <w:rsid w:val="00E87EBB"/>
    <w:rsid w:val="00EE12D3"/>
    <w:rsid w:val="00F03136"/>
    <w:rsid w:val="00F40136"/>
    <w:rsid w:val="00F41369"/>
    <w:rsid w:val="00F47EB2"/>
    <w:rsid w:val="00F721D0"/>
    <w:rsid w:val="00F81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7ED1B6"/>
  <w15:docId w15:val="{F1CBE814-5511-4B3F-B9AE-B6A40D986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color w:val="181717"/>
        <w:sz w:val="18"/>
        <w:szCs w:val="18"/>
        <w:lang w:val="en-GB" w:eastAsia="en-GB" w:bidi="ar-SA"/>
      </w:rPr>
    </w:rPrDefault>
    <w:pPrDefault>
      <w:pPr>
        <w:spacing w:after="132" w:line="271" w:lineRule="auto"/>
        <w:ind w:left="1" w:firstLine="29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ADC"/>
  </w:style>
  <w:style w:type="paragraph" w:styleId="Heading1">
    <w:name w:val="heading 1"/>
    <w:next w:val="Normal"/>
    <w:link w:val="Heading1Char"/>
    <w:uiPriority w:val="9"/>
    <w:qFormat/>
    <w:rsid w:val="00C11C38"/>
    <w:pPr>
      <w:keepNext/>
      <w:keepLines/>
      <w:spacing w:after="32"/>
      <w:ind w:left="10" w:hanging="10"/>
      <w:outlineLvl w:val="0"/>
    </w:pPr>
    <w:rPr>
      <w:rFonts w:ascii="Book Antiqua" w:eastAsia="Book Antiqua" w:hAnsi="Book Antiqua" w:cs="Book Antiqua"/>
      <w:b/>
      <w:color w:val="00B050"/>
    </w:rPr>
  </w:style>
  <w:style w:type="paragraph" w:styleId="Heading2">
    <w:name w:val="heading 2"/>
    <w:basedOn w:val="Normal"/>
    <w:next w:val="Normal"/>
    <w:unhideWhenUsed/>
    <w:qFormat/>
    <w:pPr>
      <w:keepNext/>
      <w:keepLines/>
      <w:spacing w:before="360" w:after="80"/>
      <w:outlineLvl w:val="1"/>
    </w:pPr>
    <w:rPr>
      <w:b/>
      <w:bCs/>
      <w:sz w:val="36"/>
      <w:szCs w:val="36"/>
    </w:rPr>
  </w:style>
  <w:style w:type="paragraph" w:styleId="Heading3">
    <w:name w:val="heading 3"/>
    <w:basedOn w:val="Normal"/>
    <w:next w:val="Normal"/>
    <w:unhideWhenUsed/>
    <w:qFormat/>
    <w:pPr>
      <w:keepNext/>
      <w:keepLines/>
      <w:spacing w:before="280" w:after="80"/>
      <w:outlineLvl w:val="2"/>
    </w:pPr>
    <w:rPr>
      <w:b/>
      <w:bCs/>
      <w:sz w:val="28"/>
      <w:szCs w:val="28"/>
    </w:rPr>
  </w:style>
  <w:style w:type="paragraph" w:styleId="Heading4">
    <w:name w:val="heading 4"/>
    <w:basedOn w:val="Normal"/>
    <w:next w:val="Normal"/>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Header">
    <w:name w:val="header"/>
    <w:basedOn w:val="Normal"/>
    <w:link w:val="HeaderChar"/>
    <w:uiPriority w:val="99"/>
    <w:unhideWhenUsed/>
    <w:rsid w:val="00792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ED0"/>
    <w:rPr>
      <w:lang w:val="en-US"/>
    </w:rPr>
  </w:style>
  <w:style w:type="paragraph" w:styleId="Footer">
    <w:name w:val="footer"/>
    <w:basedOn w:val="Normal"/>
    <w:link w:val="FooterChar"/>
    <w:uiPriority w:val="99"/>
    <w:unhideWhenUsed/>
    <w:rsid w:val="00792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ED0"/>
    <w:rPr>
      <w:lang w:val="en-US"/>
    </w:rPr>
  </w:style>
  <w:style w:type="table" w:styleId="TableGrid">
    <w:name w:val="Table Grid"/>
    <w:basedOn w:val="TableNormal"/>
    <w:uiPriority w:val="39"/>
    <w:rsid w:val="00792E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11C38"/>
    <w:rPr>
      <w:rFonts w:ascii="Book Antiqua" w:eastAsia="Book Antiqua" w:hAnsi="Book Antiqua" w:cs="Book Antiqua"/>
      <w:b/>
      <w:color w:val="00B050"/>
      <w:lang w:eastAsia="en-GB"/>
    </w:rPr>
  </w:style>
  <w:style w:type="paragraph" w:styleId="ListParagraph">
    <w:name w:val="List Paragraph"/>
    <w:basedOn w:val="Normal"/>
    <w:uiPriority w:val="34"/>
    <w:qFormat/>
    <w:rsid w:val="00AA2487"/>
    <w:pPr>
      <w:ind w:left="720"/>
      <w:contextualSpacing/>
    </w:pPr>
  </w:style>
  <w:style w:type="paragraph" w:styleId="Caption">
    <w:name w:val="caption"/>
    <w:basedOn w:val="Normal"/>
    <w:next w:val="Normal"/>
    <w:unhideWhenUsed/>
    <w:qFormat/>
    <w:rsid w:val="00BD56F1"/>
    <w:pPr>
      <w:spacing w:after="200" w:line="240" w:lineRule="auto"/>
    </w:pPr>
    <w:rPr>
      <w:i/>
      <w:iCs/>
      <w:color w:val="44546A" w:themeColor="text2"/>
    </w:rPr>
  </w:style>
  <w:style w:type="character" w:styleId="Hyperlink">
    <w:name w:val="Hyperlink"/>
    <w:basedOn w:val="DefaultParagraphFont"/>
    <w:uiPriority w:val="99"/>
    <w:unhideWhenUsed/>
    <w:rsid w:val="00DE00F7"/>
    <w:rPr>
      <w:color w:val="0000FF"/>
      <w:u w:val="single"/>
    </w:rPr>
  </w:style>
  <w:style w:type="character" w:styleId="UnresolvedMention">
    <w:name w:val="Unresolved Mention"/>
    <w:basedOn w:val="DefaultParagraphFont"/>
    <w:uiPriority w:val="99"/>
    <w:semiHidden/>
    <w:unhideWhenUsed/>
    <w:rsid w:val="0061179A"/>
    <w:rPr>
      <w:color w:val="605E5C"/>
      <w:shd w:val="clear" w:color="auto" w:fill="E1DFDD"/>
    </w:rPr>
  </w:style>
  <w:style w:type="paragraph" w:styleId="NormalWeb">
    <w:name w:val="Normal (Web)"/>
    <w:basedOn w:val="Normal"/>
    <w:uiPriority w:val="99"/>
    <w:semiHidden/>
    <w:unhideWhenUsed/>
    <w:rsid w:val="00A911E2"/>
    <w:pPr>
      <w:spacing w:before="100" w:beforeAutospacing="1" w:after="100" w:afterAutospacing="1" w:line="240" w:lineRule="auto"/>
      <w:ind w:left="0" w:firstLine="0"/>
      <w:jc w:val="left"/>
    </w:pPr>
    <w:rPr>
      <w:rFonts w:ascii="Times New Roman" w:eastAsia="Times New Roman" w:hAnsi="Times New Roman" w:cs="Times New Roman"/>
      <w:color w:val="auto"/>
      <w:sz w:val="24"/>
      <w:szCs w:val="24"/>
    </w:rPr>
  </w:style>
  <w:style w:type="character" w:styleId="Emphasis">
    <w:name w:val="Emphasis"/>
    <w:basedOn w:val="DefaultParagraphFont"/>
    <w:uiPriority w:val="20"/>
    <w:qFormat/>
    <w:rsid w:val="00A911E2"/>
    <w:rPr>
      <w:i/>
      <w:iCs/>
    </w:rPr>
  </w:style>
  <w:style w:type="character" w:styleId="Strong">
    <w:name w:val="Strong"/>
    <w:basedOn w:val="DefaultParagraphFont"/>
    <w:uiPriority w:val="22"/>
    <w:qFormat/>
    <w:rsid w:val="00A911E2"/>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customStyle="1" w:styleId="references">
    <w:name w:val="references"/>
    <w:rsid w:val="00F810B8"/>
    <w:pPr>
      <w:numPr>
        <w:numId w:val="3"/>
      </w:numPr>
      <w:spacing w:after="50" w:line="180" w:lineRule="exact"/>
    </w:pPr>
    <w:rPr>
      <w:rFonts w:ascii="Times New Roman" w:eastAsia="MS Mincho" w:hAnsi="Times New Roman" w:cs="Times New Roman"/>
      <w:noProof/>
      <w:color w:val="auto"/>
      <w:sz w:val="16"/>
      <w:szCs w:val="16"/>
      <w:lang w:val="en-US" w:eastAsia="en-US"/>
    </w:rPr>
  </w:style>
  <w:style w:type="paragraph" w:styleId="BodyText">
    <w:name w:val="Body Text"/>
    <w:basedOn w:val="Normal"/>
    <w:link w:val="BodyTextChar"/>
    <w:rsid w:val="00590A68"/>
    <w:pPr>
      <w:tabs>
        <w:tab w:val="left" w:pos="288"/>
      </w:tabs>
      <w:spacing w:after="120" w:line="228" w:lineRule="auto"/>
      <w:ind w:left="0" w:firstLine="288"/>
    </w:pPr>
    <w:rPr>
      <w:rFonts w:ascii="Times New Roman" w:eastAsia="SimSun" w:hAnsi="Times New Roman" w:cs="Times New Roman"/>
      <w:color w:val="auto"/>
      <w:spacing w:val="-1"/>
      <w:sz w:val="20"/>
      <w:szCs w:val="20"/>
      <w:lang w:val="x-none" w:eastAsia="x-none"/>
    </w:rPr>
  </w:style>
  <w:style w:type="character" w:customStyle="1" w:styleId="BodyTextChar">
    <w:name w:val="Body Text Char"/>
    <w:basedOn w:val="DefaultParagraphFont"/>
    <w:link w:val="BodyText"/>
    <w:rsid w:val="00590A68"/>
    <w:rPr>
      <w:rFonts w:ascii="Times New Roman" w:eastAsia="SimSun" w:hAnsi="Times New Roman" w:cs="Times New Roman"/>
      <w:color w:val="auto"/>
      <w:spacing w:val="-1"/>
      <w:sz w:val="20"/>
      <w:szCs w:val="20"/>
      <w:lang w:val="x-none" w:eastAsia="x-none"/>
    </w:rPr>
  </w:style>
  <w:style w:type="paragraph" w:customStyle="1" w:styleId="bulletlist">
    <w:name w:val="bullet list"/>
    <w:basedOn w:val="BodyText"/>
    <w:rsid w:val="00590A68"/>
    <w:pPr>
      <w:numPr>
        <w:numId w:val="4"/>
      </w:numPr>
    </w:pPr>
  </w:style>
  <w:style w:type="paragraph" w:customStyle="1" w:styleId="figurecaption">
    <w:name w:val="figure caption"/>
    <w:rsid w:val="00590A68"/>
    <w:pPr>
      <w:numPr>
        <w:numId w:val="5"/>
      </w:numPr>
      <w:tabs>
        <w:tab w:val="left" w:pos="533"/>
      </w:tabs>
      <w:spacing w:before="80" w:after="200" w:line="240" w:lineRule="auto"/>
      <w:ind w:left="0" w:firstLine="0"/>
    </w:pPr>
    <w:rPr>
      <w:rFonts w:ascii="Times New Roman" w:eastAsia="SimSun" w:hAnsi="Times New Roman" w:cs="Times New Roman"/>
      <w:noProof/>
      <w:color w:val="auto"/>
      <w:sz w:val="16"/>
      <w:szCs w:val="16"/>
      <w:lang w:val="en-US" w:eastAsia="en-US"/>
    </w:rPr>
  </w:style>
  <w:style w:type="paragraph" w:customStyle="1" w:styleId="sponsors">
    <w:name w:val="sponsors"/>
    <w:rsid w:val="00590A68"/>
    <w:pPr>
      <w:framePr w:wrap="auto" w:hAnchor="text" w:x="615" w:y="2239"/>
      <w:pBdr>
        <w:top w:val="single" w:sz="4" w:space="2" w:color="auto"/>
      </w:pBdr>
      <w:spacing w:after="0" w:line="240" w:lineRule="auto"/>
      <w:ind w:left="0" w:firstLine="288"/>
      <w:jc w:val="left"/>
    </w:pPr>
    <w:rPr>
      <w:rFonts w:ascii="Times New Roman" w:eastAsia="SimSun" w:hAnsi="Times New Roman" w:cs="Times New Roman"/>
      <w:color w:val="auto"/>
      <w:sz w:val="16"/>
      <w:szCs w:val="16"/>
      <w:lang w:val="en-US" w:eastAsia="en-US"/>
    </w:rPr>
  </w:style>
  <w:style w:type="paragraph" w:styleId="Bibliography">
    <w:name w:val="Bibliography"/>
    <w:basedOn w:val="Normal"/>
    <w:next w:val="Normal"/>
    <w:uiPriority w:val="37"/>
    <w:semiHidden/>
    <w:unhideWhenUsed/>
    <w:rsid w:val="00A46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mailto:carlene.campbell@uwtsd.ac.uk" TargetMode="External"/><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hyperlink" Target="mailto:s.p.thomas@uwtsd.ac.uk" TargetMode="External"/><Relationship Id="rId14" Type="http://schemas.openxmlformats.org/officeDocument/2006/relationships/image" Target="media/image4.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_rels/footer1.xml.rels><?xml version="1.0" encoding="UTF-8" standalone="yes"?>
<Relationships xmlns="http://schemas.openxmlformats.org/package/2006/relationships"><Relationship Id="rId1" Type="http://schemas.openxmlformats.org/officeDocument/2006/relationships/image" Target="media/image10.png"/></Relationships>
</file>

<file path=word/_rels/header3.xml.rels><?xml version="1.0" encoding="UTF-8" standalone="yes"?>
<Relationships xmlns="http://schemas.openxmlformats.org/package/2006/relationships"><Relationship Id="rId2" Type="http://schemas.openxmlformats.org/officeDocument/2006/relationships/image" Target="media/image9.png"/><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LDlumjwy3fAqXFHpBoDPPiblAg==">CgMxLjA4AHIhMUNHOWF5aG10SzJ0UU1sdmJUcWpic0VONUpIbzNRYkxG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EAn19</b:Tag>
    <b:SourceType>DocumentFromInternetSite</b:SourceType>
    <b:Guid>{52F2051F-CB4B-46A9-AA91-2D66C240F05C}</b:Guid>
    <b:Author>
      <b:Author>
        <b:NameList>
          <b:Person>
            <b:Last>Andrews</b:Last>
            <b:First>E.</b:First>
          </b:Person>
        </b:NameList>
      </b:Author>
    </b:Author>
    <b:Title>Who Invented the Internet </b:Title>
    <b:Year>2019</b:Year>
    <b:YearAccessed>2019</b:YearAccessed>
    <b:MonthAccessed>September</b:MonthAccessed>
    <b:DayAccessed>04</b:DayAccessed>
    <b:URL>https://www.history.com/news/who-invented-the-internet</b:URL>
    <b:RefOrder>3</b:RefOrder>
  </b:Source>
  <b:Source>
    <b:Tag>JGr16</b:Tag>
    <b:SourceType>DocumentFromInternetSite</b:SourceType>
    <b:Guid>{9792CE48-F4EB-409C-868D-425FFF49D71A}</b:Guid>
    <b:Author>
      <b:Author>
        <b:NameList>
          <b:Person>
            <b:Last>Camhi</b:Last>
            <b:First>J</b:First>
          </b:Person>
          <b:Person>
            <b:Last>Greennough</b:Last>
            <b:First>J</b:First>
          </b:Person>
        </b:NameList>
      </b:Author>
    </b:Author>
    <b:Title>The Future of IoT: Trends, Growth &amp; Megatrends</b:Title>
    <b:Year>2016</b:Year>
    <b:YearAccessed>2019</b:YearAccessed>
    <b:MonthAccessed>September</b:MonthAccessed>
    <b:DayAccessed>04</b:DayAccessed>
    <b:URL>https://www.businessinsider.com/top-internet-of-things-trends-2016-1?r=US&amp;IR=T.</b:URL>
    <b:RefOrder>4</b:RefOrder>
  </b:Source>
  <b:Source>
    <b:Tag>DEv11</b:Tag>
    <b:SourceType>Book</b:SourceType>
    <b:Guid>{7200EBCB-66BB-40F8-A084-B78C0EBD375B}</b:Guid>
    <b:Author>
      <b:Author>
        <b:NameList>
          <b:Person>
            <b:Last>Evans</b:Last>
            <b:First>D.</b:First>
          </b:Person>
        </b:NameList>
      </b:Author>
    </b:Author>
    <b:Title>The Internet of Things How the Next Evolution of the Internet Is Changing Everything</b:Title>
    <b:Year>2011</b:Year>
    <b:RefOrder>5</b:RefOrder>
  </b:Source>
  <b:Source>
    <b:Tag>The19</b:Tag>
    <b:SourceType>InternetSite</b:SourceType>
    <b:Guid>{20825BF4-BB9C-47DF-8B8B-EBAF1FA98B28}</b:Guid>
    <b:Title>The MIT Auto-ID Lab</b:Title>
    <b:YearAccessed>2019</b:YearAccessed>
    <b:MonthAccessed>September</b:MonthAccessed>
    <b:DayAccessed>04</b:DayAccessed>
    <b:URL>https://auto.mit.edu/</b:URL>
    <b:ProductionCompany>Massachusetts Institute of Technology</b:ProductionCompany>
    <b:RefOrder>6</b:RefOrder>
  </b:Source>
  <b:Source>
    <b:Tag>Iwa12</b:Tag>
    <b:SourceType>Book</b:SourceType>
    <b:Guid>{90D63B99-93F9-4454-9829-FABE1FE99346}</b:Guid>
    <b:Author>
      <b:Author>
        <b:NameList>
          <b:Person>
            <b:Last>Iwata</b:Last>
            <b:First>J.</b:First>
          </b:Person>
        </b:NameList>
      </b:Author>
    </b:Author>
    <b:Title>Making Markets: Smarter Planet</b:Title>
    <b:Year>2012</b:Year>
    <b:RefOrder>7</b:RefOrder>
  </b:Source>
  <b:Source>
    <b:Tag>Rva17</b:Tag>
    <b:SourceType>Book</b:SourceType>
    <b:Guid>{5035ECB9-494A-45F0-9E34-CDBD13357ECA}</b:Guid>
    <b:Author>
      <b:Author>
        <b:NameList>
          <b:Person>
            <b:Last>Van Der Meulen</b:Last>
            <b:First>R</b:First>
          </b:Person>
        </b:NameList>
      </b:Author>
    </b:Author>
    <b:Title>Gartner Says 8.4 Billion Connected ‘Things’ Will Be in Use in 2017, Up 31 Percent From 2016</b:Title>
    <b:Year>2017</b:Year>
    <b:RefOrder>8</b:RefOrder>
  </b:Source>
  <b:Source>
    <b:Tag>Kum03</b:Tag>
    <b:SourceType>JournalArticle</b:SourceType>
    <b:Guid>{85E60597-5DAA-44C1-B257-D0129CCB56D0}</b:Guid>
    <b:Title>Sensor networks: Evolution, opportunities, and challenges</b:Title>
    <b:Year>2003</b:Year>
    <b:Author>
      <b:Author>
        <b:NameList>
          <b:Person>
            <b:Last>Chong</b:Last>
            <b:First>Chee-Yee</b:First>
          </b:Person>
          <b:Person>
            <b:Last>Kumar</b:Last>
            <b:Middle>P</b:Middle>
            <b:First>S</b:First>
          </b:Person>
        </b:NameList>
      </b:Author>
    </b:Author>
    <b:Pages>1247-1256</b:Pages>
    <b:JournalName>IEEE</b:JournalName>
    <b:Volume>91</b:Volume>
    <b:Issue>8</b:Issue>
    <b:RefOrder>9</b:RefOrder>
  </b:Source>
  <b:Source>
    <b:Tag>Mar04</b:Tag>
    <b:SourceType>Book</b:SourceType>
    <b:Guid>{6817DE8F-7FD5-4D55-AC19-65B5F835B7D7}</b:Guid>
    <b:Title>Mobile Ad Hoc Networking: An Essential Guide</b:Title>
    <b:Year>2004</b:Year>
    <b:Author>
      <b:Author>
        <b:NameList>
          <b:Person>
            <b:Last>Basagni</b:Last>
            <b:First>Marco</b:First>
          </b:Person>
        </b:NameList>
      </b:Author>
    </b:Author>
    <b:Publisher>Prentice Hall</b:Publisher>
    <b:RefOrder>10</b:RefOrder>
  </b:Source>
  <b:Source>
    <b:Tag>SYi17</b:Tag>
    <b:SourceType>Report</b:SourceType>
    <b:Guid>{0FD74DD5-B970-4AB8-A6CA-21DE38867060}</b:Guid>
    <b:Title>Internet of Things: Wireless Sensor Networks</b:Title>
    <b:Year>2017</b:Year>
    <b:Author>
      <b:Author>
        <b:NameList>
          <b:Person>
            <b:Last>Yinbiao</b:Last>
            <b:First>S.</b:First>
          </b:Person>
        </b:NameList>
      </b:Author>
    </b:Author>
    <b:RefOrder>11</b:RefOrder>
  </b:Source>
  <b:Source>
    <b:Tag>HKu18</b:Tag>
    <b:SourceType>JournalArticle</b:SourceType>
    <b:Guid>{60D6F895-1BB9-484D-B6FD-B39005745A5F}</b:Guid>
    <b:Author>
      <b:Author>
        <b:NameList>
          <b:Person>
            <b:Last>Kurunthan</b:Last>
            <b:First>H</b:First>
          </b:Person>
          <b:Person>
            <b:Last>Severino</b:Last>
            <b:First>R</b:First>
          </b:Person>
          <b:Person>
            <b:Last>Koubaa</b:Last>
            <b:First>A</b:First>
          </b:Person>
          <b:Person>
            <b:Last>Tovar</b:Last>
            <b:First>E</b:First>
          </b:Person>
        </b:NameList>
      </b:Author>
    </b:Author>
    <b:Title>IEEE 802.15.4e in a Nutshell: Survey and Performance Evaluation</b:Title>
    <b:JournalName>IEEE Community</b:JournalName>
    <b:Year>2018</b:Year>
    <b:Pages>1989-2010</b:Pages>
    <b:Volume>20</b:Volume>
    <b:Issue>3</b:Issue>
    <b:RefOrder>12</b:RefOrder>
  </b:Source>
  <b:Source>
    <b:Tag>HKa05</b:Tag>
    <b:SourceType>Book</b:SourceType>
    <b:Guid>{C75235C0-70CE-4A2B-9C19-DE6CF8E4D3D5}</b:Guid>
    <b:Title>Network Architecture,” in Protocols and Architectures for Wireless Sensor Networks</b:Title>
    <b:Year>2005</b:Year>
    <b:Author>
      <b:Author>
        <b:NameList>
          <b:Person>
            <b:Last>Karl</b:Last>
            <b:First>H</b:First>
          </b:Person>
          <b:Person>
            <b:Last>Wilig</b:Last>
            <b:First>A</b:First>
          </b:Person>
        </b:NameList>
      </b:Author>
    </b:Author>
    <b:Publisher>Wiley</b:Publisher>
    <b:RefOrder>13</b:RefOrder>
  </b:Source>
  <b:Source>
    <b:Tag>AHR</b:Tag>
    <b:SourceType>Report</b:SourceType>
    <b:Guid>{F6175266-737A-4F46-98D0-C6322DB04CED}</b:Guid>
    <b:Title>States' Environmental Monitoring at Nuclear Power Plants</b:Title>
    <b:Author>
      <b:Author>
        <b:NameList>
          <b:Person>
            <b:Last>Rogers</b:Last>
            <b:First>A.</b:First>
            <b:Middle>H.</b:Middle>
          </b:Person>
        </b:NameList>
      </b:Author>
    </b:Author>
    <b:RefOrder>14</b:RefOrder>
  </b:Source>
  <b:Source>
    <b:Tag>Env191</b:Tag>
    <b:SourceType>DocumentFromInternetSite</b:SourceType>
    <b:Guid>{1803BD47-8056-4FBD-9EF6-B2C63367A5FD}</b:Guid>
    <b:Author>
      <b:Author>
        <b:NameList>
          <b:Person>
            <b:Last>Online</b:Last>
            <b:First>Envirotech</b:First>
          </b:Person>
        </b:NameList>
      </b:Author>
    </b:Author>
    <b:Title>What is Environmental Monitoring?</b:Title>
    <b:YearAccessed>2019</b:YearAccessed>
    <b:MonthAccessed>September</b:MonthAccessed>
    <b:DayAccessed>29</b:DayAccessed>
    <b:URL>https://www.envirotech-online.com/news/air-monitoring/6/breaking-news/what-is-environmental-monitoring/31597.</b:URL>
    <b:RefOrder>15</b:RefOrder>
  </b:Source>
  <b:Source>
    <b:Tag>Env19</b:Tag>
    <b:SourceType>DocumentFromInternetSite</b:SourceType>
    <b:Guid>{D18FE952-C02D-45CD-9D6B-79A3D2934746}</b:Guid>
    <b:Title>Environmental Monitoring. United Nations Economic Commission for Europe</b:Title>
    <b:YearAccessed>2019</b:YearAccessed>
    <b:MonthAccessed>September</b:MonthAccessed>
    <b:DayAccessed>29</b:DayAccessed>
    <b:URL>https://www.unece.org/environmental-policy/environmental-monitoring-and-assessment/areas-of-work/environmental-monitoring.html</b:URL>
    <b:RefOrder>16</b:RefOrder>
  </b:Source>
  <b:Source>
    <b:Tag>Ale09</b:Tag>
    <b:SourceType>Report</b:SourceType>
    <b:Guid>{91C49D4B-7A4D-4CD6-A947-9A8CE4A3000F}</b:Guid>
    <b:Title>Environmental Monitoring of Heritage Buildings</b:Title>
    <b:Year>2009</b:Year>
    <b:Author>
      <b:Author>
        <b:NameList>
          <b:Person>
            <b:Last>Neri</b:Last>
            <b:First>Alessandra</b:First>
          </b:Person>
          <b:Person>
            <b:Last>Corbellini</b:Last>
            <b:First>Simone</b:First>
          </b:Person>
          <b:Person>
            <b:Last>Parvis</b:Last>
            <b:First>Marco</b:First>
          </b:Person>
          <b:Person>
            <b:Last>Grassini</b:Last>
            <b:First>Sabrina</b:First>
          </b:Person>
          <b:Person>
            <b:Last>Piantanida</b:Last>
            <b:First>Marco</b:First>
          </b:Person>
          <b:Person>
            <b:Last>Angelini</b:Last>
            <b:First>Emma</b:First>
          </b:Person>
        </b:NameList>
      </b:Author>
    </b:Author>
    <b:Publisher>IEEE</b:Publisher>
    <b:RefOrder>17</b:RefOrder>
  </b:Source>
  <b:Source>
    <b:Tag>PMi17</b:Tag>
    <b:SourceType>JournalArticle</b:SourceType>
    <b:Guid>{E8497DBA-796F-403C-A508-21088F106D3B}</b:Guid>
    <b:Title>Calculating the Equilibruim Moisture Content - Wood Products Extensions</b:Title>
    <b:Year>2017</b:Year>
    <b:Author>
      <b:Author>
        <b:NameList>
          <b:Person>
            <b:Last>Mitchel</b:Last>
            <b:First>P.</b:First>
          </b:Person>
        </b:NameList>
      </b:Author>
    </b:Author>
    <b:RefOrder>18</b:RefOrder>
  </b:Source>
  <b:Source>
    <b:Tag>iPe19</b:Tag>
    <b:SourceType>InternetSite</b:SourceType>
    <b:Guid>{8940933A-0129-4228-BEF5-4D3866CE6F2B}</b:Guid>
    <b:Title>iPerf - The TCP, UDP and SCTP network bandwidth measurement tool</b:Title>
    <b:ProductionCompany>iPerf</b:ProductionCompany>
    <b:YearAccessed>2019</b:YearAccessed>
    <b:MonthAccessed>September</b:MonthAccessed>
    <b:DayAccessed>30</b:DayAccessed>
    <b:URL>https://iperf.fr/</b:URL>
    <b:RefOrder>19</b:RefOrder>
  </b:Source>
  <b:Source>
    <b:Tag>IFA10</b:Tag>
    <b:SourceType>Book</b:SourceType>
    <b:Guid>{D2BC86BE-BC99-4E24-A324-A59D6D8EF2D1}</b:Guid>
    <b:Author>
      <b:Author>
        <b:NameList>
          <b:Person>
            <b:Last>Akyildiz</b:Last>
            <b:Middle>F</b:Middle>
            <b:First>I</b:First>
          </b:Person>
          <b:Person>
            <b:Last>Vuran</b:Last>
            <b:Middle>C</b:Middle>
            <b:First>M</b:First>
          </b:Person>
        </b:NameList>
      </b:Author>
    </b:Author>
    <b:Title>Wireless Sensor Networks</b:Title>
    <b:Year>2010</b:Year>
    <b:Publisher>John Wiley &amp; Sons</b:Publisher>
    <b:RefOrder>1</b:RefOrder>
  </b:Source>
  <b:Source>
    <b:Tag>Fra99</b:Tag>
    <b:SourceType>BookSection</b:SourceType>
    <b:Guid>{49ECEFA2-D47F-44B0-B8FE-871239730C78}</b:Guid>
    <b:Title>21 Ideas of the 21st Century</b:Title>
    <b:Year>1999</b:Year>
    <b:Publisher>Business Weekly</b:Publisher>
    <b:Author>
      <b:Author>
        <b:NameList>
          <b:Person>
            <b:Last>Fukuyama</b:Last>
            <b:First>Francis</b:First>
          </b:Person>
        </b:NameList>
      </b:Author>
    </b:Author>
    <b:Pages>78-167</b:Pages>
    <b:RefOrder>2</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5202D3F-EC18-4339-832B-487D94F5A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13</Pages>
  <Words>4987</Words>
  <Characters>28429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tultech</dc:creator>
  <cp:lastModifiedBy>Simon Thomas</cp:lastModifiedBy>
  <cp:revision>2</cp:revision>
  <dcterms:created xsi:type="dcterms:W3CDTF">2026-08-14T08:45:00Z</dcterms:created>
  <dcterms:modified xsi:type="dcterms:W3CDTF">2026-08-14T08:45:00Z</dcterms:modified>
</cp:coreProperties>
</file>