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6186D" w14:textId="6E4308EB" w:rsidR="001F00E3" w:rsidRDefault="0088211F" w:rsidP="0088211F">
      <w:pPr>
        <w:pStyle w:val="Heading2"/>
      </w:pPr>
      <w:r>
        <w:rPr>
          <w:noProof/>
        </w:rPr>
        <w:drawing>
          <wp:inline distT="0" distB="0" distL="0" distR="0" wp14:anchorId="3847ADEC" wp14:editId="1D491E6D">
            <wp:extent cx="1284278" cy="440267"/>
            <wp:effectExtent l="0" t="0" r="0" b="0"/>
            <wp:docPr id="745057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75480" cy="471532"/>
                    </a:xfrm>
                    <a:prstGeom prst="rect">
                      <a:avLst/>
                    </a:prstGeom>
                    <a:noFill/>
                    <a:ln>
                      <a:noFill/>
                    </a:ln>
                  </pic:spPr>
                </pic:pic>
              </a:graphicData>
            </a:graphic>
          </wp:inline>
        </w:drawing>
      </w:r>
    </w:p>
    <w:p w14:paraId="3A7AE325" w14:textId="77777777" w:rsidR="0088211F" w:rsidRDefault="0088211F" w:rsidP="0088211F"/>
    <w:p w14:paraId="2C2B0F97" w14:textId="3EB3E483" w:rsidR="0088211F" w:rsidRDefault="0088211F" w:rsidP="0088211F">
      <w:r>
        <w:t>Umar Ravat</w:t>
      </w:r>
    </w:p>
    <w:p w14:paraId="0498C954" w14:textId="5B5B84B1" w:rsidR="0088211F" w:rsidRDefault="0088211F" w:rsidP="0088211F">
      <w:r>
        <w:t>2228614</w:t>
      </w:r>
    </w:p>
    <w:p w14:paraId="3A28C42F" w14:textId="21BAD7AD" w:rsidR="00B67537" w:rsidRDefault="005337DA" w:rsidP="0088211F">
      <w:r>
        <w:t>Lclm60005</w:t>
      </w:r>
    </w:p>
    <w:p w14:paraId="0A5D64AC" w14:textId="258481AB" w:rsidR="005337DA" w:rsidRDefault="005337DA" w:rsidP="0088211F">
      <w:r>
        <w:t>Dissertation</w:t>
      </w:r>
    </w:p>
    <w:p w14:paraId="77763D35" w14:textId="77777777" w:rsidR="005337DA" w:rsidRDefault="005337DA" w:rsidP="0088211F"/>
    <w:p w14:paraId="1B24D5C4" w14:textId="77777777" w:rsidR="0088211F" w:rsidRDefault="0088211F" w:rsidP="0088211F"/>
    <w:p w14:paraId="25CE9A4C" w14:textId="77777777" w:rsidR="0088211F" w:rsidRDefault="0088211F" w:rsidP="0088211F"/>
    <w:p w14:paraId="2556C951" w14:textId="77777777" w:rsidR="0088211F" w:rsidRDefault="0088211F" w:rsidP="0088211F"/>
    <w:p w14:paraId="02E017C7" w14:textId="77777777" w:rsidR="0088211F" w:rsidRDefault="0088211F" w:rsidP="0088211F"/>
    <w:p w14:paraId="279ABC79" w14:textId="77777777" w:rsidR="0088211F" w:rsidRDefault="0088211F" w:rsidP="0088211F"/>
    <w:p w14:paraId="243DD9B8" w14:textId="77777777" w:rsidR="0088211F" w:rsidRDefault="0088211F" w:rsidP="0088211F"/>
    <w:p w14:paraId="7BA8BF01" w14:textId="77777777" w:rsidR="0088211F" w:rsidRDefault="0088211F" w:rsidP="0088211F"/>
    <w:p w14:paraId="0F78D827" w14:textId="77777777" w:rsidR="0088211F" w:rsidRDefault="0088211F" w:rsidP="0088211F"/>
    <w:p w14:paraId="357652C8" w14:textId="77777777" w:rsidR="0088211F" w:rsidRDefault="0088211F" w:rsidP="0088211F"/>
    <w:p w14:paraId="53EF0C7A" w14:textId="77777777" w:rsidR="0088211F" w:rsidRPr="0088211F" w:rsidRDefault="0088211F" w:rsidP="0088211F"/>
    <w:p w14:paraId="6B98D573" w14:textId="77777777" w:rsidR="0088211F" w:rsidRPr="0088211F" w:rsidRDefault="0088211F" w:rsidP="0088211F"/>
    <w:p w14:paraId="2DA5F58E" w14:textId="77777777" w:rsidR="0088211F" w:rsidRPr="0088211F" w:rsidRDefault="0088211F" w:rsidP="0088211F"/>
    <w:p w14:paraId="2D333CD1" w14:textId="77777777" w:rsidR="0088211F" w:rsidRPr="0088211F" w:rsidRDefault="0088211F" w:rsidP="0088211F"/>
    <w:p w14:paraId="1C5D548B" w14:textId="77777777" w:rsidR="0088211F" w:rsidRDefault="0088211F" w:rsidP="0088211F"/>
    <w:p w14:paraId="49C634D8" w14:textId="77777777" w:rsidR="0088211F" w:rsidRDefault="0088211F" w:rsidP="0088211F">
      <w:pPr>
        <w:jc w:val="right"/>
      </w:pPr>
    </w:p>
    <w:p w14:paraId="3C99C2BA" w14:textId="77777777" w:rsidR="0088211F" w:rsidRDefault="0088211F" w:rsidP="0088211F">
      <w:pPr>
        <w:jc w:val="right"/>
      </w:pPr>
    </w:p>
    <w:p w14:paraId="5ACFBAA2" w14:textId="77777777" w:rsidR="0088211F" w:rsidRDefault="0088211F" w:rsidP="0088211F">
      <w:pPr>
        <w:jc w:val="right"/>
      </w:pPr>
    </w:p>
    <w:p w14:paraId="6E8C0B65" w14:textId="77777777" w:rsidR="0088211F" w:rsidRDefault="0088211F" w:rsidP="0088211F">
      <w:pPr>
        <w:jc w:val="right"/>
      </w:pPr>
    </w:p>
    <w:p w14:paraId="048D36B4" w14:textId="77777777" w:rsidR="0088211F" w:rsidRDefault="0088211F" w:rsidP="0088211F">
      <w:pPr>
        <w:jc w:val="right"/>
      </w:pPr>
    </w:p>
    <w:p w14:paraId="7A4D1346" w14:textId="77777777" w:rsidR="0088211F" w:rsidRDefault="0088211F" w:rsidP="0088211F">
      <w:pPr>
        <w:jc w:val="right"/>
      </w:pPr>
    </w:p>
    <w:p w14:paraId="089E59D9" w14:textId="77777777" w:rsidR="0088211F" w:rsidRDefault="0088211F" w:rsidP="0088211F">
      <w:pPr>
        <w:jc w:val="right"/>
      </w:pPr>
    </w:p>
    <w:p w14:paraId="442F5DC0" w14:textId="77777777" w:rsidR="0088211F" w:rsidRDefault="0088211F" w:rsidP="0088211F">
      <w:pPr>
        <w:jc w:val="right"/>
      </w:pPr>
    </w:p>
    <w:p w14:paraId="0A987BD3" w14:textId="77777777" w:rsidR="0088211F" w:rsidRDefault="0088211F" w:rsidP="0088211F">
      <w:pPr>
        <w:jc w:val="right"/>
      </w:pPr>
    </w:p>
    <w:p w14:paraId="04EB0FBD" w14:textId="77777777" w:rsidR="0088211F" w:rsidRDefault="0088211F" w:rsidP="0088211F">
      <w:pPr>
        <w:jc w:val="right"/>
      </w:pPr>
    </w:p>
    <w:p w14:paraId="25BE9990" w14:textId="700FC537" w:rsidR="0088211F" w:rsidRDefault="0088211F" w:rsidP="0088211F">
      <w:pPr>
        <w:jc w:val="center"/>
      </w:pPr>
      <w:r>
        <w:rPr>
          <w:noProof/>
        </w:rPr>
        <w:drawing>
          <wp:inline distT="0" distB="0" distL="0" distR="0" wp14:anchorId="2741A89A" wp14:editId="5B07A87F">
            <wp:extent cx="1100666" cy="296545"/>
            <wp:effectExtent l="0" t="0" r="0" b="0"/>
            <wp:docPr id="18313531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04567" cy="297596"/>
                    </a:xfrm>
                    <a:prstGeom prst="rect">
                      <a:avLst/>
                    </a:prstGeom>
                    <a:noFill/>
                    <a:ln>
                      <a:noFill/>
                    </a:ln>
                  </pic:spPr>
                </pic:pic>
              </a:graphicData>
            </a:graphic>
          </wp:inline>
        </w:drawing>
      </w:r>
    </w:p>
    <w:p w14:paraId="2A154389" w14:textId="0140899A" w:rsidR="0088211F" w:rsidRDefault="0088211F" w:rsidP="0088211F">
      <w:r>
        <w:t>Content</w:t>
      </w:r>
    </w:p>
    <w:p w14:paraId="2E2B8B4C" w14:textId="62A5B0A0" w:rsidR="0088211F" w:rsidRDefault="003F4269" w:rsidP="0088211F">
      <w:r>
        <w:t>1, introduction</w:t>
      </w:r>
    </w:p>
    <w:p w14:paraId="57B46990" w14:textId="77777777" w:rsidR="00CB5575" w:rsidRDefault="00CB5575" w:rsidP="00CB5575">
      <w:r>
        <w:t>2, literacy on synergy biologics</w:t>
      </w:r>
    </w:p>
    <w:p w14:paraId="7A999FE1" w14:textId="0D0318F9" w:rsidR="00CB5575" w:rsidRDefault="00297939" w:rsidP="0088211F">
      <w:r>
        <w:t>3, methodology</w:t>
      </w:r>
    </w:p>
    <w:p w14:paraId="73FA9096" w14:textId="34FB99F7" w:rsidR="00A41A98" w:rsidRPr="009D5539" w:rsidRDefault="00297939" w:rsidP="00A41A98">
      <w:pPr>
        <w:rPr>
          <w:rFonts w:ascii="Arial" w:eastAsia="Hiragino Sans CNS W3" w:hAnsi="Arial" w:cs="Arial"/>
          <w:sz w:val="20"/>
          <w:szCs w:val="20"/>
        </w:rPr>
      </w:pPr>
      <w:r>
        <w:t>4</w:t>
      </w:r>
      <w:r w:rsidRPr="009D5539">
        <w:t>,</w:t>
      </w:r>
      <w:r w:rsidR="00A41A98" w:rsidRPr="009D5539">
        <w:rPr>
          <w:rFonts w:ascii="Arial" w:eastAsia="Hiragino Sans CNS W3" w:hAnsi="Arial" w:cs="Arial"/>
          <w:sz w:val="20"/>
          <w:szCs w:val="20"/>
        </w:rPr>
        <w:t xml:space="preserve"> Results and Discussion</w:t>
      </w:r>
    </w:p>
    <w:p w14:paraId="1AF502E6" w14:textId="29EF9844" w:rsidR="00703677" w:rsidRDefault="009D5539" w:rsidP="009D5539">
      <w:pPr>
        <w:rPr>
          <w:rFonts w:ascii="Arial" w:eastAsia="Hiragino Sans CNS W3" w:hAnsi="Arial" w:cs="Arial"/>
          <w:sz w:val="20"/>
          <w:szCs w:val="20"/>
        </w:rPr>
      </w:pPr>
      <w:r w:rsidRPr="009D5539">
        <w:rPr>
          <w:rFonts w:ascii="Arial" w:eastAsia="Hiragino Sans CNS W3" w:hAnsi="Arial" w:cs="Arial"/>
          <w:sz w:val="20"/>
          <w:szCs w:val="20"/>
        </w:rPr>
        <w:t xml:space="preserve">5 </w:t>
      </w:r>
      <w:r>
        <w:rPr>
          <w:rFonts w:ascii="Arial" w:eastAsia="Hiragino Sans CNS W3" w:hAnsi="Arial" w:cs="Arial"/>
          <w:sz w:val="20"/>
          <w:szCs w:val="20"/>
        </w:rPr>
        <w:t>Recommendations</w:t>
      </w:r>
      <w:r w:rsidR="00703677" w:rsidRPr="009D5539">
        <w:rPr>
          <w:rFonts w:ascii="Arial" w:eastAsia="Hiragino Sans CNS W3" w:hAnsi="Arial" w:cs="Arial"/>
          <w:sz w:val="20"/>
          <w:szCs w:val="20"/>
        </w:rPr>
        <w:t>, Conclusion</w:t>
      </w:r>
    </w:p>
    <w:p w14:paraId="15052F2C" w14:textId="7B78A3A0" w:rsidR="009D5539" w:rsidRDefault="009D5539" w:rsidP="009D5539">
      <w:pPr>
        <w:rPr>
          <w:rFonts w:ascii="Arial" w:eastAsia="Hiragino Sans CNS W3" w:hAnsi="Arial" w:cs="Arial"/>
          <w:sz w:val="20"/>
          <w:szCs w:val="20"/>
        </w:rPr>
      </w:pPr>
      <w:r>
        <w:rPr>
          <w:rFonts w:ascii="Arial" w:eastAsia="Hiragino Sans CNS W3" w:hAnsi="Arial" w:cs="Arial"/>
          <w:sz w:val="20"/>
          <w:szCs w:val="20"/>
        </w:rPr>
        <w:t xml:space="preserve">6, </w:t>
      </w:r>
      <w:r w:rsidR="00B67537">
        <w:rPr>
          <w:rFonts w:ascii="Arial" w:eastAsia="Hiragino Sans CNS W3" w:hAnsi="Arial" w:cs="Arial"/>
          <w:sz w:val="20"/>
          <w:szCs w:val="20"/>
        </w:rPr>
        <w:t>references</w:t>
      </w:r>
    </w:p>
    <w:p w14:paraId="75EAF29D" w14:textId="77777777" w:rsidR="00B67537" w:rsidRPr="009D5539" w:rsidRDefault="00B67537" w:rsidP="009D5539"/>
    <w:p w14:paraId="09B9B6A0" w14:textId="2CF8C23F" w:rsidR="00A41A98" w:rsidRPr="009D5539" w:rsidRDefault="00A41A98" w:rsidP="00A41A98">
      <w:pPr>
        <w:rPr>
          <w:rFonts w:ascii="Arial" w:eastAsia="Hiragino Sans CNS W3" w:hAnsi="Arial" w:cs="Arial"/>
          <w:sz w:val="20"/>
          <w:szCs w:val="20"/>
        </w:rPr>
      </w:pPr>
    </w:p>
    <w:p w14:paraId="19F41AEE" w14:textId="6E89BBEE" w:rsidR="00BA1920" w:rsidRDefault="00BA1920" w:rsidP="0088211F"/>
    <w:p w14:paraId="019B83EB" w14:textId="77777777" w:rsidR="00B803FC" w:rsidRDefault="00B803FC" w:rsidP="0088211F"/>
    <w:p w14:paraId="0B10312D" w14:textId="77777777" w:rsidR="003F4269" w:rsidRDefault="003F4269" w:rsidP="0088211F"/>
    <w:p w14:paraId="24E38F4F" w14:textId="77777777" w:rsidR="0088211F" w:rsidRDefault="0088211F" w:rsidP="0088211F"/>
    <w:p w14:paraId="4089CF94" w14:textId="77777777" w:rsidR="0088211F" w:rsidRDefault="0088211F" w:rsidP="0088211F"/>
    <w:p w14:paraId="05C5B449" w14:textId="77777777" w:rsidR="0088211F" w:rsidRDefault="0088211F" w:rsidP="0088211F"/>
    <w:p w14:paraId="3EB50ED4" w14:textId="77777777" w:rsidR="0088211F" w:rsidRDefault="0088211F" w:rsidP="0088211F"/>
    <w:p w14:paraId="73FCD3B0" w14:textId="77777777" w:rsidR="0088211F" w:rsidRDefault="0088211F" w:rsidP="0088211F"/>
    <w:p w14:paraId="756A7319" w14:textId="77777777" w:rsidR="0088211F" w:rsidRDefault="0088211F" w:rsidP="0088211F"/>
    <w:p w14:paraId="7EEEA843" w14:textId="77777777" w:rsidR="0088211F" w:rsidRDefault="0088211F" w:rsidP="0088211F"/>
    <w:p w14:paraId="12B0C173" w14:textId="77777777" w:rsidR="0088211F" w:rsidRDefault="0088211F" w:rsidP="007F4620"/>
    <w:p w14:paraId="10B20B6B" w14:textId="77777777" w:rsidR="0088211F" w:rsidRDefault="0088211F" w:rsidP="0088211F"/>
    <w:p w14:paraId="7BE8F0AA" w14:textId="77777777" w:rsidR="0088211F" w:rsidRDefault="0088211F" w:rsidP="0088211F"/>
    <w:p w14:paraId="7BCAB315" w14:textId="77777777" w:rsidR="0088211F" w:rsidRDefault="0088211F" w:rsidP="0088211F"/>
    <w:p w14:paraId="39DBA44E" w14:textId="77777777" w:rsidR="0088211F" w:rsidRDefault="0088211F" w:rsidP="0088211F"/>
    <w:p w14:paraId="052D4220" w14:textId="77777777" w:rsidR="0088211F" w:rsidRDefault="0088211F" w:rsidP="0088211F"/>
    <w:p w14:paraId="3F582556" w14:textId="77777777" w:rsidR="0088211F" w:rsidRDefault="0088211F" w:rsidP="0088211F"/>
    <w:p w14:paraId="3D5A25A5" w14:textId="77777777" w:rsidR="00CD1418" w:rsidRDefault="00E34DD9" w:rsidP="0088211F">
      <w:r>
        <w:t xml:space="preserve">                                                                                                </w:t>
      </w:r>
      <w:r>
        <w:rPr>
          <w:noProof/>
        </w:rPr>
        <w:drawing>
          <wp:inline distT="0" distB="0" distL="0" distR="0" wp14:anchorId="4BF066D0" wp14:editId="336F95F9">
            <wp:extent cx="1193800" cy="296545"/>
            <wp:effectExtent l="0" t="0" r="0" b="0"/>
            <wp:docPr id="15161760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93800" cy="296545"/>
                    </a:xfrm>
                    <a:prstGeom prst="rect">
                      <a:avLst/>
                    </a:prstGeom>
                    <a:noFill/>
                    <a:ln>
                      <a:noFill/>
                    </a:ln>
                  </pic:spPr>
                </pic:pic>
              </a:graphicData>
            </a:graphic>
          </wp:inline>
        </w:drawing>
      </w:r>
    </w:p>
    <w:p w14:paraId="26C5D434" w14:textId="1CFD52B2" w:rsidR="00E34DD9" w:rsidRDefault="00E34DD9" w:rsidP="0088211F">
      <w:r>
        <w:t>Introduction</w:t>
      </w:r>
    </w:p>
    <w:p w14:paraId="2EB8C265" w14:textId="77777777" w:rsidR="00235265" w:rsidRPr="00B60F1F" w:rsidRDefault="00235265" w:rsidP="00235265">
      <w:r w:rsidRPr="00B60F1F">
        <w:t>Effective management serves as the foundation of every successful organi</w:t>
      </w:r>
      <w:r>
        <w:t>s</w:t>
      </w:r>
      <w:r w:rsidRPr="00B60F1F">
        <w:t>ation, facilitating the achievement of strategic objectives, maintaining operational excellence, and promoting adaptability in an ever-changing business environment. Within the biotechnology and pharmaceutical industries, the importance of sound management practices becomes particularly pronounced due to the sector’s inherent complexity, regulatory demands, and emphasis on innovation (Grant, 2016). As a key player in this field, Synergy Biologics relies heavily on comprehensive and robust management systems to coordinate its multifaceted operations, ensure compliance with industry standards, and sustain long-term growth. Therefore, the management framework at Synergy Biologics must maintain a delicate balance between innovation and accountability, efficiency and adaptability, and strategic foresight and operational precision.</w:t>
      </w:r>
    </w:p>
    <w:p w14:paraId="01065D35" w14:textId="77777777" w:rsidR="00235265" w:rsidRPr="00B60F1F" w:rsidRDefault="00235265" w:rsidP="00235265">
      <w:r w:rsidRPr="00B60F1F">
        <w:t>The biotechnology sector presents unique managerial challenges, as it requires the integration of scientific discovery with commercial strategy (Pisano, 2006). Unlike traditional manufacturing industries, biotechnology firms such as Synergy Biologics must navigate uncertain research outcomes, extensive capital investment, and stringent ethical and regulatory frameworks. The success of such organi</w:t>
      </w:r>
      <w:r>
        <w:t>s</w:t>
      </w:r>
      <w:r w:rsidRPr="00B60F1F">
        <w:t>ations depends upon their capacity to align technical expertise with effective management principles. This alignment involves not only the supervision of research and production processes but also the cultivation of innovation, effective human resource management, and strict adherence to ethical standards. This section explores the nature and importance of management at Synergy Biologics, identifying key challenges and offering structured approaches to enhance managerial effectiveness.</w:t>
      </w:r>
    </w:p>
    <w:p w14:paraId="6C327CCA" w14:textId="77777777" w:rsidR="00235265" w:rsidRPr="00B60F1F" w:rsidRDefault="00235265" w:rsidP="00235265">
      <w:r w:rsidRPr="00B60F1F">
        <w:t>Management at Synergy Biologics operates as a comprehensive system encompassing planning, organizing, leading, and controlling resources to meet strategic and operational objectives. Drawing from classical management theories such as those proposed by Fayol (1949) and integrating them with contemporary approaches to strategic management, the company aims to ensure that each functional area</w:t>
      </w:r>
      <w:r>
        <w:t xml:space="preserve"> - </w:t>
      </w:r>
      <w:r w:rsidRPr="00B60F1F">
        <w:t>ranging from research and development to quality assurance and marketing</w:t>
      </w:r>
      <w:r>
        <w:t xml:space="preserve"> - </w:t>
      </w:r>
      <w:r w:rsidRPr="00B60F1F">
        <w:t>functions cohesively within a unified strategic vision. The leadership within Synergy Biologics plays an instrumental role in creating synergy between scientific progress and commercial performance, thereby ensuring that innovative products are developed and delivered efficiently, ethically, and in alignment with the organi</w:t>
      </w:r>
      <w:r>
        <w:t>s</w:t>
      </w:r>
      <w:r w:rsidRPr="00B60F1F">
        <w:t>ation’s long-term mission.</w:t>
      </w:r>
    </w:p>
    <w:p w14:paraId="67EA369C" w14:textId="77777777" w:rsidR="00235265" w:rsidRPr="00B60F1F" w:rsidRDefault="00235265" w:rsidP="00235265">
      <w:r w:rsidRPr="00B60F1F">
        <w:t>Furthermore, effective management translates corporate strategy into measurable performance outcomes (Kaplan and Norton, 1996). At Synergy Biologics, this translation ensures that innovation efforts directly support the organizational mission of improving patient health outcomes. Coordination between research, production, and administrative departments prevents fragmentation and promotes consistency across operations. Consequently, the integration of scientific capability with strategic management represents the cornerstone of Synergy Biologics’ competitive advantage. However, realizing this integration requires the organization to overcome several inherent challenges arising from both internal and external business environments.</w:t>
      </w:r>
    </w:p>
    <w:p w14:paraId="1F3DF356" w14:textId="77777777" w:rsidR="00235265" w:rsidRPr="00B60F1F" w:rsidRDefault="00235265" w:rsidP="00235265">
      <w:r w:rsidRPr="00B60F1F">
        <w:lastRenderedPageBreak/>
        <w:t>One of the principal challenges facing Synergy Biologics involves the misalignment between strategic goals and operational implementation. When strategic objectives are poorly communicated or inadequately monitored, departments may operate in isolation, leading to inefficiency and lost opportunities (Kaplan and Norton, 1996). Misalignment can also result in conflicting departmental goals, resource wastage, and diminished performance. To address this issue, Synergy Biologics must ensure that all strategic goals adhere to the SMART framework</w:t>
      </w:r>
      <w:r>
        <w:t xml:space="preserve"> - </w:t>
      </w:r>
      <w:r w:rsidRPr="00B60F1F">
        <w:t>Specific, Measurable, Achievable, Relevant, and Time-boun</w:t>
      </w:r>
      <w:r>
        <w:t xml:space="preserve">d - </w:t>
      </w:r>
      <w:r w:rsidRPr="00B60F1F">
        <w:t>while implementing regular performance evaluations to maintain coherence across departments (Doran, 1981). This structured approach ensures that organi</w:t>
      </w:r>
      <w:r>
        <w:t>s</w:t>
      </w:r>
      <w:r w:rsidRPr="00B60F1F">
        <w:t>ational strategy is consistently translated into actionable outcomes.</w:t>
      </w:r>
    </w:p>
    <w:p w14:paraId="26ACFCF7" w14:textId="77777777" w:rsidR="00235265" w:rsidRPr="00B60F1F" w:rsidRDefault="00235265" w:rsidP="00235265">
      <w:r w:rsidRPr="00B60F1F">
        <w:t>Resource management constitutes a critical success factor within biotechnology firms, particularly given the capital-intensive and time-sensitive nature of research and development (Barney, 1991). Misallocation of financial, human, or technological resources can impede innovation and delay product development. Porter’s (1985) resource-based view emphasizes that sustainable competitive advantage stems from the effective utili</w:t>
      </w:r>
      <w:r>
        <w:t>s</w:t>
      </w:r>
      <w:r w:rsidRPr="00B60F1F">
        <w:t>ation of internal resources and capabilities. For Synergy Biologics, implementing data-driven decision-making systems and project management tools such as Gantt charts and cost–benefit analyses can enhance transparency, accountability, and resource efficiency. These tools enable managers to monitor progress continuously, reallocate resources as necessary, and ensure that investment decisions align with strategic priorities.</w:t>
      </w:r>
    </w:p>
    <w:p w14:paraId="55715796" w14:textId="77777777" w:rsidR="00235265" w:rsidRPr="00B60F1F" w:rsidRDefault="00235265" w:rsidP="00235265">
      <w:r w:rsidRPr="00B60F1F">
        <w:t>In a dynamic and highly competitive biotechnology environment, innovation serves as a critical determinant of organi</w:t>
      </w:r>
      <w:r>
        <w:t>s</w:t>
      </w:r>
      <w:r w:rsidRPr="00B60F1F">
        <w:t>ational survival and success (Tidd and Bessant, 2014). However, resistance to change often undermines the implementation of new technologies and processes. Lewin’s (1951) three-stage model of change</w:t>
      </w:r>
      <w:r>
        <w:t xml:space="preserve"> - </w:t>
      </w:r>
      <w:r w:rsidRPr="00B60F1F">
        <w:t>unfreezing, changing, and refreezing</w:t>
      </w:r>
      <w:r>
        <w:t xml:space="preserve"> - </w:t>
      </w:r>
      <w:r w:rsidRPr="00B60F1F">
        <w:t>emphasizes the psychological and organizational readiness necessary for successful transformation. Within Synergy Biologics, resistance may arise due to uncertainty, fear of job insecurity, or insufficient managerial communication. To mitigate this, management should employ Kotter’s (1996) Eight-Step Change Model to cultivate a culture of adaptability, open communication, and shared accountability. Continuous learning and development initiatives can further reinforce a positive organi</w:t>
      </w:r>
      <w:r>
        <w:t>s</w:t>
      </w:r>
      <w:r w:rsidRPr="00B60F1F">
        <w:t>ational attitude toward change.</w:t>
      </w:r>
    </w:p>
    <w:p w14:paraId="7839F6BF" w14:textId="77777777" w:rsidR="00235265" w:rsidRPr="00B60F1F" w:rsidRDefault="00235265" w:rsidP="00235265">
      <w:r w:rsidRPr="00B60F1F">
        <w:t>Human capital is one of the most valuable assets in knowledge-intensive industries such as biotechnology (Armstrong and Taylor, 2020). The ability to attract, develop, and retain highly skilled professionals significantly influences innovation, operational efficiency, and long-term growth. Employee turnover not only disrupts organi</w:t>
      </w:r>
      <w:r>
        <w:t>s</w:t>
      </w:r>
      <w:r w:rsidRPr="00B60F1F">
        <w:t>ational continuity but also leads to the loss of specialized knowledge. Theories of motivation, such as those proposed by Herzberg (1968) and Maslow (1943), highlight the role of intrinsic motivators—recognition, professional growth, and meaningful work</w:t>
      </w:r>
      <w:r>
        <w:t xml:space="preserve"> - </w:t>
      </w:r>
      <w:r w:rsidRPr="00B60F1F">
        <w:t>in fostering job satisfaction. Accordingly, Synergy Biologics should prioritize leadership development programs, mentoring initiatives, and performance-based recognition systems to strengthen employee commitment. Additionally, fostering an inclusive workplace culture that promotes diversity and equal opportunity can enhance engagement and retention rates.</w:t>
      </w:r>
    </w:p>
    <w:p w14:paraId="62BBF4BF" w14:textId="77777777" w:rsidR="00235265" w:rsidRPr="00B60F1F" w:rsidRDefault="00235265" w:rsidP="00235265">
      <w:r w:rsidRPr="00B60F1F">
        <w:t xml:space="preserve">The biotechnology industry operates within one of the most heavily regulated environments, where ethical and legal compliance are paramount. Non-compliance can result in significant financial penalties, reputational harm, and erosion of stakeholder confidence (Brown and Treviño, 2006). For </w:t>
      </w:r>
      <w:r w:rsidRPr="00B60F1F">
        <w:lastRenderedPageBreak/>
        <w:t>Synergy Biologics, effective management involves embedding compliance and ethics into the organi</w:t>
      </w:r>
      <w:r>
        <w:t>s</w:t>
      </w:r>
      <w:r w:rsidRPr="00B60F1F">
        <w:t>ational culture through regular training, internal audits, and transparent communication channels. By establishing cross-departmental collaboration between quality assurance, research, and legal divisions, the company can ensure adherence to evolving regulatory requirements. Ethical leadership plays a vital role in guiding decision-making processes that reflect corporate integrity and accountability (Trevino et al., 2000). Through institutionali</w:t>
      </w:r>
      <w:r>
        <w:t>s</w:t>
      </w:r>
      <w:r w:rsidRPr="00B60F1F">
        <w:t>ed compliance frameworks, Synergy Biologics can safeguard its reputation and uphold the trust of its stakeholders.</w:t>
      </w:r>
    </w:p>
    <w:p w14:paraId="5FA92ADC" w14:textId="77777777" w:rsidR="00235265" w:rsidRPr="00B60F1F" w:rsidRDefault="00000000" w:rsidP="00235265">
      <w:r>
        <w:pict w14:anchorId="488BC857">
          <v:rect id="_x0000_i1025" style="width:0;height:1.5pt" o:hralign="center" o:hrstd="t" o:hr="t" fillcolor="#a0a0a0" stroked="f"/>
        </w:pict>
      </w:r>
    </w:p>
    <w:p w14:paraId="77DE3434" w14:textId="77777777" w:rsidR="00235265" w:rsidRPr="00B60F1F" w:rsidRDefault="00235265" w:rsidP="00235265">
      <w:r w:rsidRPr="00B60F1F">
        <w:t>The management process at Synergy Biologics can be conceptualized as a continuous and iterative cycle involving planning, implementation, and evaluation. This cyclical approach ensures that organizational actions remain strategically aligned, efficient, and adaptable to environmental changes (Mintzberg, 1994).</w:t>
      </w:r>
      <w:r w:rsidRPr="00B60F1F">
        <w:br/>
        <w:t>The process begins with establishing clear objectives derived from the organi</w:t>
      </w:r>
      <w:r>
        <w:t>s</w:t>
      </w:r>
      <w:r w:rsidRPr="00B60F1F">
        <w:t>ation’s vision and mission. For Synergy Biologics, this includes goals such as advancing research efficiency, strengthening strategic partnerships, and promoting sustainable business practices. Clear objectives provide direction and measurable standards for performance evaluation.</w:t>
      </w:r>
      <w:r w:rsidRPr="00B60F1F">
        <w:br/>
        <w:t>Once objectives are defined, management develops comprehensive plans that allocate resources efficiently while anticipating potential risks. Analytical tools such as SWOT and PEST analyses assist in identifying internal capabilities and external challenges (Johnson, Scholes and Whittington, 2008). Strategic planning at Synergy Biologics focuses on integrating technological innovation with commercial strategy to maintain competitiveness and enhance market positioning.</w:t>
      </w:r>
    </w:p>
    <w:p w14:paraId="22859984" w14:textId="77777777" w:rsidR="00235265" w:rsidRDefault="00235265" w:rsidP="00235265">
      <w:r w:rsidRPr="00B60F1F">
        <w:br/>
        <w:t>The implementation phase transforms strategic plans into operational activities. Effective leadership, communication, and coordination are vital to this stage. Managers at Synergy Biologics must ensure that teams collaborate efficiently and that progress is monitored through measurable performance indicators. Cross-functional collaboration between scientific and managerial divisions is essential to ensure cohesion and goal alignment.</w:t>
      </w:r>
    </w:p>
    <w:p w14:paraId="2F665EBE" w14:textId="56659053" w:rsidR="000F7765" w:rsidRPr="00B60F1F" w:rsidRDefault="001D6CC0" w:rsidP="00235265">
      <w:r>
        <w:t>The study’s specific objectives are as follows:</w:t>
      </w:r>
      <w:r>
        <w:br/>
        <w:t>1. To explore the ways in which Synergy Biologics identifies, assesses, and responds to marketing challenges.</w:t>
      </w:r>
      <w:r>
        <w:br/>
        <w:t>2. To evaluate the frameworks and problem-solving techniques adopted by management and marketing teams.</w:t>
      </w:r>
      <w:r>
        <w:br/>
        <w:t>3. To analyse how marketing strategies are integrated with the company’s overall corporate objectives.</w:t>
      </w:r>
      <w:r>
        <w:br/>
        <w:t>4. To investigate how interdepartmental collaboration and external stakeholder engagement influence marketing outcomes.</w:t>
      </w:r>
      <w:r>
        <w:br/>
        <w:t>5. To provide actionable recommendations for enhancing problem-solving effectiveness and marketing strategy within the organisation.</w:t>
      </w:r>
    </w:p>
    <w:p w14:paraId="7A5F22B5" w14:textId="77777777" w:rsidR="00235265" w:rsidRPr="00B60F1F" w:rsidRDefault="00235265" w:rsidP="00235265">
      <w:r w:rsidRPr="00B60F1F">
        <w:br/>
        <w:t xml:space="preserve">Finally, the evaluation phase involves assessing performance outcomes using key performance indicators (KPIs) and benchmarking against industry standards. Continuous evaluation allows for </w:t>
      </w:r>
      <w:r w:rsidRPr="00B60F1F">
        <w:lastRenderedPageBreak/>
        <w:t>early identification of inefficiencies and supports timely corrective action. This stage also fosters organizational learning</w:t>
      </w:r>
      <w:r>
        <w:t xml:space="preserve"> - </w:t>
      </w:r>
      <w:r w:rsidRPr="00B60F1F">
        <w:t>a key component of long-term resilience and competitive advantage (Senge, 1990).</w:t>
      </w:r>
    </w:p>
    <w:p w14:paraId="50FA22F7" w14:textId="2EC37E14" w:rsidR="003F4269" w:rsidRPr="00FD60F3" w:rsidRDefault="00000000" w:rsidP="00235265">
      <w:r>
        <w:pict w14:anchorId="3591A020">
          <v:rect id="_x0000_i1026" style="width:0;height:1.5pt" o:hralign="center" o:hrstd="t" o:hr="t" fillcolor="#a0a0a0" stroked="f"/>
        </w:pict>
      </w:r>
    </w:p>
    <w:p w14:paraId="6E7C6563" w14:textId="4EDB13D7" w:rsidR="00FD60F3" w:rsidRDefault="006816F5" w:rsidP="0088211F">
      <w:pPr>
        <w:rPr>
          <w:color w:val="EE0000"/>
        </w:rPr>
      </w:pPr>
      <w:r>
        <w:t xml:space="preserve">2, </w:t>
      </w:r>
      <w:r w:rsidRPr="005F4E91">
        <w:rPr>
          <w:color w:val="EE0000"/>
        </w:rPr>
        <w:t>literacy on synergy biologics</w:t>
      </w:r>
    </w:p>
    <w:p w14:paraId="3590CC24" w14:textId="77777777" w:rsidR="000B76BA" w:rsidRPr="000B76BA" w:rsidRDefault="000B76BA" w:rsidP="000B76BA">
      <w:pPr>
        <w:rPr>
          <w:b/>
          <w:bCs/>
        </w:rPr>
      </w:pPr>
      <w:r w:rsidRPr="000B76BA">
        <w:rPr>
          <w:b/>
          <w:bCs/>
        </w:rPr>
        <w:t>The Role of Literacy and Problem-Solving in the Marketing Strategy of Synergy Biologics</w:t>
      </w:r>
    </w:p>
    <w:p w14:paraId="4F0BBE25" w14:textId="77777777" w:rsidR="000B76BA" w:rsidRPr="000B76BA" w:rsidRDefault="000B76BA" w:rsidP="000B76BA">
      <w:r w:rsidRPr="000B76BA">
        <w:t>In today’s highly competitive nutraceutical and pharmaceutical sectors, companies must differentiate themselves not only through the quality of their products but also by how effectively they communicate with consumers and tackle marketing challenges. Synergy Biologics, a UK-based organization, develops, manufactures, and markets evidence-based nutritional supplements, dermatological products, and licensed medicines from its facility in Walsall, West Midlands (Synergy Biologics, 2025).</w:t>
      </w:r>
    </w:p>
    <w:p w14:paraId="108A8103" w14:textId="77777777" w:rsidR="000B76BA" w:rsidRPr="000B76BA" w:rsidRDefault="000B76BA" w:rsidP="000B76BA">
      <w:r w:rsidRPr="000B76BA">
        <w:t xml:space="preserve">As a healthcare and nutraceutical manufacturer, Synergy Biologics encounters unique challenges in maintaining scientific rigor, adhering to regulatory standards, and engaging effectively with its target audience. This dissertation contends that literacy—in its various forms—and robust problem-solving capabilities are pivotal to the company’s marketing success. The study first delineates the types of literacy relevant to this context, including health literacy, digital literacy, and marketing communication literacy. Subsequently, it examines how structured problem-solving processes inform marketing decisions. Finally, it considers how Synergy Biologics can leverage these competencies to develop persuasive and educational marketing campaigns, address consumer </w:t>
      </w:r>
      <w:proofErr w:type="spellStart"/>
      <w:r w:rsidRPr="000B76BA">
        <w:t>skepticism</w:t>
      </w:r>
      <w:proofErr w:type="spellEnd"/>
      <w:r w:rsidRPr="000B76BA">
        <w:t>, adapt to dynamic market environments, and achieve positive marketing outcomes, concluding with recommendations for future strategy.</w:t>
      </w:r>
    </w:p>
    <w:p w14:paraId="2C841553" w14:textId="77777777" w:rsidR="000B76BA" w:rsidRPr="000B76BA" w:rsidRDefault="00000000" w:rsidP="000B76BA">
      <w:r>
        <w:pict w14:anchorId="17D36B44">
          <v:rect id="_x0000_i1027" style="width:0;height:1.5pt" o:hralign="center" o:hrstd="t" o:hr="t" fillcolor="#a0a0a0" stroked="f"/>
        </w:pict>
      </w:r>
    </w:p>
    <w:p w14:paraId="6232E4B2" w14:textId="77777777" w:rsidR="000B76BA" w:rsidRPr="000B76BA" w:rsidRDefault="000B76BA" w:rsidP="000B76BA">
      <w:pPr>
        <w:rPr>
          <w:b/>
          <w:bCs/>
        </w:rPr>
      </w:pPr>
      <w:r w:rsidRPr="000B76BA">
        <w:rPr>
          <w:b/>
          <w:bCs/>
        </w:rPr>
        <w:t>2. Conceptual Foundations: Literacy and Problem-Solving in Marketing</w:t>
      </w:r>
    </w:p>
    <w:p w14:paraId="21B3D57D" w14:textId="77777777" w:rsidR="000B76BA" w:rsidRPr="000B76BA" w:rsidRDefault="000B76BA" w:rsidP="000B76BA">
      <w:r w:rsidRPr="000B76BA">
        <w:t xml:space="preserve">Literacy, in the context of health and nutraceutical marketing, extends beyond basic reading and writing. It encompasses an individual’s capacity to obtain, understand, and act upon health-related information, a concept commonly referred to as </w:t>
      </w:r>
      <w:r w:rsidRPr="000B76BA">
        <w:rPr>
          <w:b/>
          <w:bCs/>
        </w:rPr>
        <w:t>health literacy</w:t>
      </w:r>
      <w:r w:rsidRPr="000B76BA">
        <w:t>. Low health literacy can result in misinterpretation of product claims, improper usage of supplements, and decreased adherence to recommended dosages (Teoh et al., 2019). In marketing nutraceutical products, firms must acknowledge that consumers may not possess advanced scientific understanding, making clear and accessible communication essential.</w:t>
      </w:r>
    </w:p>
    <w:p w14:paraId="0B11F188" w14:textId="77777777" w:rsidR="000B76BA" w:rsidRPr="000B76BA" w:rsidRDefault="000B76BA" w:rsidP="000B76BA">
      <w:r w:rsidRPr="000B76BA">
        <w:rPr>
          <w:b/>
          <w:bCs/>
        </w:rPr>
        <w:t>Digital literacy</w:t>
      </w:r>
      <w:r w:rsidRPr="000B76BA">
        <w:t xml:space="preserve"> also plays a critical role, enabling consumers to navigate online platforms, interpret digital content, and engage with e-commerce or social media campaigns effectively (</w:t>
      </w:r>
      <w:proofErr w:type="spellStart"/>
      <w:r w:rsidRPr="000B76BA">
        <w:t>Zoupos</w:t>
      </w:r>
      <w:proofErr w:type="spellEnd"/>
      <w:r w:rsidRPr="000B76BA">
        <w:t xml:space="preserve">, 2022). From the company’s perspective, </w:t>
      </w:r>
      <w:r w:rsidRPr="000B76BA">
        <w:rPr>
          <w:b/>
          <w:bCs/>
        </w:rPr>
        <w:t>communication literacy</w:t>
      </w:r>
      <w:r w:rsidRPr="000B76BA">
        <w:t xml:space="preserve"> is equally important, as marketers must craft content that is accurate, persuasive, compliant with regulations, and ethically responsible.</w:t>
      </w:r>
    </w:p>
    <w:p w14:paraId="4A6BAF12" w14:textId="77777777" w:rsidR="000B76BA" w:rsidRDefault="000B76BA" w:rsidP="000B76BA">
      <w:r w:rsidRPr="000B76BA">
        <w:t>In summary:</w:t>
      </w:r>
    </w:p>
    <w:p w14:paraId="72EDCEC0" w14:textId="69F68D70" w:rsidR="003563EC" w:rsidRPr="000B76BA" w:rsidRDefault="003563EC" w:rsidP="000B76BA">
      <w:r w:rsidRPr="003563EC">
        <w:t xml:space="preserve">Health literacy plays a crucial role in determining whether consumers </w:t>
      </w:r>
      <w:proofErr w:type="gramStart"/>
      <w:r w:rsidRPr="003563EC">
        <w:t>are able to</w:t>
      </w:r>
      <w:proofErr w:type="gramEnd"/>
      <w:r w:rsidRPr="003563EC">
        <w:t xml:space="preserve"> understand product claims, dosing instructions, and the scientific evidence that supports Synergy Biologics’ </w:t>
      </w:r>
      <w:r w:rsidRPr="003563EC">
        <w:lastRenderedPageBreak/>
        <w:t>offerings. In parallel, communication literacy ensures that the organisation conveys information in a manner that is accurate, accessible, persuasive, and consistent with established ethical standards. Digital literacy has also become increasingly important, as it underpins the company’s capacity to execute effective online marketing campaigns, interpret engagement data, and respond strategically to digital market trends.</w:t>
      </w:r>
    </w:p>
    <w:p w14:paraId="1C297727" w14:textId="77777777" w:rsidR="000B76BA" w:rsidRPr="000B76BA" w:rsidRDefault="000B76BA" w:rsidP="000B76BA">
      <w:r w:rsidRPr="000B76BA">
        <w:t xml:space="preserve">Nutraceutical marketing is particularly sensitive to literacy concerns because consumers often approach supplements with </w:t>
      </w:r>
      <w:proofErr w:type="spellStart"/>
      <w:r w:rsidRPr="000B76BA">
        <w:t>skepticism</w:t>
      </w:r>
      <w:proofErr w:type="spellEnd"/>
      <w:r w:rsidRPr="000B76BA">
        <w:t xml:space="preserve"> and may lack the scientific knowledge required to assess product efficacy. Research in digital health marketing emphasizes the necessity of clear, ethical messaging to maintain consumer trust and prevent misinterpretation (Chen &amp; Martirosyan, 2021; </w:t>
      </w:r>
      <w:proofErr w:type="spellStart"/>
      <w:r w:rsidRPr="000B76BA">
        <w:t>Zoupos</w:t>
      </w:r>
      <w:proofErr w:type="spellEnd"/>
      <w:r w:rsidRPr="000B76BA">
        <w:t>, 2022). Moreover, market research frequently fails to account for variability in health literacy, potentially diminishing the effectiveness of marketing initiatives (Stone, 2022).</w:t>
      </w:r>
    </w:p>
    <w:p w14:paraId="348B9280" w14:textId="77777777" w:rsidR="000B76BA" w:rsidRDefault="000B76BA" w:rsidP="000B76BA">
      <w:r w:rsidRPr="000B76BA">
        <w:t>Marketing is fundamentally about identifying challenges—such as low consumer awareness, regulatory constraints, and high competition—and developing effective solutions. Problem-solving in this context typically follows a structured process:</w:t>
      </w:r>
    </w:p>
    <w:p w14:paraId="4778B652" w14:textId="274B1316" w:rsidR="00EE5A7C" w:rsidRPr="000B76BA" w:rsidRDefault="00EE5A7C" w:rsidP="000B76BA">
      <w:r w:rsidRPr="00EE5A7C">
        <w:t>The problem-solving process typically begins with the identification of issues, such as recognising performance gaps, declining sales, or negative brand perceptions. Once a problem is identified, the organisation engages in a period of analysis that involves gathering data through consumer research, competitor benchmarking, and regulatory review to gain a clearer understanding of the underlying causes. This is followed by ideation and the generation of potential solutions, where teams develop marketing strategies, content concepts, and possible partnerships that could address the identified challenges. The selected solutions are then implemented through coordinated campaigns, which may include digital marketing initiatives, content series, influencer collaborations, or the development of point-of-sale materials. Finally, the organisation evaluates the effectiveness of these interventions by assessing engagement metrics, sales performance, and levels of brand trust, using the insights gained to refine and optimise future strategies (Oniani et al., 2022).</w:t>
      </w:r>
    </w:p>
    <w:p w14:paraId="73943782" w14:textId="77777777" w:rsidR="000B76BA" w:rsidRPr="000B76BA" w:rsidRDefault="000B76BA" w:rsidP="000B76BA">
      <w:r w:rsidRPr="000B76BA">
        <w:t>In high-stakes industries like nutraceuticals, effective problem-solving must consider regulatory compliance, scientific accuracy, consumer ethics, and risk management. Literacy and problem-solving are deeply intertwined: without adequate literacy—both among consumers and marketing professionals—problem-solving is compromised, potentially leading to misinterpretation of data, miscommunication of evidence, or misalignment between messages and audience capabilities.</w:t>
      </w:r>
    </w:p>
    <w:p w14:paraId="18225982" w14:textId="77777777" w:rsidR="000B76BA" w:rsidRPr="000B76BA" w:rsidRDefault="00000000" w:rsidP="000B76BA">
      <w:r>
        <w:pict w14:anchorId="24C6D0AB">
          <v:rect id="_x0000_i1028" style="width:0;height:1.5pt" o:hralign="center" o:hrstd="t" o:hr="t" fillcolor="#a0a0a0" stroked="f"/>
        </w:pict>
      </w:r>
    </w:p>
    <w:p w14:paraId="78D09DA0" w14:textId="77777777" w:rsidR="000B76BA" w:rsidRPr="000B76BA" w:rsidRDefault="000B76BA" w:rsidP="000B76BA">
      <w:pPr>
        <w:rPr>
          <w:b/>
          <w:bCs/>
        </w:rPr>
      </w:pPr>
      <w:r w:rsidRPr="000B76BA">
        <w:rPr>
          <w:b/>
          <w:bCs/>
        </w:rPr>
        <w:t>3. Synergy Biologics: Company and Market Context</w:t>
      </w:r>
    </w:p>
    <w:p w14:paraId="753EF75E" w14:textId="77777777" w:rsidR="000B76BA" w:rsidRPr="000B76BA" w:rsidRDefault="000B76BA" w:rsidP="000B76BA">
      <w:r w:rsidRPr="000B76BA">
        <w:t xml:space="preserve">Synergy Biologics is an independent UK healthcare firm specializing in evidence-based formulations of nutritional supplements, dermatological products, and licensed medicines. All manufacturing occurs in-house at its Walsall facility, ensuring full batch traceability and rigorous quality assurance protocols (Synergy Biologics, 2025). The company also holds a </w:t>
      </w:r>
      <w:r w:rsidRPr="000B76BA">
        <w:rPr>
          <w:b/>
          <w:bCs/>
        </w:rPr>
        <w:t>Wholesale Distribution Authorization (WDA)</w:t>
      </w:r>
      <w:r w:rsidRPr="000B76BA">
        <w:t>, allowing it to distribute human medicines across the UK.</w:t>
      </w:r>
    </w:p>
    <w:p w14:paraId="0BA4D45A" w14:textId="77777777" w:rsidR="000B76BA" w:rsidRPr="000B76BA" w:rsidRDefault="000B76BA" w:rsidP="000B76BA">
      <w:r w:rsidRPr="000B76BA">
        <w:lastRenderedPageBreak/>
        <w:t xml:space="preserve">Additionally, Synergy Biologics offers white-label and contract manufacturing services, assisting other brands in bringing nutrition and dermatology products to market. Its product portfolio includes the </w:t>
      </w:r>
      <w:r w:rsidRPr="000B76BA">
        <w:rPr>
          <w:b/>
          <w:bCs/>
        </w:rPr>
        <w:t>Pro D3</w:t>
      </w:r>
      <w:r w:rsidRPr="000B76BA">
        <w:t xml:space="preserve"> vitamin D range and the </w:t>
      </w:r>
      <w:proofErr w:type="spellStart"/>
      <w:r w:rsidRPr="000B76BA">
        <w:rPr>
          <w:b/>
          <w:bCs/>
        </w:rPr>
        <w:t>SynBio</w:t>
      </w:r>
      <w:proofErr w:type="spellEnd"/>
      <w:r w:rsidRPr="000B76BA">
        <w:t xml:space="preserve"> line of vitamins and botanical supplements. The company emphasizes scientific rigor, innovation, and regulatory compliance throughout its operations.</w:t>
      </w:r>
    </w:p>
    <w:p w14:paraId="4D733645" w14:textId="77777777" w:rsidR="000B76BA" w:rsidRPr="000B76BA" w:rsidRDefault="000B76BA" w:rsidP="000B76BA">
      <w:r w:rsidRPr="000B76BA">
        <w:t>From a marketing standpoint, Synergy Biologics occupies a niche that requires careful balancing: messaging must be consumer-friendly without oversimplifying scientific claims or violating regulatory guidelines.</w:t>
      </w:r>
    </w:p>
    <w:p w14:paraId="0B54945D" w14:textId="77777777" w:rsidR="000B76BA" w:rsidRPr="000B76BA" w:rsidRDefault="000B76BA" w:rsidP="000B76BA">
      <w:r w:rsidRPr="000B76BA">
        <w:t xml:space="preserve">The nutraceutical market is expanding but is characterized by </w:t>
      </w:r>
      <w:proofErr w:type="spellStart"/>
      <w:r w:rsidRPr="000B76BA">
        <w:t>skepticism</w:t>
      </w:r>
      <w:proofErr w:type="spellEnd"/>
      <w:r w:rsidRPr="000B76BA">
        <w:t>, regulatory oversight, and asymmetrical information. Consumer decisions in this sector are influenced by knowledge, perceived safety, trust, and pricing. Barriers to purchase often include disbelief in health benefits, high costs, and insufficient understanding of nutraceutical products (Teoh et al., 2019).</w:t>
      </w:r>
    </w:p>
    <w:p w14:paraId="46CC6623" w14:textId="77777777" w:rsidR="000B76BA" w:rsidRPr="000B76BA" w:rsidRDefault="000B76BA" w:rsidP="000B76BA">
      <w:r w:rsidRPr="000B76BA">
        <w:t>Conversely, consumers are more likely to purchase products when they have access to reliable information, hold positive perceptions of efficacy, and trust product safety (</w:t>
      </w:r>
      <w:proofErr w:type="spellStart"/>
      <w:r w:rsidRPr="000B76BA">
        <w:t>EELet</w:t>
      </w:r>
      <w:proofErr w:type="spellEnd"/>
      <w:r w:rsidRPr="000B76BA">
        <w:t xml:space="preserve"> Journal, 2025). Segmentation studies indicate that consumer clusters vary in knowledge, attitudes, and responsiveness to marketing messages, necessitating tailored communication approaches (</w:t>
      </w:r>
      <w:proofErr w:type="spellStart"/>
      <w:r w:rsidRPr="000B76BA">
        <w:t>EELet</w:t>
      </w:r>
      <w:proofErr w:type="spellEnd"/>
      <w:r w:rsidRPr="000B76BA">
        <w:t xml:space="preserve"> Journal, 2025). Functional food and nutraceutical marketing increasingly prioritizes educational content, credible communication channels, and targeted outreach as central strategies (Chen &amp; Martirosyan, 2021).</w:t>
      </w:r>
    </w:p>
    <w:p w14:paraId="2A7728F4" w14:textId="77777777" w:rsidR="000B76BA" w:rsidRDefault="000B76BA" w:rsidP="000B76BA">
      <w:r w:rsidRPr="000B76BA">
        <w:t>Marketing strategies at Synergy Biologics must navigate:</w:t>
      </w:r>
    </w:p>
    <w:p w14:paraId="4980AFA4" w14:textId="6505E073" w:rsidR="00016C5F" w:rsidRPr="00016C5F" w:rsidRDefault="00016C5F" w:rsidP="000B76BA">
      <w:r w:rsidRPr="00016C5F">
        <w:t xml:space="preserve">Consumer literacy gaps present a significant challenge, as many individuals struggle to distinguish between supplements, functional foods, and licensed medicines, which can lead to </w:t>
      </w:r>
      <w:r>
        <w:t xml:space="preserve">a </w:t>
      </w:r>
      <w:r w:rsidRPr="00016C5F">
        <w:t>misunderstanding of product purposes and benefits. Alongside this, issues of trust and credibility often arise when marketing messages appear exaggerated or ambiguous, potentially weakening brand reputation and consumer confidence. Regulatory boundaries further constrain marketing activities, requiring companies to ensure that all claims comply with health authority guidelines and do not imply curative effects. Additionally, the organisation operates within an increasingly competitive market in which numerous products compete on pricing, branding, and the intensity of their promotional efforts, making differentiation more difficult and placing greater pressure on marketing strategy.</w:t>
      </w:r>
    </w:p>
    <w:p w14:paraId="7D474B78" w14:textId="77777777" w:rsidR="000B76BA" w:rsidRPr="000B76BA" w:rsidRDefault="000B76BA" w:rsidP="000B76BA">
      <w:r w:rsidRPr="000B76BA">
        <w:t>Given these complexities, literacy and structured problem-solving are essential for a sustainable marketing strategy.</w:t>
      </w:r>
    </w:p>
    <w:p w14:paraId="33273135" w14:textId="77777777" w:rsidR="000B76BA" w:rsidRPr="000B76BA" w:rsidRDefault="00000000" w:rsidP="000B76BA">
      <w:r>
        <w:pict w14:anchorId="7A3FF61A">
          <v:rect id="_x0000_i1029" style="width:0;height:1.5pt" o:hralign="center" o:hrstd="t" o:hr="t" fillcolor="#a0a0a0" stroked="f"/>
        </w:pict>
      </w:r>
    </w:p>
    <w:p w14:paraId="0197866A" w14:textId="77777777" w:rsidR="000B76BA" w:rsidRPr="000B76BA" w:rsidRDefault="000B76BA" w:rsidP="000B76BA">
      <w:pPr>
        <w:rPr>
          <w:b/>
          <w:bCs/>
        </w:rPr>
      </w:pPr>
      <w:r w:rsidRPr="000B76BA">
        <w:rPr>
          <w:b/>
          <w:bCs/>
        </w:rPr>
        <w:t>4. Literacy in Synergy Biologics’ Marketing Strategy</w:t>
      </w:r>
    </w:p>
    <w:p w14:paraId="4A231186" w14:textId="77777777" w:rsidR="000B76BA" w:rsidRDefault="000B76BA" w:rsidP="000B76BA">
      <w:r w:rsidRPr="000B76BA">
        <w:t>To address gaps in consumer understanding, Synergy Biologics designs marketing content that educates and empowers its audience. Key strategies include:</w:t>
      </w:r>
    </w:p>
    <w:p w14:paraId="240EE986" w14:textId="110E6177" w:rsidR="00A357A1" w:rsidRPr="000B76BA" w:rsidRDefault="00A357A1" w:rsidP="000B76BA">
      <w:r w:rsidRPr="00A357A1">
        <w:t xml:space="preserve">Content marketing plays a central role in supporting consumer understanding, with blogs, whitepapers, and articles used to explain mechanisms of action, reference clinical trials, and </w:t>
      </w:r>
      <w:r w:rsidRPr="00A357A1">
        <w:lastRenderedPageBreak/>
        <w:t>present information in a manner that remains accessible to non-specialist audiences. Visual aids and infographics further enhance comprehension by translating complex scientific data into simplified and engaging formats. In addition, glossaries and FAQs help clarify technical terminology by providing plain-language explanations that reduce confusion. Clear product labelling and straightforward dosage guidance also contribute to improved consumer literacy, ensuring that instructions are easy to interpret and follow.</w:t>
      </w:r>
    </w:p>
    <w:p w14:paraId="2CA6A090" w14:textId="77777777" w:rsidR="000B76BA" w:rsidRPr="000B76BA" w:rsidRDefault="000B76BA" w:rsidP="000B76BA">
      <w:r w:rsidRPr="000B76BA">
        <w:t>Content must be adapted to different literacy levels within target segments, as materials that fail to account for health literacy variability are less effective for lower-literacy audiences (Stone, 2022). Emerging machine-learning techniques, such as neural machine translation, offer potential for automatically simplifying complex medical texts while preserving scientific accuracy (Oniani et al., 2022). Although Synergy Biologics may not yet use these technologies, their development highlights the importance of tailoring communication to diverse literacy levels.</w:t>
      </w:r>
    </w:p>
    <w:p w14:paraId="04976E75" w14:textId="77777777" w:rsidR="000B76BA" w:rsidRDefault="000B76BA" w:rsidP="000B76BA">
      <w:r w:rsidRPr="000B76BA">
        <w:t>Internal literacy is equally critical. Marketing and product teams at Synergy Biologics must understand:</w:t>
      </w:r>
    </w:p>
    <w:p w14:paraId="0DD1A3FD" w14:textId="63E30D55" w:rsidR="005F7F22" w:rsidRPr="000B76BA" w:rsidRDefault="005F7F22" w:rsidP="000B76BA">
      <w:r w:rsidRPr="005F7F22">
        <w:t>Effective marketing in the health and biotechnology sector requires strong evidence-based scientific understanding, including the ability to interpret clinical studies and assess ingredient efficacy data. It also depends on regulatory literacy, particularly familiarity with the types of claims permitted under EFSA and MHRA guidelines. Digital analytics literacy is equally important, enabling marketers to analyse user engagement metrics, conduct A/B testing, and evaluate conversion funnels to refine campaign performance. In addition, messaging literacy plays a critical role, as it involves crafting content that is persuasive and clear while remaining fully compliant with regulatory expectations.</w:t>
      </w:r>
    </w:p>
    <w:p w14:paraId="5ADA8857" w14:textId="77777777" w:rsidR="000B76BA" w:rsidRPr="000B76BA" w:rsidRDefault="000B76BA" w:rsidP="000B76BA">
      <w:r w:rsidRPr="000B76BA">
        <w:t>Training programs, interdisciplinary collaboration among marketing, R&amp;D, and regulatory teams, and access to scientific databases and guidance materials are essential to strengthen internal literacy.</w:t>
      </w:r>
    </w:p>
    <w:p w14:paraId="0CAD5F3B" w14:textId="77777777" w:rsidR="000B76BA" w:rsidRPr="000B76BA" w:rsidRDefault="00000000" w:rsidP="000B76BA">
      <w:r>
        <w:pict w14:anchorId="02D13650">
          <v:rect id="_x0000_i1030" style="width:0;height:1.5pt" o:hralign="center" o:hrstd="t" o:hr="t" fillcolor="#a0a0a0" stroked="f"/>
        </w:pict>
      </w:r>
    </w:p>
    <w:p w14:paraId="722B03F1" w14:textId="77777777" w:rsidR="000B76BA" w:rsidRPr="000B76BA" w:rsidRDefault="000B76BA" w:rsidP="000B76BA">
      <w:pPr>
        <w:rPr>
          <w:b/>
          <w:bCs/>
        </w:rPr>
      </w:pPr>
      <w:r w:rsidRPr="000B76BA">
        <w:rPr>
          <w:b/>
          <w:bCs/>
        </w:rPr>
        <w:t>5. Problem-Solving in Practice: Marketing Challenges and Solutions</w:t>
      </w:r>
    </w:p>
    <w:p w14:paraId="66297A6E" w14:textId="77777777" w:rsidR="000B76BA" w:rsidRDefault="000B76BA" w:rsidP="000B76BA">
      <w:r w:rsidRPr="000B76BA">
        <w:t>Consumers may distrust supplement claims due to past experiences with exaggerated promises. To address this:</w:t>
      </w:r>
    </w:p>
    <w:p w14:paraId="41E70831" w14:textId="7207DF47" w:rsidR="00AC23FE" w:rsidRPr="000B76BA" w:rsidRDefault="00AC23FE" w:rsidP="000B76BA">
      <w:r w:rsidRPr="00AC23FE">
        <w:t>Addressing trust-related challenges begins with systematic data collection through surveys, focus groups, and social listening to identify consumer concerns and expectations. Based on these insights, organisations can adopt solution strategies such as incorporating third-party endorsements, publishing transparent laboratory data, providing testimonials accompanied by appropriate disclaimers, and including commentary from qualified experts. Implementation may involve developing a dedicated “Trust &amp; Transparency” section on the company website and producing video content that clearly explains the scientific basis of products. The effectiveness of these initiatives can then be evaluated by monitoring engagement with transparency-related content, tracking downloads, analysing trust-focused survey results, and assessing conversion metrics (Chen &amp; Martirosyan, 2021).</w:t>
      </w:r>
    </w:p>
    <w:p w14:paraId="16257C06" w14:textId="79F35B7C" w:rsidR="000B76BA" w:rsidRPr="000B76BA" w:rsidRDefault="000B76BA" w:rsidP="000B76BA">
      <w:r w:rsidRPr="000B76BA">
        <w:lastRenderedPageBreak/>
        <w:t xml:space="preserve">This approach integrates literacy by presenting digestible evidence and applies structured problem-solving to address </w:t>
      </w:r>
      <w:r w:rsidR="00FB60DD" w:rsidRPr="000B76BA">
        <w:t>scepticism</w:t>
      </w:r>
      <w:r w:rsidRPr="000B76BA">
        <w:t>.</w:t>
      </w:r>
    </w:p>
    <w:p w14:paraId="0B1CA94C" w14:textId="77777777" w:rsidR="000B76BA" w:rsidRDefault="000B76BA" w:rsidP="000B76BA">
      <w:r w:rsidRPr="000B76BA">
        <w:t>With many competing brands, differentiation often relies on minor formulation differences. Solutions include:</w:t>
      </w:r>
    </w:p>
    <w:p w14:paraId="6E5DEF84" w14:textId="3AC8595B" w:rsidR="00892B21" w:rsidRPr="000B76BA" w:rsidRDefault="0024654C" w:rsidP="000B76BA">
      <w:r w:rsidRPr="0024654C">
        <w:t>Differentiation strategies for Synergy Biologics can focus on highlighting the company’s unique strengths, such as in-house UK manufacturing, batch traceability, and WDA licensing, which demonstrate quality and reliability. Marketing efforts can be directed toward niche consumer segments, including vegan consumers, individuals with allergen sensitivities, children, and athletes, allowing for more targeted engagement. Content-driven differentiation can further establish the company as a thought leader in areas such as botanicals, nutrigenomics, and sustainability, enhancing credibility and consumer trust. Additionally, forming strategic partnerships with academic institutions or professional organisations can strengthen authority, expand reach, and reinforce the company’s position within the health and wellness sector.</w:t>
      </w:r>
    </w:p>
    <w:p w14:paraId="3EB1A39A" w14:textId="77777777" w:rsidR="000B76BA" w:rsidRPr="000B76BA" w:rsidRDefault="000B76BA" w:rsidP="000B76BA">
      <w:r w:rsidRPr="000B76BA">
        <w:t>Campaigns such as “Made in UK, Tested &amp; Trusted” emphasize quality credentials and targeted messaging, with effectiveness evaluated via A/B testing and segment-specific engagement metrics.</w:t>
      </w:r>
    </w:p>
    <w:p w14:paraId="46A0B6ED" w14:textId="77777777" w:rsidR="000B76BA" w:rsidRDefault="000B76BA" w:rsidP="000B76BA">
      <w:r w:rsidRPr="000B76BA">
        <w:t>Health claims are tightly regulated. Synergy Biologics mitigates risk by:</w:t>
      </w:r>
    </w:p>
    <w:p w14:paraId="152657A8" w14:textId="77CF347E" w:rsidR="004E1EA4" w:rsidRPr="000B76BA" w:rsidRDefault="004E1EA4" w:rsidP="000B76BA">
      <w:r w:rsidRPr="004E1EA4">
        <w:t xml:space="preserve">Marketing communication typically relies on structure–function claims, such as statements that a product “supports immune health,” rather than suggesting curative effects. This is reinforced </w:t>
      </w:r>
      <w:proofErr w:type="gramStart"/>
      <w:r w:rsidRPr="004E1EA4">
        <w:t>through the use of</w:t>
      </w:r>
      <w:proofErr w:type="gramEnd"/>
      <w:r w:rsidRPr="004E1EA4">
        <w:t xml:space="preserve"> cautious language—phrases like “may help” or “supports”—accompanied by appropriate disclaimers to ensure regulatory compliance. References to clinical studies and meta-analyses are often incorporated to strengthen the credibility of the messaging and demonstrate evidence-based practice. Additionally, companies frequently advise consumers to consult healthcare professionals for personalised guidance, further supporting responsible and transparent communication.</w:t>
      </w:r>
    </w:p>
    <w:p w14:paraId="64671A18" w14:textId="77777777" w:rsidR="000B76BA" w:rsidRDefault="000B76BA" w:rsidP="000B76BA">
      <w:r w:rsidRPr="000B76BA">
        <w:t>Legal review, compliance checklists, and marketing training ensure campaigns remain both persuasive and compliant (</w:t>
      </w:r>
      <w:proofErr w:type="spellStart"/>
      <w:r w:rsidRPr="000B76BA">
        <w:t>Zoupos</w:t>
      </w:r>
      <w:proofErr w:type="spellEnd"/>
      <w:r w:rsidRPr="000B76BA">
        <w:t>, 2022).</w:t>
      </w:r>
    </w:p>
    <w:p w14:paraId="7239F375" w14:textId="35C924CC" w:rsidR="00BD208F" w:rsidRPr="000B76BA" w:rsidRDefault="00BD208F" w:rsidP="000B76BA">
      <w:r w:rsidRPr="00BD208F">
        <w:t xml:space="preserve">Marketing initiatives can be strengthened </w:t>
      </w:r>
      <w:proofErr w:type="gramStart"/>
      <w:r w:rsidRPr="00BD208F">
        <w:t>through the use of</w:t>
      </w:r>
      <w:proofErr w:type="gramEnd"/>
      <w:r w:rsidRPr="00BD208F">
        <w:t xml:space="preserve"> agile campaign structures that incorporate pilot testing and allow for real-time adjustments based on performance insights. This can be supported by a diversified channel strategy that spans social media platforms, podcasts, LinkedIn, and health-related mobile applications, ensuring broader reach and more targeted audience engagement. Content should be developed in modular formats so that it can be easily adapted and repurposed across different media. Additionally, the use of AI-supported tools can enhance advertising optimisation by refining audience targeting, improving message delivery, and increasing overall campaign efficiency.</w:t>
      </w:r>
    </w:p>
    <w:p w14:paraId="3D7FED57" w14:textId="77777777" w:rsidR="000B76BA" w:rsidRPr="000B76BA" w:rsidRDefault="000B76BA" w:rsidP="000B76BA">
      <w:r w:rsidRPr="000B76BA">
        <w:t>Digital channels evolve rapidly. Strategies include:</w:t>
      </w:r>
    </w:p>
    <w:p w14:paraId="0346B7EF" w14:textId="77777777" w:rsidR="000B76BA" w:rsidRPr="000B76BA" w:rsidRDefault="000B76BA" w:rsidP="000B76BA">
      <w:r w:rsidRPr="000B76BA">
        <w:t>Performance is tracked through ROI, acquisition cost, engagement metrics, and content performance trends, with literacy enabling data-informed decision-making (</w:t>
      </w:r>
      <w:proofErr w:type="spellStart"/>
      <w:r w:rsidRPr="000B76BA">
        <w:t>Youngmann</w:t>
      </w:r>
      <w:proofErr w:type="spellEnd"/>
      <w:r w:rsidRPr="000B76BA">
        <w:t xml:space="preserve"> et al., 2019).</w:t>
      </w:r>
    </w:p>
    <w:p w14:paraId="4B0AFF73" w14:textId="77777777" w:rsidR="000B76BA" w:rsidRPr="000B76BA" w:rsidRDefault="00000000" w:rsidP="000B76BA">
      <w:r>
        <w:lastRenderedPageBreak/>
        <w:pict w14:anchorId="2F1D6013">
          <v:rect id="_x0000_i1031" style="width:0;height:1.5pt" o:hralign="center" o:hrstd="t" o:hr="t" fillcolor="#a0a0a0" stroked="f"/>
        </w:pict>
      </w:r>
    </w:p>
    <w:p w14:paraId="7FF6BE62" w14:textId="77777777" w:rsidR="000B76BA" w:rsidRPr="000B76BA" w:rsidRDefault="000B76BA" w:rsidP="000B76BA">
      <w:pPr>
        <w:rPr>
          <w:b/>
          <w:bCs/>
        </w:rPr>
      </w:pPr>
      <w:r w:rsidRPr="000B76BA">
        <w:rPr>
          <w:b/>
          <w:bCs/>
        </w:rPr>
        <w:t>6. Integration: How Literacy Enables Effective Problem-Solving</w:t>
      </w:r>
    </w:p>
    <w:p w14:paraId="37F2C41E" w14:textId="77777777" w:rsidR="000B76BA" w:rsidRDefault="000B76BA" w:rsidP="000B76BA">
      <w:r w:rsidRPr="000B76BA">
        <w:t>Literacy and problem-solving are mutually reinforcing:</w:t>
      </w:r>
    </w:p>
    <w:p w14:paraId="498770FC" w14:textId="15A265A4" w:rsidR="004C0372" w:rsidRPr="000B76BA" w:rsidRDefault="004C0372" w:rsidP="000B76BA">
      <w:r w:rsidRPr="004C0372">
        <w:t>Internal literacy enables marketing teams to accurately interpret data and scientific evidence, ensuring that decisions are well-informed and compliant with regulatory expectations. At the same time, consumer literacy strengthens the effectiveness of communication by improving how audiences receive and understand marketing messages. When combined with a structured problem-solving approach that supports systematic diagnosis, ideation, implementation, and evaluation, these elements work together to create a more coherent, credible, and impactful marketing process.</w:t>
      </w:r>
    </w:p>
    <w:p w14:paraId="5DFFAD80" w14:textId="77777777" w:rsidR="000B76BA" w:rsidRPr="000B76BA" w:rsidRDefault="000B76BA" w:rsidP="000B76BA">
      <w:r w:rsidRPr="000B76BA">
        <w:t>Together, literacy and problem-solving improve marketing judgment, adaptability, and strategic effectiveness, particularly in credibility-sensitive sectors like nutraceuticals.</w:t>
      </w:r>
    </w:p>
    <w:p w14:paraId="34AFFA5E" w14:textId="77777777" w:rsidR="000B76BA" w:rsidRPr="000B76BA" w:rsidRDefault="00000000" w:rsidP="000B76BA">
      <w:r>
        <w:pict w14:anchorId="14FB778C">
          <v:rect id="_x0000_i1032" style="width:0;height:1.5pt" o:hralign="center" o:hrstd="t" o:hr="t" fillcolor="#a0a0a0" stroked="f"/>
        </w:pict>
      </w:r>
    </w:p>
    <w:p w14:paraId="5E24AD15" w14:textId="77777777" w:rsidR="000B76BA" w:rsidRPr="000B76BA" w:rsidRDefault="000B76BA" w:rsidP="000B76BA">
      <w:pPr>
        <w:rPr>
          <w:b/>
          <w:bCs/>
        </w:rPr>
      </w:pPr>
      <w:r w:rsidRPr="000B76BA">
        <w:rPr>
          <w:b/>
          <w:bCs/>
        </w:rPr>
        <w:t>7. Implications and Outcomes</w:t>
      </w:r>
    </w:p>
    <w:p w14:paraId="4010DCAA" w14:textId="77777777" w:rsidR="000B76BA" w:rsidRDefault="000B76BA" w:rsidP="000B76BA">
      <w:r w:rsidRPr="000B76BA">
        <w:t>Integrating literacy and problem-solving yields:</w:t>
      </w:r>
    </w:p>
    <w:p w14:paraId="14C91ADF" w14:textId="001F4AA3" w:rsidR="00E2522B" w:rsidRPr="000B76BA" w:rsidRDefault="00E2522B" w:rsidP="000B76BA">
      <w:r w:rsidRPr="00E2522B">
        <w:t xml:space="preserve">These integrated communication and problem-solving approaches can generate several organisational benefits. They contribute to stronger consumer trust and an enhanced brand reputation, while educational content helps increase engagement and foster long-term loyalty. Clear and well-informed messaging also leads to higher conversion rates and reduces confusion among consumers. Over time, this creates a sustainable form of brand differentiation rooted in knowledge, transparency, and credibility, while simultaneously lowering regulatory risk by ensuring that all communications remain compliant and </w:t>
      </w:r>
      <w:proofErr w:type="gramStart"/>
      <w:r w:rsidRPr="00E2522B">
        <w:t>evidence-based</w:t>
      </w:r>
      <w:proofErr w:type="gramEnd"/>
      <w:r w:rsidRPr="00E2522B">
        <w:t>.</w:t>
      </w:r>
    </w:p>
    <w:p w14:paraId="203BCB9F" w14:textId="77777777" w:rsidR="000B76BA" w:rsidRDefault="000B76BA" w:rsidP="000B76BA">
      <w:r w:rsidRPr="000B76BA">
        <w:t>Challenges include resource investment, longer campaign cycles, measurement complexity, and balancing simplicity with scientific accuracy. Nonetheless, for Synergy Biologics, these investments are justified given the high stakes of healthcare marketing.</w:t>
      </w:r>
    </w:p>
    <w:p w14:paraId="3E222799" w14:textId="6563D8DC" w:rsidR="00D63DFD" w:rsidRPr="000B76BA" w:rsidRDefault="00D63DFD" w:rsidP="000B76BA">
      <w:r w:rsidRPr="00D63DFD">
        <w:t>Key recommendations for Synergy Biologics include implementing literacy training programs for marketing, regulatory, and R&amp;D teams to ensure accurate interpretation of scientific and regulatory information. Marketing content should be segmented and tailored to varying consumer literacy levels to maximise comprehension and engagement. Transparency can be enhanced through dedicated platforms, such as a “Trust Hub,” which provides access to laboratory reports and relevant certifications. Marketing initiatives should adopt agile approaches, incorporating feedback loops, dashboards, and A/B testing to allow real-time optimisation. Messaging frameworks should be developed with regulatory literacy in mind, utilising pre-approved claim libraries to ensure compliance. Furthermore, the company should pursue collaborations and co-creation opportunities with health organisations, universities, and key influencers to strengthen credibility and reach. Finally, a long-term focus on research and measurement is recommended to assess the effectiveness of educational content and to examine the relationship between consumer literacy and engagement outcomes.</w:t>
      </w:r>
    </w:p>
    <w:p w14:paraId="30FF433E" w14:textId="77777777" w:rsidR="000B76BA" w:rsidRPr="000B76BA" w:rsidRDefault="00000000" w:rsidP="000B76BA">
      <w:r>
        <w:lastRenderedPageBreak/>
        <w:pict w14:anchorId="0E25FAA6">
          <v:rect id="_x0000_i1033" style="width:0;height:1.5pt" o:hralign="center" o:hrstd="t" o:hr="t" fillcolor="#a0a0a0" stroked="f"/>
        </w:pict>
      </w:r>
    </w:p>
    <w:p w14:paraId="433C32E3" w14:textId="77777777" w:rsidR="000B76BA" w:rsidRPr="000B76BA" w:rsidRDefault="000B76BA" w:rsidP="000B76BA">
      <w:r w:rsidRPr="000B76BA">
        <w:t>Future strategies may include computational tools for automated text simplification and AI-supported marketing decision-making.</w:t>
      </w:r>
    </w:p>
    <w:p w14:paraId="7778FF89" w14:textId="77777777" w:rsidR="000B76BA" w:rsidRPr="000B76BA" w:rsidRDefault="00000000" w:rsidP="000B76BA">
      <w:r>
        <w:pict w14:anchorId="620D5C0A">
          <v:rect id="_x0000_i1034" style="width:0;height:1.5pt" o:hralign="center" o:hrstd="t" o:hr="t" fillcolor="#a0a0a0" stroked="f"/>
        </w:pict>
      </w:r>
    </w:p>
    <w:p w14:paraId="510142FC" w14:textId="77777777" w:rsidR="000B76BA" w:rsidRPr="000B76BA" w:rsidRDefault="000B76BA" w:rsidP="000B76BA">
      <w:r w:rsidRPr="000B76BA">
        <w:t>In the competitive nutraceutical and healthcare supplement market, literacy and problem-solving are essential strategic capabilities. Synergy Biologics is well positioned to leverage these skills in its marketing strategy. By investing in consumer and internal literacy, and by applying structured, data-driven problem-solving processes, the company can enhance credibility, build consumer trust, differentiate its products, and achieve sustainable growth. Marketing in this sector is not merely about persuasion—it is a combination of education and adaptability. Mastery of literacy-informed problem-solving provides a significant competitive advantage in nutraceutical marketing.</w:t>
      </w:r>
    </w:p>
    <w:p w14:paraId="145FD348" w14:textId="77777777" w:rsidR="000B76BA" w:rsidRPr="005F4E91" w:rsidRDefault="000B76BA" w:rsidP="0088211F">
      <w:pPr>
        <w:rPr>
          <w:color w:val="EE0000"/>
        </w:rPr>
      </w:pPr>
    </w:p>
    <w:p w14:paraId="1EF6497B" w14:textId="77777777" w:rsidR="00312CE8" w:rsidRPr="00312CE8" w:rsidRDefault="00E60240" w:rsidP="00312CE8">
      <w:pPr>
        <w:rPr>
          <w:b/>
          <w:bCs/>
        </w:rPr>
      </w:pPr>
      <w:r>
        <w:t xml:space="preserve">3, </w:t>
      </w:r>
      <w:r w:rsidR="00312CE8" w:rsidRPr="00312CE8">
        <w:rPr>
          <w:b/>
          <w:bCs/>
        </w:rPr>
        <w:t>Methodology</w:t>
      </w:r>
    </w:p>
    <w:p w14:paraId="6EC487FB" w14:textId="696DBEAF" w:rsidR="00B402D6" w:rsidRDefault="00B402D6" w:rsidP="0088211F"/>
    <w:p w14:paraId="2A4710FF" w14:textId="77777777" w:rsidR="00312CE8" w:rsidRPr="00312CE8" w:rsidRDefault="00000000" w:rsidP="00312CE8">
      <w:r>
        <w:pict w14:anchorId="5F048739">
          <v:rect id="_x0000_i1035" style="width:0;height:1.5pt" o:hralign="center" o:hrstd="t" o:hr="t" fillcolor="#a0a0a0" stroked="f"/>
        </w:pict>
      </w:r>
    </w:p>
    <w:p w14:paraId="0363D35E" w14:textId="584AF2BB" w:rsidR="00312CE8" w:rsidRPr="00312CE8" w:rsidRDefault="00312CE8" w:rsidP="00312CE8">
      <w:pPr>
        <w:rPr>
          <w:b/>
          <w:bCs/>
        </w:rPr>
      </w:pPr>
    </w:p>
    <w:p w14:paraId="7454ACC8" w14:textId="61713495" w:rsidR="00312CE8" w:rsidRDefault="00A93128" w:rsidP="0088211F">
      <w:r>
        <w:t xml:space="preserve">This chapter presents the research methodology designed to explore how Synergy Biologics, a UK-based company operating within the biopharmaceutical and nutraceutical industries, approaches organisational problem-solving and implements marketing strategies to sustain growth and competitiveness. Synergy Biologics is recognised for developing and distributing high-quality nutritional supplements and biologically active compounds. Operating in a highly regulated and competitive market, the company’s </w:t>
      </w:r>
      <w:proofErr w:type="spellStart"/>
      <w:r>
        <w:t>su</w:t>
      </w:r>
      <w:proofErr w:type="spellEnd"/>
      <w:r>
        <w:t>...</w:t>
      </w:r>
      <w:r>
        <w:br/>
      </w:r>
      <w:r>
        <w:br/>
        <w:t>The chapter outlines the philosophical foundations, methodological design, data collection procedures, analytical approaches, ethical considerations, and limitations that guided this investigation. A combination of qualitative and quantitative research techniques has been employed to provide a well-rounded understanding of Synergy Biologics’ managerial and marketing practices. Such a hybrid approach allows for the triangulation of data, offering a comprehensive perspective on how the organisation resolves ...</w:t>
      </w:r>
      <w:r>
        <w:br/>
      </w:r>
      <w:r>
        <w:br/>
        <w:t>2. Research Aims and Objectives</w:t>
      </w:r>
      <w:r>
        <w:br/>
      </w:r>
      <w:r>
        <w:br/>
        <w:t>The principal aim of this research is to examine the approaches Synergy Biologics uses to identify and address both internal and external business problems, with particular emphasis on its marketing operations and performance. This study seeks to understand how structured decision-making, innovation, and collaboration contribute to the firm’s ability to solve problems and improve its market positioning.</w:t>
      </w:r>
      <w:r>
        <w:br/>
      </w:r>
      <w:r>
        <w:br/>
      </w:r>
      <w:r>
        <w:br/>
      </w:r>
      <w:r>
        <w:lastRenderedPageBreak/>
        <w:br/>
        <w:t>These objectives form the foundation of the research design, ensuring coherence between theoretical assumptions, methodological execution, and the intended research outcomes.</w:t>
      </w:r>
      <w:r>
        <w:br/>
      </w:r>
      <w:r>
        <w:br/>
        <w:t>3. Research Philosophy</w:t>
      </w:r>
      <w:r>
        <w:br/>
      </w:r>
      <w:r>
        <w:br/>
        <w:t>As Saunders et al. (2019) explain, research philosophy represents the fundamental beliefs concerning the development of knowledge. This study adopts a pragmatic philosophical stance, which emphasises the usefulness and application of knowledge to solve real-world business challenges. Pragmatism acknowledges that both objective facts and subjective experiences contribute to understanding complex organisational phenomena. Such a philosophy is particularly appropriate for a study that aims to bridge theoretical ...</w:t>
      </w:r>
      <w:r>
        <w:br/>
      </w:r>
      <w:r>
        <w:br/>
        <w:t>According to Creswell (2018), pragmatism encourages methodological pluralism, where multiple perspectives and methods can coexist to address multifaceted research questions. Within this context, the pragmatic philosophy enables the researcher to combine numerical data (quantitative) and narrative insights (qualitative) to form a holistic understanding of Synergy Biologics’ problem-solving and marketing processes.</w:t>
      </w:r>
      <w:r>
        <w:br/>
      </w:r>
      <w:r>
        <w:br/>
        <w:t>4. Research Approach and Design</w:t>
      </w:r>
      <w:r>
        <w:br/>
      </w:r>
      <w:r>
        <w:br/>
        <w:t xml:space="preserve">The study employs a mixed-methods research approach, which combines deductive and inductive reasoning. The deductive component draws upon existing management and marketing theories, such as Kotler’s (2017) marketing mix framework and Argyris’ (1999) double-loop learning model, to guide the analysis of organisational strategies. Conversely, the inductive aspect arises from data collected through interviews and surveys, enabling the researcher to derive new themes and insights directly from participants’ </w:t>
      </w:r>
      <w:proofErr w:type="spellStart"/>
      <w:r>
        <w:t>experie</w:t>
      </w:r>
      <w:proofErr w:type="spellEnd"/>
      <w:r>
        <w:t>...</w:t>
      </w:r>
      <w:r>
        <w:br/>
      </w:r>
      <w:r>
        <w:br/>
        <w:t>The overall research design is both exploratory and descriptive in nature. The exploratory aspect aims to uncover unknown aspects of Synergy Biologics’ internal problem-solving mechanisms, while the descriptive element documents current practices and their effectiveness (Robson and McCartan, 2016). A case study design has been chosen to provide an in-depth exploration of the company as a single unit of analysis. Yin (2018) argues that case study designs are ideal for examining complex, contemporary issues within...</w:t>
      </w:r>
      <w:r>
        <w:br/>
      </w:r>
      <w:r>
        <w:br/>
        <w:t>5. Data Collection Methods</w:t>
      </w:r>
      <w:r>
        <w:br/>
      </w:r>
      <w:r>
        <w:br/>
        <w:t>The research incorporates both primary and secondary data sources to ensure depth and validity of analysis.</w:t>
      </w:r>
      <w:r>
        <w:br/>
      </w:r>
      <w:r>
        <w:br/>
        <w:t>5.1 Primary Data Collection</w:t>
      </w:r>
      <w:r>
        <w:br/>
      </w:r>
      <w:r>
        <w:br/>
        <w:t xml:space="preserve">Primary data were collected through semi-structured interviews and structured questionnaires. </w:t>
      </w:r>
      <w:r>
        <w:br/>
      </w:r>
      <w:r>
        <w:lastRenderedPageBreak/>
        <w:br/>
        <w:t>Semi-structured interviews were carried out with ten participants occupying various roles, including marketing managers, R&amp;D specialists, and operations supervisors. This approach enabled a balance between flexibility and focus, as open-ended questions allowed participants to elaborate while keeping discussions aligned with the research aims (Bryman, 2016). Interview topics included problem identification, strategi...</w:t>
      </w:r>
      <w:r>
        <w:br/>
      </w:r>
      <w:r>
        <w:br/>
        <w:t>Structured questionnaires were distributed to a wider group of forty employees across different departments to obtain quantifiable insights. Questions were based on a five-point Likert scale, measuring perceptions of leadership responsiveness, teamwork, innovation, and satisfaction with marketing performance. The quantitative aspect enables trend identification and provides a numerical representation of organisational effectiveness.</w:t>
      </w:r>
      <w:r>
        <w:br/>
      </w:r>
      <w:r>
        <w:br/>
        <w:t>5.2 Secondary Data Collection</w:t>
      </w:r>
      <w:r>
        <w:br/>
      </w:r>
      <w:r>
        <w:br/>
        <w:t>Secondary data were gathered from multiple credible sources, including company reports, annual statements, marketing analytics, industry journals, and academic literature. The review of secondary materials assists in triangulating primary findings and situating Synergy Biologics within the broader biopharmaceutical market. Using secondary data also enables benchmarking the company’s practices against industry norms and theoretical frameworks (Saunders et al., 2019).</w:t>
      </w:r>
      <w:r>
        <w:br/>
      </w:r>
      <w:r>
        <w:br/>
        <w:t>6. Sampling Strategy</w:t>
      </w:r>
      <w:r>
        <w:br/>
      </w:r>
      <w:r>
        <w:br/>
        <w:t xml:space="preserve">To ensure meaningful data representation, a dual sampling approach was adopted. For the qualitative interviews, purposive sampling was utilised, selecting participants who held specific knowledge relevant to marketing and management processes at Synergy Biologics. Purposive sampling, as </w:t>
      </w:r>
      <w:proofErr w:type="spellStart"/>
      <w:r>
        <w:t>Etikan</w:t>
      </w:r>
      <w:proofErr w:type="spellEnd"/>
      <w:r>
        <w:t xml:space="preserve"> et al. (2016) describe, enables the researcher to target individuals capable of providing rich, contextually grounded insights. For the quantitative survey, stratified random sampling ensured representation across </w:t>
      </w:r>
      <w:proofErr w:type="spellStart"/>
      <w:r>
        <w:t>departm</w:t>
      </w:r>
      <w:proofErr w:type="spellEnd"/>
      <w:r>
        <w:t>...</w:t>
      </w:r>
      <w:r>
        <w:br/>
      </w:r>
      <w:r>
        <w:br/>
        <w:t>The total sample of fifty participants was deemed sufficient to achieve the desired balance between diversity and depth of insight. All participants were informed about the voluntary nature of their participation and their right to withdraw at any point, ensuring ethical compliance and open, honest contributions.</w:t>
      </w:r>
      <w:r>
        <w:br/>
      </w:r>
      <w:r>
        <w:br/>
        <w:t>7. Data Analysis Methods</w:t>
      </w:r>
      <w:r>
        <w:br/>
      </w:r>
      <w:r>
        <w:br/>
        <w:t>Given the mixed-methods design, the study employs both qualitative and quantitative data analysis techniques.</w:t>
      </w:r>
      <w:r>
        <w:br/>
      </w:r>
      <w:r>
        <w:br/>
        <w:t>7.1 Qualitative Analysis</w:t>
      </w:r>
      <w:r>
        <w:br/>
      </w:r>
      <w:r>
        <w:br/>
        <w:t xml:space="preserve">Qualitative data from interviews were analysed using thematic analysis, following Braun and </w:t>
      </w:r>
      <w:r>
        <w:lastRenderedPageBreak/>
        <w:t xml:space="preserve">Clarke’s (2006) six-step framework. The process involved data familiarisation, coding, theme development, and interpretation. Themes emerging from the interviews included organisational learning, leadership decision-making, innovation capacity, and cross-functional collaboration. Software such as NVivo was considered for assisting in data organisation, but manual coding was prioritised to preserve contextual </w:t>
      </w:r>
      <w:proofErr w:type="spellStart"/>
      <w:r>
        <w:t>understandin</w:t>
      </w:r>
      <w:proofErr w:type="spellEnd"/>
      <w:r>
        <w:t>...</w:t>
      </w:r>
      <w:r>
        <w:br/>
      </w:r>
      <w:r>
        <w:br/>
        <w:t>7.2 Quantitative Analysis</w:t>
      </w:r>
      <w:r>
        <w:br/>
      </w:r>
      <w:r>
        <w:br/>
        <w:t xml:space="preserve">Quantitative data from the survey were processed using statistical software such as SPSS and Excel. Descriptive statistics (means, frequencies, and standard deviations) were employed to summarise the responses, while inferential analysis (correlation and regression tests) was considered to explore relationships between constructs such as communication quality and marketing success. By integrating both qualitative and quantitative results, the research achieves triangulation, enhancing reliability and internal </w:t>
      </w:r>
      <w:proofErr w:type="spellStart"/>
      <w:r>
        <w:t>va.</w:t>
      </w:r>
      <w:proofErr w:type="spellEnd"/>
      <w:r>
        <w:t>..</w:t>
      </w:r>
      <w:r>
        <w:br/>
      </w:r>
      <w:r>
        <w:br/>
        <w:t>8. Ethical Considerations</w:t>
      </w:r>
      <w:r>
        <w:br/>
      </w:r>
      <w:r>
        <w:br/>
        <w:t>Ethical rigour was paramount throughout this study. The research adhered to the ethical principles of honesty, transparency, and respect for participant autonomy, as recommended by the British Educational Research Association (BERA, 2018). All participants were provided with an informed consent form clearly outlining the purpose of the research, data confidentiality measures, and withdrawal rights. Interview recordings were made only after obtaining explicit consent. Anonymity was ensured by coding participant re...</w:t>
      </w:r>
      <w:r>
        <w:br/>
      </w:r>
      <w:r>
        <w:br/>
        <w:t>Additionally, all collected data were securely stored and accessible only to the researcher. Findings were reported objectively, avoiding exaggeration or distortion that could misrepresent the company. Ethical clearance was obtained from the relevant university ethics board before the commencement of fieldwork.</w:t>
      </w:r>
      <w:r>
        <w:br/>
      </w:r>
      <w:r>
        <w:br/>
        <w:t>9. Limitations</w:t>
      </w:r>
      <w:r>
        <w:br/>
      </w:r>
      <w:r>
        <w:br/>
        <w:t>Although the research design is robust, several limitations are acknowledged. First, the focus on a single organisation restricts the generalisability of results to other contexts. Case study research, by nature, prioritises depth over breadth (Yin, 2018). Second, the possibility of participant bias exists, as respondents may portray the company in a more favourable light. The combination of anonymous surveys and triangulation through secondary data was implemented to mitigate this concern. Another limitation is ...</w:t>
      </w:r>
      <w:r>
        <w:br/>
      </w:r>
      <w:r>
        <w:br/>
        <w:t>Nevertheless, despite these limitations, the research provides valuable insights into the mechanisms of problem-solving and marketing within a medium-sized biopharmaceutical enterprise, contributing both academically and practically.</w:t>
      </w:r>
      <w:r>
        <w:br/>
      </w:r>
      <w:r>
        <w:br/>
        <w:t>10. Integration with Company Practice</w:t>
      </w:r>
      <w:r>
        <w:br/>
      </w:r>
      <w:r>
        <w:lastRenderedPageBreak/>
        <w:br/>
        <w:t>The methodology was structured not only for academic purposes but also to yield practical recommendations for Synergy Biologics. Through the integration of qualitative and quantitative findings, the study identifies how leadership, internal communication, and innovation practices directly impact marketing performance. The insights derived can guide the company in refining its marketing mix and improving operational efficiency.</w:t>
      </w:r>
      <w:r>
        <w:br/>
      </w:r>
      <w:r>
        <w:br/>
        <w:t>Preliminary findings suggest that fostering stronger communication across departments could enhance responsiveness to external market shifts. Similarly, leveraging digital marketing tools alongside R&amp;D data could improve product innovation alignment with market needs. Implementing agile marketing practices and creating a cross-functional innovation committee are among the potential strategic recommendations that emerge from this research.</w:t>
      </w:r>
      <w:r>
        <w:br/>
      </w:r>
      <w:r>
        <w:br/>
      </w:r>
      <w:r>
        <w:br/>
      </w:r>
      <w:r>
        <w:br/>
        <w:t>This chapter has outlined the methodological framework underpinning the investigation of problem-solving and marketing strategies at Synergy Biologics. Employing a pragmatic philosophy and mixed-methods case study design ensures that the research integrates both theoretical and practical dimensions. By combining qualitative interviews, quantitative surveys, and secondary data analysis, the methodology enhances reliability through triangulation.</w:t>
      </w:r>
      <w:r>
        <w:br/>
      </w:r>
      <w:r>
        <w:br/>
        <w:t>Comprehensive attention was given to ethical integrity, data analysis procedures, and sampling rigour. While the study’s single-case nature imposes limitations on external validity, its internal validity and practical contributions remain strong. The methodology therefore provides a solid foundation for analysing Synergy Biologics’ strategic processes, contributing insights that bridge academic understanding with practical applications in organisational management and marketing</w:t>
      </w:r>
    </w:p>
    <w:p w14:paraId="1978C611" w14:textId="5C1D3EBA" w:rsidR="00D336F2" w:rsidRDefault="007D5BA8" w:rsidP="0088211F">
      <w:r>
        <w:t>Primary</w:t>
      </w:r>
      <w:r w:rsidR="0098389A">
        <w:t xml:space="preserve"> data link </w:t>
      </w:r>
      <w:r w:rsidR="00B82B72">
        <w:t xml:space="preserve">- </w:t>
      </w:r>
      <w:hyperlink r:id="rId7" w:history="1">
        <w:r w:rsidR="00B82B72" w:rsidRPr="00BF7A6B">
          <w:rPr>
            <w:rStyle w:val="Hyperlink"/>
          </w:rPr>
          <w:t>https://drive.google.com/drive/folders/1v0KbWB0GmoGO3cVveJQn4qXHeMTt2xUr?usp=drive_link</w:t>
        </w:r>
      </w:hyperlink>
      <w:r w:rsidR="00B82B72">
        <w:t xml:space="preserve"> </w:t>
      </w:r>
    </w:p>
    <w:p w14:paraId="1D3A242A" w14:textId="77777777" w:rsidR="00297939" w:rsidRDefault="00B85279" w:rsidP="00297939">
      <w:pPr>
        <w:rPr>
          <w:rFonts w:ascii="Arial" w:eastAsia="Hiragino Sans CNS W3" w:hAnsi="Arial" w:cs="Arial"/>
          <w:color w:val="EE0000"/>
          <w:sz w:val="20"/>
          <w:szCs w:val="20"/>
        </w:rPr>
      </w:pPr>
      <w:r>
        <w:t xml:space="preserve">4. </w:t>
      </w:r>
      <w:r w:rsidR="00297939" w:rsidRPr="00B85279">
        <w:rPr>
          <w:rFonts w:ascii="Arial" w:eastAsia="Hiragino Sans CNS W3" w:hAnsi="Arial" w:cs="Arial"/>
          <w:color w:val="EE0000"/>
          <w:sz w:val="20"/>
          <w:szCs w:val="20"/>
        </w:rPr>
        <w:t>Results and Discussion</w:t>
      </w:r>
    </w:p>
    <w:p w14:paraId="276FB060"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This chapter presents and discusses the findings derived from the investigation into how Synergy Biologics identifies, manages, and resolves both internal and external organisational challenges, with a particular emphasis on the company’s marketing strategies. The purpose of this chapter is to critically analyse how the organisation’s problem-solving mechanisms and marketing practices contribute to its overall efficiency, innovation, and competitive advantage. The results are based on a mixed-methods research design, drawing from interviews, surveys, and secondary data, and are interpreted through established theoretical frameworks in management and marketing.</w:t>
      </w:r>
    </w:p>
    <w:p w14:paraId="02CE1C1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chapter begins by outlining the participant profile and data sources before presenting key results on organisational problem-solving and marketing performance. These are followed by a comprehensive discussion that situates the empirical findings within relevant theoretical perspectives, particularly those concerning organisational learning, problem-solving frameworks, and strategic marketing. The discussion concludes by synthesising how the interrelationship between problem-solving effectiveness and marketing performance influences organisational success and sustainability.</w:t>
      </w:r>
    </w:p>
    <w:p w14:paraId="381816DD"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lastRenderedPageBreak/>
        <w:pict w14:anchorId="64323AE6">
          <v:rect id="_x0000_i1036" style="width:0;height:1.5pt" o:hralign="center" o:hrstd="t" o:hr="t" fillcolor="#a0a0a0" stroked="f"/>
        </w:pict>
      </w:r>
    </w:p>
    <w:p w14:paraId="0F31EFD6" w14:textId="037600B8"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 xml:space="preserve"> Participant Profile and Data Overview</w:t>
      </w:r>
    </w:p>
    <w:p w14:paraId="09CA9D2B"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A total of fifty participants contributed to the research, comprising ten senior and middle-level managers and forty employees representing the marketing, research and development (R&amp;D), operations, and quality assurance departments. This composition was designed to capture diverse insights into both strategic decision-making and operational-level processes. Managers were interviewed regarding strategic initiatives, innovation management, and process improvement, while employees responded to structured surveys exploring communication effectiveness, leadership responsiveness, and perceptions of marketing performance.</w:t>
      </w:r>
    </w:p>
    <w:p w14:paraId="3CFC257B"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Secondary data, including company annual reports, marketing performance analytics, and sector-specific publications, were used to triangulate the primary data findings. This methodological triangulation enhanced the validity and reliability of the analysis (Yin, 2018; Saunders, Lewis and Thornhill, 2019).</w:t>
      </w:r>
    </w:p>
    <w:p w14:paraId="3036B5A1"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760A790C">
          <v:rect id="_x0000_i1037" style="width:0;height:1.5pt" o:hralign="center" o:hrstd="t" o:hr="t" fillcolor="#a0a0a0" stroked="f"/>
        </w:pict>
      </w:r>
    </w:p>
    <w:p w14:paraId="3A70A2C5" w14:textId="4281DFDB"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Identification of Common Organisational Problems</w:t>
      </w:r>
    </w:p>
    <w:p w14:paraId="0E2140AD"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qualitative data revealed several recurrent internal and external challenges at Synergy Biologics. Internally, communication breakdowns between departments, workflow bottlenecks in product development, and resource allocation inefficiencies emerged as the most pressing issues. Externally, managers and employees cited market volatility, stringent regulatory requirements, and the limited integration of customer feedback as persistent challenges. Approximately 80% of managerial respondents identified communication gaps as the primary barrier to timely marketing campaign execution and product launch coordination.</w:t>
      </w:r>
    </w:p>
    <w:p w14:paraId="2CBAEFE9"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Survey data reinforced these findings, with internal communication and workflow coordination rated as moderately effective, scoring mean values of 3.2 and 3.0 respectively on a five-point Likert scale. Respondents frequently noted that departments operated in silos, limiting opportunities for cross-functional collaboration and slowing the resolution of complex problems.</w:t>
      </w:r>
    </w:p>
    <w:p w14:paraId="1A9286ED" w14:textId="0B759CA5"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Approaches and Frameworks Employed</w:t>
      </w:r>
    </w:p>
    <w:p w14:paraId="024EFE4E"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data suggest that Synergy Biologics utilises a hybrid problem-solving framework that combines structured methodologies with flexible, adaptive practices. Structured approaches include formal project management systems, regular review meetings, and adherence to standard operating procedures (SOPs). Managers reported the regular application of root cause analysis (RCA) to address recurring production and process issues. Additionally, cross-functional brainstorming sessions were held to explore innovative solutions to marketing challenges.</w:t>
      </w:r>
    </w:p>
    <w:p w14:paraId="2B7E9F6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 xml:space="preserve">Approximately 70% of interviewees noted that these structured processes were complemented by informal, adaptive decision-making when unforeseen issues arose. This hybrid approach reflects an organisational culture that values both procedural consistency and strategic agility. The company’s practices demonstrate alignment with Argyris’s (1999) </w:t>
      </w:r>
      <w:r w:rsidRPr="00784346">
        <w:rPr>
          <w:rFonts w:ascii="Arial" w:eastAsia="Hiragino Sans CNS W3" w:hAnsi="Arial" w:cs="Arial"/>
          <w:i/>
          <w:iCs/>
          <w:sz w:val="20"/>
          <w:szCs w:val="20"/>
        </w:rPr>
        <w:t>double-loop learning</w:t>
      </w:r>
      <w:r w:rsidRPr="00784346">
        <w:rPr>
          <w:rFonts w:ascii="Arial" w:eastAsia="Hiragino Sans CNS W3" w:hAnsi="Arial" w:cs="Arial"/>
          <w:sz w:val="20"/>
          <w:szCs w:val="20"/>
        </w:rPr>
        <w:t xml:space="preserve"> model, whereby teams not only correct immediate operational errors but also reassess the underlying assumptions driving those processes. Such reflective learning fosters continual improvement and promotes adaptive resilience within a dynamic market environment.</w:t>
      </w:r>
    </w:p>
    <w:p w14:paraId="33B5D437" w14:textId="3A070F61"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Effectiveness and Outcomes of Problem-Solving Strategies</w:t>
      </w:r>
    </w:p>
    <w:p w14:paraId="619B0963"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lastRenderedPageBreak/>
        <w:t>The effectiveness of the company’s problem-solving initiatives yielded mixed results. Structured processes proved successful for resolving routine operational challenges, while complex cross-departmental issues required iterative intervention and extended timelines. Interviewees reported that projects with clearly defined objectives, performance indicators, and leadership oversight achieved higher completion rates. Conversely, initiatives requiring multi-departmental collaboration often encountered delays averaging three to four weeks per project cycle.</w:t>
      </w:r>
    </w:p>
    <w:p w14:paraId="13C3F8C7"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Survey results revealed that approximately 60% of employees were satisfied with how internal problems were managed. Respondents highlighted managerial support and access to relevant data as key enablers of effective problem-solving, whereas bureaucratic procedures and limited interdepartmental coordination were cited as the primary inhibitors. These findings suggest that while formal systems enhance operational discipline, communication and workflow integration remain areas of concern.</w:t>
      </w:r>
    </w:p>
    <w:p w14:paraId="6CD88E5E" w14:textId="03B134F4"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Overview of Marketing Strategies</w:t>
      </w:r>
    </w:p>
    <w:p w14:paraId="4ADAA36F"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Synergy Biologics employs a comprehensive marketing mix incorporating product development, pricing, promotional campaigns, and distribution strategies. Interviews revealed a strong emphasis on digital marketing platforms—such as social media, email campaigns, and content marketing—complemented by traditional channels including professional conferences and industry workshops. Managers underscored the increasing reliance on data analytics tools to monitor campaign performance, identify market segments, and refine promotional tactics.</w:t>
      </w:r>
    </w:p>
    <w:p w14:paraId="40BCB9C2" w14:textId="40491F20"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Market Responsiveness and Innovation</w:t>
      </w:r>
    </w:p>
    <w:p w14:paraId="232F188D"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While Synergy Biologics has demonstrated agility in adapting to shifting consumer demands, marketing innovation is frequently constrained by regulatory obligations and the necessity of scientific validation. Despite these limitations, the company has successfully introduced several new product lines based on consumer insights and market intelligence. Managers noted that periodic collaborative meetings between the marketing and R&amp;D teams facilitated a more responsive product development process. However, survey results indicated that 45% of employees considered the feedback loop between market data and product development only moderately effective, pointing to room for improvement in the translation of insights into actionable innovation.</w:t>
      </w:r>
    </w:p>
    <w:p w14:paraId="60CDA13A" w14:textId="503BE817"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Employee and Customer Perceptions</w:t>
      </w:r>
    </w:p>
    <w:p w14:paraId="2BC6B4F1" w14:textId="78912F80" w:rsidR="00784346" w:rsidRDefault="00784346" w:rsidP="00784346">
      <w:pPr>
        <w:rPr>
          <w:rFonts w:ascii="Arial" w:eastAsia="Hiragino Sans CNS W3" w:hAnsi="Arial" w:cs="Arial"/>
          <w:b/>
          <w:bCs/>
          <w:sz w:val="20"/>
          <w:szCs w:val="20"/>
        </w:rPr>
      </w:pPr>
      <w:r w:rsidRPr="00784346">
        <w:rPr>
          <w:rFonts w:ascii="Arial" w:eastAsia="Hiragino Sans CNS W3" w:hAnsi="Arial" w:cs="Arial"/>
          <w:sz w:val="20"/>
          <w:szCs w:val="20"/>
        </w:rPr>
        <w:t>Employee surveys revealed that perceptions of marketing effectiveness were moderate, with an average score of 3.5 on a five-point scale. Interviews with managers highlighted positive trends in customer retention and social media engagement over the preceding two years. However, both datasets indicated ongoing challenges in aligning marketing messages with evolving customer expectations. Secondary industry data confirmed that while Synergy Biologics maintains a competitive market position, it faces intensifying competition from emerging biotechnology firms with more aggressive digital strategies.</w:t>
      </w:r>
      <w:r w:rsidRPr="00784346">
        <w:rPr>
          <w:rFonts w:ascii="Arial" w:eastAsia="Hiragino Sans CNS W3" w:hAnsi="Arial" w:cs="Arial"/>
          <w:b/>
          <w:bCs/>
          <w:sz w:val="20"/>
          <w:szCs w:val="20"/>
        </w:rPr>
        <w:t xml:space="preserve"> </w:t>
      </w:r>
    </w:p>
    <w:p w14:paraId="62B6E70A" w14:textId="1DCA64FE" w:rsidR="00756A1B" w:rsidRPr="00784346" w:rsidRDefault="00756A1B" w:rsidP="00784346">
      <w:pPr>
        <w:rPr>
          <w:rFonts w:ascii="Arial" w:eastAsia="Hiragino Sans CNS W3" w:hAnsi="Arial" w:cs="Arial"/>
          <w:sz w:val="20"/>
          <w:szCs w:val="20"/>
        </w:rPr>
      </w:pPr>
      <w:r>
        <w:rPr>
          <w:rFonts w:ascii="Arial" w:eastAsia="Hiragino Sans CNS W3" w:hAnsi="Arial" w:cs="Arial"/>
          <w:b/>
          <w:bCs/>
          <w:sz w:val="20"/>
          <w:szCs w:val="20"/>
        </w:rPr>
        <w:t>t</w:t>
      </w:r>
      <w:r w:rsidRPr="00784346">
        <w:rPr>
          <w:rFonts w:ascii="Arial" w:eastAsia="Hiragino Sans CNS W3" w:hAnsi="Arial" w:cs="Arial"/>
          <w:b/>
          <w:bCs/>
          <w:sz w:val="20"/>
          <w:szCs w:val="20"/>
        </w:rPr>
        <w:t>heoretical Alignment</w:t>
      </w:r>
    </w:p>
    <w:p w14:paraId="76FBB2DF" w14:textId="77777777" w:rsidR="00756A1B"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 xml:space="preserve">The findings from this </w:t>
      </w:r>
    </w:p>
    <w:p w14:paraId="01184717" w14:textId="4D775B70"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 xml:space="preserve">study align closely with established organisational learning and problem-solving theories. Argyris’s (1999) </w:t>
      </w:r>
      <w:r w:rsidRPr="00784346">
        <w:rPr>
          <w:rFonts w:ascii="Arial" w:eastAsia="Hiragino Sans CNS W3" w:hAnsi="Arial" w:cs="Arial"/>
          <w:i/>
          <w:iCs/>
          <w:sz w:val="20"/>
          <w:szCs w:val="20"/>
        </w:rPr>
        <w:t>double-loop learning</w:t>
      </w:r>
      <w:r w:rsidRPr="00784346">
        <w:rPr>
          <w:rFonts w:ascii="Arial" w:eastAsia="Hiragino Sans CNS W3" w:hAnsi="Arial" w:cs="Arial"/>
          <w:sz w:val="20"/>
          <w:szCs w:val="20"/>
        </w:rPr>
        <w:t xml:space="preserve"> framework is particularly relevant to Synergy Biologics’ reflective approach to addressing operational and marketing challenges. The company’s use of structured project management tools corresponds to </w:t>
      </w:r>
      <w:r w:rsidRPr="00784346">
        <w:rPr>
          <w:rFonts w:ascii="Arial" w:eastAsia="Hiragino Sans CNS W3" w:hAnsi="Arial" w:cs="Arial"/>
          <w:i/>
          <w:iCs/>
          <w:sz w:val="20"/>
          <w:szCs w:val="20"/>
        </w:rPr>
        <w:t>single-loop learning</w:t>
      </w:r>
      <w:r w:rsidRPr="00784346">
        <w:rPr>
          <w:rFonts w:ascii="Arial" w:eastAsia="Hiragino Sans CNS W3" w:hAnsi="Arial" w:cs="Arial"/>
          <w:sz w:val="20"/>
          <w:szCs w:val="20"/>
        </w:rPr>
        <w:t xml:space="preserve">, which focuses on error correction </w:t>
      </w:r>
      <w:r w:rsidRPr="00784346">
        <w:rPr>
          <w:rFonts w:ascii="Arial" w:eastAsia="Hiragino Sans CNS W3" w:hAnsi="Arial" w:cs="Arial"/>
          <w:sz w:val="20"/>
          <w:szCs w:val="20"/>
        </w:rPr>
        <w:lastRenderedPageBreak/>
        <w:t>within existing parameters. The integration of flexible, ad hoc decision-making reflects contemporary arguments that hybrid approaches promote organisational adaptability (Robson and McCartan, 2016).</w:t>
      </w:r>
    </w:p>
    <w:p w14:paraId="1B6BE00D" w14:textId="74D8296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Strengths and Weaknesses in Problem-Solving Processes</w:t>
      </w:r>
    </w:p>
    <w:p w14:paraId="147F0A0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study identified several strengths in Synergy Biologics’ approach to problem-solving, including the use of standardised operating procedures, regular RCA processes, and collaborative brainstorming. These mechanisms promote consistency, accountability, and shared ownership of outcomes. Moreover, managerial proactiveness and an openness to learning enhance the organisation’s problem-resolution capacity.</w:t>
      </w:r>
    </w:p>
    <w:p w14:paraId="68B0491A"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However, weaknesses persist in interdepartmental communication, workflow integration, and access to real-time operational data. These deficiencies contribute to decision-making delays and reduce overall responsiveness to complex challenges. The findings therefore suggest a need to institutionalise cross-departmental collaboration mechanisms and digital knowledge-sharing platforms.</w:t>
      </w:r>
    </w:p>
    <w:p w14:paraId="4DF1667D" w14:textId="23BA120B"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Implications for Organisational Efficiency</w:t>
      </w:r>
    </w:p>
    <w:p w14:paraId="40F5AB1E"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Improving data accessibility, communication, and collaboration can significantly enhance the company’s operational efficiency and decision-making agility. Implementing digital project-tracking systems and communication platforms would streamline coordination and strengthen organisational learning. These measures are consistent with the principles of agile management and continuous improvement, which are increasingly recognised as essential for competitiveness in dynamic business environments (Creswell, 2018; Bryman, 2016).</w:t>
      </w:r>
    </w:p>
    <w:p w14:paraId="2BB27258"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23707F0C">
          <v:rect id="_x0000_i1038" style="width:0;height:1.5pt" o:hralign="center" o:hrstd="t" o:hr="t" fillcolor="#a0a0a0" stroked="f"/>
        </w:pict>
      </w:r>
    </w:p>
    <w:p w14:paraId="6A905123" w14:textId="05D38532"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Effectiveness of the Marketing Mix</w:t>
      </w:r>
    </w:p>
    <w:p w14:paraId="3D85ABC5"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Synergy Biologics demonstrates notable strengths in its marketing mix, particularly through product diversification, dynamic pricing strategies, and the integration of digital marketing tools. Managers reported that targeted, data-driven campaigns enhanced customer engagement and brand visibility. Nevertheless, some promotional activities lacked strategic alignment with broader corporate objectives, highlighting the need for improved coherence between marketing initiatives and organisational goals.</w:t>
      </w:r>
    </w:p>
    <w:p w14:paraId="4C1B684D" w14:textId="1EA9729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Alignment with Corporate Objectives</w:t>
      </w:r>
    </w:p>
    <w:p w14:paraId="527D339A"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Although marketing activities are broadly consistent with company objectives, the research revealed persistent gaps in communication between marketing and operational departments. Feedback from R&amp;D is not always incorporated into marketing planning, thereby limiting the responsiveness of campaigns to evolving market trends. This misalignment supports Kotler’s (2017) assertion that strategic consistency across functions is vital for long-term organisational success.</w:t>
      </w:r>
    </w:p>
    <w:p w14:paraId="28318EC9" w14:textId="659E7AE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Integration of Digital and Traditional Marketing Approaches</w:t>
      </w:r>
    </w:p>
    <w:p w14:paraId="103F87D2"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Synergy Biologics’ use of both digital and traditional marketing channels enables it to balance innovation with credibility. Digital media facilitate real-time engagement and customer feedback, while traditional events strengthen professional relationships and industry presence. However, greater integration between these channels could enhance message coherence, optimise resource utilisation, and improve brand reach and consistency.</w:t>
      </w:r>
    </w:p>
    <w:p w14:paraId="704A2BBF"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2DC6A2B0">
          <v:rect id="_x0000_i1039" style="width:0;height:1.5pt" o:hralign="center" o:hrstd="t" o:hr="t" fillcolor="#a0a0a0" stroked="f"/>
        </w:pict>
      </w:r>
    </w:p>
    <w:p w14:paraId="687D41E2" w14:textId="0BDEAF0B"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lastRenderedPageBreak/>
        <w:t>Synthesis of Problem-Solving and Marketing Insights</w:t>
      </w:r>
    </w:p>
    <w:p w14:paraId="285572EA"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analysis indicates a clear interdependence between effective problem-solving and marketing success. Efficient internal communication, cross-functional collaboration, and timely decision-making directly influence marketing performance and campaign outcomes. Conversely, marketing challenges often reveal systemic operational weaknesses, thereby stimulating further problem-solving efforts. This cyclical relationship highlights the importance of continuous learning and adaptive management practices (</w:t>
      </w:r>
      <w:proofErr w:type="spellStart"/>
      <w:r w:rsidRPr="00784346">
        <w:rPr>
          <w:rFonts w:ascii="Arial" w:eastAsia="Hiragino Sans CNS W3" w:hAnsi="Arial" w:cs="Arial"/>
          <w:sz w:val="20"/>
          <w:szCs w:val="20"/>
        </w:rPr>
        <w:t>Tashakkori</w:t>
      </w:r>
      <w:proofErr w:type="spellEnd"/>
      <w:r w:rsidRPr="00784346">
        <w:rPr>
          <w:rFonts w:ascii="Arial" w:eastAsia="Hiragino Sans CNS W3" w:hAnsi="Arial" w:cs="Arial"/>
          <w:sz w:val="20"/>
          <w:szCs w:val="20"/>
        </w:rPr>
        <w:t xml:space="preserve"> and Teddlie, 2010).</w:t>
      </w:r>
    </w:p>
    <w:p w14:paraId="71263F7D"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Strengthening problem-solving frameworks—particularly through enhanced data sharing and managerial support—can improve marketing execution by reducing delays, increasing agility, and ensuring strategic coherence. The findings underline the critical role of leadership, organisational culture, and evidence-based decision-making in sustaining competitiveness and fostering innovation.</w:t>
      </w:r>
    </w:p>
    <w:p w14:paraId="6D1F01EB"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This chapter has presented a comprehensive analysis of how Synergy Biologics identifies, addresses, and resolves organisational challenges while implementing its marketing strategies. Drawing upon qualitative and quantitative data, the research demonstrates that the company employs both structured and adaptive problem-solving approaches consistent with reflective learning principles. These methods contribute to operational efficiency and support targeted marketing initiatives that enhance brand visibility and customer engagement.</w:t>
      </w:r>
    </w:p>
    <w:p w14:paraId="59998895"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However, the analysis also identified limitations, particularly in cross-departmental communication, data integration, and the strategic alignment of marketing activities with broader organisational objectives. Addressing these issues could substantially enhance Synergy Biologics’ organisational agility, market responsiveness, and overall competitiveness.</w:t>
      </w:r>
    </w:p>
    <w:p w14:paraId="7219B1D7"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following chapter will build upon these findings to provide actionable recommendations for improving problem-solving systems, strengthening marketing performance, and fostering a culture of continuous learning within the organisation.</w:t>
      </w:r>
    </w:p>
    <w:p w14:paraId="49FD4412" w14:textId="22DF6D91"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3C1F911E">
          <v:rect id="_x0000_i1040" style="width:0;height:1.5pt" o:hralign="center" o:hrstd="t" o:hr="t" fillcolor="#a0a0a0" stroked="f"/>
        </w:pict>
      </w:r>
      <w:r w:rsidR="00784346" w:rsidRPr="00784346">
        <w:rPr>
          <w:rFonts w:ascii="Arial" w:eastAsia="Hiragino Sans CNS W3" w:hAnsi="Arial" w:cs="Arial"/>
          <w:sz w:val="20"/>
          <w:szCs w:val="20"/>
        </w:rPr>
        <w:br/>
      </w:r>
    </w:p>
    <w:p w14:paraId="1429349E"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220EF960">
          <v:rect id="_x0000_i1041" style="width:0;height:1.5pt" o:hralign="center" o:hrstd="t" o:hr="t" fillcolor="#a0a0a0" stroked="f"/>
        </w:pict>
      </w:r>
    </w:p>
    <w:p w14:paraId="66540328"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3381AAAC">
          <v:rect id="_x0000_i1042" style="width:0;height:1.5pt" o:hralign="center" o:hrstd="t" o:hr="t" fillcolor="#a0a0a0" stroked="f"/>
        </w:pict>
      </w:r>
    </w:p>
    <w:p w14:paraId="3E5F1B95"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This chapter concludes the study by summarising the principal findings and providing targeted recommendations for Synergy Biologics. It synthesises insights drawn from the analysis of organisational problem-solving and marketing strategies presented in Chapter 4, highlighting how these interrelated areas influence the company’s overall efficiency, innovation, and competitiveness. The recommendations are designed to guide practical improvements and strategic initiatives that strengthen organisational performance in both operational and marketing domains.</w:t>
      </w:r>
    </w:p>
    <w:p w14:paraId="61B20429"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107D5750">
          <v:rect id="_x0000_i1043" style="width:0;height:1.5pt" o:hralign="center" o:hrstd="t" o:hr="t" fillcolor="#a0a0a0" stroked="f"/>
        </w:pict>
      </w:r>
    </w:p>
    <w:p w14:paraId="05567B5B" w14:textId="67F5173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Summary of Key Findings</w:t>
      </w:r>
    </w:p>
    <w:p w14:paraId="61C6F918"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 xml:space="preserve">The research set out to examine how Synergy Biologics identifies, manages, and resolves internal and external business challenges, with a particular focus on its marketing strategies. The findings demonstrated that the organisation employs a combination of structured and flexible approaches to problem-solving. Structured mechanisms, including project management frameworks, standard operating procedures (SOPs), and root cause analysis (RCA), provide consistency and control, while ad hoc decision-making enables responsiveness to unforeseen challenges. This hybrid model reflects </w:t>
      </w:r>
      <w:r w:rsidRPr="00784346">
        <w:rPr>
          <w:rFonts w:ascii="Arial" w:eastAsia="Hiragino Sans CNS W3" w:hAnsi="Arial" w:cs="Arial"/>
          <w:sz w:val="20"/>
          <w:szCs w:val="20"/>
        </w:rPr>
        <w:lastRenderedPageBreak/>
        <w:t xml:space="preserve">the principles of </w:t>
      </w:r>
      <w:r w:rsidRPr="00784346">
        <w:rPr>
          <w:rFonts w:ascii="Arial" w:eastAsia="Hiragino Sans CNS W3" w:hAnsi="Arial" w:cs="Arial"/>
          <w:i/>
          <w:iCs/>
          <w:sz w:val="20"/>
          <w:szCs w:val="20"/>
        </w:rPr>
        <w:t>double-loop learning</w:t>
      </w:r>
      <w:r w:rsidRPr="00784346">
        <w:rPr>
          <w:rFonts w:ascii="Arial" w:eastAsia="Hiragino Sans CNS W3" w:hAnsi="Arial" w:cs="Arial"/>
          <w:sz w:val="20"/>
          <w:szCs w:val="20"/>
        </w:rPr>
        <w:t xml:space="preserve"> (Argyris, 1999), where reflection and adaptability promote continuous improvement.</w:t>
      </w:r>
    </w:p>
    <w:p w14:paraId="294EFFE9"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However, internal communication gaps, departmental silos, and data accessibility issues were found to constrain the full potential of these systems. Such limitations hinder timely decision-making and impede knowledge sharing, particularly in cross-functional projects. While managerial support and leadership engagement are evident strengths, the absence of integrated communication channels reduces overall organisational agility.</w:t>
      </w:r>
    </w:p>
    <w:p w14:paraId="56BC6097"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In relation to marketing, Synergy Biologics demonstrates strong capabilities in digital engagement, product diversification, and pricing strategies. Data-driven decision-making supports targeted campaigns and improved customer engagement. Nonetheless, the study revealed inconsistencies in aligning marketing activities with broader organisational objectives, as well as inefficiencies in integrating customer feedback and R&amp;D insights into campaign planning. Regulatory constraints and competition from emerging biotechnology firms also continue to challenge marketing innovation.</w:t>
      </w:r>
    </w:p>
    <w:p w14:paraId="13D25D9F"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synthesis of results suggests that problem-solving effectiveness and marketing performance are closely interconnected. Efficient internal processes, collaborative communication, and adaptive learning directly influence the success of marketing campaigns. Conversely, marketing shortcomings often highlight deeper operational challenges, indicating a cyclical relationship between internal problem-solving capacity and market performance.</w:t>
      </w:r>
    </w:p>
    <w:p w14:paraId="085E4B4C"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338B4ED6">
          <v:rect id="_x0000_i1044" style="width:0;height:1.5pt" o:hralign="center" o:hrstd="t" o:hr="t" fillcolor="#a0a0a0" stroked="f"/>
        </w:pict>
      </w:r>
    </w:p>
    <w:p w14:paraId="297A48FC"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study concludes that Synergy Biologics possesses a solid foundation for effective problem-solving and marketing management, supported by structured procedures, committed leadership, and a willingness to engage in reflective learning. These strengths have contributed to maintaining operational efficiency and sustaining a competitive market presence.</w:t>
      </w:r>
    </w:p>
    <w:p w14:paraId="534EC768"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Nevertheless, the persistence of communication barriers and fragmented information flows has limited the speed and integration of organisational responses. Marketing activities, though largely data-driven, are not always strategically aligned with company-wide objectives, which reduces the overall impact of promotional initiatives.</w:t>
      </w:r>
    </w:p>
    <w:p w14:paraId="1044D52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To achieve sustainable competitive advantage, Synergy Biologics must strengthen interdepartmental collaboration, enhance its data management systems, and ensure that marketing strategies are tightly linked to corporate goals and customer insights. The integration of agile management principles and digital collaboration tools could significantly enhance both problem-solving and marketing performance, fostering a culture of responsiveness and continuous improvement.</w:t>
      </w:r>
    </w:p>
    <w:p w14:paraId="3BB1C9A7"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025C391E">
          <v:rect id="_x0000_i1045" style="width:0;height:1.5pt" o:hralign="center" o:hrstd="t" o:hr="t" fillcolor="#a0a0a0" stroked="f"/>
        </w:pict>
      </w:r>
    </w:p>
    <w:p w14:paraId="2DE5007D"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Based on the findings, the following recommendations are proposed to enhance problem-solving efficiency and marketing effectiveness at Synergy Biologics:</w:t>
      </w:r>
    </w:p>
    <w:p w14:paraId="45507422" w14:textId="3DFEA727"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Strengthen Internal Communication and Collaboration</w:t>
      </w:r>
    </w:p>
    <w:p w14:paraId="3A840316"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The organisation should implement integrated communication platforms to facilitate real-time information sharing across departments. Regular cross-functional meetings and collaborative task forces can promote transparency, reduce duplication of effort, and encourage collective problem-solving. This approach aligns with the principles of agile management and organisational learning (Creswell, 2018; Robson and McCartan, 2016).</w:t>
      </w:r>
    </w:p>
    <w:p w14:paraId="75772873" w14:textId="6FFC52BA"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Enhance Data Accessibility and Decision Support</w:t>
      </w:r>
    </w:p>
    <w:p w14:paraId="7757AC39"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lastRenderedPageBreak/>
        <w:t>Developing a centralised data management system would improve access to real-time performance metrics, enabling evidence-based decision-making. Investment in digital project management tools could also support monitoring of workflows and enhance accountability.</w:t>
      </w:r>
    </w:p>
    <w:p w14:paraId="79770F00" w14:textId="5B0F2B48"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Align Marketing Strategies with Organisational Objectives</w:t>
      </w:r>
    </w:p>
    <w:p w14:paraId="67875C6C"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Marketing initiatives should be explicitly linked to broader business goals through integrated planning sessions involving marketing, R&amp;D, and operations. Strategic alignment will ensure that campaigns reflect corporate priorities, enhance resource allocation, and strengthen brand positioning (Kotler, 2017).</w:t>
      </w:r>
    </w:p>
    <w:p w14:paraId="4EF18AF4" w14:textId="4B1AB7EF"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Foster Continuous Learning and Innovation</w:t>
      </w:r>
    </w:p>
    <w:p w14:paraId="236C85D0"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Synergy Biologics should reinforce a culture of reflective learning by incorporating post-project reviews and feedback loops into its problem-solving and marketing processes. Encouraging knowledge sharing and professional development would support innovation and sustain long-term growth (Argyris, 1999).</w:t>
      </w:r>
    </w:p>
    <w:p w14:paraId="155647DE" w14:textId="373D70BC"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Improve Integration of Digital and Traditional Marketing Channels</w:t>
      </w:r>
    </w:p>
    <w:p w14:paraId="2A0FD82E"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To maximise impact, the company should adopt a cohesive marketing communication strategy that integrates digital platforms with traditional outreach efforts. This combined approach will enhance brand visibility, ensure message consistency, and broaden customer engagement across diverse market segments.</w:t>
      </w:r>
    </w:p>
    <w:p w14:paraId="3CE52FF5"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2707F16B">
          <v:rect id="_x0000_i1046" style="width:0;height:1.5pt" o:hralign="center" o:hrstd="t" o:hr="t" fillcolor="#a0a0a0" stroked="f"/>
        </w:pict>
      </w:r>
    </w:p>
    <w:p w14:paraId="3F6D9C47" w14:textId="6CA95562" w:rsidR="00784346" w:rsidRPr="00784346" w:rsidRDefault="00784346" w:rsidP="00784346">
      <w:pPr>
        <w:rPr>
          <w:rFonts w:ascii="Arial" w:eastAsia="Hiragino Sans CNS W3" w:hAnsi="Arial" w:cs="Arial"/>
          <w:b/>
          <w:bCs/>
          <w:sz w:val="20"/>
          <w:szCs w:val="20"/>
        </w:rPr>
      </w:pPr>
      <w:r w:rsidRPr="00784346">
        <w:rPr>
          <w:rFonts w:ascii="Arial" w:eastAsia="Hiragino Sans CNS W3" w:hAnsi="Arial" w:cs="Arial"/>
          <w:b/>
          <w:bCs/>
          <w:sz w:val="20"/>
          <w:szCs w:val="20"/>
        </w:rPr>
        <w:t xml:space="preserve"> Implications for Organisational Development</w:t>
      </w:r>
    </w:p>
    <w:p w14:paraId="6B111433"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Implementing these recommendations would yield several benefits for Synergy Biologics. Enhanced communication and collaboration would accelerate problem resolution and improve marketing responsiveness. Data-driven decision-making would provide more accurate insights into market trends and internal performance. Furthermore, aligning marketing and organisational strategies would improve the efficiency of promotional efforts, while fostering continuous learning would cultivate a culture of innovation and adaptability.</w:t>
      </w:r>
    </w:p>
    <w:p w14:paraId="0940E284" w14:textId="77777777" w:rsidR="00784346" w:rsidRPr="00784346" w:rsidRDefault="00784346" w:rsidP="00784346">
      <w:pPr>
        <w:rPr>
          <w:rFonts w:ascii="Arial" w:eastAsia="Hiragino Sans CNS W3" w:hAnsi="Arial" w:cs="Arial"/>
          <w:sz w:val="20"/>
          <w:szCs w:val="20"/>
        </w:rPr>
      </w:pPr>
      <w:r w:rsidRPr="00784346">
        <w:rPr>
          <w:rFonts w:ascii="Arial" w:eastAsia="Hiragino Sans CNS W3" w:hAnsi="Arial" w:cs="Arial"/>
          <w:sz w:val="20"/>
          <w:szCs w:val="20"/>
        </w:rPr>
        <w:t>Overall, the study highlights the importance of linking operational excellence with strategic marketing to sustain competitive advantage in the biotechnology sector. Strengthening these interconnections will not only improve immediate performance outcomes but also position Synergy Biologics for long-term resilience and growth.</w:t>
      </w:r>
    </w:p>
    <w:p w14:paraId="193E8A58" w14:textId="77777777" w:rsidR="00784346" w:rsidRPr="00784346" w:rsidRDefault="00000000" w:rsidP="00784346">
      <w:pPr>
        <w:rPr>
          <w:rFonts w:ascii="Arial" w:eastAsia="Hiragino Sans CNS W3" w:hAnsi="Arial" w:cs="Arial"/>
          <w:sz w:val="20"/>
          <w:szCs w:val="20"/>
        </w:rPr>
      </w:pPr>
      <w:r>
        <w:rPr>
          <w:rFonts w:ascii="Arial" w:eastAsia="Hiragino Sans CNS W3" w:hAnsi="Arial" w:cs="Arial"/>
          <w:sz w:val="20"/>
          <w:szCs w:val="20"/>
        </w:rPr>
        <w:pict w14:anchorId="76C54E37">
          <v:rect id="_x0000_i1047" style="width:0;height:1.5pt" o:hralign="center" o:hrstd="t" o:hr="t" fillcolor="#a0a0a0" stroked="f"/>
        </w:pict>
      </w:r>
    </w:p>
    <w:p w14:paraId="4A4F0CE4" w14:textId="77777777" w:rsidR="00784346" w:rsidRPr="00784346" w:rsidRDefault="00784346" w:rsidP="00784346">
      <w:pPr>
        <w:rPr>
          <w:rFonts w:ascii="Arial" w:eastAsia="Hiragino Sans CNS W3" w:hAnsi="Arial" w:cs="Arial"/>
          <w:vanish/>
          <w:color w:val="EE0000"/>
          <w:sz w:val="20"/>
          <w:szCs w:val="20"/>
        </w:rPr>
      </w:pPr>
      <w:r w:rsidRPr="00784346">
        <w:rPr>
          <w:rFonts w:ascii="Arial" w:eastAsia="Hiragino Sans CNS W3" w:hAnsi="Arial" w:cs="Arial"/>
          <w:vanish/>
          <w:color w:val="EE0000"/>
          <w:sz w:val="20"/>
          <w:szCs w:val="20"/>
        </w:rPr>
        <w:t>Top of Form</w:t>
      </w:r>
    </w:p>
    <w:p w14:paraId="55AE65B0" w14:textId="77777777" w:rsidR="00784346" w:rsidRPr="00784346" w:rsidRDefault="00784346" w:rsidP="00784346">
      <w:pPr>
        <w:rPr>
          <w:rFonts w:ascii="Arial" w:eastAsia="Hiragino Sans CNS W3" w:hAnsi="Arial" w:cs="Arial"/>
          <w:color w:val="EE0000"/>
          <w:sz w:val="20"/>
          <w:szCs w:val="20"/>
        </w:rPr>
      </w:pPr>
    </w:p>
    <w:p w14:paraId="1E7FE921" w14:textId="77777777" w:rsidR="00784346" w:rsidRPr="00784346" w:rsidRDefault="00784346" w:rsidP="00784346">
      <w:pPr>
        <w:rPr>
          <w:rFonts w:ascii="Arial" w:eastAsia="Hiragino Sans CNS W3" w:hAnsi="Arial" w:cs="Arial"/>
          <w:vanish/>
          <w:color w:val="EE0000"/>
          <w:sz w:val="20"/>
          <w:szCs w:val="20"/>
        </w:rPr>
      </w:pPr>
      <w:r w:rsidRPr="00784346">
        <w:rPr>
          <w:rFonts w:ascii="Arial" w:eastAsia="Hiragino Sans CNS W3" w:hAnsi="Arial" w:cs="Arial"/>
          <w:vanish/>
          <w:color w:val="EE0000"/>
          <w:sz w:val="20"/>
          <w:szCs w:val="20"/>
        </w:rPr>
        <w:t>Bottom of Form</w:t>
      </w:r>
    </w:p>
    <w:p w14:paraId="2C1F68D0" w14:textId="6543CA64" w:rsidR="00784346" w:rsidRPr="00784346" w:rsidRDefault="00784346" w:rsidP="00784346">
      <w:pPr>
        <w:rPr>
          <w:rFonts w:ascii="Arial" w:eastAsia="Hiragino Sans CNS W3" w:hAnsi="Arial" w:cs="Arial"/>
          <w:color w:val="EE0000"/>
          <w:sz w:val="20"/>
          <w:szCs w:val="20"/>
        </w:rPr>
      </w:pPr>
    </w:p>
    <w:p w14:paraId="06315F07" w14:textId="3AFE25C8" w:rsidR="00B85279" w:rsidRPr="00AD41CA" w:rsidRDefault="006119DB" w:rsidP="006119DB">
      <w:r w:rsidRPr="00AD41CA">
        <w:rPr>
          <w:rFonts w:ascii="Arial" w:eastAsia="Hiragino Sans CNS W3" w:hAnsi="Arial" w:cs="Arial"/>
          <w:sz w:val="24"/>
          <w:szCs w:val="24"/>
        </w:rPr>
        <w:t xml:space="preserve"> </w:t>
      </w:r>
      <w:r w:rsidR="00AD41CA" w:rsidRPr="00AD41CA">
        <w:rPr>
          <w:rFonts w:ascii="Arial" w:eastAsia="Hiragino Sans CNS W3" w:hAnsi="Arial" w:cs="Arial"/>
          <w:sz w:val="24"/>
          <w:szCs w:val="24"/>
        </w:rPr>
        <w:t xml:space="preserve">5 </w:t>
      </w:r>
      <w:r w:rsidR="00D45712" w:rsidRPr="00D45712">
        <w:rPr>
          <w:rFonts w:ascii="Arial" w:eastAsia="Hiragino Sans CNS W3" w:hAnsi="Arial" w:cs="Arial"/>
          <w:color w:val="EE0000"/>
          <w:sz w:val="20"/>
          <w:szCs w:val="20"/>
        </w:rPr>
        <w:t>Recommendations, Conclusion</w:t>
      </w:r>
    </w:p>
    <w:p w14:paraId="0047C486" w14:textId="77777777" w:rsidR="008F5860" w:rsidRPr="00C97B91" w:rsidRDefault="008F5860" w:rsidP="008F5860">
      <w:pPr>
        <w:pStyle w:val="NormalWeb"/>
      </w:pPr>
      <w:r w:rsidRPr="00C97B91">
        <w:t xml:space="preserve">This chapter synthesises the key findings of the research and presents recommendations aimed at enhancing Synergy Biologics’ organisational problem-solving capabilities and marketing strategies. Drawing on the empirical evidence discussed in Chapter 4, the chapter examines how internal operational challenges and external market pressures influence organisational performance. It also proposes actionable strategies designed to improve </w:t>
      </w:r>
      <w:r w:rsidRPr="00C97B91">
        <w:lastRenderedPageBreak/>
        <w:t>operational efficiency, strengthen marketing effectiveness, and foster a culture of innovation and continuous learning.</w:t>
      </w:r>
    </w:p>
    <w:p w14:paraId="5C4B0A04" w14:textId="77777777" w:rsidR="008F5860" w:rsidRPr="00C97B91" w:rsidRDefault="008F5860" w:rsidP="008F5860">
      <w:pPr>
        <w:pStyle w:val="NormalWeb"/>
      </w:pPr>
      <w:r w:rsidRPr="00C97B91">
        <w:t>The recommendations outlined are designed to support both immediate operational improvements and the long-term strategic development of the company. Furthermore, the chapter integrates insights from organisational learning theory, strategic management, and marketing literature to provide evidence-based guidance that is both practical and academically grounded (Argyris, 1999; Kotler, 2017; Creswell, 2018). By linking theoretical understanding with empirical observations, the chapter ensures that recommendations are not only actionable but also sustainable and aligned with contemporary best practices in organisational management.</w:t>
      </w:r>
    </w:p>
    <w:p w14:paraId="51E94510" w14:textId="0476D50C" w:rsidR="008F5860" w:rsidRPr="00C97B91" w:rsidRDefault="00000000" w:rsidP="008F5860">
      <w:pPr>
        <w:rPr>
          <w:sz w:val="24"/>
          <w:szCs w:val="24"/>
        </w:rPr>
      </w:pPr>
      <w:r>
        <w:rPr>
          <w:sz w:val="24"/>
          <w:szCs w:val="24"/>
        </w:rPr>
        <w:pict w14:anchorId="2CE1BCBD">
          <v:rect id="_x0000_i1048" style="width:0;height:1.5pt" o:hralign="center" o:hrstd="t" o:hr="t" fillcolor="#a0a0a0" stroked="f"/>
        </w:pict>
      </w:r>
      <w:r w:rsidR="008F5860" w:rsidRPr="00C97B91">
        <w:rPr>
          <w:sz w:val="24"/>
          <w:szCs w:val="24"/>
        </w:rPr>
        <w:t>The study highlights that Synergy Biologics employs a hybrid approach to problem-solving, combining structured processes with adaptive decision-making. Structured mechanisms, including standard operating procedures (SOPs), project management frameworks, and root cause analysis (RCA), facilitate operational consistency, accountability, and effective management of routine issues. These frameworks enable managers to monitor performance, identify recurring challenges, and implement solutions in a systematic manner.</w:t>
      </w:r>
    </w:p>
    <w:p w14:paraId="7D0B519F" w14:textId="77777777" w:rsidR="008F5860" w:rsidRPr="00C97B91" w:rsidRDefault="008F5860" w:rsidP="008F5860">
      <w:pPr>
        <w:pStyle w:val="NormalWeb"/>
      </w:pPr>
      <w:r w:rsidRPr="00C97B91">
        <w:t>In parallel, flexible, ad hoc decision-making allows the organisation to respond promptly to unexpected issues. This dual approach reflects the principles of double-loop learning proposed by Argyris (1999), where the organisation not only corrects errors but also evaluates the underlying assumptions driving operational and strategic decisions. The combination of structured and adaptive processes thus provides a foundation for both operational stability and continuous improvement.</w:t>
      </w:r>
    </w:p>
    <w:p w14:paraId="364746A9" w14:textId="77777777" w:rsidR="008F5860" w:rsidRPr="00C97B91" w:rsidRDefault="008F5860" w:rsidP="008F5860">
      <w:pPr>
        <w:pStyle w:val="NormalWeb"/>
      </w:pPr>
      <w:r w:rsidRPr="00C97B91">
        <w:t>Despite these strengths, the study identified several areas requiring improvement. Communication barriers between departments and siloed workflows were frequently reported as impediments to efficiency, particularly in projects requiring cross-functional collaboration. Employees and managers highlighted delays in decision-making, incomplete integration of information, and limited access to real-time operational data as key challenges. These findings indicate that while structured processes support organisational control, gaps in communication and collaboration restrict agility, responsiveness, and the effective resolution of complex problems.</w:t>
      </w:r>
    </w:p>
    <w:p w14:paraId="676E8BA5" w14:textId="77777777" w:rsidR="008F5860" w:rsidRPr="00C97B91" w:rsidRDefault="008F5860" w:rsidP="008F5860">
      <w:pPr>
        <w:pStyle w:val="NormalWeb"/>
      </w:pPr>
      <w:r w:rsidRPr="00C97B91">
        <w:t>In terms of marketing, Synergy Biologics demonstrates notable capabilities in digital engagement, customer segmentation, and product diversification. Data-driven campaigns have increased engagement and contributed to improved customer retention. Nevertheless, gaps in strategic alignment between marketing initiatives and organisational objectives were identified as a significant limitation. Marketing plans do not always fully incorporate feedback from R&amp;D teams, which reduces responsiveness to emerging market trends and constrains the development of innovative campaigns. Additionally, regulatory restrictions and heightened competition from emerging biotechnology firms further limit the organisation’s marketing agility and ability to differentiate its offerings.</w:t>
      </w:r>
    </w:p>
    <w:p w14:paraId="16F0395F" w14:textId="77777777" w:rsidR="008F5860" w:rsidRPr="00C97B91" w:rsidRDefault="008F5860" w:rsidP="008F5860">
      <w:pPr>
        <w:pStyle w:val="NormalWeb"/>
      </w:pPr>
      <w:r w:rsidRPr="00C97B91">
        <w:lastRenderedPageBreak/>
        <w:t>The integration of these findings highlights the interdependence of problem-solving effectiveness and marketing performance. Efficient internal processes, robust communication, and effective knowledge management directly influence the implementation and success of marketing initiatives. Conversely, marketing challenges often expose underlying operational inefficiencies, signalling areas that require improvement. Recognising this dynamic relationship is essential for designing recommendations that address both operational and marketing performance in a coherent and mutually reinforcing manner.</w:t>
      </w:r>
    </w:p>
    <w:p w14:paraId="18D5B1BA" w14:textId="77777777" w:rsidR="008F5860" w:rsidRPr="00C97B91" w:rsidRDefault="00000000" w:rsidP="008F5860">
      <w:pPr>
        <w:rPr>
          <w:sz w:val="24"/>
          <w:szCs w:val="24"/>
        </w:rPr>
      </w:pPr>
      <w:r>
        <w:rPr>
          <w:sz w:val="24"/>
          <w:szCs w:val="24"/>
        </w:rPr>
        <w:pict w14:anchorId="6B1264DE">
          <v:rect id="_x0000_i1049" style="width:0;height:1.5pt" o:hralign="center" o:hrstd="t" o:hr="t" fillcolor="#a0a0a0" stroked="f"/>
        </w:pict>
      </w:r>
    </w:p>
    <w:p w14:paraId="590FF998" w14:textId="5DD7F0B8" w:rsidR="008F5860" w:rsidRPr="00C97B91" w:rsidRDefault="008F5860" w:rsidP="008F5860">
      <w:pPr>
        <w:pStyle w:val="Heading3"/>
        <w:rPr>
          <w:sz w:val="24"/>
          <w:szCs w:val="24"/>
        </w:rPr>
      </w:pPr>
      <w:r w:rsidRPr="00C97B91">
        <w:rPr>
          <w:rStyle w:val="Strong"/>
          <w:b w:val="0"/>
          <w:bCs w:val="0"/>
          <w:sz w:val="24"/>
          <w:szCs w:val="24"/>
        </w:rPr>
        <w:t>Recommendations</w:t>
      </w:r>
    </w:p>
    <w:p w14:paraId="54E731EE" w14:textId="77777777" w:rsidR="008F5860" w:rsidRPr="00C97B91" w:rsidRDefault="008F5860" w:rsidP="008F5860">
      <w:pPr>
        <w:pStyle w:val="NormalWeb"/>
      </w:pPr>
      <w:r w:rsidRPr="00C97B91">
        <w:t>Based on the findings, the following recommendations are proposed to strengthen Synergy Biologics’ problem-solving capacity and marketing effectiveness:</w:t>
      </w:r>
    </w:p>
    <w:p w14:paraId="44735F03" w14:textId="403AA7FF" w:rsidR="008F5860" w:rsidRPr="00C97B91" w:rsidRDefault="008F5860" w:rsidP="008F5860">
      <w:pPr>
        <w:pStyle w:val="Heading4"/>
        <w:rPr>
          <w:sz w:val="24"/>
          <w:szCs w:val="24"/>
        </w:rPr>
      </w:pPr>
      <w:r w:rsidRPr="00C97B91">
        <w:rPr>
          <w:rStyle w:val="Strong"/>
          <w:b w:val="0"/>
          <w:bCs w:val="0"/>
          <w:sz w:val="24"/>
          <w:szCs w:val="24"/>
        </w:rPr>
        <w:t>Strengthen Internal Communication and Collaboration</w:t>
      </w:r>
    </w:p>
    <w:p w14:paraId="1910D0FB" w14:textId="77777777" w:rsidR="008F5860" w:rsidRPr="00C97B91" w:rsidRDefault="008F5860" w:rsidP="008F5860">
      <w:pPr>
        <w:pStyle w:val="NormalWeb"/>
      </w:pPr>
      <w:r w:rsidRPr="00C97B91">
        <w:t>Effective communication is critical to organisational efficiency and successful strategy execution. Synergy Biologics should implement integrated communication platforms and digital collaboration tools to facilitate real-time information exchange across departments. Tools such as project management software, shared knowledge repositories, and dashboards for operational and marketing metrics can enable managers and teams to monitor progress, track KPIs, and coordinate efforts more efficiently.</w:t>
      </w:r>
    </w:p>
    <w:p w14:paraId="352DED53" w14:textId="77777777" w:rsidR="008F5860" w:rsidRPr="00C97B91" w:rsidRDefault="008F5860" w:rsidP="008F5860">
      <w:pPr>
        <w:pStyle w:val="NormalWeb"/>
      </w:pPr>
      <w:r w:rsidRPr="00C97B91">
        <w:t>In addition to technological solutions, structured opportunities for interaction—such as cross-functional meetings, workshops, and brainstorming sessions—should be institutionalised to encourage transparency, knowledge sharing, and collaboration. Involving marketing, R&amp;D, and operations teams in joint planning and decision-making ensures that initiatives are informed by diverse perspectives and that problem-solving is supported by collective expertise. This approach aligns with the principles of agile management and organisational learning, which emphasise iterative feedback, adaptability, and collaborative decision-making (Robson and McCartan, 2016). Strengthening communication and collaboration in this manner is likely to accelerate problem resolution and enhance the effectiveness and timeliness of marketing campaigns.</w:t>
      </w:r>
    </w:p>
    <w:p w14:paraId="3DF64F36" w14:textId="254BC3B8" w:rsidR="008F5860" w:rsidRPr="00C97B91" w:rsidRDefault="008F5860" w:rsidP="008F5860">
      <w:pPr>
        <w:pStyle w:val="Heading4"/>
        <w:rPr>
          <w:sz w:val="24"/>
          <w:szCs w:val="24"/>
        </w:rPr>
      </w:pPr>
      <w:r w:rsidRPr="00C97B91">
        <w:rPr>
          <w:rStyle w:val="Strong"/>
          <w:b w:val="0"/>
          <w:bCs w:val="0"/>
          <w:sz w:val="24"/>
          <w:szCs w:val="24"/>
        </w:rPr>
        <w:t>Enhance Data Accessibility and Decision Support Systems</w:t>
      </w:r>
    </w:p>
    <w:p w14:paraId="2D499E17" w14:textId="77777777" w:rsidR="008F5860" w:rsidRPr="00C97B91" w:rsidRDefault="008F5860" w:rsidP="008F5860">
      <w:pPr>
        <w:pStyle w:val="NormalWeb"/>
      </w:pPr>
      <w:r w:rsidRPr="00C97B91">
        <w:t>The research highlighted limitations in the availability and accessibility of real-time operational and market data, which hindered timely and informed decision-making. Synergy Biologics should centralise data systems and enhance analytics capabilities to support evidence-based decision-making. This will enable managers to identify trends, monitor progress, and make proactive adjustments to operational and marketing strategies.</w:t>
      </w:r>
    </w:p>
    <w:p w14:paraId="7C42992A" w14:textId="77777777" w:rsidR="008F5860" w:rsidRPr="00C97B91" w:rsidRDefault="008F5860" w:rsidP="008F5860">
      <w:pPr>
        <w:pStyle w:val="NormalWeb"/>
      </w:pPr>
      <w:r w:rsidRPr="00C97B91">
        <w:t xml:space="preserve">Digital project management tools can facilitate tracking of cross-functional initiatives, monitoring of KPIs, and early detection of potential bottlenecks, supporting proactive problem-solving. Similarly, advanced customer data management systems can improve market segmentation, track engagement, and enable the development of targeted marketing campaigns. Enhancing data accessibility and analytical capabilities will ensure that </w:t>
      </w:r>
      <w:r w:rsidRPr="00C97B91">
        <w:lastRenderedPageBreak/>
        <w:t>operational processes are efficient and that marketing strategies are responsive, evidence-based, and aligned with strategic objectives (Creswell, 2018).</w:t>
      </w:r>
    </w:p>
    <w:p w14:paraId="21FAE508" w14:textId="09F3EB38" w:rsidR="008F5860" w:rsidRPr="00C97B91" w:rsidRDefault="008F5860" w:rsidP="008F5860">
      <w:pPr>
        <w:pStyle w:val="Heading4"/>
        <w:rPr>
          <w:sz w:val="24"/>
          <w:szCs w:val="24"/>
        </w:rPr>
      </w:pPr>
      <w:r w:rsidRPr="00C97B91">
        <w:rPr>
          <w:rStyle w:val="Strong"/>
          <w:b w:val="0"/>
          <w:bCs w:val="0"/>
          <w:sz w:val="24"/>
          <w:szCs w:val="24"/>
        </w:rPr>
        <w:t>Align Marketing Strategies with Organisational Objectives</w:t>
      </w:r>
    </w:p>
    <w:p w14:paraId="313138A7" w14:textId="77777777" w:rsidR="008F5860" w:rsidRPr="00C97B91" w:rsidRDefault="008F5860" w:rsidP="008F5860">
      <w:pPr>
        <w:pStyle w:val="NormalWeb"/>
      </w:pPr>
      <w:r w:rsidRPr="00C97B91">
        <w:t>Strategic alignment between marketing initiatives and broader organisational goals is essential for ensuring coherence, maximising resource utilisation, and achieving meaningful outcomes (Kotler, 2017). Synergy Biologics should institutionalise integrated planning sessions involving marketing, R&amp;D, and operations teams. These sessions will facilitate the incorporation of scientific and market insights into campaign development, enhancing responsiveness to emerging trends and ensuring that marketing initiatives support corporate priorities.</w:t>
      </w:r>
    </w:p>
    <w:p w14:paraId="485722DA" w14:textId="77777777" w:rsidR="008F5860" w:rsidRPr="00C97B91" w:rsidRDefault="008F5860" w:rsidP="008F5860">
      <w:pPr>
        <w:pStyle w:val="NormalWeb"/>
      </w:pPr>
      <w:r w:rsidRPr="00C97B91">
        <w:t>Clear KPIs and performance measures linked to organisational objectives should be defined and regularly reviewed to assess marketing effectiveness. Aligning marketing strategies with broader business goals will maximise impact, reinforce strategic coherence, and improve the return on investment of marketing initiatives.</w:t>
      </w:r>
    </w:p>
    <w:p w14:paraId="51E0EA46" w14:textId="6D937B50" w:rsidR="008F5860" w:rsidRPr="00C97B91" w:rsidRDefault="008F5860" w:rsidP="008F5860">
      <w:pPr>
        <w:pStyle w:val="Heading4"/>
        <w:rPr>
          <w:sz w:val="24"/>
          <w:szCs w:val="24"/>
        </w:rPr>
      </w:pPr>
      <w:r w:rsidRPr="00C97B91">
        <w:rPr>
          <w:rStyle w:val="Strong"/>
          <w:b w:val="0"/>
          <w:bCs w:val="0"/>
          <w:sz w:val="24"/>
          <w:szCs w:val="24"/>
        </w:rPr>
        <w:t>Promote a Culture of Continuous Learning and Innovation</w:t>
      </w:r>
    </w:p>
    <w:p w14:paraId="3C885A8B" w14:textId="77777777" w:rsidR="008F5860" w:rsidRPr="00C97B91" w:rsidRDefault="008F5860" w:rsidP="008F5860">
      <w:pPr>
        <w:pStyle w:val="NormalWeb"/>
      </w:pPr>
      <w:r w:rsidRPr="00C97B91">
        <w:t>Sustained organisational competitiveness depends on reflective learning and knowledge sharing. Synergy Biologics should formalise post-project reviews, feedback mechanisms, and reflective workshops to evaluate both operational and marketing performance. These practices encourage teams to challenge underlying assumptions, identify areas for improvement, and apply lessons learned to future initiatives (Argyris, 1999).</w:t>
      </w:r>
    </w:p>
    <w:p w14:paraId="56065B8A" w14:textId="77777777" w:rsidR="008F5860" w:rsidRPr="00C97B91" w:rsidRDefault="008F5860" w:rsidP="008F5860">
      <w:pPr>
        <w:pStyle w:val="NormalWeb"/>
      </w:pPr>
      <w:r w:rsidRPr="00C97B91">
        <w:t>Professional development programs, cross-training, and mentoring schemes can further enhance adaptive capacity, promote innovation, and support the development of employees’ skills and expertise. Embedding a culture of continuous learning and reflection will enable the organisation to respond more effectively to operational challenges, market dynamics, and evolving customer expectations, thereby enhancing overall resilience and long-term competitiveness.</w:t>
      </w:r>
    </w:p>
    <w:p w14:paraId="4CF29D31" w14:textId="4DEEA033" w:rsidR="008F5860" w:rsidRPr="00C97B91" w:rsidRDefault="008F5860" w:rsidP="008F5860">
      <w:pPr>
        <w:pStyle w:val="Heading4"/>
        <w:rPr>
          <w:sz w:val="24"/>
          <w:szCs w:val="24"/>
        </w:rPr>
      </w:pPr>
      <w:r w:rsidRPr="00C97B91">
        <w:rPr>
          <w:rStyle w:val="Strong"/>
          <w:b w:val="0"/>
          <w:bCs w:val="0"/>
          <w:sz w:val="24"/>
          <w:szCs w:val="24"/>
        </w:rPr>
        <w:t>Integrate Digital and Traditional Marketing Channels</w:t>
      </w:r>
    </w:p>
    <w:p w14:paraId="12853566" w14:textId="77777777" w:rsidR="008F5860" w:rsidRPr="00C97B91" w:rsidRDefault="008F5860" w:rsidP="008F5860">
      <w:pPr>
        <w:pStyle w:val="NormalWeb"/>
      </w:pPr>
      <w:r w:rsidRPr="00C97B91">
        <w:t>While digital marketing initiatives have become a key component of Synergy Biologics’ strategy, traditional channels—including conferences, workshops, and professional events—remain vital for maintaining credibility and authority in the biotechnology sector. The company should adopt a cohesive marketing strategy that integrates both digital and traditional channels, ensuring consistent messaging, enhanced brand visibility, and broader customer engagement.</w:t>
      </w:r>
    </w:p>
    <w:p w14:paraId="1B5E404E" w14:textId="77777777" w:rsidR="008F5860" w:rsidRPr="00C97B91" w:rsidRDefault="008F5860" w:rsidP="008F5860">
      <w:pPr>
        <w:pStyle w:val="NormalWeb"/>
      </w:pPr>
      <w:r w:rsidRPr="00C97B91">
        <w:t>Cross-channel integration also enables the collection and evaluation of performance data across platforms, supporting evidence-based marketing decisions. By coordinating efforts across digital and traditional channels, the company can improve marketing efficiency, increase reach, and respond more dynamically to emerging market opportunities.</w:t>
      </w:r>
    </w:p>
    <w:p w14:paraId="09D5B74C" w14:textId="77777777" w:rsidR="008F5860" w:rsidRPr="00C97B91" w:rsidRDefault="00000000" w:rsidP="008F5860">
      <w:pPr>
        <w:rPr>
          <w:sz w:val="24"/>
          <w:szCs w:val="24"/>
        </w:rPr>
      </w:pPr>
      <w:r>
        <w:rPr>
          <w:sz w:val="24"/>
          <w:szCs w:val="24"/>
        </w:rPr>
        <w:pict w14:anchorId="3BB47A0E">
          <v:rect id="_x0000_i1050" style="width:0;height:1.5pt" o:hralign="center" o:hrstd="t" o:hr="t" fillcolor="#a0a0a0" stroked="f"/>
        </w:pict>
      </w:r>
    </w:p>
    <w:p w14:paraId="66E5929C" w14:textId="5684B358" w:rsidR="008F5860" w:rsidRPr="00C97B91" w:rsidRDefault="008F5860" w:rsidP="008F5860">
      <w:pPr>
        <w:pStyle w:val="Heading3"/>
        <w:rPr>
          <w:sz w:val="24"/>
          <w:szCs w:val="24"/>
        </w:rPr>
      </w:pPr>
      <w:r w:rsidRPr="00C97B91">
        <w:rPr>
          <w:rStyle w:val="Strong"/>
          <w:b w:val="0"/>
          <w:bCs w:val="0"/>
          <w:sz w:val="24"/>
          <w:szCs w:val="24"/>
        </w:rPr>
        <w:lastRenderedPageBreak/>
        <w:t>Conclusion</w:t>
      </w:r>
    </w:p>
    <w:p w14:paraId="103646C3" w14:textId="77777777" w:rsidR="008F5860" w:rsidRPr="00C97B91" w:rsidRDefault="008F5860" w:rsidP="008F5860">
      <w:pPr>
        <w:pStyle w:val="NormalWeb"/>
      </w:pPr>
      <w:r w:rsidRPr="00C97B91">
        <w:t>The study concludes that Synergy Biologics possesses a solid foundation in organisational problem-solving and marketing management. Structured frameworks, including SOPs, RCA, and project management systems, combined with adaptive decision-making, support operational efficiency, consistency, and reflective learning. Marketing strategies focused on digital engagement, customer segmentation, and product diversification have contributed to strengthened market presence and improved customer interactions.</w:t>
      </w:r>
    </w:p>
    <w:p w14:paraId="0D456363" w14:textId="77777777" w:rsidR="008F5860" w:rsidRPr="00C97B91" w:rsidRDefault="008F5860" w:rsidP="008F5860">
      <w:pPr>
        <w:pStyle w:val="NormalWeb"/>
      </w:pPr>
      <w:r w:rsidRPr="00C97B91">
        <w:t>Nevertheless, challenges remain in cross-departmental communication, workflow integration, and the alignment of marketing initiatives with organisational objectives. Addressing these challenges through enhanced collaboration, improved data accessibility, strategic marketing alignment, and the promotion of continuous learning and innovation will strengthen organisational agility and capacity for growth.</w:t>
      </w:r>
    </w:p>
    <w:p w14:paraId="3A027773" w14:textId="77777777" w:rsidR="008F5860" w:rsidRPr="00C97B91" w:rsidRDefault="008F5860" w:rsidP="008F5860">
      <w:pPr>
        <w:pStyle w:val="NormalWeb"/>
      </w:pPr>
      <w:r w:rsidRPr="00C97B91">
        <w:t>Implementation of the proposed recommendations is expected to deliver multiple benefits, including more timely and effective problem resolution, improved marketing responsiveness, better alignment between strategy and execution, and the development of a culture oriented towards continuous learning and innovation. By integrating operational efficiency with marketing effectiveness, Synergy Biologics can consolidate its competitive advantage, achieve sustainable growth, and increase organisational adaptability within the evolving biotechnology sector.</w:t>
      </w:r>
    </w:p>
    <w:p w14:paraId="0BAD503F" w14:textId="77777777" w:rsidR="008F5860" w:rsidRPr="00C97B91" w:rsidRDefault="008F5860" w:rsidP="008F5860">
      <w:pPr>
        <w:pStyle w:val="NormalWeb"/>
      </w:pPr>
      <w:r w:rsidRPr="00C97B91">
        <w:t>In conclusion, this chapter provides a structured roadmap for Synergy Biologics to optimise problem-solving processes and marketing strategies, ensuring that operational and strategic objectives are achieved in a coordinated, sustainable, and impactful manner.</w:t>
      </w:r>
    </w:p>
    <w:p w14:paraId="78E58317" w14:textId="21EB18DA" w:rsidR="004D4C96" w:rsidRPr="004D4C96" w:rsidRDefault="004D4C96" w:rsidP="004D4C96">
      <w:pPr>
        <w:pStyle w:val="ListParagraph"/>
        <w:rPr>
          <w:color w:val="000000" w:themeColor="text1"/>
        </w:rPr>
      </w:pPr>
    </w:p>
    <w:p w14:paraId="7EDBF95E" w14:textId="77777777" w:rsidR="00C54C5E" w:rsidRDefault="00C54C5E" w:rsidP="004D4C96">
      <w:pPr>
        <w:pStyle w:val="ListParagraph"/>
        <w:rPr>
          <w:color w:val="000000" w:themeColor="text1"/>
        </w:rPr>
      </w:pPr>
    </w:p>
    <w:p w14:paraId="5F0D4D9F" w14:textId="6AD4C023" w:rsidR="00861E28" w:rsidRDefault="00363198" w:rsidP="004D4C96">
      <w:pPr>
        <w:pStyle w:val="ListParagraph"/>
        <w:rPr>
          <w:color w:val="EE0000"/>
        </w:rPr>
      </w:pPr>
      <w:r>
        <w:rPr>
          <w:color w:val="000000" w:themeColor="text1"/>
        </w:rPr>
        <w:t xml:space="preserve">7, </w:t>
      </w:r>
      <w:r w:rsidRPr="00363198">
        <w:rPr>
          <w:color w:val="EE0000"/>
        </w:rPr>
        <w:t>reference</w:t>
      </w:r>
    </w:p>
    <w:p w14:paraId="5EB8D4E6" w14:textId="77777777" w:rsidR="007077C4" w:rsidRPr="00193ED8" w:rsidRDefault="007077C4" w:rsidP="007077C4">
      <w:pPr>
        <w:numPr>
          <w:ilvl w:val="0"/>
          <w:numId w:val="39"/>
        </w:numPr>
        <w:spacing w:line="278" w:lineRule="auto"/>
      </w:pPr>
      <w:r w:rsidRPr="00193ED8">
        <w:t xml:space="preserve">Roell, K. R., Reif, D. M., &amp; Motsinger-Reif, A. A. (2017). An Introduction to Terminology and Methodology of Chemical Synergy—Perspectives from Across Disciplines. </w:t>
      </w:r>
      <w:r w:rsidRPr="00193ED8">
        <w:rPr>
          <w:i/>
          <w:iCs/>
        </w:rPr>
        <w:t>Frontiers in Pharmacology</w:t>
      </w:r>
      <w:r w:rsidRPr="00193ED8">
        <w:t>, 8, 158. https://doi.org/10.3389/fphar.2017.00158</w:t>
      </w:r>
    </w:p>
    <w:p w14:paraId="73CC6E7E" w14:textId="77777777" w:rsidR="007077C4" w:rsidRPr="00193ED8" w:rsidRDefault="007077C4" w:rsidP="007077C4">
      <w:pPr>
        <w:numPr>
          <w:ilvl w:val="0"/>
          <w:numId w:val="39"/>
        </w:numPr>
        <w:spacing w:line="278" w:lineRule="auto"/>
      </w:pPr>
      <w:r w:rsidRPr="00193ED8">
        <w:t xml:space="preserve">Holick, M. F. (2007). Vitamin D Deficiency. </w:t>
      </w:r>
      <w:r w:rsidRPr="00193ED8">
        <w:rPr>
          <w:i/>
          <w:iCs/>
        </w:rPr>
        <w:t>New England Journal of Medicine</w:t>
      </w:r>
      <w:r w:rsidRPr="00193ED8">
        <w:t>, 357(3), 266–281. https://doi.org/10.1056/NEJMra070553</w:t>
      </w:r>
    </w:p>
    <w:p w14:paraId="04B7CA0B" w14:textId="77777777" w:rsidR="007077C4" w:rsidRPr="00193ED8" w:rsidRDefault="007077C4" w:rsidP="007077C4">
      <w:pPr>
        <w:numPr>
          <w:ilvl w:val="0"/>
          <w:numId w:val="39"/>
        </w:numPr>
        <w:spacing w:line="278" w:lineRule="auto"/>
      </w:pPr>
      <w:proofErr w:type="spellStart"/>
      <w:r w:rsidRPr="00193ED8">
        <w:t>Chaachouay</w:t>
      </w:r>
      <w:proofErr w:type="spellEnd"/>
      <w:r w:rsidRPr="00193ED8">
        <w:t xml:space="preserve">, N., et al. (2025). Synergy of Drugs with Plant Bioactive Compounds: A New Frontier in Therapeutics. </w:t>
      </w:r>
      <w:r w:rsidRPr="00193ED8">
        <w:rPr>
          <w:i/>
          <w:iCs/>
        </w:rPr>
        <w:t>MDPI Journal of Natural Products</w:t>
      </w:r>
      <w:r w:rsidRPr="00193ED8">
        <w:t>, 4(1), 4. https://www.mdpi.com/2813-2998/4/1/4</w:t>
      </w:r>
    </w:p>
    <w:p w14:paraId="19CEBBA0" w14:textId="77777777" w:rsidR="007077C4" w:rsidRPr="00193ED8" w:rsidRDefault="007077C4" w:rsidP="007077C4">
      <w:pPr>
        <w:numPr>
          <w:ilvl w:val="0"/>
          <w:numId w:val="39"/>
        </w:numPr>
        <w:spacing w:line="278" w:lineRule="auto"/>
      </w:pPr>
      <w:r w:rsidRPr="00193ED8">
        <w:t>World Health Organization. (2020). Good Manufacturing Practices and Inspection. https://www.who.int/publications/gmp</w:t>
      </w:r>
    </w:p>
    <w:p w14:paraId="2B00A25F" w14:textId="77777777" w:rsidR="007077C4" w:rsidRPr="00193ED8" w:rsidRDefault="007077C4" w:rsidP="007077C4">
      <w:pPr>
        <w:numPr>
          <w:ilvl w:val="0"/>
          <w:numId w:val="39"/>
        </w:numPr>
        <w:spacing w:line="278" w:lineRule="auto"/>
      </w:pPr>
      <w:proofErr w:type="spellStart"/>
      <w:r w:rsidRPr="00193ED8">
        <w:t>Preuer</w:t>
      </w:r>
      <w:proofErr w:type="spellEnd"/>
      <w:r w:rsidRPr="00193ED8">
        <w:t xml:space="preserve">, K., et al. (2018). </w:t>
      </w:r>
      <w:proofErr w:type="spellStart"/>
      <w:r w:rsidRPr="00193ED8">
        <w:t>DeepSynergy</w:t>
      </w:r>
      <w:proofErr w:type="spellEnd"/>
      <w:r w:rsidRPr="00193ED8">
        <w:t xml:space="preserve">: Predicting Anti-Cancer Drug Synergy with Deep Learning. </w:t>
      </w:r>
      <w:r w:rsidRPr="00193ED8">
        <w:rPr>
          <w:i/>
          <w:iCs/>
        </w:rPr>
        <w:t>Bioinformatics</w:t>
      </w:r>
      <w:r w:rsidRPr="00193ED8">
        <w:t>, 34(17), 2935–2943. https://doi.org/10.1093/bioinformatics/bty294</w:t>
      </w:r>
    </w:p>
    <w:p w14:paraId="5261E7A9" w14:textId="77777777" w:rsidR="007077C4" w:rsidRDefault="007077C4" w:rsidP="007077C4">
      <w:pPr>
        <w:numPr>
          <w:ilvl w:val="0"/>
          <w:numId w:val="39"/>
        </w:numPr>
        <w:spacing w:line="278" w:lineRule="auto"/>
      </w:pPr>
      <w:r w:rsidRPr="00193ED8">
        <w:t xml:space="preserve">Woolf, S. H. (2008). The Meaning of Translational Research and Why It Matters. </w:t>
      </w:r>
      <w:r w:rsidRPr="00193ED8">
        <w:rPr>
          <w:i/>
          <w:iCs/>
        </w:rPr>
        <w:t>JAMA</w:t>
      </w:r>
      <w:r w:rsidRPr="00193ED8">
        <w:t xml:space="preserve">, 299(2), 211–213. </w:t>
      </w:r>
      <w:hyperlink r:id="rId8" w:history="1">
        <w:r w:rsidRPr="00193ED8">
          <w:rPr>
            <w:rStyle w:val="Hyperlink"/>
          </w:rPr>
          <w:t>https://doi.org/10.1001/jama.2007.26</w:t>
        </w:r>
      </w:hyperlink>
    </w:p>
    <w:p w14:paraId="11010D5F" w14:textId="77777777" w:rsidR="007077C4" w:rsidRDefault="007077C4" w:rsidP="007077C4">
      <w:pPr>
        <w:pStyle w:val="NormalWeb"/>
        <w:numPr>
          <w:ilvl w:val="0"/>
          <w:numId w:val="39"/>
        </w:numPr>
      </w:pPr>
      <w:r>
        <w:lastRenderedPageBreak/>
        <w:t xml:space="preserve">Ansoff, H.I. (1957) ‘Strategies for diversification’, </w:t>
      </w:r>
      <w:r>
        <w:rPr>
          <w:rStyle w:val="Emphasis"/>
          <w:rFonts w:eastAsiaTheme="majorEastAsia"/>
        </w:rPr>
        <w:t>Harvard Business Review</w:t>
      </w:r>
      <w:r>
        <w:t>, 35(5), pp. 113–124.</w:t>
      </w:r>
    </w:p>
    <w:p w14:paraId="706ABA38" w14:textId="77777777" w:rsidR="007077C4" w:rsidRDefault="007077C4" w:rsidP="007077C4">
      <w:pPr>
        <w:pStyle w:val="NormalWeb"/>
        <w:numPr>
          <w:ilvl w:val="0"/>
          <w:numId w:val="39"/>
        </w:numPr>
      </w:pPr>
      <w:r>
        <w:t xml:space="preserve">Chesbrough, H. (2003) </w:t>
      </w:r>
      <w:r>
        <w:rPr>
          <w:rStyle w:val="Emphasis"/>
          <w:rFonts w:eastAsiaTheme="majorEastAsia"/>
        </w:rPr>
        <w:t>Open Innovation: The New Imperative for Creating and Profiting from Technology</w:t>
      </w:r>
      <w:r>
        <w:t>. Boston, MA: Harvard Business School Press.9</w:t>
      </w:r>
    </w:p>
    <w:p w14:paraId="4976E5D6" w14:textId="77777777" w:rsidR="007077C4" w:rsidRDefault="007077C4" w:rsidP="007077C4">
      <w:pPr>
        <w:pStyle w:val="NormalWeb"/>
        <w:numPr>
          <w:ilvl w:val="0"/>
          <w:numId w:val="39"/>
        </w:numPr>
      </w:pPr>
      <w:r>
        <w:t xml:space="preserve">Christopher, M. (2016) </w:t>
      </w:r>
      <w:r>
        <w:rPr>
          <w:rStyle w:val="Emphasis"/>
          <w:rFonts w:eastAsiaTheme="majorEastAsia"/>
        </w:rPr>
        <w:t>Logistics and Supply Chain Management</w:t>
      </w:r>
      <w:r>
        <w:t xml:space="preserve">. 5th </w:t>
      </w:r>
      <w:proofErr w:type="spellStart"/>
      <w:r>
        <w:t>edn</w:t>
      </w:r>
      <w:proofErr w:type="spellEnd"/>
      <w:r>
        <w:t>. Harlow: Pearson Education.10</w:t>
      </w:r>
    </w:p>
    <w:p w14:paraId="715C275E" w14:textId="77777777" w:rsidR="007077C4" w:rsidRDefault="007077C4" w:rsidP="007077C4">
      <w:pPr>
        <w:pStyle w:val="NormalWeb"/>
        <w:numPr>
          <w:ilvl w:val="0"/>
          <w:numId w:val="39"/>
        </w:numPr>
      </w:pPr>
      <w:r>
        <w:t xml:space="preserve">Forburn, C.J. (1996) </w:t>
      </w:r>
      <w:r>
        <w:rPr>
          <w:rStyle w:val="Emphasis"/>
          <w:rFonts w:eastAsiaTheme="majorEastAsia"/>
        </w:rPr>
        <w:t>Reputation: Realizing Value from the Corporate Image</w:t>
      </w:r>
      <w:r>
        <w:t>. Boston, MA: Harvard Business School Press.11</w:t>
      </w:r>
    </w:p>
    <w:p w14:paraId="775F3F2D" w14:textId="77777777" w:rsidR="007077C4" w:rsidRDefault="007077C4" w:rsidP="007077C4">
      <w:pPr>
        <w:pStyle w:val="NormalWeb"/>
        <w:numPr>
          <w:ilvl w:val="0"/>
          <w:numId w:val="39"/>
        </w:numPr>
      </w:pPr>
      <w:r>
        <w:t xml:space="preserve">Grant, R.M. (2016) </w:t>
      </w:r>
      <w:r>
        <w:rPr>
          <w:rStyle w:val="Emphasis"/>
          <w:rFonts w:eastAsiaTheme="majorEastAsia"/>
        </w:rPr>
        <w:t>Contemporary Strategy Analysis: Text and Cases Edition</w:t>
      </w:r>
      <w:r>
        <w:t xml:space="preserve">. 9th </w:t>
      </w:r>
      <w:proofErr w:type="spellStart"/>
      <w:r>
        <w:t>edn</w:t>
      </w:r>
      <w:proofErr w:type="spellEnd"/>
      <w:r>
        <w:t>. Chichester: John Wiley &amp; Sons.12</w:t>
      </w:r>
    </w:p>
    <w:p w14:paraId="1C078F45" w14:textId="77777777" w:rsidR="007077C4" w:rsidRDefault="007077C4" w:rsidP="007077C4">
      <w:pPr>
        <w:pStyle w:val="NormalWeb"/>
        <w:numPr>
          <w:ilvl w:val="0"/>
          <w:numId w:val="39"/>
        </w:numPr>
      </w:pPr>
      <w:r>
        <w:t xml:space="preserve">Kotler, P. and Keller, K.L. (2016) </w:t>
      </w:r>
      <w:r>
        <w:rPr>
          <w:rStyle w:val="Emphasis"/>
          <w:rFonts w:eastAsiaTheme="majorEastAsia"/>
        </w:rPr>
        <w:t>Marketing Management</w:t>
      </w:r>
      <w:r>
        <w:t xml:space="preserve">. 15th </w:t>
      </w:r>
      <w:proofErr w:type="spellStart"/>
      <w:r>
        <w:t>edn</w:t>
      </w:r>
      <w:proofErr w:type="spellEnd"/>
      <w:r>
        <w:t>. Harlow: Pearson Education.13</w:t>
      </w:r>
    </w:p>
    <w:p w14:paraId="69100F86" w14:textId="77777777" w:rsidR="007077C4" w:rsidRDefault="007077C4" w:rsidP="007077C4">
      <w:pPr>
        <w:pStyle w:val="NormalWeb"/>
        <w:numPr>
          <w:ilvl w:val="0"/>
          <w:numId w:val="39"/>
        </w:numPr>
      </w:pPr>
      <w:r>
        <w:t xml:space="preserve">March, J.G. (1991) ‘Exploration and exploitation in organizational learning’, </w:t>
      </w:r>
      <w:r>
        <w:rPr>
          <w:rStyle w:val="Emphasis"/>
          <w:rFonts w:eastAsiaTheme="majorEastAsia"/>
        </w:rPr>
        <w:t>Organization Science</w:t>
      </w:r>
      <w:r>
        <w:t>, 2(1), pp. 71–87.14</w:t>
      </w:r>
    </w:p>
    <w:p w14:paraId="28307022" w14:textId="77777777" w:rsidR="007077C4" w:rsidRDefault="007077C4" w:rsidP="007077C4">
      <w:pPr>
        <w:pStyle w:val="NormalWeb"/>
        <w:numPr>
          <w:ilvl w:val="0"/>
          <w:numId w:val="39"/>
        </w:numPr>
      </w:pPr>
      <w:r>
        <w:t xml:space="preserve">Morris, M.H., Schindehutte, M. and LaForge, R.W. (2002) ‘Entrepreneurial marketing: A construct for integrating emerging entrepreneurship and marketing perspectives’, </w:t>
      </w:r>
      <w:r>
        <w:rPr>
          <w:rStyle w:val="Emphasis"/>
          <w:rFonts w:eastAsiaTheme="majorEastAsia"/>
        </w:rPr>
        <w:t>Journal of Marketing Theory and Practice</w:t>
      </w:r>
      <w:r>
        <w:t>, 10(4), pp. 1–19.15</w:t>
      </w:r>
    </w:p>
    <w:p w14:paraId="654A83C5" w14:textId="77777777" w:rsidR="007077C4" w:rsidRDefault="007077C4" w:rsidP="007077C4">
      <w:pPr>
        <w:pStyle w:val="NormalWeb"/>
        <w:numPr>
          <w:ilvl w:val="0"/>
          <w:numId w:val="39"/>
        </w:numPr>
      </w:pPr>
      <w:proofErr w:type="spellStart"/>
      <w:r>
        <w:t>Narver</w:t>
      </w:r>
      <w:proofErr w:type="spellEnd"/>
      <w:r>
        <w:t xml:space="preserve">, J.C. and Slater, S.F. (1990) ‘The effect of a market orientation on business profitability’, </w:t>
      </w:r>
      <w:r>
        <w:rPr>
          <w:rStyle w:val="Emphasis"/>
          <w:rFonts w:eastAsiaTheme="majorEastAsia"/>
        </w:rPr>
        <w:t>Journal of Marketing</w:t>
      </w:r>
      <w:r>
        <w:t>, 54(4), pp. 20–35.16</w:t>
      </w:r>
    </w:p>
    <w:p w14:paraId="76ADF7FA" w14:textId="77777777" w:rsidR="007077C4" w:rsidRDefault="007077C4" w:rsidP="007077C4">
      <w:pPr>
        <w:pStyle w:val="NormalWeb"/>
        <w:numPr>
          <w:ilvl w:val="0"/>
          <w:numId w:val="39"/>
        </w:numPr>
      </w:pPr>
      <w:r>
        <w:t xml:space="preserve">O’Reilly, C.A. and Tushman, M.L. (2013) ‘Organizational ambidexterity: Past, present, and future’, </w:t>
      </w:r>
      <w:r>
        <w:rPr>
          <w:rStyle w:val="Emphasis"/>
          <w:rFonts w:eastAsiaTheme="majorEastAsia"/>
        </w:rPr>
        <w:t>The Academy of Management Perspectives</w:t>
      </w:r>
      <w:r>
        <w:t>, 27(4), pp. 324–338.17</w:t>
      </w:r>
    </w:p>
    <w:p w14:paraId="0B0F22BE" w14:textId="77777777" w:rsidR="007077C4" w:rsidRDefault="007077C4" w:rsidP="007077C4">
      <w:pPr>
        <w:pStyle w:val="NormalWeb"/>
        <w:numPr>
          <w:ilvl w:val="0"/>
          <w:numId w:val="39"/>
        </w:numPr>
      </w:pPr>
      <w:r>
        <w:t xml:space="preserve">Pisano, G.P. (2006) </w:t>
      </w:r>
      <w:r>
        <w:rPr>
          <w:rStyle w:val="Emphasis"/>
          <w:rFonts w:eastAsiaTheme="majorEastAsia"/>
        </w:rPr>
        <w:t>Science Business: The Promise, the Reality, and the Future of Biotech</w:t>
      </w:r>
      <w:r>
        <w:t>. Boston, MA: Harvard Business School Press.18</w:t>
      </w:r>
    </w:p>
    <w:p w14:paraId="5EB47C4F" w14:textId="77777777" w:rsidR="007077C4" w:rsidRDefault="007077C4" w:rsidP="007077C4">
      <w:pPr>
        <w:pStyle w:val="NormalWeb"/>
        <w:numPr>
          <w:ilvl w:val="0"/>
          <w:numId w:val="39"/>
        </w:numPr>
      </w:pPr>
      <w:r>
        <w:t xml:space="preserve">Porter, M.E. (1985) </w:t>
      </w:r>
      <w:r>
        <w:rPr>
          <w:rStyle w:val="Emphasis"/>
          <w:rFonts w:eastAsiaTheme="majorEastAsia"/>
        </w:rPr>
        <w:t>Competitive Advantage: Creating and Sustaining Superior Performance</w:t>
      </w:r>
      <w:r>
        <w:t>. New York: Free Press.19</w:t>
      </w:r>
    </w:p>
    <w:p w14:paraId="4D11BFC2" w14:textId="77777777" w:rsidR="007077C4" w:rsidRDefault="007077C4" w:rsidP="007077C4">
      <w:pPr>
        <w:pStyle w:val="NormalWeb"/>
        <w:numPr>
          <w:ilvl w:val="0"/>
          <w:numId w:val="39"/>
        </w:numPr>
      </w:pPr>
      <w:r>
        <w:t xml:space="preserve">Senge, P.M. (1990) </w:t>
      </w:r>
      <w:r>
        <w:rPr>
          <w:rStyle w:val="Emphasis"/>
          <w:rFonts w:eastAsiaTheme="majorEastAsia"/>
        </w:rPr>
        <w:t>The Fifth Discipline: The Art and Practice of the Learning Organization</w:t>
      </w:r>
      <w:r>
        <w:t>. New York: Doubleday.</w:t>
      </w:r>
      <w:r>
        <w:br/>
        <w:t xml:space="preserve">Teece, D.J. (2007) ‘Explicating dynamic capabilities: The nature and </w:t>
      </w:r>
      <w:proofErr w:type="spellStart"/>
      <w:r>
        <w:t>microfoundations</w:t>
      </w:r>
      <w:proofErr w:type="spellEnd"/>
      <w:r>
        <w:t xml:space="preserve"> of (sustainable) enterprise performance’, </w:t>
      </w:r>
      <w:r>
        <w:rPr>
          <w:rStyle w:val="Emphasis"/>
          <w:rFonts w:eastAsiaTheme="majorEastAsia"/>
        </w:rPr>
        <w:t>Strategic Management Journal</w:t>
      </w:r>
      <w:r>
        <w:t>, 28(13), pp. 1319–1350.20</w:t>
      </w:r>
    </w:p>
    <w:p w14:paraId="3CF6663F" w14:textId="77777777" w:rsidR="007077C4" w:rsidRDefault="007077C4" w:rsidP="007077C4">
      <w:pPr>
        <w:pStyle w:val="NormalWeb"/>
        <w:numPr>
          <w:ilvl w:val="0"/>
          <w:numId w:val="39"/>
        </w:numPr>
      </w:pPr>
      <w:r>
        <w:t xml:space="preserve">Tidd, J. and Bessant, J. (2018) </w:t>
      </w:r>
      <w:r>
        <w:rPr>
          <w:rStyle w:val="Emphasis"/>
          <w:rFonts w:eastAsiaTheme="majorEastAsia"/>
        </w:rPr>
        <w:t>Managing Innovation: Integrating Technological, Market and Organizational Change</w:t>
      </w:r>
      <w:r>
        <w:t xml:space="preserve">. 6th </w:t>
      </w:r>
      <w:proofErr w:type="spellStart"/>
      <w:r>
        <w:t>edn</w:t>
      </w:r>
      <w:proofErr w:type="spellEnd"/>
      <w:r>
        <w:t>. Chichester: John Wiley &amp; Sons.</w:t>
      </w:r>
    </w:p>
    <w:p w14:paraId="3D51C73D" w14:textId="77777777" w:rsidR="008D2016" w:rsidRDefault="008D2016" w:rsidP="008D2016">
      <w:pPr>
        <w:pStyle w:val="ListParagraph"/>
        <w:numPr>
          <w:ilvl w:val="0"/>
          <w:numId w:val="39"/>
        </w:numPr>
      </w:pPr>
      <w:r w:rsidRPr="00BB0A6C">
        <w:t xml:space="preserve">Accenture, 2022. </w:t>
      </w:r>
      <w:r w:rsidRPr="008D2016">
        <w:rPr>
          <w:i/>
          <w:iCs/>
        </w:rPr>
        <w:t>Digitally reinventing the supply chain in healthcare</w:t>
      </w:r>
      <w:r w:rsidRPr="00BB0A6C">
        <w:t xml:space="preserve">. [online] Available at: </w:t>
      </w:r>
      <w:hyperlink r:id="rId9" w:tgtFrame="_new" w:history="1">
        <w:r w:rsidRPr="00BB0A6C">
          <w:rPr>
            <w:rStyle w:val="Hyperlink"/>
          </w:rPr>
          <w:t>https://www.accenture.com</w:t>
        </w:r>
      </w:hyperlink>
    </w:p>
    <w:p w14:paraId="05553D17" w14:textId="77777777" w:rsidR="008D2016" w:rsidRDefault="008D2016" w:rsidP="008D2016">
      <w:pPr>
        <w:pStyle w:val="ListParagraph"/>
        <w:numPr>
          <w:ilvl w:val="0"/>
          <w:numId w:val="39"/>
        </w:numPr>
      </w:pPr>
      <w:r w:rsidRPr="00BB0A6C">
        <w:br/>
        <w:t xml:space="preserve">Binns, A.J., 2021. </w:t>
      </w:r>
      <w:r w:rsidRPr="008D2016">
        <w:rPr>
          <w:i/>
          <w:iCs/>
        </w:rPr>
        <w:t>Transformational leadership in practice: Tools for creating organisational breakthrough</w:t>
      </w:r>
      <w:r w:rsidRPr="00BB0A6C">
        <w:t>. Harvard Business School Publishing.</w:t>
      </w:r>
    </w:p>
    <w:p w14:paraId="32154B3C" w14:textId="77777777" w:rsidR="008D2016" w:rsidRDefault="008D2016" w:rsidP="008D2016">
      <w:pPr>
        <w:pStyle w:val="ListParagraph"/>
        <w:numPr>
          <w:ilvl w:val="0"/>
          <w:numId w:val="39"/>
        </w:numPr>
      </w:pPr>
      <w:r w:rsidRPr="00BB0A6C">
        <w:br/>
        <w:t xml:space="preserve">Brynjolfsson, E. and McAfee, A., 2017. </w:t>
      </w:r>
      <w:r w:rsidRPr="008D2016">
        <w:rPr>
          <w:i/>
          <w:iCs/>
        </w:rPr>
        <w:t>Machine, platform, crowd: Harnessing our digital future</w:t>
      </w:r>
      <w:r w:rsidRPr="00BB0A6C">
        <w:t>. New York: W. W. Norton &amp; Company.</w:t>
      </w:r>
    </w:p>
    <w:p w14:paraId="75F41941" w14:textId="77777777" w:rsidR="008D2016" w:rsidRDefault="008D2016" w:rsidP="008D2016">
      <w:pPr>
        <w:pStyle w:val="ListParagraph"/>
        <w:numPr>
          <w:ilvl w:val="0"/>
          <w:numId w:val="39"/>
        </w:numPr>
      </w:pPr>
      <w:r w:rsidRPr="00BB0A6C">
        <w:br/>
        <w:t xml:space="preserve">Burnes, B., 2017. </w:t>
      </w:r>
      <w:r w:rsidRPr="008D2016">
        <w:rPr>
          <w:i/>
          <w:iCs/>
        </w:rPr>
        <w:t>Managing change</w:t>
      </w:r>
      <w:r w:rsidRPr="00BB0A6C">
        <w:t>. 7th ed. Harlow: Pearson Education.</w:t>
      </w:r>
    </w:p>
    <w:p w14:paraId="3079D85D" w14:textId="77777777" w:rsidR="008D2016" w:rsidRDefault="008D2016" w:rsidP="008D2016">
      <w:pPr>
        <w:pStyle w:val="ListParagraph"/>
        <w:numPr>
          <w:ilvl w:val="0"/>
          <w:numId w:val="39"/>
        </w:numPr>
      </w:pPr>
      <w:r w:rsidRPr="00BB0A6C">
        <w:br/>
        <w:t xml:space="preserve">Cameron, E. and Green, M., 2019. </w:t>
      </w:r>
      <w:r w:rsidRPr="008D2016">
        <w:rPr>
          <w:i/>
          <w:iCs/>
        </w:rPr>
        <w:t>Making sense of change management: A complete guide to the models, tools and techniques of organizational change</w:t>
      </w:r>
      <w:r w:rsidRPr="00BB0A6C">
        <w:t>. 5th ed. London: Kogan Page.</w:t>
      </w:r>
    </w:p>
    <w:p w14:paraId="4D6E241A" w14:textId="77777777" w:rsidR="008D2016" w:rsidRDefault="008D2016" w:rsidP="008D2016">
      <w:pPr>
        <w:pStyle w:val="ListParagraph"/>
        <w:numPr>
          <w:ilvl w:val="0"/>
          <w:numId w:val="39"/>
        </w:numPr>
      </w:pPr>
      <w:r w:rsidRPr="00BB0A6C">
        <w:lastRenderedPageBreak/>
        <w:br/>
        <w:t xml:space="preserve">Deloitte, 2023. </w:t>
      </w:r>
      <w:r w:rsidRPr="008D2016">
        <w:rPr>
          <w:i/>
          <w:iCs/>
        </w:rPr>
        <w:t>Digital transformation in life sciences: Enabling the future of health</w:t>
      </w:r>
      <w:r w:rsidRPr="00BB0A6C">
        <w:t xml:space="preserve">. [online] Available at: </w:t>
      </w:r>
      <w:hyperlink r:id="rId10" w:tgtFrame="_new" w:history="1">
        <w:r w:rsidRPr="00BB0A6C">
          <w:rPr>
            <w:rStyle w:val="Hyperlink"/>
          </w:rPr>
          <w:t>https://www2.deloitte.com</w:t>
        </w:r>
      </w:hyperlink>
    </w:p>
    <w:p w14:paraId="156BDBC1" w14:textId="77777777" w:rsidR="008D2016" w:rsidRDefault="008D2016" w:rsidP="008D2016">
      <w:pPr>
        <w:pStyle w:val="ListParagraph"/>
        <w:numPr>
          <w:ilvl w:val="0"/>
          <w:numId w:val="39"/>
        </w:numPr>
      </w:pPr>
      <w:r w:rsidRPr="00BB0A6C">
        <w:br/>
        <w:t xml:space="preserve">EY, 2023. </w:t>
      </w:r>
      <w:r w:rsidRPr="008D2016">
        <w:rPr>
          <w:i/>
          <w:iCs/>
        </w:rPr>
        <w:t>Beyond COVID-19: Pharma's long-term digital transformation strategy</w:t>
      </w:r>
      <w:r w:rsidRPr="00BB0A6C">
        <w:t xml:space="preserve">. [online] Available at: </w:t>
      </w:r>
      <w:hyperlink r:id="rId11" w:tgtFrame="_new" w:history="1">
        <w:r w:rsidRPr="00BB0A6C">
          <w:rPr>
            <w:rStyle w:val="Hyperlink"/>
          </w:rPr>
          <w:t>https://www.ey.com</w:t>
        </w:r>
      </w:hyperlink>
    </w:p>
    <w:p w14:paraId="65DA3A93" w14:textId="77777777" w:rsidR="008D2016" w:rsidRDefault="008D2016" w:rsidP="008D2016">
      <w:pPr>
        <w:pStyle w:val="ListParagraph"/>
        <w:numPr>
          <w:ilvl w:val="0"/>
          <w:numId w:val="39"/>
        </w:numPr>
      </w:pPr>
      <w:r w:rsidRPr="00BB0A6C">
        <w:br/>
        <w:t xml:space="preserve">Hammer, M. and Stanton, S.A., 1999. </w:t>
      </w:r>
      <w:r w:rsidRPr="008D2016">
        <w:rPr>
          <w:i/>
          <w:iCs/>
        </w:rPr>
        <w:t>How process enterprises really work</w:t>
      </w:r>
      <w:r w:rsidRPr="00BB0A6C">
        <w:t xml:space="preserve">. </w:t>
      </w:r>
      <w:r w:rsidRPr="008D2016">
        <w:rPr>
          <w:i/>
          <w:iCs/>
        </w:rPr>
        <w:t>Harvard Business Review</w:t>
      </w:r>
      <w:r w:rsidRPr="00BB0A6C">
        <w:t>, 77(6), pp.108–118.</w:t>
      </w:r>
    </w:p>
    <w:p w14:paraId="000613D7" w14:textId="77777777" w:rsidR="008D2016" w:rsidRDefault="008D2016" w:rsidP="008D2016">
      <w:pPr>
        <w:pStyle w:val="ListParagraph"/>
        <w:numPr>
          <w:ilvl w:val="0"/>
          <w:numId w:val="39"/>
        </w:numPr>
      </w:pPr>
      <w:r w:rsidRPr="00BB0A6C">
        <w:br/>
        <w:t xml:space="preserve">Hayes, J., 2022. </w:t>
      </w:r>
      <w:r w:rsidRPr="008D2016">
        <w:rPr>
          <w:i/>
          <w:iCs/>
        </w:rPr>
        <w:t>The theory and practice of change management</w:t>
      </w:r>
      <w:r w:rsidRPr="00BB0A6C">
        <w:t>. 6th ed. London: Red Globe Press.</w:t>
      </w:r>
    </w:p>
    <w:p w14:paraId="0433CAF1" w14:textId="77777777" w:rsidR="008D2016" w:rsidRDefault="008D2016" w:rsidP="008D2016">
      <w:pPr>
        <w:pStyle w:val="ListParagraph"/>
        <w:numPr>
          <w:ilvl w:val="0"/>
          <w:numId w:val="39"/>
        </w:numPr>
      </w:pPr>
      <w:r w:rsidRPr="00BB0A6C">
        <w:br/>
        <w:t xml:space="preserve">IQVIA, 2023. </w:t>
      </w:r>
      <w:r w:rsidRPr="008D2016">
        <w:rPr>
          <w:i/>
          <w:iCs/>
        </w:rPr>
        <w:t>Global trends in pharmaceuticals and consumer health</w:t>
      </w:r>
      <w:r w:rsidRPr="00BB0A6C">
        <w:t xml:space="preserve">. [online] Available at: </w:t>
      </w:r>
      <w:hyperlink r:id="rId12" w:tgtFrame="_new" w:history="1">
        <w:r w:rsidRPr="00BB0A6C">
          <w:rPr>
            <w:rStyle w:val="Hyperlink"/>
          </w:rPr>
          <w:t>https://www.iqvia.com</w:t>
        </w:r>
      </w:hyperlink>
    </w:p>
    <w:p w14:paraId="51FD3CFE" w14:textId="77777777" w:rsidR="008D2016" w:rsidRDefault="008D2016" w:rsidP="008D2016">
      <w:pPr>
        <w:pStyle w:val="ListParagraph"/>
        <w:numPr>
          <w:ilvl w:val="0"/>
          <w:numId w:val="39"/>
        </w:numPr>
      </w:pPr>
      <w:r w:rsidRPr="00BB0A6C">
        <w:br/>
        <w:t xml:space="preserve">Kaplan, R.S. and Norton, D.P., 2004. </w:t>
      </w:r>
      <w:r w:rsidRPr="008D2016">
        <w:rPr>
          <w:i/>
          <w:iCs/>
        </w:rPr>
        <w:t>Strategy maps: Converting intangible assets into tangible outcomes</w:t>
      </w:r>
      <w:r w:rsidRPr="00BB0A6C">
        <w:t>. Boston: Harvard Business Press.</w:t>
      </w:r>
    </w:p>
    <w:p w14:paraId="7B19C1AB" w14:textId="77777777" w:rsidR="008D2016" w:rsidRDefault="008D2016" w:rsidP="008D2016">
      <w:pPr>
        <w:pStyle w:val="ListParagraph"/>
        <w:numPr>
          <w:ilvl w:val="0"/>
          <w:numId w:val="39"/>
        </w:numPr>
      </w:pPr>
      <w:r w:rsidRPr="00BB0A6C">
        <w:br/>
        <w:t xml:space="preserve">McKinsey &amp; Company, 2022. </w:t>
      </w:r>
      <w:r w:rsidRPr="008D2016">
        <w:rPr>
          <w:i/>
          <w:iCs/>
        </w:rPr>
        <w:t>The future of pharma: Reimagining digital transformation post-COVID</w:t>
      </w:r>
      <w:r w:rsidRPr="00BB0A6C">
        <w:t xml:space="preserve">. [online] Available at: </w:t>
      </w:r>
      <w:hyperlink r:id="rId13" w:tgtFrame="_new" w:history="1">
        <w:r w:rsidRPr="00BB0A6C">
          <w:rPr>
            <w:rStyle w:val="Hyperlink"/>
          </w:rPr>
          <w:t>https://www.mckinsey.com</w:t>
        </w:r>
      </w:hyperlink>
    </w:p>
    <w:p w14:paraId="2627AC3E" w14:textId="77777777" w:rsidR="008D2016" w:rsidRDefault="008D2016" w:rsidP="008D2016">
      <w:pPr>
        <w:pStyle w:val="ListParagraph"/>
        <w:numPr>
          <w:ilvl w:val="0"/>
          <w:numId w:val="39"/>
        </w:numPr>
      </w:pPr>
      <w:r w:rsidRPr="00BB0A6C">
        <w:br/>
        <w:t xml:space="preserve">Medicines and Healthcare products Regulatory Agency (MHRA), 2024. </w:t>
      </w:r>
      <w:r w:rsidRPr="008D2016">
        <w:rPr>
          <w:i/>
          <w:iCs/>
        </w:rPr>
        <w:t>Guidance: Medical devices and IVDs post-Brexit</w:t>
      </w:r>
      <w:r w:rsidRPr="00BB0A6C">
        <w:t xml:space="preserve">. [online] Available at: </w:t>
      </w:r>
      <w:hyperlink r:id="rId14" w:tgtFrame="_new" w:history="1">
        <w:r w:rsidRPr="00BB0A6C">
          <w:rPr>
            <w:rStyle w:val="Hyperlink"/>
          </w:rPr>
          <w:t>https://www.gov.uk/mhra</w:t>
        </w:r>
      </w:hyperlink>
      <w:r w:rsidRPr="00BB0A6C">
        <w:t xml:space="preserve"> </w:t>
      </w:r>
    </w:p>
    <w:p w14:paraId="5B078862" w14:textId="77777777" w:rsidR="008D2016" w:rsidRDefault="008D2016" w:rsidP="008D2016">
      <w:pPr>
        <w:pStyle w:val="ListParagraph"/>
        <w:numPr>
          <w:ilvl w:val="0"/>
          <w:numId w:val="39"/>
        </w:numPr>
      </w:pPr>
      <w:r w:rsidRPr="00BB0A6C">
        <w:br/>
        <w:t xml:space="preserve">NHS England, 2024. </w:t>
      </w:r>
      <w:r w:rsidRPr="008D2016">
        <w:rPr>
          <w:i/>
          <w:iCs/>
        </w:rPr>
        <w:t>Commercial framework for NHS medicines procurement</w:t>
      </w:r>
      <w:r w:rsidRPr="00BB0A6C">
        <w:t xml:space="preserve">. [online] Available at: </w:t>
      </w:r>
      <w:hyperlink r:id="rId15" w:tgtFrame="_new" w:history="1">
        <w:r w:rsidRPr="00BB0A6C">
          <w:rPr>
            <w:rStyle w:val="Hyperlink"/>
          </w:rPr>
          <w:t>https://www.england.nhs.uk</w:t>
        </w:r>
      </w:hyperlink>
    </w:p>
    <w:p w14:paraId="4B080AD7" w14:textId="77777777" w:rsidR="008D2016" w:rsidRDefault="008D2016" w:rsidP="008D2016">
      <w:pPr>
        <w:pStyle w:val="ListParagraph"/>
        <w:numPr>
          <w:ilvl w:val="0"/>
          <w:numId w:val="39"/>
        </w:numPr>
      </w:pPr>
      <w:r w:rsidRPr="00BB0A6C">
        <w:br/>
        <w:t xml:space="preserve">Office for Life Sciences, 2023. </w:t>
      </w:r>
      <w:r w:rsidRPr="008D2016">
        <w:rPr>
          <w:i/>
          <w:iCs/>
        </w:rPr>
        <w:t>Life Sciences Vision: One Year On</w:t>
      </w:r>
      <w:r w:rsidRPr="00BB0A6C">
        <w:t xml:space="preserve">. [online] UK Government. Available at: </w:t>
      </w:r>
      <w:hyperlink r:id="rId16" w:tgtFrame="_new" w:history="1">
        <w:r w:rsidRPr="00BB0A6C">
          <w:rPr>
            <w:rStyle w:val="Hyperlink"/>
          </w:rPr>
          <w:t>https://www.gov.uk/government/publications</w:t>
        </w:r>
      </w:hyperlink>
    </w:p>
    <w:p w14:paraId="0E94C1E2" w14:textId="77777777" w:rsidR="008D2016" w:rsidRDefault="008D2016" w:rsidP="008D2016">
      <w:pPr>
        <w:pStyle w:val="ListParagraph"/>
        <w:numPr>
          <w:ilvl w:val="0"/>
          <w:numId w:val="39"/>
        </w:numPr>
      </w:pPr>
      <w:r w:rsidRPr="00BB0A6C">
        <w:br/>
        <w:t xml:space="preserve">Otter, J.P., 2012. </w:t>
      </w:r>
      <w:r w:rsidRPr="008D2016">
        <w:rPr>
          <w:i/>
          <w:iCs/>
        </w:rPr>
        <w:t>Leading change</w:t>
      </w:r>
      <w:r w:rsidRPr="00BB0A6C">
        <w:t>. Boston: Harvard Business Review Press.</w:t>
      </w:r>
      <w:r w:rsidRPr="00BB0A6C">
        <w:br/>
        <w:t xml:space="preserve">PwC, 2023. </w:t>
      </w:r>
      <w:r w:rsidRPr="008D2016">
        <w:rPr>
          <w:i/>
          <w:iCs/>
        </w:rPr>
        <w:t>Pharma 2025: Reimagining business and digital priorities</w:t>
      </w:r>
      <w:r w:rsidRPr="00BB0A6C">
        <w:t xml:space="preserve">. [online] Available at: </w:t>
      </w:r>
      <w:hyperlink r:id="rId17" w:tgtFrame="_new" w:history="1">
        <w:r w:rsidRPr="00BB0A6C">
          <w:rPr>
            <w:rStyle w:val="Hyperlink"/>
          </w:rPr>
          <w:t>https://www.pwc.com</w:t>
        </w:r>
      </w:hyperlink>
    </w:p>
    <w:p w14:paraId="7BDEC487" w14:textId="77777777" w:rsidR="008D2016" w:rsidRDefault="008D2016" w:rsidP="008D2016">
      <w:pPr>
        <w:pStyle w:val="ListParagraph"/>
        <w:numPr>
          <w:ilvl w:val="0"/>
          <w:numId w:val="39"/>
        </w:numPr>
      </w:pPr>
      <w:r w:rsidRPr="00BB0A6C">
        <w:br/>
        <w:t xml:space="preserve">Statista, 2024. </w:t>
      </w:r>
      <w:r w:rsidRPr="008D2016">
        <w:rPr>
          <w:i/>
          <w:iCs/>
        </w:rPr>
        <w:t>Global vitamin and supplement market size 2019–2029</w:t>
      </w:r>
      <w:r w:rsidRPr="00BB0A6C">
        <w:t xml:space="preserve">. [online] Available at: </w:t>
      </w:r>
      <w:hyperlink r:id="rId18" w:tgtFrame="_new" w:history="1">
        <w:r w:rsidRPr="00BB0A6C">
          <w:rPr>
            <w:rStyle w:val="Hyperlink"/>
          </w:rPr>
          <w:t>https://www.statista.com</w:t>
        </w:r>
      </w:hyperlink>
    </w:p>
    <w:p w14:paraId="2C266F8C" w14:textId="77777777" w:rsidR="008D2016" w:rsidRDefault="008D2016" w:rsidP="008D2016">
      <w:pPr>
        <w:pStyle w:val="ListParagraph"/>
        <w:numPr>
          <w:ilvl w:val="0"/>
          <w:numId w:val="39"/>
        </w:numPr>
      </w:pPr>
      <w:r w:rsidRPr="00BB0A6C">
        <w:br/>
        <w:t xml:space="preserve">Waterman, R.H., Peters, T.J. and Phillips, J.R., 1980. </w:t>
      </w:r>
      <w:r w:rsidRPr="008D2016">
        <w:rPr>
          <w:i/>
          <w:iCs/>
        </w:rPr>
        <w:t>Structure is not organisation</w:t>
      </w:r>
      <w:r w:rsidRPr="00BB0A6C">
        <w:t xml:space="preserve">. </w:t>
      </w:r>
      <w:r w:rsidRPr="008D2016">
        <w:rPr>
          <w:i/>
          <w:iCs/>
        </w:rPr>
        <w:t>Business Horizons</w:t>
      </w:r>
      <w:r w:rsidRPr="00BB0A6C">
        <w:t>, 23(3), pp.14–26.</w:t>
      </w:r>
    </w:p>
    <w:p w14:paraId="5992151D" w14:textId="77777777" w:rsidR="008D2016" w:rsidRDefault="008D2016" w:rsidP="008D2016">
      <w:pPr>
        <w:pStyle w:val="ListParagraph"/>
        <w:numPr>
          <w:ilvl w:val="0"/>
          <w:numId w:val="39"/>
        </w:numPr>
      </w:pPr>
      <w:r w:rsidRPr="00BB0A6C">
        <w:br/>
        <w:t xml:space="preserve">Westerman, G., Bonnet, D. and McAfee, A., 2014. </w:t>
      </w:r>
      <w:r w:rsidRPr="008D2016">
        <w:rPr>
          <w:i/>
          <w:iCs/>
        </w:rPr>
        <w:t>Leading digital: Turning technology into business transformation</w:t>
      </w:r>
      <w:r w:rsidRPr="00BB0A6C">
        <w:t>. Boston: Harvard Business Review Press.</w:t>
      </w:r>
    </w:p>
    <w:p w14:paraId="1341A308" w14:textId="77777777" w:rsidR="00C54C5E" w:rsidRDefault="00C54C5E" w:rsidP="00C54C5E">
      <w:pPr>
        <w:pStyle w:val="NormalWeb"/>
        <w:numPr>
          <w:ilvl w:val="0"/>
          <w:numId w:val="39"/>
        </w:numPr>
      </w:pPr>
      <w:r>
        <w:lastRenderedPageBreak/>
        <w:t xml:space="preserve">Chen, S. &amp; Martirosyan, D. (2021) </w:t>
      </w:r>
      <w:r>
        <w:rPr>
          <w:rStyle w:val="Emphasis"/>
          <w:rFonts w:eastAsiaTheme="majorEastAsia"/>
        </w:rPr>
        <w:t>Marketing strategies for functional food products</w:t>
      </w:r>
      <w:r>
        <w:t xml:space="preserve">. Functional Foods in Health and Disease. Available at: </w:t>
      </w:r>
      <w:hyperlink r:id="rId19" w:tgtFrame="_new" w:history="1">
        <w:r>
          <w:rPr>
            <w:rStyle w:val="Hyperlink"/>
            <w:rFonts w:eastAsiaTheme="majorEastAsia"/>
          </w:rPr>
          <w:t>https://www.researchgate.net/publication/353728618_Marketing_strategies_for_functional_food_products</w:t>
        </w:r>
      </w:hyperlink>
      <w:r>
        <w:t xml:space="preserve"> (Accessed: 31 October 2025).</w:t>
      </w:r>
    </w:p>
    <w:p w14:paraId="5818289F" w14:textId="77777777" w:rsidR="00C54C5E" w:rsidRDefault="00C54C5E" w:rsidP="00C54C5E">
      <w:pPr>
        <w:pStyle w:val="NormalWeb"/>
        <w:numPr>
          <w:ilvl w:val="0"/>
          <w:numId w:val="39"/>
        </w:numPr>
      </w:pPr>
      <w:proofErr w:type="spellStart"/>
      <w:r>
        <w:t>EELet</w:t>
      </w:r>
      <w:proofErr w:type="spellEnd"/>
      <w:r>
        <w:t xml:space="preserve"> Journal. (2025) </w:t>
      </w:r>
      <w:r>
        <w:rPr>
          <w:rStyle w:val="Emphasis"/>
          <w:rFonts w:eastAsiaTheme="majorEastAsia"/>
        </w:rPr>
        <w:t>Consumer segmentation in nutraceutical marketing</w:t>
      </w:r>
      <w:r>
        <w:t xml:space="preserve">. Available at: </w:t>
      </w:r>
      <w:hyperlink r:id="rId20" w:tgtFrame="_new" w:history="1">
        <w:r>
          <w:rPr>
            <w:rStyle w:val="Hyperlink"/>
            <w:rFonts w:eastAsiaTheme="majorEastAsia"/>
          </w:rPr>
          <w:t>https://www.eelet.org.uk/index.php/journal/article/view/2490</w:t>
        </w:r>
      </w:hyperlink>
      <w:r>
        <w:t xml:space="preserve"> (Accessed: 31 October 2025).</w:t>
      </w:r>
    </w:p>
    <w:p w14:paraId="31DB36E0" w14:textId="77777777" w:rsidR="00C54C5E" w:rsidRDefault="00C54C5E" w:rsidP="00C54C5E">
      <w:pPr>
        <w:pStyle w:val="NormalWeb"/>
        <w:numPr>
          <w:ilvl w:val="0"/>
          <w:numId w:val="39"/>
        </w:numPr>
      </w:pPr>
      <w:r>
        <w:t xml:space="preserve">Oniani, D. et al. (2022) </w:t>
      </w:r>
      <w:r>
        <w:rPr>
          <w:rStyle w:val="Emphasis"/>
          <w:rFonts w:eastAsiaTheme="majorEastAsia"/>
        </w:rPr>
        <w:t>Toward Improving Health Literacy in Patient Education Materials with Neural Machine Translation Models</w:t>
      </w:r>
      <w:r>
        <w:t xml:space="preserve">. </w:t>
      </w:r>
      <w:proofErr w:type="spellStart"/>
      <w:r>
        <w:t>arXiv</w:t>
      </w:r>
      <w:proofErr w:type="spellEnd"/>
      <w:r>
        <w:t xml:space="preserve">. Available at: </w:t>
      </w:r>
      <w:hyperlink r:id="rId21" w:tgtFrame="_new" w:history="1">
        <w:r>
          <w:rPr>
            <w:rStyle w:val="Hyperlink"/>
            <w:rFonts w:eastAsiaTheme="majorEastAsia"/>
          </w:rPr>
          <w:t>https://arxiv.org/abs/2209.06723</w:t>
        </w:r>
      </w:hyperlink>
      <w:r>
        <w:t xml:space="preserve"> (Accessed: 31 October 2025).</w:t>
      </w:r>
    </w:p>
    <w:p w14:paraId="41D5046B" w14:textId="77777777" w:rsidR="00C54C5E" w:rsidRDefault="00C54C5E" w:rsidP="00C54C5E">
      <w:pPr>
        <w:pStyle w:val="NormalWeb"/>
        <w:numPr>
          <w:ilvl w:val="0"/>
          <w:numId w:val="39"/>
        </w:numPr>
      </w:pPr>
      <w:r>
        <w:t xml:space="preserve">Stone, W. (2022) </w:t>
      </w:r>
      <w:r>
        <w:rPr>
          <w:rStyle w:val="Emphasis"/>
          <w:rFonts w:eastAsiaTheme="majorEastAsia"/>
        </w:rPr>
        <w:t>Market Research – Health Literacy’s Missing Ramp</w:t>
      </w:r>
      <w:r>
        <w:t xml:space="preserve">. Taylor &amp; Francis. Available at: </w:t>
      </w:r>
      <w:hyperlink r:id="rId22" w:tgtFrame="_new" w:history="1">
        <w:r>
          <w:rPr>
            <w:rStyle w:val="Hyperlink"/>
            <w:rFonts w:eastAsiaTheme="majorEastAsia"/>
          </w:rPr>
          <w:t>https://www.tandfonline.com/doi/full/10.1080/19325037.2021.2001779</w:t>
        </w:r>
      </w:hyperlink>
      <w:r>
        <w:t xml:space="preserve"> (Accessed: 31 October 2025).</w:t>
      </w:r>
    </w:p>
    <w:p w14:paraId="24175CEE" w14:textId="77777777" w:rsidR="00C54C5E" w:rsidRDefault="00C54C5E" w:rsidP="00C54C5E">
      <w:pPr>
        <w:pStyle w:val="NormalWeb"/>
        <w:numPr>
          <w:ilvl w:val="0"/>
          <w:numId w:val="39"/>
        </w:numPr>
      </w:pPr>
      <w:r>
        <w:t xml:space="preserve">Synergy Biologics. (2025) </w:t>
      </w:r>
      <w:r>
        <w:rPr>
          <w:rStyle w:val="Emphasis"/>
          <w:rFonts w:eastAsiaTheme="majorEastAsia"/>
        </w:rPr>
        <w:t>Our Company</w:t>
      </w:r>
      <w:r>
        <w:t xml:space="preserve">. Available at: </w:t>
      </w:r>
      <w:hyperlink r:id="rId23" w:tgtFrame="_new" w:history="1">
        <w:r>
          <w:rPr>
            <w:rStyle w:val="Hyperlink"/>
            <w:rFonts w:eastAsiaTheme="majorEastAsia"/>
          </w:rPr>
          <w:t>https://www.synergybiologics.co.uk/?utm_source=chatgpt.com</w:t>
        </w:r>
      </w:hyperlink>
      <w:r>
        <w:t xml:space="preserve"> (Accessed: 31 October 2025).</w:t>
      </w:r>
    </w:p>
    <w:p w14:paraId="2F54EB0E" w14:textId="77777777" w:rsidR="00C54C5E" w:rsidRDefault="00C54C5E" w:rsidP="00C54C5E">
      <w:pPr>
        <w:pStyle w:val="NormalWeb"/>
        <w:numPr>
          <w:ilvl w:val="0"/>
          <w:numId w:val="39"/>
        </w:numPr>
      </w:pPr>
      <w:r>
        <w:t xml:space="preserve">Youngmann, B. et al. (2019) </w:t>
      </w:r>
      <w:r>
        <w:rPr>
          <w:rStyle w:val="Emphasis"/>
          <w:rFonts w:eastAsiaTheme="majorEastAsia"/>
        </w:rPr>
        <w:t>Algorithmic Copywriting: Automated Generation of Health-Related Advertisements</w:t>
      </w:r>
      <w:r>
        <w:t xml:space="preserve">. </w:t>
      </w:r>
      <w:proofErr w:type="spellStart"/>
      <w:r>
        <w:t>arXiv</w:t>
      </w:r>
      <w:proofErr w:type="spellEnd"/>
      <w:r>
        <w:t xml:space="preserve">. Available at: </w:t>
      </w:r>
      <w:hyperlink r:id="rId24" w:tgtFrame="_new" w:history="1">
        <w:r>
          <w:rPr>
            <w:rStyle w:val="Hyperlink"/>
            <w:rFonts w:eastAsiaTheme="majorEastAsia"/>
          </w:rPr>
          <w:t>https://arxiv.org/abs/1910.12274</w:t>
        </w:r>
      </w:hyperlink>
      <w:r>
        <w:t xml:space="preserve"> (Accessed: 31 October 2025).</w:t>
      </w:r>
    </w:p>
    <w:p w14:paraId="67CA54B2" w14:textId="77777777" w:rsidR="00C54C5E" w:rsidRDefault="00C54C5E" w:rsidP="00C54C5E">
      <w:pPr>
        <w:pStyle w:val="NormalWeb"/>
        <w:numPr>
          <w:ilvl w:val="0"/>
          <w:numId w:val="39"/>
        </w:numPr>
      </w:pPr>
      <w:proofErr w:type="spellStart"/>
      <w:r>
        <w:t>Zoupos</w:t>
      </w:r>
      <w:proofErr w:type="spellEnd"/>
      <w:r>
        <w:t xml:space="preserve">, D. (2022) </w:t>
      </w:r>
      <w:r>
        <w:rPr>
          <w:rStyle w:val="Emphasis"/>
          <w:rFonts w:eastAsiaTheme="majorEastAsia"/>
        </w:rPr>
        <w:t>Digital marketing of nutraceutical and pharmaceutical products</w:t>
      </w:r>
      <w:r>
        <w:t>. PMC. Available at: https://www.ncbi.nlm.nih.gov/pmc/articles/PMC9782288/ (Accessed: 31 October 2025).</w:t>
      </w:r>
    </w:p>
    <w:p w14:paraId="43C0766C" w14:textId="266CBB0F" w:rsidR="00C54C5E" w:rsidRPr="00BB0A6C" w:rsidRDefault="00234C73" w:rsidP="008D2016">
      <w:pPr>
        <w:pStyle w:val="ListParagraph"/>
        <w:numPr>
          <w:ilvl w:val="0"/>
          <w:numId w:val="39"/>
        </w:numPr>
      </w:pPr>
      <w:r w:rsidRPr="00234C73">
        <w:t xml:space="preserve">Chen, S. &amp; Martirosyan, D. (2021) </w:t>
      </w:r>
      <w:r w:rsidRPr="00234C73">
        <w:rPr>
          <w:i/>
          <w:iCs/>
        </w:rPr>
        <w:t>Marketing strategies for functional food products</w:t>
      </w:r>
      <w:r w:rsidRPr="00234C73">
        <w:t xml:space="preserve">. Functional Foods in Health and Disease. Available at: </w:t>
      </w:r>
      <w:hyperlink r:id="rId25" w:tgtFrame="_new" w:history="1">
        <w:r w:rsidRPr="00234C73">
          <w:rPr>
            <w:rStyle w:val="Hyperlink"/>
          </w:rPr>
          <w:t>https://www.researchgate.net/publication/353728618_Marketing_strategies_for_functional_food_products</w:t>
        </w:r>
      </w:hyperlink>
      <w:r w:rsidRPr="00234C73">
        <w:t xml:space="preserve"> (Accessed: 31 October 2025).</w:t>
      </w:r>
    </w:p>
    <w:p w14:paraId="0AC79C05" w14:textId="331387D3" w:rsidR="00347039" w:rsidRPr="00784346" w:rsidRDefault="00347039" w:rsidP="00885FA7">
      <w:pPr>
        <w:pStyle w:val="ListParagraph"/>
        <w:rPr>
          <w:rFonts w:ascii="Arial" w:eastAsia="Hiragino Sans CNS W3" w:hAnsi="Arial" w:cs="Arial"/>
          <w:b/>
          <w:bCs/>
          <w:sz w:val="20"/>
          <w:szCs w:val="20"/>
        </w:rPr>
      </w:pPr>
      <w:r w:rsidRPr="00784346">
        <w:rPr>
          <w:rFonts w:ascii="Arial" w:eastAsia="Hiragino Sans CNS W3" w:hAnsi="Arial" w:cs="Arial"/>
          <w:i/>
          <w:iCs/>
          <w:sz w:val="20"/>
          <w:szCs w:val="20"/>
        </w:rPr>
        <w:t>(Selected from main study for illustrative purposes)</w:t>
      </w:r>
      <w:r w:rsidRPr="00784346">
        <w:rPr>
          <w:rFonts w:ascii="Arial" w:eastAsia="Hiragino Sans CNS W3" w:hAnsi="Arial" w:cs="Arial"/>
          <w:sz w:val="20"/>
          <w:szCs w:val="20"/>
        </w:rPr>
        <w:br/>
        <w:t xml:space="preserve">Argyris, C. (1999) </w:t>
      </w:r>
      <w:r w:rsidRPr="00784346">
        <w:rPr>
          <w:rFonts w:ascii="Arial" w:eastAsia="Hiragino Sans CNS W3" w:hAnsi="Arial" w:cs="Arial"/>
          <w:i/>
          <w:iCs/>
          <w:sz w:val="20"/>
          <w:szCs w:val="20"/>
        </w:rPr>
        <w:t>On Organizational Learning</w:t>
      </w:r>
      <w:r w:rsidRPr="00784346">
        <w:rPr>
          <w:rFonts w:ascii="Arial" w:eastAsia="Hiragino Sans CNS W3" w:hAnsi="Arial" w:cs="Arial"/>
          <w:sz w:val="20"/>
          <w:szCs w:val="20"/>
        </w:rPr>
        <w:t xml:space="preserve">. 2nd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Oxford: Blackwell.</w:t>
      </w:r>
      <w:r w:rsidRPr="00784346">
        <w:rPr>
          <w:rFonts w:ascii="Arial" w:eastAsia="Hiragino Sans CNS W3" w:hAnsi="Arial" w:cs="Arial"/>
          <w:sz w:val="20"/>
          <w:szCs w:val="20"/>
        </w:rPr>
        <w:br/>
        <w:t xml:space="preserve">Bryman, A. (2016) </w:t>
      </w:r>
      <w:r w:rsidRPr="00784346">
        <w:rPr>
          <w:rFonts w:ascii="Arial" w:eastAsia="Hiragino Sans CNS W3" w:hAnsi="Arial" w:cs="Arial"/>
          <w:i/>
          <w:iCs/>
          <w:sz w:val="20"/>
          <w:szCs w:val="20"/>
        </w:rPr>
        <w:t>Social Research Methods</w:t>
      </w:r>
      <w:r w:rsidRPr="00784346">
        <w:rPr>
          <w:rFonts w:ascii="Arial" w:eastAsia="Hiragino Sans CNS W3" w:hAnsi="Arial" w:cs="Arial"/>
          <w:sz w:val="20"/>
          <w:szCs w:val="20"/>
        </w:rPr>
        <w:t xml:space="preserve">. 5th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Oxford: Oxford University Press.</w:t>
      </w:r>
      <w:r w:rsidRPr="00784346">
        <w:rPr>
          <w:rFonts w:ascii="Arial" w:eastAsia="Hiragino Sans CNS W3" w:hAnsi="Arial" w:cs="Arial"/>
          <w:sz w:val="20"/>
          <w:szCs w:val="20"/>
        </w:rPr>
        <w:br/>
      </w:r>
      <w:r w:rsidR="00756A1B">
        <w:rPr>
          <w:rFonts w:ascii="Arial" w:eastAsia="Hiragino Sans CNS W3" w:hAnsi="Arial" w:cs="Arial"/>
          <w:sz w:val="20"/>
          <w:szCs w:val="20"/>
        </w:rPr>
        <w:t xml:space="preserve">48   </w:t>
      </w:r>
      <w:r w:rsidRPr="00784346">
        <w:rPr>
          <w:rFonts w:ascii="Arial" w:eastAsia="Hiragino Sans CNS W3" w:hAnsi="Arial" w:cs="Arial"/>
          <w:sz w:val="20"/>
          <w:szCs w:val="20"/>
        </w:rPr>
        <w:t xml:space="preserve">Creswell, J. W. (2018) </w:t>
      </w:r>
      <w:r w:rsidRPr="00784346">
        <w:rPr>
          <w:rFonts w:ascii="Arial" w:eastAsia="Hiragino Sans CNS W3" w:hAnsi="Arial" w:cs="Arial"/>
          <w:i/>
          <w:iCs/>
          <w:sz w:val="20"/>
          <w:szCs w:val="20"/>
        </w:rPr>
        <w:t xml:space="preserve">Research Design: Qualitative, Quantitative, and Mixed Methods </w:t>
      </w:r>
      <w:r w:rsidR="00756A1B">
        <w:rPr>
          <w:rFonts w:ascii="Arial" w:eastAsia="Hiragino Sans CNS W3" w:hAnsi="Arial" w:cs="Arial"/>
          <w:i/>
          <w:iCs/>
          <w:sz w:val="20"/>
          <w:szCs w:val="20"/>
        </w:rPr>
        <w:t xml:space="preserve">     </w:t>
      </w:r>
      <w:r w:rsidRPr="00784346">
        <w:rPr>
          <w:rFonts w:ascii="Arial" w:eastAsia="Hiragino Sans CNS W3" w:hAnsi="Arial" w:cs="Arial"/>
          <w:i/>
          <w:iCs/>
          <w:sz w:val="20"/>
          <w:szCs w:val="20"/>
        </w:rPr>
        <w:t>Approaches</w:t>
      </w:r>
      <w:r w:rsidRPr="00784346">
        <w:rPr>
          <w:rFonts w:ascii="Arial" w:eastAsia="Hiragino Sans CNS W3" w:hAnsi="Arial" w:cs="Arial"/>
          <w:sz w:val="20"/>
          <w:szCs w:val="20"/>
        </w:rPr>
        <w:t xml:space="preserve">. 5th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Thousand Oaks, CA: Sage.</w:t>
      </w:r>
      <w:r w:rsidRPr="00784346">
        <w:rPr>
          <w:rFonts w:ascii="Arial" w:eastAsia="Hiragino Sans CNS W3" w:hAnsi="Arial" w:cs="Arial"/>
          <w:sz w:val="20"/>
          <w:szCs w:val="20"/>
        </w:rPr>
        <w:br/>
      </w:r>
      <w:r w:rsidR="00756A1B">
        <w:rPr>
          <w:rFonts w:ascii="Arial" w:eastAsia="Hiragino Sans CNS W3" w:hAnsi="Arial" w:cs="Arial"/>
          <w:sz w:val="20"/>
          <w:szCs w:val="20"/>
        </w:rPr>
        <w:t xml:space="preserve">49  </w:t>
      </w:r>
      <w:r w:rsidR="003F7C22">
        <w:rPr>
          <w:rFonts w:ascii="Arial" w:eastAsia="Hiragino Sans CNS W3" w:hAnsi="Arial" w:cs="Arial"/>
          <w:sz w:val="20"/>
          <w:szCs w:val="20"/>
        </w:rPr>
        <w:t xml:space="preserve"> </w:t>
      </w:r>
      <w:r w:rsidRPr="00784346">
        <w:rPr>
          <w:rFonts w:ascii="Arial" w:eastAsia="Hiragino Sans CNS W3" w:hAnsi="Arial" w:cs="Arial"/>
          <w:sz w:val="20"/>
          <w:szCs w:val="20"/>
        </w:rPr>
        <w:t xml:space="preserve">Kotler, P. (2017) </w:t>
      </w:r>
      <w:r w:rsidRPr="00784346">
        <w:rPr>
          <w:rFonts w:ascii="Arial" w:eastAsia="Hiragino Sans CNS W3" w:hAnsi="Arial" w:cs="Arial"/>
          <w:i/>
          <w:iCs/>
          <w:sz w:val="20"/>
          <w:szCs w:val="20"/>
        </w:rPr>
        <w:t>Marketing Management</w:t>
      </w:r>
      <w:r w:rsidRPr="00784346">
        <w:rPr>
          <w:rFonts w:ascii="Arial" w:eastAsia="Hiragino Sans CNS W3" w:hAnsi="Arial" w:cs="Arial"/>
          <w:sz w:val="20"/>
          <w:szCs w:val="20"/>
        </w:rPr>
        <w:t xml:space="preserve">. 15th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Harlow: Pearson Education.</w:t>
      </w:r>
      <w:r w:rsidRPr="00784346">
        <w:rPr>
          <w:rFonts w:ascii="Arial" w:eastAsia="Hiragino Sans CNS W3" w:hAnsi="Arial" w:cs="Arial"/>
          <w:sz w:val="20"/>
          <w:szCs w:val="20"/>
        </w:rPr>
        <w:br/>
      </w:r>
      <w:r w:rsidR="0053253C">
        <w:rPr>
          <w:rFonts w:ascii="Arial" w:eastAsia="Hiragino Sans CNS W3" w:hAnsi="Arial" w:cs="Arial"/>
          <w:sz w:val="20"/>
          <w:szCs w:val="20"/>
        </w:rPr>
        <w:t xml:space="preserve">50   </w:t>
      </w:r>
      <w:r w:rsidRPr="00784346">
        <w:rPr>
          <w:rFonts w:ascii="Arial" w:eastAsia="Hiragino Sans CNS W3" w:hAnsi="Arial" w:cs="Arial"/>
          <w:sz w:val="20"/>
          <w:szCs w:val="20"/>
        </w:rPr>
        <w:t xml:space="preserve">Robson, C. and McCartan, K. (2016) </w:t>
      </w:r>
      <w:r w:rsidRPr="00784346">
        <w:rPr>
          <w:rFonts w:ascii="Arial" w:eastAsia="Hiragino Sans CNS W3" w:hAnsi="Arial" w:cs="Arial"/>
          <w:i/>
          <w:iCs/>
          <w:sz w:val="20"/>
          <w:szCs w:val="20"/>
        </w:rPr>
        <w:t>Real World Research</w:t>
      </w:r>
      <w:r w:rsidRPr="00784346">
        <w:rPr>
          <w:rFonts w:ascii="Arial" w:eastAsia="Hiragino Sans CNS W3" w:hAnsi="Arial" w:cs="Arial"/>
          <w:sz w:val="20"/>
          <w:szCs w:val="20"/>
        </w:rPr>
        <w:t xml:space="preserve">. 4th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Chichester: Wiley.</w:t>
      </w:r>
      <w:r w:rsidRPr="00784346">
        <w:rPr>
          <w:rFonts w:ascii="Arial" w:eastAsia="Hiragino Sans CNS W3" w:hAnsi="Arial" w:cs="Arial"/>
          <w:sz w:val="20"/>
          <w:szCs w:val="20"/>
        </w:rPr>
        <w:br/>
      </w:r>
      <w:r w:rsidR="0053253C">
        <w:rPr>
          <w:rFonts w:ascii="Arial" w:eastAsia="Hiragino Sans CNS W3" w:hAnsi="Arial" w:cs="Arial"/>
          <w:sz w:val="20"/>
          <w:szCs w:val="20"/>
        </w:rPr>
        <w:t xml:space="preserve">51   </w:t>
      </w:r>
      <w:r w:rsidRPr="00784346">
        <w:rPr>
          <w:rFonts w:ascii="Arial" w:eastAsia="Hiragino Sans CNS W3" w:hAnsi="Arial" w:cs="Arial"/>
          <w:sz w:val="20"/>
          <w:szCs w:val="20"/>
        </w:rPr>
        <w:t xml:space="preserve">Saunders, M., Lewis, P. and Thornhill, A. (2019) </w:t>
      </w:r>
      <w:r w:rsidRPr="00784346">
        <w:rPr>
          <w:rFonts w:ascii="Arial" w:eastAsia="Hiragino Sans CNS W3" w:hAnsi="Arial" w:cs="Arial"/>
          <w:i/>
          <w:iCs/>
          <w:sz w:val="20"/>
          <w:szCs w:val="20"/>
        </w:rPr>
        <w:t>Research Methods for Business Students</w:t>
      </w:r>
      <w:r w:rsidRPr="00784346">
        <w:rPr>
          <w:rFonts w:ascii="Arial" w:eastAsia="Hiragino Sans CNS W3" w:hAnsi="Arial" w:cs="Arial"/>
          <w:sz w:val="20"/>
          <w:szCs w:val="20"/>
        </w:rPr>
        <w:t xml:space="preserve">. 8th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Harlow: Pearson Education.</w:t>
      </w:r>
      <w:r w:rsidRPr="00784346">
        <w:rPr>
          <w:rFonts w:ascii="Arial" w:eastAsia="Hiragino Sans CNS W3" w:hAnsi="Arial" w:cs="Arial"/>
          <w:sz w:val="20"/>
          <w:szCs w:val="20"/>
        </w:rPr>
        <w:br/>
      </w:r>
      <w:r w:rsidR="003F7C22">
        <w:rPr>
          <w:rFonts w:ascii="Arial" w:eastAsia="Hiragino Sans CNS W3" w:hAnsi="Arial" w:cs="Arial"/>
          <w:sz w:val="20"/>
          <w:szCs w:val="20"/>
        </w:rPr>
        <w:t xml:space="preserve">52   </w:t>
      </w:r>
      <w:r w:rsidR="003F7C22" w:rsidRPr="00784346">
        <w:rPr>
          <w:rFonts w:ascii="Arial" w:eastAsia="Hiragino Sans CNS W3" w:hAnsi="Arial" w:cs="Arial"/>
          <w:sz w:val="20"/>
          <w:szCs w:val="20"/>
        </w:rPr>
        <w:t>Shakori</w:t>
      </w:r>
      <w:r w:rsidRPr="00784346">
        <w:rPr>
          <w:rFonts w:ascii="Arial" w:eastAsia="Hiragino Sans CNS W3" w:hAnsi="Arial" w:cs="Arial"/>
          <w:sz w:val="20"/>
          <w:szCs w:val="20"/>
        </w:rPr>
        <w:t xml:space="preserve">, A. and Teddlie, C. (2010) </w:t>
      </w:r>
      <w:r w:rsidRPr="00784346">
        <w:rPr>
          <w:rFonts w:ascii="Arial" w:eastAsia="Hiragino Sans CNS W3" w:hAnsi="Arial" w:cs="Arial"/>
          <w:i/>
          <w:iCs/>
          <w:sz w:val="20"/>
          <w:szCs w:val="20"/>
        </w:rPr>
        <w:t xml:space="preserve">SAGE Handbook of Mixed Methods in Social </w:t>
      </w:r>
      <w:proofErr w:type="gramStart"/>
      <w:r w:rsidRPr="00784346">
        <w:rPr>
          <w:rFonts w:ascii="Arial" w:eastAsia="Hiragino Sans CNS W3" w:hAnsi="Arial" w:cs="Arial"/>
          <w:i/>
          <w:iCs/>
          <w:sz w:val="20"/>
          <w:szCs w:val="20"/>
        </w:rPr>
        <w:t xml:space="preserve">and </w:t>
      </w:r>
      <w:r w:rsidR="003F7C22">
        <w:rPr>
          <w:rFonts w:ascii="Arial" w:eastAsia="Hiragino Sans CNS W3" w:hAnsi="Arial" w:cs="Arial"/>
          <w:i/>
          <w:iCs/>
          <w:sz w:val="20"/>
          <w:szCs w:val="20"/>
        </w:rPr>
        <w:t xml:space="preserve"> </w:t>
      </w:r>
      <w:proofErr w:type="spellStart"/>
      <w:r w:rsidRPr="00784346">
        <w:rPr>
          <w:rFonts w:ascii="Arial" w:eastAsia="Hiragino Sans CNS W3" w:hAnsi="Arial" w:cs="Arial"/>
          <w:i/>
          <w:iCs/>
          <w:sz w:val="20"/>
          <w:szCs w:val="20"/>
        </w:rPr>
        <w:t>Behavioral</w:t>
      </w:r>
      <w:proofErr w:type="spellEnd"/>
      <w:proofErr w:type="gramEnd"/>
      <w:r w:rsidRPr="00784346">
        <w:rPr>
          <w:rFonts w:ascii="Arial" w:eastAsia="Hiragino Sans CNS W3" w:hAnsi="Arial" w:cs="Arial"/>
          <w:i/>
          <w:iCs/>
          <w:sz w:val="20"/>
          <w:szCs w:val="20"/>
        </w:rPr>
        <w:t xml:space="preserve"> Research</w:t>
      </w:r>
      <w:r w:rsidRPr="00784346">
        <w:rPr>
          <w:rFonts w:ascii="Arial" w:eastAsia="Hiragino Sans CNS W3" w:hAnsi="Arial" w:cs="Arial"/>
          <w:sz w:val="20"/>
          <w:szCs w:val="20"/>
        </w:rPr>
        <w:t xml:space="preserve">. 2nd </w:t>
      </w:r>
      <w:proofErr w:type="spellStart"/>
      <w:r w:rsidRPr="00784346">
        <w:rPr>
          <w:rFonts w:ascii="Arial" w:eastAsia="Hiragino Sans CNS W3" w:hAnsi="Arial" w:cs="Arial"/>
          <w:sz w:val="20"/>
          <w:szCs w:val="20"/>
        </w:rPr>
        <w:t>edn</w:t>
      </w:r>
      <w:proofErr w:type="spellEnd"/>
      <w:r w:rsidRPr="00784346">
        <w:rPr>
          <w:rFonts w:ascii="Arial" w:eastAsia="Hiragino Sans CNS W3" w:hAnsi="Arial" w:cs="Arial"/>
          <w:sz w:val="20"/>
          <w:szCs w:val="20"/>
        </w:rPr>
        <w:t>. Thousand Oaks, CA: Sage.</w:t>
      </w:r>
      <w:r w:rsidRPr="00784346">
        <w:rPr>
          <w:rFonts w:ascii="Arial" w:eastAsia="Hiragino Sans CNS W3" w:hAnsi="Arial" w:cs="Arial"/>
          <w:sz w:val="20"/>
          <w:szCs w:val="20"/>
        </w:rPr>
        <w:br/>
      </w:r>
      <w:r w:rsidR="00DB1B04">
        <w:rPr>
          <w:rFonts w:ascii="Arial" w:eastAsia="Hiragino Sans CNS W3" w:hAnsi="Arial" w:cs="Arial"/>
          <w:b/>
          <w:bCs/>
          <w:sz w:val="20"/>
          <w:szCs w:val="20"/>
        </w:rPr>
        <w:t xml:space="preserve">53 </w:t>
      </w:r>
      <w:r w:rsidR="00DB1B04" w:rsidRPr="00784346">
        <w:rPr>
          <w:rFonts w:ascii="Arial" w:eastAsia="Hiragino Sans CNS W3" w:hAnsi="Arial" w:cs="Arial"/>
          <w:sz w:val="20"/>
          <w:szCs w:val="20"/>
        </w:rPr>
        <w:t xml:space="preserve">Argyris, C. (1999) </w:t>
      </w:r>
      <w:r w:rsidR="00DB1B04" w:rsidRPr="00784346">
        <w:rPr>
          <w:rFonts w:ascii="Arial" w:eastAsia="Hiragino Sans CNS W3" w:hAnsi="Arial" w:cs="Arial"/>
          <w:i/>
          <w:iCs/>
          <w:sz w:val="20"/>
          <w:szCs w:val="20"/>
        </w:rPr>
        <w:t>On Organizational Learning</w:t>
      </w:r>
      <w:r w:rsidR="00DB1B04" w:rsidRPr="00784346">
        <w:rPr>
          <w:rFonts w:ascii="Arial" w:eastAsia="Hiragino Sans CNS W3" w:hAnsi="Arial" w:cs="Arial"/>
          <w:sz w:val="20"/>
          <w:szCs w:val="20"/>
        </w:rPr>
        <w:t xml:space="preserve">. 2nd </w:t>
      </w:r>
      <w:proofErr w:type="spellStart"/>
      <w:r w:rsidR="00DB1B04" w:rsidRPr="00784346">
        <w:rPr>
          <w:rFonts w:ascii="Arial" w:eastAsia="Hiragino Sans CNS W3" w:hAnsi="Arial" w:cs="Arial"/>
          <w:sz w:val="20"/>
          <w:szCs w:val="20"/>
        </w:rPr>
        <w:t>edn</w:t>
      </w:r>
      <w:proofErr w:type="spellEnd"/>
      <w:r w:rsidR="00DB1B04" w:rsidRPr="00784346">
        <w:rPr>
          <w:rFonts w:ascii="Arial" w:eastAsia="Hiragino Sans CNS W3" w:hAnsi="Arial" w:cs="Arial"/>
          <w:sz w:val="20"/>
          <w:szCs w:val="20"/>
        </w:rPr>
        <w:t>. Oxford: Blackwell.</w:t>
      </w:r>
      <w:r w:rsidR="00DB1B04" w:rsidRPr="00784346">
        <w:rPr>
          <w:rFonts w:ascii="Arial" w:eastAsia="Hiragino Sans CNS W3" w:hAnsi="Arial" w:cs="Arial"/>
          <w:sz w:val="20"/>
          <w:szCs w:val="20"/>
        </w:rPr>
        <w:br/>
        <w:t xml:space="preserve">Creswell, J. W. (2018) </w:t>
      </w:r>
      <w:r w:rsidR="00DB1B04" w:rsidRPr="00784346">
        <w:rPr>
          <w:rFonts w:ascii="Arial" w:eastAsia="Hiragino Sans CNS W3" w:hAnsi="Arial" w:cs="Arial"/>
          <w:i/>
          <w:iCs/>
          <w:sz w:val="20"/>
          <w:szCs w:val="20"/>
        </w:rPr>
        <w:t>Research Design: Qualitative, Quantitative, and Mixed Methods Approaches</w:t>
      </w:r>
      <w:r w:rsidR="00DB1B04" w:rsidRPr="00784346">
        <w:rPr>
          <w:rFonts w:ascii="Arial" w:eastAsia="Hiragino Sans CNS W3" w:hAnsi="Arial" w:cs="Arial"/>
          <w:sz w:val="20"/>
          <w:szCs w:val="20"/>
        </w:rPr>
        <w:t xml:space="preserve">. 5th </w:t>
      </w:r>
      <w:proofErr w:type="spellStart"/>
      <w:r w:rsidR="00DB1B04" w:rsidRPr="00784346">
        <w:rPr>
          <w:rFonts w:ascii="Arial" w:eastAsia="Hiragino Sans CNS W3" w:hAnsi="Arial" w:cs="Arial"/>
          <w:sz w:val="20"/>
          <w:szCs w:val="20"/>
        </w:rPr>
        <w:t>edn</w:t>
      </w:r>
      <w:proofErr w:type="spellEnd"/>
      <w:r w:rsidR="00DB1B04" w:rsidRPr="00784346">
        <w:rPr>
          <w:rFonts w:ascii="Arial" w:eastAsia="Hiragino Sans CNS W3" w:hAnsi="Arial" w:cs="Arial"/>
          <w:sz w:val="20"/>
          <w:szCs w:val="20"/>
        </w:rPr>
        <w:t>. Thousand Oaks, CA: Sage.</w:t>
      </w:r>
      <w:r w:rsidR="00DB1B04" w:rsidRPr="00784346">
        <w:rPr>
          <w:rFonts w:ascii="Arial" w:eastAsia="Hiragino Sans CNS W3" w:hAnsi="Arial" w:cs="Arial"/>
          <w:sz w:val="20"/>
          <w:szCs w:val="20"/>
        </w:rPr>
        <w:br/>
        <w:t xml:space="preserve">Kotler, P. (2017) </w:t>
      </w:r>
      <w:r w:rsidR="00DB1B04" w:rsidRPr="00784346">
        <w:rPr>
          <w:rFonts w:ascii="Arial" w:eastAsia="Hiragino Sans CNS W3" w:hAnsi="Arial" w:cs="Arial"/>
          <w:i/>
          <w:iCs/>
          <w:sz w:val="20"/>
          <w:szCs w:val="20"/>
        </w:rPr>
        <w:t>Marketing Management</w:t>
      </w:r>
      <w:r w:rsidR="00DB1B04" w:rsidRPr="00784346">
        <w:rPr>
          <w:rFonts w:ascii="Arial" w:eastAsia="Hiragino Sans CNS W3" w:hAnsi="Arial" w:cs="Arial"/>
          <w:sz w:val="20"/>
          <w:szCs w:val="20"/>
        </w:rPr>
        <w:t xml:space="preserve">. 15th </w:t>
      </w:r>
      <w:proofErr w:type="spellStart"/>
      <w:r w:rsidR="00DB1B04" w:rsidRPr="00784346">
        <w:rPr>
          <w:rFonts w:ascii="Arial" w:eastAsia="Hiragino Sans CNS W3" w:hAnsi="Arial" w:cs="Arial"/>
          <w:sz w:val="20"/>
          <w:szCs w:val="20"/>
        </w:rPr>
        <w:t>edn</w:t>
      </w:r>
      <w:proofErr w:type="spellEnd"/>
      <w:r w:rsidR="00DB1B04" w:rsidRPr="00784346">
        <w:rPr>
          <w:rFonts w:ascii="Arial" w:eastAsia="Hiragino Sans CNS W3" w:hAnsi="Arial" w:cs="Arial"/>
          <w:sz w:val="20"/>
          <w:szCs w:val="20"/>
        </w:rPr>
        <w:t>. Harlow: Pearson Education.</w:t>
      </w:r>
      <w:r w:rsidR="00DB1B04" w:rsidRPr="00784346">
        <w:rPr>
          <w:rFonts w:ascii="Arial" w:eastAsia="Hiragino Sans CNS W3" w:hAnsi="Arial" w:cs="Arial"/>
          <w:sz w:val="20"/>
          <w:szCs w:val="20"/>
        </w:rPr>
        <w:br/>
        <w:t xml:space="preserve">Robson, C. and McCartan, K. (2016) </w:t>
      </w:r>
      <w:r w:rsidR="00DB1B04" w:rsidRPr="00784346">
        <w:rPr>
          <w:rFonts w:ascii="Arial" w:eastAsia="Hiragino Sans CNS W3" w:hAnsi="Arial" w:cs="Arial"/>
          <w:i/>
          <w:iCs/>
          <w:sz w:val="20"/>
          <w:szCs w:val="20"/>
        </w:rPr>
        <w:t>Real World Research</w:t>
      </w:r>
      <w:r w:rsidR="00DB1B04" w:rsidRPr="00784346">
        <w:rPr>
          <w:rFonts w:ascii="Arial" w:eastAsia="Hiragino Sans CNS W3" w:hAnsi="Arial" w:cs="Arial"/>
          <w:sz w:val="20"/>
          <w:szCs w:val="20"/>
        </w:rPr>
        <w:t xml:space="preserve">. 4th </w:t>
      </w:r>
      <w:proofErr w:type="spellStart"/>
      <w:r w:rsidR="00DB1B04" w:rsidRPr="00784346">
        <w:rPr>
          <w:rFonts w:ascii="Arial" w:eastAsia="Hiragino Sans CNS W3" w:hAnsi="Arial" w:cs="Arial"/>
          <w:sz w:val="20"/>
          <w:szCs w:val="20"/>
        </w:rPr>
        <w:t>edn</w:t>
      </w:r>
      <w:proofErr w:type="spellEnd"/>
      <w:r w:rsidR="00DB1B04" w:rsidRPr="00784346">
        <w:rPr>
          <w:rFonts w:ascii="Arial" w:eastAsia="Hiragino Sans CNS W3" w:hAnsi="Arial" w:cs="Arial"/>
          <w:sz w:val="20"/>
          <w:szCs w:val="20"/>
        </w:rPr>
        <w:t>. Chichester: Wiley</w:t>
      </w:r>
    </w:p>
    <w:p w14:paraId="75BDBB4E" w14:textId="5046CDBC" w:rsidR="00347039" w:rsidRPr="004E0EA1" w:rsidRDefault="001E2C10" w:rsidP="004D4C96">
      <w:pPr>
        <w:pStyle w:val="ListParagraph"/>
        <w:rPr>
          <w:b/>
          <w:bCs/>
          <w:color w:val="EE0000"/>
        </w:rPr>
      </w:pPr>
      <w:r w:rsidRPr="004E0EA1">
        <w:rPr>
          <w:b/>
          <w:bCs/>
          <w:color w:val="EE0000"/>
        </w:rPr>
        <w:t xml:space="preserve"> </w:t>
      </w:r>
    </w:p>
    <w:p w14:paraId="70F708E0" w14:textId="5A918B90" w:rsidR="00255525" w:rsidRPr="004E0EA1" w:rsidRDefault="00255525" w:rsidP="00255525">
      <w:pPr>
        <w:rPr>
          <w:b/>
          <w:bCs/>
        </w:rPr>
      </w:pPr>
    </w:p>
    <w:p w14:paraId="17DC4314" w14:textId="77777777" w:rsidR="00255525" w:rsidRPr="004E0EA1" w:rsidRDefault="00255525" w:rsidP="0088211F">
      <w:pPr>
        <w:rPr>
          <w:b/>
          <w:bCs/>
          <w:color w:val="000000" w:themeColor="text1"/>
        </w:rPr>
      </w:pPr>
    </w:p>
    <w:p w14:paraId="14D9B4F7" w14:textId="77777777" w:rsidR="0088211F" w:rsidRDefault="0088211F" w:rsidP="0088211F">
      <w:pPr>
        <w:jc w:val="right"/>
      </w:pPr>
    </w:p>
    <w:p w14:paraId="4F960AC0" w14:textId="77777777" w:rsidR="0088211F" w:rsidRDefault="0088211F" w:rsidP="0088211F">
      <w:pPr>
        <w:jc w:val="right"/>
      </w:pPr>
    </w:p>
    <w:p w14:paraId="02D558EB" w14:textId="77777777" w:rsidR="0088211F" w:rsidRDefault="0088211F" w:rsidP="0088211F">
      <w:pPr>
        <w:jc w:val="right"/>
      </w:pPr>
    </w:p>
    <w:p w14:paraId="1CFE4DDA" w14:textId="77777777" w:rsidR="0088211F" w:rsidRPr="0088211F" w:rsidRDefault="0088211F" w:rsidP="0088211F">
      <w:pPr>
        <w:jc w:val="right"/>
      </w:pPr>
    </w:p>
    <w:sectPr w:rsidR="0088211F" w:rsidRPr="008821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00000000" w:usb1="28CFFDFA" w:usb2="00000016" w:usb3="00000000" w:csb0="00120005"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767D"/>
    <w:multiLevelType w:val="multilevel"/>
    <w:tmpl w:val="E432E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24FD2"/>
    <w:multiLevelType w:val="multilevel"/>
    <w:tmpl w:val="D12E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60D6D"/>
    <w:multiLevelType w:val="hybridMultilevel"/>
    <w:tmpl w:val="FDE60FF6"/>
    <w:lvl w:ilvl="0" w:tplc="6FEE5E1E">
      <w:start w:val="5"/>
      <w:numFmt w:val="decimal"/>
      <w:lvlText w:val="%1"/>
      <w:lvlJc w:val="left"/>
      <w:pPr>
        <w:ind w:left="720" w:hanging="360"/>
      </w:pPr>
      <w:rPr>
        <w:rFonts w:ascii="Arial" w:eastAsia="Hiragino Sans CNS W3" w:hAnsi="Arial" w:cs="Arial"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0D290D"/>
    <w:multiLevelType w:val="multilevel"/>
    <w:tmpl w:val="1C3690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96412F"/>
    <w:multiLevelType w:val="multilevel"/>
    <w:tmpl w:val="AD7CE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9E1359"/>
    <w:multiLevelType w:val="multilevel"/>
    <w:tmpl w:val="F27E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284BA5"/>
    <w:multiLevelType w:val="multilevel"/>
    <w:tmpl w:val="8FF2C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3F10B0"/>
    <w:multiLevelType w:val="multilevel"/>
    <w:tmpl w:val="D55A6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1689391F"/>
    <w:multiLevelType w:val="multilevel"/>
    <w:tmpl w:val="15FCB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887D25"/>
    <w:multiLevelType w:val="multilevel"/>
    <w:tmpl w:val="9F4255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8C7496"/>
    <w:multiLevelType w:val="multilevel"/>
    <w:tmpl w:val="ED020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EF7FA2"/>
    <w:multiLevelType w:val="multilevel"/>
    <w:tmpl w:val="95CE7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C61A1A"/>
    <w:multiLevelType w:val="multilevel"/>
    <w:tmpl w:val="33AE0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8775C7"/>
    <w:multiLevelType w:val="multilevel"/>
    <w:tmpl w:val="374E2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F04E47"/>
    <w:multiLevelType w:val="multilevel"/>
    <w:tmpl w:val="8D4E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702B7F"/>
    <w:multiLevelType w:val="multilevel"/>
    <w:tmpl w:val="C1EC2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DD76B1"/>
    <w:multiLevelType w:val="multilevel"/>
    <w:tmpl w:val="53704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5D3942"/>
    <w:multiLevelType w:val="multilevel"/>
    <w:tmpl w:val="B0C02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2B6394"/>
    <w:multiLevelType w:val="multilevel"/>
    <w:tmpl w:val="03E84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4E792B"/>
    <w:multiLevelType w:val="multilevel"/>
    <w:tmpl w:val="4D147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AB652A"/>
    <w:multiLevelType w:val="multilevel"/>
    <w:tmpl w:val="897E3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B42EC6"/>
    <w:multiLevelType w:val="multilevel"/>
    <w:tmpl w:val="629E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79148B"/>
    <w:multiLevelType w:val="multilevel"/>
    <w:tmpl w:val="73F03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4D568B"/>
    <w:multiLevelType w:val="multilevel"/>
    <w:tmpl w:val="F6F80952"/>
    <w:lvl w:ilvl="0">
      <w:start w:val="1"/>
      <w:numFmt w:val="decimal"/>
      <w:lvlText w:val="%1."/>
      <w:lvlJc w:val="left"/>
      <w:pPr>
        <w:tabs>
          <w:tab w:val="num" w:pos="720"/>
        </w:tabs>
        <w:ind w:left="72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E870D99"/>
    <w:multiLevelType w:val="multilevel"/>
    <w:tmpl w:val="B758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1F686D"/>
    <w:multiLevelType w:val="multilevel"/>
    <w:tmpl w:val="F45CF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5872C3"/>
    <w:multiLevelType w:val="multilevel"/>
    <w:tmpl w:val="CB609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38747BB"/>
    <w:multiLevelType w:val="multilevel"/>
    <w:tmpl w:val="20EC7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6B1227"/>
    <w:multiLevelType w:val="multilevel"/>
    <w:tmpl w:val="1924C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0A43F7"/>
    <w:multiLevelType w:val="multilevel"/>
    <w:tmpl w:val="3DF20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C24C51"/>
    <w:multiLevelType w:val="multilevel"/>
    <w:tmpl w:val="0A8A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16641A"/>
    <w:multiLevelType w:val="multilevel"/>
    <w:tmpl w:val="F1284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0F6D72"/>
    <w:multiLevelType w:val="multilevel"/>
    <w:tmpl w:val="EAE28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3344342"/>
    <w:multiLevelType w:val="multilevel"/>
    <w:tmpl w:val="F4E46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3D1B0E"/>
    <w:multiLevelType w:val="multilevel"/>
    <w:tmpl w:val="3B3E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43683B"/>
    <w:multiLevelType w:val="multilevel"/>
    <w:tmpl w:val="C1BA7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F700884"/>
    <w:multiLevelType w:val="multilevel"/>
    <w:tmpl w:val="C2001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757DB9"/>
    <w:multiLevelType w:val="multilevel"/>
    <w:tmpl w:val="CE1C8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EE5322"/>
    <w:multiLevelType w:val="multilevel"/>
    <w:tmpl w:val="2446E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8C634D"/>
    <w:multiLevelType w:val="multilevel"/>
    <w:tmpl w:val="BC7C7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3A4417"/>
    <w:multiLevelType w:val="multilevel"/>
    <w:tmpl w:val="B198C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432732C"/>
    <w:multiLevelType w:val="multilevel"/>
    <w:tmpl w:val="39306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47D22CC"/>
    <w:multiLevelType w:val="multilevel"/>
    <w:tmpl w:val="3E46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2E1033"/>
    <w:multiLevelType w:val="multilevel"/>
    <w:tmpl w:val="4ADA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5A26B0"/>
    <w:multiLevelType w:val="multilevel"/>
    <w:tmpl w:val="AE6A9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5C7D68"/>
    <w:multiLevelType w:val="multilevel"/>
    <w:tmpl w:val="829C2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5014373">
    <w:abstractNumId w:val="8"/>
  </w:num>
  <w:num w:numId="2" w16cid:durableId="1633945780">
    <w:abstractNumId w:val="8"/>
  </w:num>
  <w:num w:numId="3" w16cid:durableId="1528910310">
    <w:abstractNumId w:val="8"/>
  </w:num>
  <w:num w:numId="4" w16cid:durableId="779883864">
    <w:abstractNumId w:val="8"/>
  </w:num>
  <w:num w:numId="5" w16cid:durableId="516577271">
    <w:abstractNumId w:val="8"/>
  </w:num>
  <w:num w:numId="6" w16cid:durableId="81147432">
    <w:abstractNumId w:val="8"/>
  </w:num>
  <w:num w:numId="7" w16cid:durableId="2088572239">
    <w:abstractNumId w:val="8"/>
  </w:num>
  <w:num w:numId="8" w16cid:durableId="2020690302">
    <w:abstractNumId w:val="8"/>
  </w:num>
  <w:num w:numId="9" w16cid:durableId="906722868">
    <w:abstractNumId w:val="8"/>
  </w:num>
  <w:num w:numId="10" w16cid:durableId="901525264">
    <w:abstractNumId w:val="8"/>
  </w:num>
  <w:num w:numId="11" w16cid:durableId="672799304">
    <w:abstractNumId w:val="11"/>
  </w:num>
  <w:num w:numId="12" w16cid:durableId="2083023126">
    <w:abstractNumId w:val="1"/>
  </w:num>
  <w:num w:numId="13" w16cid:durableId="1624724385">
    <w:abstractNumId w:val="23"/>
  </w:num>
  <w:num w:numId="14" w16cid:durableId="357434569">
    <w:abstractNumId w:val="0"/>
  </w:num>
  <w:num w:numId="15" w16cid:durableId="588275238">
    <w:abstractNumId w:val="36"/>
  </w:num>
  <w:num w:numId="16" w16cid:durableId="546720882">
    <w:abstractNumId w:val="10"/>
  </w:num>
  <w:num w:numId="17" w16cid:durableId="1241988109">
    <w:abstractNumId w:val="43"/>
  </w:num>
  <w:num w:numId="18" w16cid:durableId="12538590">
    <w:abstractNumId w:val="5"/>
  </w:num>
  <w:num w:numId="19" w16cid:durableId="1306545159">
    <w:abstractNumId w:val="30"/>
  </w:num>
  <w:num w:numId="20" w16cid:durableId="289824395">
    <w:abstractNumId w:val="37"/>
  </w:num>
  <w:num w:numId="21" w16cid:durableId="693655090">
    <w:abstractNumId w:val="29"/>
  </w:num>
  <w:num w:numId="22" w16cid:durableId="1679117844">
    <w:abstractNumId w:val="42"/>
  </w:num>
  <w:num w:numId="23" w16cid:durableId="923801000">
    <w:abstractNumId w:val="14"/>
  </w:num>
  <w:num w:numId="24" w16cid:durableId="452141841">
    <w:abstractNumId w:val="45"/>
  </w:num>
  <w:num w:numId="25" w16cid:durableId="81338146">
    <w:abstractNumId w:val="3"/>
  </w:num>
  <w:num w:numId="26" w16cid:durableId="196310711">
    <w:abstractNumId w:val="13"/>
  </w:num>
  <w:num w:numId="27" w16cid:durableId="34349973">
    <w:abstractNumId w:val="7"/>
  </w:num>
  <w:num w:numId="28" w16cid:durableId="1540312336">
    <w:abstractNumId w:val="26"/>
  </w:num>
  <w:num w:numId="29" w16cid:durableId="1528562958">
    <w:abstractNumId w:val="27"/>
  </w:num>
  <w:num w:numId="30" w16cid:durableId="94372698">
    <w:abstractNumId w:val="17"/>
  </w:num>
  <w:num w:numId="31" w16cid:durableId="396911">
    <w:abstractNumId w:val="33"/>
  </w:num>
  <w:num w:numId="32" w16cid:durableId="1900165324">
    <w:abstractNumId w:val="44"/>
  </w:num>
  <w:num w:numId="33" w16cid:durableId="1551456337">
    <w:abstractNumId w:val="15"/>
  </w:num>
  <w:num w:numId="34" w16cid:durableId="23793412">
    <w:abstractNumId w:val="34"/>
  </w:num>
  <w:num w:numId="35" w16cid:durableId="2124181416">
    <w:abstractNumId w:val="24"/>
  </w:num>
  <w:num w:numId="36" w16cid:durableId="741903">
    <w:abstractNumId w:val="38"/>
  </w:num>
  <w:num w:numId="37" w16cid:durableId="73287945">
    <w:abstractNumId w:val="39"/>
  </w:num>
  <w:num w:numId="38" w16cid:durableId="931742727">
    <w:abstractNumId w:val="16"/>
  </w:num>
  <w:num w:numId="39" w16cid:durableId="83308701">
    <w:abstractNumId w:val="18"/>
  </w:num>
  <w:num w:numId="40" w16cid:durableId="731780404">
    <w:abstractNumId w:val="20"/>
  </w:num>
  <w:num w:numId="41" w16cid:durableId="988705939">
    <w:abstractNumId w:val="12"/>
  </w:num>
  <w:num w:numId="42" w16cid:durableId="650140745">
    <w:abstractNumId w:val="6"/>
  </w:num>
  <w:num w:numId="43" w16cid:durableId="2066295199">
    <w:abstractNumId w:val="21"/>
  </w:num>
  <w:num w:numId="44" w16cid:durableId="1457482834">
    <w:abstractNumId w:val="4"/>
  </w:num>
  <w:num w:numId="45" w16cid:durableId="198786950">
    <w:abstractNumId w:val="28"/>
  </w:num>
  <w:num w:numId="46" w16cid:durableId="1267158315">
    <w:abstractNumId w:val="32"/>
  </w:num>
  <w:num w:numId="47" w16cid:durableId="494419540">
    <w:abstractNumId w:val="22"/>
  </w:num>
  <w:num w:numId="48" w16cid:durableId="941567280">
    <w:abstractNumId w:val="40"/>
  </w:num>
  <w:num w:numId="49" w16cid:durableId="436414113">
    <w:abstractNumId w:val="31"/>
  </w:num>
  <w:num w:numId="50" w16cid:durableId="2108843236">
    <w:abstractNumId w:val="19"/>
  </w:num>
  <w:num w:numId="51" w16cid:durableId="1407534605">
    <w:abstractNumId w:val="35"/>
  </w:num>
  <w:num w:numId="52" w16cid:durableId="265386655">
    <w:abstractNumId w:val="41"/>
  </w:num>
  <w:num w:numId="53" w16cid:durableId="416708357">
    <w:abstractNumId w:val="46"/>
  </w:num>
  <w:num w:numId="54" w16cid:durableId="551768487">
    <w:abstractNumId w:val="9"/>
  </w:num>
  <w:num w:numId="55" w16cid:durableId="2093355791">
    <w:abstractNumId w:val="25"/>
  </w:num>
  <w:num w:numId="56" w16cid:durableId="13625861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11F"/>
    <w:rsid w:val="00016C5F"/>
    <w:rsid w:val="0004580B"/>
    <w:rsid w:val="000704A5"/>
    <w:rsid w:val="000B76BA"/>
    <w:rsid w:val="000C1D81"/>
    <w:rsid w:val="000F7765"/>
    <w:rsid w:val="00137517"/>
    <w:rsid w:val="0014703F"/>
    <w:rsid w:val="001A19CF"/>
    <w:rsid w:val="001D6CC0"/>
    <w:rsid w:val="001E2C10"/>
    <w:rsid w:val="001F00E3"/>
    <w:rsid w:val="002213EC"/>
    <w:rsid w:val="00234C73"/>
    <w:rsid w:val="00235265"/>
    <w:rsid w:val="0024654C"/>
    <w:rsid w:val="00255525"/>
    <w:rsid w:val="00297939"/>
    <w:rsid w:val="00312CE8"/>
    <w:rsid w:val="00343E2E"/>
    <w:rsid w:val="00347039"/>
    <w:rsid w:val="00354BBD"/>
    <w:rsid w:val="003563EC"/>
    <w:rsid w:val="00363198"/>
    <w:rsid w:val="003778CC"/>
    <w:rsid w:val="003F03F5"/>
    <w:rsid w:val="003F4269"/>
    <w:rsid w:val="003F7C22"/>
    <w:rsid w:val="004C0372"/>
    <w:rsid w:val="004D4C96"/>
    <w:rsid w:val="004E0EA1"/>
    <w:rsid w:val="004E1EA4"/>
    <w:rsid w:val="004E2BE4"/>
    <w:rsid w:val="004E2EEB"/>
    <w:rsid w:val="00514D69"/>
    <w:rsid w:val="0053253C"/>
    <w:rsid w:val="005337DA"/>
    <w:rsid w:val="0054042E"/>
    <w:rsid w:val="00554DD8"/>
    <w:rsid w:val="005C25B3"/>
    <w:rsid w:val="005E4621"/>
    <w:rsid w:val="005F4E91"/>
    <w:rsid w:val="005F7F22"/>
    <w:rsid w:val="0060128A"/>
    <w:rsid w:val="006119DB"/>
    <w:rsid w:val="006816F5"/>
    <w:rsid w:val="006D0B51"/>
    <w:rsid w:val="00703677"/>
    <w:rsid w:val="007077C4"/>
    <w:rsid w:val="00714FDC"/>
    <w:rsid w:val="00756A1B"/>
    <w:rsid w:val="00784346"/>
    <w:rsid w:val="00787CCE"/>
    <w:rsid w:val="007D5BA8"/>
    <w:rsid w:val="007F4620"/>
    <w:rsid w:val="00800C74"/>
    <w:rsid w:val="00823E51"/>
    <w:rsid w:val="00861E28"/>
    <w:rsid w:val="0088211F"/>
    <w:rsid w:val="00885FA7"/>
    <w:rsid w:val="00886026"/>
    <w:rsid w:val="00892B21"/>
    <w:rsid w:val="008D2016"/>
    <w:rsid w:val="008F5860"/>
    <w:rsid w:val="0095480E"/>
    <w:rsid w:val="00970404"/>
    <w:rsid w:val="0098389A"/>
    <w:rsid w:val="009D5539"/>
    <w:rsid w:val="00A357A1"/>
    <w:rsid w:val="00A41A98"/>
    <w:rsid w:val="00A54B1B"/>
    <w:rsid w:val="00A93128"/>
    <w:rsid w:val="00AC23FE"/>
    <w:rsid w:val="00AD41CA"/>
    <w:rsid w:val="00B402D6"/>
    <w:rsid w:val="00B46ABA"/>
    <w:rsid w:val="00B50F1C"/>
    <w:rsid w:val="00B67537"/>
    <w:rsid w:val="00B803FC"/>
    <w:rsid w:val="00B82B72"/>
    <w:rsid w:val="00B85279"/>
    <w:rsid w:val="00BA1920"/>
    <w:rsid w:val="00BD208F"/>
    <w:rsid w:val="00C54C5E"/>
    <w:rsid w:val="00C8471C"/>
    <w:rsid w:val="00C97B91"/>
    <w:rsid w:val="00CB5575"/>
    <w:rsid w:val="00CD1418"/>
    <w:rsid w:val="00CE072D"/>
    <w:rsid w:val="00CF5360"/>
    <w:rsid w:val="00D336F2"/>
    <w:rsid w:val="00D45712"/>
    <w:rsid w:val="00D63DFD"/>
    <w:rsid w:val="00D84736"/>
    <w:rsid w:val="00DB0F4F"/>
    <w:rsid w:val="00DB1B04"/>
    <w:rsid w:val="00E2522B"/>
    <w:rsid w:val="00E34DD9"/>
    <w:rsid w:val="00E409C6"/>
    <w:rsid w:val="00E60240"/>
    <w:rsid w:val="00E82F1E"/>
    <w:rsid w:val="00E97538"/>
    <w:rsid w:val="00EA0386"/>
    <w:rsid w:val="00EB66B2"/>
    <w:rsid w:val="00EE5A7C"/>
    <w:rsid w:val="00F04C4A"/>
    <w:rsid w:val="00F17559"/>
    <w:rsid w:val="00FB60DD"/>
    <w:rsid w:val="00FD60F3"/>
    <w:rsid w:val="00FE1B3A"/>
    <w:rsid w:val="00FF110E"/>
    <w:rsid w:val="00FF7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48A549"/>
  <w15:chartTrackingRefBased/>
  <w15:docId w15:val="{8912070E-BDE4-4095-A9EB-3E6554336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11F"/>
  </w:style>
  <w:style w:type="paragraph" w:styleId="Heading1">
    <w:name w:val="heading 1"/>
    <w:basedOn w:val="Normal"/>
    <w:next w:val="Normal"/>
    <w:link w:val="Heading1Char"/>
    <w:uiPriority w:val="9"/>
    <w:qFormat/>
    <w:rsid w:val="0088211F"/>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211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8211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8211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8211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8211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8211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8211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8211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1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211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8211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8211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8211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8211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8211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8211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8211F"/>
    <w:rPr>
      <w:b/>
      <w:bCs/>
      <w:i/>
      <w:iCs/>
    </w:rPr>
  </w:style>
  <w:style w:type="paragraph" w:styleId="Title">
    <w:name w:val="Title"/>
    <w:basedOn w:val="Normal"/>
    <w:next w:val="Normal"/>
    <w:link w:val="TitleChar"/>
    <w:uiPriority w:val="10"/>
    <w:qFormat/>
    <w:rsid w:val="0088211F"/>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88211F"/>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88211F"/>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88211F"/>
    <w:rPr>
      <w:color w:val="0E2841" w:themeColor="text2"/>
      <w:sz w:val="28"/>
      <w:szCs w:val="28"/>
    </w:rPr>
  </w:style>
  <w:style w:type="paragraph" w:styleId="Quote">
    <w:name w:val="Quote"/>
    <w:basedOn w:val="Normal"/>
    <w:next w:val="Normal"/>
    <w:link w:val="QuoteChar"/>
    <w:uiPriority w:val="29"/>
    <w:qFormat/>
    <w:rsid w:val="0088211F"/>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88211F"/>
    <w:rPr>
      <w:i/>
      <w:iCs/>
      <w:color w:val="124F1A" w:themeColor="accent3" w:themeShade="BF"/>
      <w:sz w:val="24"/>
      <w:szCs w:val="24"/>
    </w:rPr>
  </w:style>
  <w:style w:type="paragraph" w:styleId="ListParagraph">
    <w:name w:val="List Paragraph"/>
    <w:basedOn w:val="Normal"/>
    <w:uiPriority w:val="34"/>
    <w:qFormat/>
    <w:rsid w:val="0088211F"/>
    <w:pPr>
      <w:ind w:left="720"/>
      <w:contextualSpacing/>
    </w:pPr>
  </w:style>
  <w:style w:type="character" w:styleId="IntenseEmphasis">
    <w:name w:val="Intense Emphasis"/>
    <w:basedOn w:val="DefaultParagraphFont"/>
    <w:uiPriority w:val="21"/>
    <w:qFormat/>
    <w:rsid w:val="0088211F"/>
    <w:rPr>
      <w:b/>
      <w:bCs/>
      <w:i/>
      <w:iCs/>
      <w:color w:val="auto"/>
    </w:rPr>
  </w:style>
  <w:style w:type="paragraph" w:styleId="IntenseQuote">
    <w:name w:val="Intense Quote"/>
    <w:basedOn w:val="Normal"/>
    <w:next w:val="Normal"/>
    <w:link w:val="IntenseQuoteChar"/>
    <w:uiPriority w:val="30"/>
    <w:qFormat/>
    <w:rsid w:val="0088211F"/>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88211F"/>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88211F"/>
    <w:rPr>
      <w:b/>
      <w:bCs/>
      <w:caps w:val="0"/>
      <w:smallCaps/>
      <w:color w:val="auto"/>
      <w:spacing w:val="0"/>
      <w:u w:val="single"/>
    </w:rPr>
  </w:style>
  <w:style w:type="paragraph" w:styleId="Caption">
    <w:name w:val="caption"/>
    <w:basedOn w:val="Normal"/>
    <w:next w:val="Normal"/>
    <w:uiPriority w:val="35"/>
    <w:semiHidden/>
    <w:unhideWhenUsed/>
    <w:qFormat/>
    <w:rsid w:val="0088211F"/>
    <w:pPr>
      <w:spacing w:line="240" w:lineRule="auto"/>
    </w:pPr>
    <w:rPr>
      <w:b/>
      <w:bCs/>
      <w:color w:val="404040" w:themeColor="text1" w:themeTint="BF"/>
      <w:sz w:val="16"/>
      <w:szCs w:val="16"/>
    </w:rPr>
  </w:style>
  <w:style w:type="character" w:styleId="Strong">
    <w:name w:val="Strong"/>
    <w:basedOn w:val="DefaultParagraphFont"/>
    <w:uiPriority w:val="22"/>
    <w:qFormat/>
    <w:rsid w:val="0088211F"/>
    <w:rPr>
      <w:b/>
      <w:bCs/>
    </w:rPr>
  </w:style>
  <w:style w:type="character" w:styleId="Emphasis">
    <w:name w:val="Emphasis"/>
    <w:basedOn w:val="DefaultParagraphFont"/>
    <w:uiPriority w:val="20"/>
    <w:qFormat/>
    <w:rsid w:val="0088211F"/>
    <w:rPr>
      <w:i/>
      <w:iCs/>
      <w:color w:val="000000" w:themeColor="text1"/>
    </w:rPr>
  </w:style>
  <w:style w:type="paragraph" w:styleId="NoSpacing">
    <w:name w:val="No Spacing"/>
    <w:uiPriority w:val="1"/>
    <w:qFormat/>
    <w:rsid w:val="0088211F"/>
    <w:pPr>
      <w:spacing w:after="0" w:line="240" w:lineRule="auto"/>
    </w:pPr>
  </w:style>
  <w:style w:type="character" w:styleId="SubtleEmphasis">
    <w:name w:val="Subtle Emphasis"/>
    <w:basedOn w:val="DefaultParagraphFont"/>
    <w:uiPriority w:val="19"/>
    <w:qFormat/>
    <w:rsid w:val="0088211F"/>
    <w:rPr>
      <w:i/>
      <w:iCs/>
      <w:color w:val="595959" w:themeColor="text1" w:themeTint="A6"/>
    </w:rPr>
  </w:style>
  <w:style w:type="character" w:styleId="SubtleReference">
    <w:name w:val="Subtle Reference"/>
    <w:basedOn w:val="DefaultParagraphFont"/>
    <w:uiPriority w:val="31"/>
    <w:qFormat/>
    <w:rsid w:val="0088211F"/>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88211F"/>
    <w:rPr>
      <w:b/>
      <w:bCs/>
      <w:caps w:val="0"/>
      <w:smallCaps/>
      <w:spacing w:val="0"/>
    </w:rPr>
  </w:style>
  <w:style w:type="paragraph" w:styleId="TOCHeading">
    <w:name w:val="TOC Heading"/>
    <w:basedOn w:val="Heading1"/>
    <w:next w:val="Normal"/>
    <w:uiPriority w:val="39"/>
    <w:semiHidden/>
    <w:unhideWhenUsed/>
    <w:qFormat/>
    <w:rsid w:val="0088211F"/>
    <w:pPr>
      <w:outlineLvl w:val="9"/>
    </w:pPr>
  </w:style>
  <w:style w:type="character" w:styleId="Hyperlink">
    <w:name w:val="Hyperlink"/>
    <w:basedOn w:val="DefaultParagraphFont"/>
    <w:uiPriority w:val="99"/>
    <w:unhideWhenUsed/>
    <w:rsid w:val="007077C4"/>
    <w:rPr>
      <w:color w:val="467886" w:themeColor="hyperlink"/>
      <w:u w:val="single"/>
    </w:rPr>
  </w:style>
  <w:style w:type="paragraph" w:styleId="NormalWeb">
    <w:name w:val="Normal (Web)"/>
    <w:basedOn w:val="Normal"/>
    <w:uiPriority w:val="99"/>
    <w:semiHidden/>
    <w:unhideWhenUsed/>
    <w:rsid w:val="007077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34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1/jama.2007.26" TargetMode="External"/><Relationship Id="rId13" Type="http://schemas.openxmlformats.org/officeDocument/2006/relationships/hyperlink" Target="https://www.mckinsey.com" TargetMode="External"/><Relationship Id="rId18" Type="http://schemas.openxmlformats.org/officeDocument/2006/relationships/hyperlink" Target="https://www.statista.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arxiv.org/abs/2209.06723?utm_source=chatgpt.com" TargetMode="External"/><Relationship Id="rId7" Type="http://schemas.openxmlformats.org/officeDocument/2006/relationships/hyperlink" Target="https://drive.google.com/drive/folders/1v0KbWB0GmoGO3cVveJQn4qXHeMTt2xUr?usp=drive_link" TargetMode="External"/><Relationship Id="rId12" Type="http://schemas.openxmlformats.org/officeDocument/2006/relationships/hyperlink" Target="https://www.iqvia.com" TargetMode="External"/><Relationship Id="rId17" Type="http://schemas.openxmlformats.org/officeDocument/2006/relationships/hyperlink" Target="https://www.pwc.com" TargetMode="External"/><Relationship Id="rId25" Type="http://schemas.openxmlformats.org/officeDocument/2006/relationships/hyperlink" Target="https://www.researchgate.net/publication/353728618_Marketing_strategies_for_functional_food_products?utm_source=chatgpt.com" TargetMode="External"/><Relationship Id="rId2" Type="http://schemas.openxmlformats.org/officeDocument/2006/relationships/numbering" Target="numbering.xml"/><Relationship Id="rId16" Type="http://schemas.openxmlformats.org/officeDocument/2006/relationships/hyperlink" Target="https://www.gov.uk/government/publications" TargetMode="External"/><Relationship Id="rId20" Type="http://schemas.openxmlformats.org/officeDocument/2006/relationships/hyperlink" Target="https://www.eelet.org.uk/index.php/journal/article/view/2490?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y.com" TargetMode="External"/><Relationship Id="rId24" Type="http://schemas.openxmlformats.org/officeDocument/2006/relationships/hyperlink" Target="https://arxiv.org/abs/1910.12274?utm_source=chatgpt.com" TargetMode="External"/><Relationship Id="rId5" Type="http://schemas.openxmlformats.org/officeDocument/2006/relationships/webSettings" Target="webSettings.xml"/><Relationship Id="rId15" Type="http://schemas.openxmlformats.org/officeDocument/2006/relationships/hyperlink" Target="https://www.england.nhs.uk" TargetMode="External"/><Relationship Id="rId23" Type="http://schemas.openxmlformats.org/officeDocument/2006/relationships/hyperlink" Target="https://www.synergybiologics.co.uk/?utm_source=chatgpt.com" TargetMode="External"/><Relationship Id="rId10" Type="http://schemas.openxmlformats.org/officeDocument/2006/relationships/hyperlink" Target="https://www2.deloitte.com" TargetMode="External"/><Relationship Id="rId19" Type="http://schemas.openxmlformats.org/officeDocument/2006/relationships/hyperlink" Target="https://www.researchgate.net/publication/353728618_Marketing_strategies_for_functional_food_products?utm_source=chatgpt.com" TargetMode="External"/><Relationship Id="rId4" Type="http://schemas.openxmlformats.org/officeDocument/2006/relationships/settings" Target="settings.xml"/><Relationship Id="rId9" Type="http://schemas.openxmlformats.org/officeDocument/2006/relationships/hyperlink" Target="https://www.accenture.com" TargetMode="External"/><Relationship Id="rId14" Type="http://schemas.openxmlformats.org/officeDocument/2006/relationships/hyperlink" Target="https://www.gov.uk/mhra" TargetMode="External"/><Relationship Id="rId22" Type="http://schemas.openxmlformats.org/officeDocument/2006/relationships/hyperlink" Target="https://www.tandfonline.com/doi/full/10.1080/19325037.2021.2001779?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FD621-C0BC-44E9-9B06-5CA65AABB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15704</TotalTime>
  <Pages>30</Pages>
  <Words>9934</Words>
  <Characters>70759</Characters>
  <Application>Microsoft Office Word</Application>
  <DocSecurity>0</DocSecurity>
  <Lines>1160</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Autotec Uk-ltd</dc:creator>
  <cp:keywords/>
  <dc:description/>
  <cp:lastModifiedBy>Autotec Uk-ltd</cp:lastModifiedBy>
  <cp:revision>104</cp:revision>
  <dcterms:created xsi:type="dcterms:W3CDTF">2025-10-10T21:13:00Z</dcterms:created>
  <dcterms:modified xsi:type="dcterms:W3CDTF">2025-11-21T11:40:00Z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211cde16-e365-492d-b544-bdd7009be3a2</vt:lpwstr>
  </property>
</Properties>
</file>