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68622ED3">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1F82991" w:rsidR="003B3F9D" w:rsidRPr="009601B8" w:rsidRDefault="00EB0790" w:rsidP="001E57C1">
            <w:pPr>
              <w:spacing w:before="120" w:after="120"/>
              <w:jc w:val="both"/>
              <w:rPr>
                <w:rFonts w:ascii="Arial" w:hAnsi="Arial" w:cs="Arial"/>
                <w:b/>
                <w:sz w:val="22"/>
                <w:szCs w:val="22"/>
              </w:rPr>
            </w:pPr>
            <w:r>
              <w:rPr>
                <w:rFonts w:ascii="Arial" w:hAnsi="Arial" w:cs="Arial"/>
                <w:b/>
                <w:sz w:val="22"/>
                <w:szCs w:val="22"/>
              </w:rPr>
              <w:t xml:space="preserve">Nanci </w:t>
            </w:r>
            <w:r w:rsidR="005129B7">
              <w:rPr>
                <w:rFonts w:ascii="Arial" w:hAnsi="Arial" w:cs="Arial"/>
                <w:b/>
                <w:sz w:val="22"/>
                <w:szCs w:val="22"/>
              </w:rPr>
              <w:t>MACEDO DOS SANTOS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1BE73A38" w:rsidR="003B3F9D" w:rsidRPr="009601B8" w:rsidRDefault="005129B7" w:rsidP="001E57C1">
            <w:pPr>
              <w:spacing w:before="120" w:after="120"/>
              <w:jc w:val="both"/>
              <w:rPr>
                <w:rFonts w:ascii="Arial" w:hAnsi="Arial" w:cs="Arial"/>
                <w:b/>
                <w:sz w:val="22"/>
                <w:szCs w:val="22"/>
              </w:rPr>
            </w:pPr>
            <w:r>
              <w:rPr>
                <w:rFonts w:ascii="Arial" w:hAnsi="Arial" w:cs="Arial"/>
                <w:b/>
                <w:sz w:val="22"/>
                <w:szCs w:val="22"/>
              </w:rPr>
              <w:t>1301733</w:t>
            </w:r>
          </w:p>
        </w:tc>
      </w:tr>
      <w:tr w:rsidR="00474229" w:rsidRPr="00A406E5" w14:paraId="09FAE08A" w14:textId="77777777" w:rsidTr="68622ED3">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64CF580E" w:rsidR="00474229" w:rsidRPr="009601B8" w:rsidRDefault="00474229" w:rsidP="00474229">
            <w:pPr>
              <w:spacing w:before="120" w:after="120"/>
              <w:jc w:val="both"/>
              <w:rPr>
                <w:rFonts w:ascii="Arial" w:hAnsi="Arial" w:cs="Arial"/>
                <w:b/>
                <w:sz w:val="22"/>
                <w:szCs w:val="22"/>
              </w:rPr>
            </w:pPr>
          </w:p>
        </w:tc>
      </w:tr>
      <w:tr w:rsidR="00474229" w:rsidRPr="00A406E5" w14:paraId="51620260" w14:textId="77777777" w:rsidTr="68622ED3">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68622ED3">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68622ED3">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7F88885F" w:rsidR="00474229" w:rsidRPr="009601B8" w:rsidRDefault="009601B8" w:rsidP="00474229">
            <w:pPr>
              <w:spacing w:before="120" w:after="120"/>
              <w:jc w:val="both"/>
              <w:rPr>
                <w:rFonts w:ascii="Arial" w:eastAsia="Calibri" w:hAnsi="Arial" w:cs="Arial"/>
                <w:b/>
                <w:bCs/>
                <w:sz w:val="22"/>
                <w:szCs w:val="22"/>
              </w:rPr>
            </w:pPr>
            <w:r w:rsidRPr="009601B8">
              <w:rPr>
                <w:rFonts w:ascii="Arial" w:hAnsi="Arial" w:cs="Arial"/>
                <w:b/>
                <w:sz w:val="22"/>
                <w:szCs w:val="22"/>
              </w:rPr>
              <w:t>Wynne Jones</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68622ED3">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17FB0ADA" w:rsidR="00474229" w:rsidRPr="009601B8" w:rsidRDefault="005129B7" w:rsidP="00474229">
            <w:pPr>
              <w:spacing w:before="120" w:after="120"/>
              <w:jc w:val="both"/>
              <w:rPr>
                <w:rFonts w:ascii="Arial" w:hAnsi="Arial" w:cs="Arial"/>
                <w:b/>
                <w:sz w:val="22"/>
                <w:szCs w:val="22"/>
              </w:rPr>
            </w:pPr>
            <w:r>
              <w:rPr>
                <w:rFonts w:ascii="Arial" w:hAnsi="Arial" w:cs="Arial"/>
                <w:b/>
                <w:sz w:val="22"/>
                <w:szCs w:val="22"/>
              </w:rPr>
              <w:t>2. Counter terrorism policing</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68622ED3">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5E65DD16" w:rsidR="00474229" w:rsidRPr="009601B8" w:rsidRDefault="004B6C61" w:rsidP="259E24E2">
            <w:pPr>
              <w:spacing w:before="120" w:after="120"/>
              <w:jc w:val="both"/>
              <w:rPr>
                <w:rFonts w:ascii="Arial" w:eastAsia="Calibri" w:hAnsi="Arial" w:cs="Arial"/>
                <w:b/>
                <w:bCs/>
                <w:sz w:val="22"/>
                <w:szCs w:val="22"/>
              </w:rPr>
            </w:pPr>
            <w:r>
              <w:rPr>
                <w:rFonts w:ascii="Arial" w:eastAsia="Calibri" w:hAnsi="Arial" w:cs="Arial"/>
                <w:b/>
                <w:bCs/>
                <w:sz w:val="22"/>
                <w:szCs w:val="22"/>
              </w:rPr>
              <w:t>11</w:t>
            </w:r>
            <w:r w:rsidRPr="004B6C61">
              <w:rPr>
                <w:rFonts w:ascii="Arial" w:eastAsia="Calibri" w:hAnsi="Arial" w:cs="Arial"/>
                <w:b/>
                <w:bCs/>
                <w:sz w:val="22"/>
                <w:szCs w:val="22"/>
                <w:vertAlign w:val="superscript"/>
              </w:rPr>
              <w:t>th</w:t>
            </w:r>
            <w:r>
              <w:rPr>
                <w:rFonts w:ascii="Arial" w:eastAsia="Calibri" w:hAnsi="Arial" w:cs="Arial"/>
                <w:b/>
                <w:bCs/>
                <w:sz w:val="22"/>
                <w:szCs w:val="22"/>
              </w:rPr>
              <w:t xml:space="preserve"> January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4A745A9C" w:rsidR="00474229" w:rsidRPr="009601B8" w:rsidRDefault="16B49989" w:rsidP="68622ED3">
            <w:pPr>
              <w:spacing w:before="120" w:after="120"/>
              <w:jc w:val="both"/>
              <w:rPr>
                <w:rFonts w:ascii="Arial" w:hAnsi="Arial" w:cs="Arial"/>
                <w:b/>
                <w:bCs/>
                <w:sz w:val="22"/>
                <w:szCs w:val="22"/>
              </w:rPr>
            </w:pPr>
            <w:r w:rsidRPr="68622ED3">
              <w:rPr>
                <w:rFonts w:ascii="Arial" w:hAnsi="Arial" w:cs="Arial"/>
                <w:b/>
                <w:bCs/>
                <w:sz w:val="22"/>
                <w:szCs w:val="22"/>
              </w:rPr>
              <w:t>20 working days</w:t>
            </w:r>
          </w:p>
        </w:tc>
      </w:tr>
      <w:tr w:rsidR="00F171F6" w:rsidRPr="00A406E5" w14:paraId="22978D6A" w14:textId="77777777" w:rsidTr="68622ED3">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68622ED3">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Pr="005129B7"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 xml:space="preserve">Demonstrate a critical understanding of how to investigate complex internet-related </w:t>
            </w:r>
            <w:r w:rsidRPr="005129B7">
              <w:rPr>
                <w:rFonts w:ascii="Arial" w:eastAsia="Arial" w:hAnsi="Arial" w:cs="Arial"/>
                <w:color w:val="000000" w:themeColor="text1"/>
                <w:sz w:val="24"/>
                <w:szCs w:val="24"/>
              </w:rPr>
              <w:t>crime and the impact of such crimes</w:t>
            </w:r>
          </w:p>
          <w:p w14:paraId="4639894C" w14:textId="34DAAA31" w:rsidR="04DED357" w:rsidRPr="005129B7" w:rsidRDefault="04DED357" w:rsidP="464F7901">
            <w:pPr>
              <w:pStyle w:val="ListParagraph"/>
              <w:numPr>
                <w:ilvl w:val="0"/>
                <w:numId w:val="29"/>
              </w:numPr>
              <w:spacing w:before="240"/>
              <w:jc w:val="both"/>
              <w:rPr>
                <w:color w:val="000000" w:themeColor="text1"/>
                <w:sz w:val="24"/>
                <w:szCs w:val="24"/>
              </w:rPr>
            </w:pPr>
            <w:r w:rsidRPr="005129B7">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Pr="005129B7" w:rsidRDefault="04DED357" w:rsidP="464F7901">
            <w:pPr>
              <w:spacing w:before="240"/>
              <w:jc w:val="both"/>
              <w:rPr>
                <w:rFonts w:ascii="Arial" w:eastAsia="Arial" w:hAnsi="Arial" w:cs="Arial"/>
                <w:color w:val="000000" w:themeColor="text1"/>
                <w:sz w:val="24"/>
                <w:szCs w:val="24"/>
              </w:rPr>
            </w:pPr>
            <w:r w:rsidRPr="005129B7">
              <w:rPr>
                <w:rFonts w:ascii="Arial" w:eastAsia="Arial" w:hAnsi="Arial" w:cs="Arial"/>
                <w:color w:val="000000" w:themeColor="text1"/>
                <w:sz w:val="24"/>
                <w:szCs w:val="24"/>
              </w:rPr>
              <w:t>Counter Terro</w:t>
            </w:r>
            <w:r w:rsidR="057B3CB1" w:rsidRPr="005129B7">
              <w:rPr>
                <w:rFonts w:ascii="Arial" w:eastAsia="Arial" w:hAnsi="Arial" w:cs="Arial"/>
                <w:color w:val="000000" w:themeColor="text1"/>
                <w:sz w:val="24"/>
                <w:szCs w:val="24"/>
              </w:rPr>
              <w:t>r</w:t>
            </w:r>
            <w:r w:rsidRPr="005129B7">
              <w:rPr>
                <w:rFonts w:ascii="Arial" w:eastAsia="Arial" w:hAnsi="Arial" w:cs="Arial"/>
                <w:color w:val="000000" w:themeColor="text1"/>
                <w:sz w:val="24"/>
                <w:szCs w:val="24"/>
              </w:rPr>
              <w:t xml:space="preserve">ism </w:t>
            </w:r>
          </w:p>
          <w:p w14:paraId="6B58A6BA" w14:textId="255D5AAF" w:rsidR="04DED357" w:rsidRPr="005129B7" w:rsidRDefault="04DED357" w:rsidP="464F7901">
            <w:pPr>
              <w:pStyle w:val="ListParagraph"/>
              <w:numPr>
                <w:ilvl w:val="0"/>
                <w:numId w:val="2"/>
              </w:numPr>
              <w:jc w:val="both"/>
              <w:rPr>
                <w:sz w:val="24"/>
                <w:szCs w:val="24"/>
              </w:rPr>
            </w:pPr>
            <w:r w:rsidRPr="005129B7">
              <w:rPr>
                <w:rFonts w:ascii="Arial" w:eastAsia="Arial" w:hAnsi="Arial" w:cs="Arial"/>
                <w:color w:val="000000" w:themeColor="text1"/>
                <w:sz w:val="24"/>
                <w:szCs w:val="24"/>
              </w:rPr>
              <w:t>Understand and explain the national counter terrorism structure</w:t>
            </w:r>
          </w:p>
          <w:p w14:paraId="5F73B0D2" w14:textId="30CE2816" w:rsidR="04DED357" w:rsidRPr="005129B7" w:rsidRDefault="04DED357" w:rsidP="464F7901">
            <w:pPr>
              <w:pStyle w:val="ListParagraph"/>
              <w:numPr>
                <w:ilvl w:val="0"/>
                <w:numId w:val="2"/>
              </w:numPr>
              <w:jc w:val="both"/>
              <w:rPr>
                <w:color w:val="000000" w:themeColor="text1"/>
                <w:sz w:val="24"/>
                <w:szCs w:val="24"/>
              </w:rPr>
            </w:pPr>
            <w:r w:rsidRPr="005129B7">
              <w:rPr>
                <w:rFonts w:ascii="Arial" w:eastAsia="Arial" w:hAnsi="Arial" w:cs="Arial"/>
                <w:color w:val="000000" w:themeColor="text1"/>
                <w:sz w:val="24"/>
                <w:szCs w:val="24"/>
              </w:rPr>
              <w:t>Review and understand the insider threat in relation to counter terrorism</w:t>
            </w:r>
            <w:r w:rsidRPr="005129B7">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005129B7">
              <w:rPr>
                <w:rFonts w:ascii="Arial" w:hAnsi="Arial" w:cs="Arial"/>
                <w:sz w:val="24"/>
                <w:szCs w:val="24"/>
              </w:rPr>
              <w:t>Response</w:t>
            </w:r>
            <w:r w:rsidRPr="464F7901">
              <w:rPr>
                <w:rFonts w:ascii="Arial" w:hAnsi="Arial" w:cs="Arial"/>
                <w:sz w:val="24"/>
                <w:szCs w:val="24"/>
              </w:rPr>
              <w:t xml:space="preserv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Default="464F7901" w:rsidP="464F7901">
      <w:pPr>
        <w:jc w:val="both"/>
        <w:rPr>
          <w:rFonts w:asciiTheme="minorHAnsi" w:eastAsiaTheme="minorEastAsia" w:hAnsiTheme="minorHAnsi" w:cstheme="minorBidi"/>
          <w:b/>
          <w:bCs/>
          <w:sz w:val="28"/>
          <w:szCs w:val="28"/>
        </w:rPr>
      </w:pPr>
    </w:p>
    <w:p w14:paraId="66B43D46" w14:textId="64FB9E25" w:rsidR="00EB0611" w:rsidRPr="002161A0" w:rsidRDefault="00EB0611" w:rsidP="464F7901">
      <w:pPr>
        <w:jc w:val="both"/>
        <w:rPr>
          <w:rFonts w:ascii="Calibri" w:eastAsia="Calibri" w:hAnsi="Calibri" w:cs="Calibri"/>
          <w:b/>
          <w:bCs/>
          <w:sz w:val="28"/>
          <w:szCs w:val="28"/>
        </w:rPr>
      </w:pPr>
      <w:r w:rsidRPr="68622ED3">
        <w:rPr>
          <w:rFonts w:ascii="Calibri" w:eastAsia="Calibri" w:hAnsi="Calibri" w:cs="Calibri"/>
          <w:b/>
          <w:bCs/>
          <w:sz w:val="28"/>
          <w:szCs w:val="28"/>
        </w:rPr>
        <w:t xml:space="preserve">Students are required to complete a </w:t>
      </w:r>
      <w:r w:rsidR="4FB4B4CD" w:rsidRPr="68622ED3">
        <w:rPr>
          <w:rFonts w:ascii="Calibri" w:eastAsia="Calibri" w:hAnsi="Calibri" w:cs="Calibri"/>
          <w:b/>
          <w:bCs/>
          <w:sz w:val="28"/>
          <w:szCs w:val="28"/>
        </w:rPr>
        <w:t>5</w:t>
      </w:r>
      <w:r w:rsidRPr="68622ED3">
        <w:rPr>
          <w:rFonts w:ascii="Calibri" w:eastAsia="Calibri" w:hAnsi="Calibri" w:cs="Calibri"/>
          <w:b/>
          <w:bCs/>
          <w:sz w:val="28"/>
          <w:szCs w:val="28"/>
        </w:rPr>
        <w:t xml:space="preserve">000-word essay under </w:t>
      </w:r>
      <w:r w:rsidR="3DF9AB8C" w:rsidRPr="68622ED3">
        <w:rPr>
          <w:rFonts w:ascii="Calibri" w:eastAsia="Calibri" w:hAnsi="Calibri" w:cs="Calibri"/>
          <w:b/>
          <w:bCs/>
          <w:sz w:val="28"/>
          <w:szCs w:val="28"/>
        </w:rPr>
        <w:t xml:space="preserve">one of the </w:t>
      </w:r>
      <w:r w:rsidRPr="68622ED3">
        <w:rPr>
          <w:rFonts w:ascii="Calibri" w:eastAsia="Calibri" w:hAnsi="Calibri" w:cs="Calibri"/>
          <w:b/>
          <w:bCs/>
          <w:sz w:val="28"/>
          <w:szCs w:val="28"/>
        </w:rPr>
        <w:t>following title</w:t>
      </w:r>
      <w:r w:rsidR="7E3766E2" w:rsidRPr="68622ED3">
        <w:rPr>
          <w:rFonts w:ascii="Calibri" w:eastAsia="Calibri" w:hAnsi="Calibri" w:cs="Calibri"/>
          <w:b/>
          <w:bCs/>
          <w:sz w:val="28"/>
          <w:szCs w:val="28"/>
        </w:rPr>
        <w:t>s</w:t>
      </w:r>
      <w:r w:rsidRPr="68622ED3">
        <w:rPr>
          <w:rFonts w:ascii="Calibri" w:eastAsia="Calibri" w:hAnsi="Calibri" w:cs="Calibri"/>
          <w:b/>
          <w:bCs/>
          <w:sz w:val="28"/>
          <w:szCs w:val="28"/>
        </w:rPr>
        <w:t>:</w:t>
      </w:r>
    </w:p>
    <w:p w14:paraId="0938E3C9" w14:textId="38C50BA3" w:rsidR="009601B8" w:rsidRPr="009601B8" w:rsidRDefault="009601B8" w:rsidP="00130080">
      <w:pPr>
        <w:jc w:val="both"/>
        <w:rPr>
          <w:rFonts w:ascii="Arial" w:eastAsia="Calibri" w:hAnsi="Arial" w:cs="Arial"/>
          <w:sz w:val="24"/>
          <w:szCs w:val="24"/>
          <w:lang w:eastAsia="en-US"/>
        </w:rPr>
      </w:pPr>
    </w:p>
    <w:p w14:paraId="094F90D1" w14:textId="6BEA42B4" w:rsidR="08FD2EDD" w:rsidRDefault="08FD2EDD" w:rsidP="68622ED3">
      <w:pPr>
        <w:spacing w:line="257" w:lineRule="auto"/>
        <w:rPr>
          <w:rFonts w:ascii="Calibri" w:eastAsia="Calibri" w:hAnsi="Calibri" w:cs="Calibri"/>
          <w:b/>
          <w:bCs/>
          <w:color w:val="8DB3E2" w:themeColor="text2" w:themeTint="66"/>
          <w:sz w:val="28"/>
          <w:szCs w:val="28"/>
        </w:rPr>
      </w:pPr>
      <w:r w:rsidRPr="68622ED3">
        <w:rPr>
          <w:rFonts w:ascii="Calibri" w:eastAsia="Calibri" w:hAnsi="Calibri" w:cs="Calibri"/>
          <w:b/>
          <w:bCs/>
          <w:color w:val="8DB3E2" w:themeColor="text2" w:themeTint="66"/>
          <w:sz w:val="28"/>
          <w:szCs w:val="28"/>
        </w:rPr>
        <w:t>Understanding the role of Constable/Maintaining Professional Standards</w:t>
      </w:r>
    </w:p>
    <w:p w14:paraId="56C14302" w14:textId="746752BF" w:rsidR="08FD2EDD" w:rsidRDefault="25AEE2D9" w:rsidP="464F7901">
      <w:pPr>
        <w:spacing w:line="257" w:lineRule="auto"/>
      </w:pPr>
      <w:r w:rsidRPr="68622ED3">
        <w:rPr>
          <w:rFonts w:ascii="Calibri" w:eastAsia="Calibri" w:hAnsi="Calibri" w:cs="Calibri"/>
          <w:sz w:val="28"/>
          <w:szCs w:val="28"/>
        </w:rPr>
        <w:t xml:space="preserve">Title 1: </w:t>
      </w:r>
      <w:r w:rsidR="08FD2EDD" w:rsidRPr="68622ED3">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0E1B9D78" w14:textId="60963CA2" w:rsidR="08FD2EDD" w:rsidRDefault="08FD2EDD" w:rsidP="464F7901">
      <w:pPr>
        <w:spacing w:line="257" w:lineRule="auto"/>
      </w:pPr>
      <w:r w:rsidRPr="464F7901">
        <w:rPr>
          <w:rFonts w:ascii="Calibri" w:eastAsia="Calibri" w:hAnsi="Calibri" w:cs="Calibri"/>
          <w:sz w:val="28"/>
          <w:szCs w:val="28"/>
        </w:rPr>
        <w:t xml:space="preserve"> </w:t>
      </w:r>
    </w:p>
    <w:p w14:paraId="238FFC4D" w14:textId="48608DAE" w:rsidR="08FD2EDD" w:rsidRDefault="08FD2EDD" w:rsidP="68622ED3">
      <w:pPr>
        <w:spacing w:line="257" w:lineRule="auto"/>
        <w:rPr>
          <w:rFonts w:ascii="Calibri" w:eastAsia="Calibri" w:hAnsi="Calibri" w:cs="Calibri"/>
          <w:b/>
          <w:bCs/>
          <w:color w:val="8DB3E2" w:themeColor="text2" w:themeTint="66"/>
          <w:sz w:val="28"/>
          <w:szCs w:val="28"/>
        </w:rPr>
      </w:pPr>
      <w:r w:rsidRPr="68622ED3">
        <w:rPr>
          <w:rFonts w:ascii="Calibri" w:eastAsia="Calibri" w:hAnsi="Calibri" w:cs="Calibri"/>
          <w:b/>
          <w:bCs/>
          <w:color w:val="8DB3E2" w:themeColor="text2" w:themeTint="66"/>
          <w:sz w:val="28"/>
          <w:szCs w:val="28"/>
        </w:rPr>
        <w:t>Community/Response Policing/Policing roads/Conducting Investigations /Digital Policing</w:t>
      </w:r>
    </w:p>
    <w:p w14:paraId="37C129AC" w14:textId="50AE4571" w:rsidR="08FD2EDD" w:rsidRDefault="5FB4A393" w:rsidP="464F7901">
      <w:pPr>
        <w:spacing w:line="257" w:lineRule="auto"/>
      </w:pPr>
      <w:r w:rsidRPr="68622ED3">
        <w:rPr>
          <w:rFonts w:ascii="Calibri" w:eastAsia="Calibri" w:hAnsi="Calibri" w:cs="Calibri"/>
          <w:sz w:val="28"/>
          <w:szCs w:val="28"/>
        </w:rPr>
        <w:t xml:space="preserve">Title 2: </w:t>
      </w:r>
      <w:r w:rsidR="08FD2EDD" w:rsidRPr="68622ED3">
        <w:rPr>
          <w:rFonts w:ascii="Calibri" w:eastAsia="Calibri" w:hAnsi="Calibri" w:cs="Calibri"/>
          <w:sz w:val="28"/>
          <w:szCs w:val="28"/>
        </w:rPr>
        <w:t>Critically evaluate the role of the police in one of the following areas:</w:t>
      </w:r>
    </w:p>
    <w:p w14:paraId="3F19044E" w14:textId="6896E989"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Community policing (strategies and incentives)</w:t>
      </w:r>
    </w:p>
    <w:p w14:paraId="332AD7E6" w14:textId="5471F779"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Response policing (public perception and critical/major incidents)</w:t>
      </w:r>
    </w:p>
    <w:p w14:paraId="6C22343C" w14:textId="3A3C8869"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 xml:space="preserve">Policing the roads (application of regulations) </w:t>
      </w:r>
    </w:p>
    <w:p w14:paraId="10E0297E" w14:textId="79E0509F"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Conducting Investigations (Volume, serious and complex)</w:t>
      </w:r>
    </w:p>
    <w:p w14:paraId="17A5D483" w14:textId="254E3CD3"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 xml:space="preserve">Counter Terrorism Policing (Structure/ Risks/Insider threat).  </w:t>
      </w:r>
    </w:p>
    <w:p w14:paraId="2DE30E33" w14:textId="6BDAD420" w:rsidR="08FD2EDD" w:rsidRDefault="08FD2EDD" w:rsidP="464F7901">
      <w:pPr>
        <w:pStyle w:val="ListParagraph"/>
        <w:numPr>
          <w:ilvl w:val="0"/>
          <w:numId w:val="1"/>
        </w:numPr>
        <w:rPr>
          <w:sz w:val="28"/>
          <w:szCs w:val="28"/>
        </w:rPr>
      </w:pPr>
      <w:r w:rsidRPr="464F7901">
        <w:rPr>
          <w:rFonts w:ascii="Calibri" w:eastAsia="Calibri" w:hAnsi="Calibri" w:cs="Calibri"/>
          <w:sz w:val="28"/>
          <w:szCs w:val="28"/>
        </w:rPr>
        <w:t xml:space="preserve">Digital Policing (Internet related crime / Digital evidence retrieval).  </w:t>
      </w:r>
    </w:p>
    <w:p w14:paraId="60F2F737" w14:textId="645B38BC" w:rsidR="08FD2EDD" w:rsidRDefault="08FD2EDD" w:rsidP="464F7901">
      <w:pPr>
        <w:jc w:val="both"/>
      </w:pPr>
      <w:r w:rsidRPr="464F7901">
        <w:rPr>
          <w:sz w:val="28"/>
          <w:szCs w:val="28"/>
        </w:rPr>
        <w:t xml:space="preserve"> </w:t>
      </w:r>
    </w:p>
    <w:p w14:paraId="35992DE0" w14:textId="25B75988" w:rsidR="08FD2EDD" w:rsidRDefault="08FD2EDD" w:rsidP="68622ED3">
      <w:pPr>
        <w:spacing w:line="257" w:lineRule="auto"/>
        <w:rPr>
          <w:rFonts w:ascii="Calibri" w:eastAsia="Calibri" w:hAnsi="Calibri" w:cs="Calibri"/>
          <w:b/>
          <w:bCs/>
          <w:color w:val="8DB3E2" w:themeColor="text2" w:themeTint="66"/>
          <w:sz w:val="28"/>
          <w:szCs w:val="28"/>
        </w:rPr>
      </w:pPr>
      <w:r w:rsidRPr="68622ED3">
        <w:rPr>
          <w:rFonts w:ascii="Calibri" w:eastAsia="Calibri" w:hAnsi="Calibri" w:cs="Calibri"/>
          <w:b/>
          <w:bCs/>
          <w:color w:val="8DB3E2" w:themeColor="text2" w:themeTint="66"/>
          <w:sz w:val="28"/>
          <w:szCs w:val="28"/>
        </w:rPr>
        <w:t>Information and Intelligence/Communication Skills</w:t>
      </w:r>
    </w:p>
    <w:p w14:paraId="6F8E54EB" w14:textId="724EDF9E" w:rsidR="08FD2EDD" w:rsidRDefault="138BFB3B" w:rsidP="464F7901">
      <w:pPr>
        <w:spacing w:line="257" w:lineRule="auto"/>
      </w:pPr>
      <w:r w:rsidRPr="68622ED3">
        <w:rPr>
          <w:rFonts w:ascii="Calibri" w:eastAsia="Calibri" w:hAnsi="Calibri" w:cs="Calibri"/>
          <w:sz w:val="28"/>
          <w:szCs w:val="28"/>
        </w:rPr>
        <w:t xml:space="preserve">Title 3: </w:t>
      </w:r>
      <w:r w:rsidR="08FD2EDD" w:rsidRPr="68622ED3">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4DA43EAA" w14:textId="4A050455" w:rsidR="08FD2EDD" w:rsidRDefault="08FD2EDD" w:rsidP="464F7901">
      <w:pPr>
        <w:spacing w:line="257" w:lineRule="auto"/>
      </w:pPr>
      <w:r w:rsidRPr="464F7901">
        <w:rPr>
          <w:rFonts w:ascii="Calibri" w:eastAsia="Calibri" w:hAnsi="Calibri" w:cs="Calibri"/>
          <w:sz w:val="28"/>
          <w:szCs w:val="28"/>
        </w:rPr>
        <w:t xml:space="preserve"> </w:t>
      </w:r>
    </w:p>
    <w:p w14:paraId="545CA483" w14:textId="077AAED8" w:rsidR="08FD2EDD" w:rsidRDefault="08FD2EDD" w:rsidP="68622ED3">
      <w:pPr>
        <w:spacing w:line="257" w:lineRule="auto"/>
        <w:rPr>
          <w:rFonts w:ascii="Calibri" w:eastAsia="Calibri" w:hAnsi="Calibri" w:cs="Calibri"/>
          <w:b/>
          <w:bCs/>
          <w:color w:val="8DB3E2" w:themeColor="text2" w:themeTint="66"/>
          <w:sz w:val="28"/>
          <w:szCs w:val="28"/>
        </w:rPr>
      </w:pPr>
      <w:r w:rsidRPr="68622ED3">
        <w:rPr>
          <w:rFonts w:ascii="Calibri" w:eastAsia="Calibri" w:hAnsi="Calibri" w:cs="Calibri"/>
          <w:b/>
          <w:bCs/>
          <w:color w:val="8DB3E2" w:themeColor="text2" w:themeTint="66"/>
          <w:sz w:val="28"/>
          <w:szCs w:val="28"/>
        </w:rPr>
        <w:t>Public Protection</w:t>
      </w:r>
    </w:p>
    <w:p w14:paraId="541025E3" w14:textId="2E1D4457" w:rsidR="08FD2EDD" w:rsidRDefault="17708B44" w:rsidP="464F7901">
      <w:pPr>
        <w:spacing w:line="257" w:lineRule="auto"/>
      </w:pPr>
      <w:r w:rsidRPr="68622ED3">
        <w:rPr>
          <w:rFonts w:ascii="Calibri" w:eastAsia="Calibri" w:hAnsi="Calibri" w:cs="Calibri"/>
          <w:sz w:val="28"/>
          <w:szCs w:val="28"/>
        </w:rPr>
        <w:t xml:space="preserve">Title 4: </w:t>
      </w:r>
      <w:r w:rsidR="08FD2EDD" w:rsidRPr="68622ED3">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5B7E9BAE" w14:textId="221DC9DE" w:rsidR="08FD2EDD" w:rsidRDefault="08FD2EDD" w:rsidP="464F7901">
      <w:pPr>
        <w:spacing w:line="257" w:lineRule="auto"/>
      </w:pPr>
      <w:r w:rsidRPr="464F7901">
        <w:rPr>
          <w:rFonts w:ascii="Calibri" w:eastAsia="Calibri" w:hAnsi="Calibri" w:cs="Calibri"/>
          <w:sz w:val="28"/>
          <w:szCs w:val="28"/>
        </w:rPr>
        <w:t xml:space="preserve"> </w:t>
      </w:r>
    </w:p>
    <w:p w14:paraId="2E828B1D" w14:textId="4FF6E487" w:rsidR="08FD2EDD" w:rsidRDefault="08FD2EDD" w:rsidP="68622ED3">
      <w:pPr>
        <w:spacing w:line="257" w:lineRule="auto"/>
        <w:rPr>
          <w:rFonts w:ascii="Calibri" w:eastAsia="Calibri" w:hAnsi="Calibri" w:cs="Calibri"/>
          <w:b/>
          <w:bCs/>
          <w:color w:val="8DB3E2" w:themeColor="text2" w:themeTint="66"/>
          <w:sz w:val="28"/>
          <w:szCs w:val="28"/>
        </w:rPr>
      </w:pPr>
      <w:r w:rsidRPr="68622ED3">
        <w:rPr>
          <w:rFonts w:ascii="Calibri" w:eastAsia="Calibri" w:hAnsi="Calibri" w:cs="Calibri"/>
          <w:b/>
          <w:bCs/>
          <w:color w:val="8DB3E2" w:themeColor="text2" w:themeTint="66"/>
          <w:sz w:val="28"/>
          <w:szCs w:val="28"/>
        </w:rPr>
        <w:t>Evidence based policing/criminology and crime prevention/criminal Justice</w:t>
      </w:r>
    </w:p>
    <w:p w14:paraId="5C074017" w14:textId="19AC9AF4" w:rsidR="08FD2EDD" w:rsidRDefault="7681C9CE" w:rsidP="464F7901">
      <w:pPr>
        <w:spacing w:line="257" w:lineRule="auto"/>
      </w:pPr>
      <w:r w:rsidRPr="68622ED3">
        <w:rPr>
          <w:rFonts w:ascii="Calibri" w:eastAsia="Calibri" w:hAnsi="Calibri" w:cs="Calibri"/>
          <w:sz w:val="28"/>
          <w:szCs w:val="28"/>
        </w:rPr>
        <w:t xml:space="preserve">Title 5: </w:t>
      </w:r>
      <w:r w:rsidR="08FD2EDD" w:rsidRPr="68622ED3">
        <w:rPr>
          <w:rFonts w:ascii="Calibri" w:eastAsia="Calibri" w:hAnsi="Calibri" w:cs="Calibri"/>
          <w:sz w:val="28"/>
          <w:szCs w:val="28"/>
        </w:rPr>
        <w:t xml:space="preserve">Critically analyse the concept of evidence-based policing and ‘what works’ in policing evaluating crime prevention theories and strategies and considering the options open to reduce re offending. </w:t>
      </w:r>
    </w:p>
    <w:p w14:paraId="7761E097" w14:textId="4DBEA5C8" w:rsidR="08FD2EDD" w:rsidRDefault="08FD2EDD" w:rsidP="464F7901">
      <w:pPr>
        <w:spacing w:line="257" w:lineRule="auto"/>
      </w:pPr>
      <w:r w:rsidRPr="464F7901">
        <w:rPr>
          <w:rFonts w:ascii="Calibri" w:eastAsia="Calibri" w:hAnsi="Calibri" w:cs="Calibri"/>
          <w:sz w:val="28"/>
          <w:szCs w:val="28"/>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7516F5FB" w14:textId="6A5055FC" w:rsidR="464F7901" w:rsidRDefault="464F7901" w:rsidP="464F7901">
      <w:pPr>
        <w:spacing w:line="480" w:lineRule="auto"/>
        <w:ind w:left="720"/>
        <w:rPr>
          <w:rFonts w:ascii="Arial" w:eastAsia="Calibri" w:hAnsi="Arial" w:cs="Arial"/>
          <w:sz w:val="24"/>
          <w:szCs w:val="24"/>
          <w:lang w:eastAsia="en-US"/>
        </w:rPr>
      </w:pPr>
    </w:p>
    <w:p w14:paraId="4C88B6A9" w14:textId="138BB2C0" w:rsidR="009601B8" w:rsidRPr="009601B8" w:rsidRDefault="009601B8" w:rsidP="009601B8">
      <w:pPr>
        <w:spacing w:line="360" w:lineRule="auto"/>
        <w:ind w:left="720"/>
        <w:contextualSpacing/>
        <w:jc w:val="both"/>
        <w:rPr>
          <w:rFonts w:ascii="Arial" w:eastAsia="Calibri" w:hAnsi="Arial" w:cs="Arial"/>
          <w:sz w:val="24"/>
          <w:szCs w:val="24"/>
          <w:lang w:eastAsia="en-US"/>
        </w:rPr>
      </w:pPr>
      <w:r w:rsidRPr="009601B8">
        <w:rPr>
          <w:rFonts w:ascii="Arial" w:eastAsia="Calibri" w:hAnsi="Arial" w:cs="Arial"/>
          <w:sz w:val="24"/>
          <w:szCs w:val="24"/>
          <w:lang w:eastAsia="en-US"/>
        </w:rPr>
        <w:t xml:space="preserve"> </w:t>
      </w:r>
    </w:p>
    <w:p w14:paraId="160F0FCA" w14:textId="77777777" w:rsidR="00474229" w:rsidRDefault="00474229" w:rsidP="00474229">
      <w:pPr>
        <w:jc w:val="both"/>
      </w:pPr>
    </w:p>
    <w:p w14:paraId="5ADD65B7" w14:textId="77777777" w:rsidR="00474229" w:rsidRDefault="00474229" w:rsidP="00474229">
      <w:pPr>
        <w:jc w:val="both"/>
      </w:pPr>
    </w:p>
    <w:p w14:paraId="7A93F332" w14:textId="77777777" w:rsidR="00474229" w:rsidRDefault="00474229" w:rsidP="00474229">
      <w:pPr>
        <w:jc w:val="both"/>
      </w:pPr>
    </w:p>
    <w:p w14:paraId="18E5BD94" w14:textId="77777777" w:rsidR="00474229" w:rsidRPr="001F24F3" w:rsidRDefault="00474229" w:rsidP="00474229">
      <w:pPr>
        <w:pStyle w:val="ListParagraph"/>
        <w:rPr>
          <w:rFonts w:ascii="Calibri,Times New Roman" w:eastAsia="Calibri,Times New Roman" w:hAnsi="Calibri,Times New Roman" w:cs="Calibri,Times New Roman"/>
          <w:sz w:val="24"/>
          <w:szCs w:val="24"/>
        </w:rPr>
      </w:pPr>
    </w:p>
    <w:p w14:paraId="40A68658" w14:textId="77777777" w:rsidR="00152E9D" w:rsidRPr="00CD1C26" w:rsidRDefault="00152E9D" w:rsidP="00A67FB1">
      <w:pPr>
        <w:ind w:left="720"/>
        <w:rPr>
          <w:rFonts w:ascii="Arial" w:hAnsi="Arial" w:cs="Arial"/>
          <w:b/>
          <w:sz w:val="24"/>
          <w:szCs w:val="24"/>
        </w:rPr>
      </w:pPr>
    </w:p>
    <w:p w14:paraId="4F7CC4EB" w14:textId="77777777" w:rsidR="00152E9D" w:rsidRPr="00A406E5" w:rsidRDefault="00152E9D" w:rsidP="00A67FB1">
      <w:pPr>
        <w:ind w:left="720"/>
        <w:rPr>
          <w:rFonts w:ascii="Arial" w:hAnsi="Arial" w:cs="Arial"/>
          <w:sz w:val="24"/>
          <w:szCs w:val="24"/>
        </w:rPr>
      </w:pPr>
    </w:p>
    <w:p w14:paraId="009B5B3E" w14:textId="77777777" w:rsidR="00152E9D" w:rsidRPr="00A406E5" w:rsidRDefault="00152E9D" w:rsidP="00A67FB1">
      <w:pPr>
        <w:ind w:left="720"/>
        <w:rPr>
          <w:rFonts w:ascii="Arial" w:hAnsi="Arial" w:cs="Arial"/>
          <w:sz w:val="24"/>
          <w:szCs w:val="24"/>
        </w:rPr>
      </w:pPr>
    </w:p>
    <w:p w14:paraId="63081444" w14:textId="55E25E29" w:rsidR="00152E9D" w:rsidRDefault="00152E9D" w:rsidP="00A67FB1">
      <w:pPr>
        <w:ind w:left="720"/>
        <w:rPr>
          <w:rFonts w:ascii="Arial" w:hAnsi="Arial" w:cs="Arial"/>
          <w:sz w:val="24"/>
          <w:szCs w:val="24"/>
        </w:rPr>
      </w:pPr>
    </w:p>
    <w:p w14:paraId="68433F42" w14:textId="76DEA42F" w:rsidR="00795507" w:rsidRDefault="00795507" w:rsidP="00A67FB1">
      <w:pPr>
        <w:ind w:left="720"/>
        <w:rPr>
          <w:rFonts w:ascii="Arial" w:hAnsi="Arial" w:cs="Arial"/>
          <w:sz w:val="24"/>
          <w:szCs w:val="24"/>
        </w:rPr>
      </w:pPr>
    </w:p>
    <w:p w14:paraId="564D9DC7" w14:textId="7AAABB1F" w:rsidR="00795507" w:rsidRDefault="00795507" w:rsidP="00A67FB1">
      <w:pPr>
        <w:ind w:left="720"/>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1CBAD2BF" w:rsidR="005129B7" w:rsidRDefault="005129B7">
      <w:pPr>
        <w:rPr>
          <w:rFonts w:ascii="Arial" w:hAnsi="Arial" w:cs="Arial"/>
          <w:sz w:val="22"/>
          <w:szCs w:val="22"/>
        </w:rPr>
      </w:pPr>
      <w:r>
        <w:rPr>
          <w:rFonts w:ascii="Arial" w:hAnsi="Arial" w:cs="Arial"/>
          <w:sz w:val="22"/>
          <w:szCs w:val="22"/>
        </w:rPr>
        <w:br w:type="page"/>
      </w:r>
    </w:p>
    <w:p w14:paraId="4633A1E2" w14:textId="77777777"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3C82DCFA" w:rsidR="00045D04" w:rsidRDefault="005129B7" w:rsidP="00D22D9C">
      <w:pPr>
        <w:jc w:val="both"/>
        <w:rPr>
          <w:rFonts w:ascii="Arial" w:hAnsi="Arial" w:cs="Arial"/>
          <w:sz w:val="22"/>
          <w:szCs w:val="22"/>
        </w:rPr>
      </w:pPr>
      <w:r>
        <w:rPr>
          <w:rFonts w:ascii="Arial" w:hAnsi="Arial" w:cs="Arial"/>
          <w:sz w:val="22"/>
          <w:szCs w:val="22"/>
        </w:rPr>
        <w:t>Counter Terrorism Policing</w:t>
      </w:r>
    </w:p>
    <w:p w14:paraId="03642E47" w14:textId="78331C0E" w:rsidR="005129B7" w:rsidRDefault="005129B7" w:rsidP="00D22D9C">
      <w:pPr>
        <w:jc w:val="both"/>
        <w:rPr>
          <w:rFonts w:ascii="Arial" w:hAnsi="Arial" w:cs="Arial"/>
          <w:sz w:val="22"/>
          <w:szCs w:val="22"/>
        </w:rPr>
      </w:pPr>
    </w:p>
    <w:p w14:paraId="190917A2"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Terrorism is one of the most serious threats and crime to a country and its inhabitants. In spite of relatively low annual mortality rates, compared to other types of crime, terrorism as a definition of the word itself, is used to describe an event which brings large scale terror to the population and is designed to install fear, whether this is made so by singular persons, and agency, or government. (Oxford English Dictionary 1989) As such, countering terrorism is crucial to the safety and security of a country, as well as the up keeping of peace, something police officers swear to do when they are sworn in. There are various forms and types of terrorism, including the traditional attacks, widely publicised on the media outlets, insider threats, and cyberattacks, in order to propagate ideology from a group/association of people, whether this is right wing extremism, left wing, single issue, state terrorism, ethno-nationalist, or Jihadi terrorism. </w:t>
      </w:r>
    </w:p>
    <w:p w14:paraId="0CDC6BBC"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This essay aims to explore and understand firstly, the definition and types of terrorism, including physical attacks, insider threats, and cyber-attacks, and the groups who propagate these. It shall explore the issue relating to the definition of “terrorism” in itself and why some attacks are considered terrorist, and others not. It shall provide an in-depth view into insider threat and considerations to have when applying the terrorism legislation, as well as issues with the same. It shall also explore how the 2019 novel coronavirus has impacted terrorist attacks and how it can be influencing adults and young adults into radicalism, extremism, and, ultimately, terrorist attacks, as well as the overall influence of the internet with terrorist attacks, and the issues in policing it. It shall address a brief history of terrorist attacks in the United Kingdom, as well as any legislation currently available to specifically combat terrorism. It shall also address any considerations with the European Convention on Human Rights and any other implications on the legislation. The essay shall explore the United Kingdom’s response to counter terrorism through looking at the structure of independent agencies, and how they collaborate together with the police, in order to keep the United Kingdom safe from terror attacks, both within the country and internationally. This section shall also explore the CONTEST strategy, implemented nationally by the Counter-Terrorism Units. Finally, the essay shall briefly look at examples of how terrorism has impacted communities. </w:t>
      </w:r>
    </w:p>
    <w:p w14:paraId="7F1DC284"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This essay mainly aims to give an overview of the terrorist threat/response in the United Kingdom. It shall discuss a brief overview of the risk in Europe, and compare and use some of the cases in the United States of America and throughout the world, however, it does not aim to give an extensive analysis of terrorism on a global scale. Due to the word limitations of this essay, and the extensiveness of the matter, it would be unfeasible to do so.</w:t>
      </w:r>
    </w:p>
    <w:p w14:paraId="33BC3D23" w14:textId="77777777" w:rsidR="005129B7" w:rsidRPr="005129B7" w:rsidRDefault="005129B7" w:rsidP="005129B7">
      <w:pPr>
        <w:spacing w:after="160" w:line="259" w:lineRule="auto"/>
        <w:jc w:val="both"/>
        <w:rPr>
          <w:rFonts w:ascii="Calibri" w:eastAsia="Calibri" w:hAnsi="Calibri"/>
          <w:sz w:val="22"/>
          <w:szCs w:val="22"/>
          <w:lang w:eastAsia="en-US"/>
        </w:rPr>
      </w:pPr>
    </w:p>
    <w:p w14:paraId="578232DE"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To be able to provide an adequate analysis of the police’s role in countering terrorism, one must first look at what terrorism and other associated terms are, prior to be able to conduct any form of critical evaluation. Thus, the UK Crown Prosecution Service, defines terrorism as:</w:t>
      </w:r>
    </w:p>
    <w:p w14:paraId="38E64F9B" w14:textId="77777777" w:rsidR="005129B7" w:rsidRPr="005129B7" w:rsidRDefault="005129B7" w:rsidP="005129B7">
      <w:pPr>
        <w:spacing w:after="160" w:line="259" w:lineRule="auto"/>
        <w:ind w:left="720"/>
        <w:jc w:val="both"/>
        <w:rPr>
          <w:rFonts w:ascii="Calibri" w:eastAsia="Calibri" w:hAnsi="Calibri"/>
          <w:sz w:val="22"/>
          <w:szCs w:val="22"/>
          <w:lang w:eastAsia="en-US"/>
        </w:rPr>
      </w:pPr>
      <w:r w:rsidRPr="005129B7">
        <w:rPr>
          <w:rFonts w:ascii="Calibri" w:eastAsia="Calibri" w:hAnsi="Calibri"/>
          <w:sz w:val="22"/>
          <w:szCs w:val="22"/>
          <w:lang w:eastAsia="en-US"/>
        </w:rPr>
        <w:t>“</w:t>
      </w:r>
      <w:r w:rsidRPr="005129B7">
        <w:rPr>
          <w:rFonts w:ascii="Calibri" w:eastAsia="Calibri" w:hAnsi="Calibri"/>
          <w:i/>
          <w:sz w:val="22"/>
          <w:szCs w:val="22"/>
          <w:lang w:eastAsia="en-US"/>
        </w:rPr>
        <w:t xml:space="preserve">Terrorism is the use or threat of action, both in and outside of the UK, designed to influence any international government organisation or to intimidate the public.  It must also be for the purpose of advancing a political, religious, racial or ideological cause.” </w:t>
      </w:r>
      <w:r w:rsidRPr="005129B7">
        <w:rPr>
          <w:rFonts w:ascii="Calibri" w:eastAsia="Calibri" w:hAnsi="Calibri"/>
          <w:sz w:val="22"/>
          <w:szCs w:val="22"/>
          <w:lang w:eastAsia="en-US"/>
        </w:rPr>
        <w:t>(CPS 2017)</w:t>
      </w:r>
    </w:p>
    <w:p w14:paraId="7688C8CB"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Analysing this definition, it relies on the subject(s) first and foremost undertaking, preparing, or threatening an act designed to either influence a government organisation into a change, or intimidate the public, causing them to fear terror. Secondly, the act must have a cause behind it: political, religious, racial, or ideological. So, if one were to carry out an attack towards a select target, an organisation/group of people, as a personal vendetta, then the strict definition of terrorism is not applicable. However, the impact on society is consistent with that of the original definition of terrorism, as seen in numerous media headlines. (BBC, 2017) If one takes into account the UN’s definition of terrorism, in 2004, that the acts are designed to instigate fear and a state of terror to the public (OHCHR, 2008, pp.6), then the above example would fall into terrorism, whereas in the UK court of law, it would not, as it does not have any other reasoning besides personal vendetta. Instead, the subject(s) would be tried for mass murder, as was the case for Alexandre Bissonnette, who killed 11 persons, after shooting in a Mosque in Quebec, in 2017. (National Post, 2017) Perhaps an amendment is required to the terrorist legislation, to incorporate the targets to whom the acts are </w:t>
      </w:r>
      <w:r w:rsidRPr="005129B7">
        <w:rPr>
          <w:rFonts w:ascii="Calibri" w:eastAsia="Calibri" w:hAnsi="Calibri"/>
          <w:sz w:val="22"/>
          <w:szCs w:val="22"/>
          <w:lang w:eastAsia="en-US"/>
        </w:rPr>
        <w:lastRenderedPageBreak/>
        <w:t xml:space="preserve">directed towards, such as those with protected characteristics, under the Equality Act 2010, rather than merely focusing on the intent, purpose, and the actions itself. </w:t>
      </w:r>
    </w:p>
    <w:p w14:paraId="788C0BA1"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Despite the relatively small aspects that the legislation does not cover, and, in fact, these are covered by other laws, which would give the subject(s) a similar prison sentence, as demonstrated above with the trial of Bissonnette, the legislation does take into account not only physical acts and threats of violence, but also those undertaken digitally, as well as, non-violent terrorist acts, which impacts society in a wholly different manner. Acts such as eco-terrorism, cyber-terrorism, and insider threat-terrorism, are generally less deadly types of terrorism, however, capable of destroying countries, organisations, and economies. </w:t>
      </w:r>
    </w:p>
    <w:p w14:paraId="2FA7114E"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Usually used by left-wing extremists, anarchists, and environment extremists, (Asal &amp; Rethemeyer 2008, pp.244) eco-terrorism is not designed to primarily kill humans, but, to influence governments into a cause, normally relating to environmental changes. This has been done through the means of: burning buildings, as was the case of the Earth Liberation Front (ELF) in 2006; (Asal &amp; Rethemeyer 2008, pp.245) protesting in sacred, UNESCO sites, causing irreparable damage, which in the strictest of senses, can amount to terrorism, such as the Nazca lines which were damaged by Greenpeace, in 2014. This prompted a reaction from Peru’s government, as well as, internationally, over the criminal act of damaging a historical site. (CBC 2014) Also the use of arson and criminal damage against corporations, which, ultimately, results in endangering lives. (Yang &amp; Jen 2017, pp.1104).</w:t>
      </w:r>
    </w:p>
    <w:p w14:paraId="374FB3E1"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There is, of course, an argument that this is very different type of attack, when comparing to for example, the case of the Norwegian right-wing extremist, Anders Behring Breivik, who, in 2011, murdered 77 people, in two separate incidents. (Appendix 1) Breivik had strong beliefs linked to right-wing extremism, xenophobia, islamophobia, and was highly against multi-culturalism, particularly in Norway. (The New York Times 2012) Eco-terrorism tends to be a non-violent and non-life threatening event, at most, thus, in their review, Alekseeva, Anisimov, and Ryzhenkov, argue that the term eco-terrorism should be replaced with the term of “environmental radicalism”. (Alekseeva et al, 2017, pp.29) Indeed, whilst eco-terrorism may seemingly be a less violent, peaceful type of radical activities, the effects it can have on organisations, and, ultimately, economies, communities, and the well-being of countries and its citizens, can be devastating. One example of this is India’s battle with Greenpeace and other non-governmental organisations, whose activities account for an impact of 2-3 percent on the country’s annual growth rate (GDP), according to an India’s intelligence bureau report. (The Indian Express, 2014)</w:t>
      </w:r>
    </w:p>
    <w:p w14:paraId="07B490B7"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The same, however, cannot be said for cyber-attacks and insider threat-terrorism. Whilst pertaining to be fairly non-violent, when used in a terrorist context, cyber-attacks can be deadly. If a hospital’s computer network was to fail, and doctors couldn’t access their system to check patients’ history/medications, the consequences could be devastating. Alternatively, if banks and ATM machines are disrupted, it can instigate mass fear to members of the public. The latter occurred in 2013, in South Korea, where a number of banks and other companies were hacked. (BBC 2013a) Later in the year, South Korea suffered yet another cyber terrorist attack, where government websites were hacked and messages praising the North Korean leader were displayed. (BBC 2013b) Another form of cyber-attack occurred in 2016, known as the “Football leaks” where Rui Pinto hacked a number of football teams and “leaked” confidential data from the teams to major media outlets, prompting criminal investigations over some of the players. (BBC 2020b) As part of this series of hacking, Pinto leaked documents showing how a major political figure in Angola, Isabel dos Santos, came into her wealth through corruption. (BBC 2020a) This caused political tensions between Angola and several other states, as well as, the scrutiny of any businesses in which dos Santos had any shares with, such as Eurobic. (Control Risks 2020) After this, Pinto dubbed himself as a “whistle-blower”. This term is defined by the Oxford dictionary as </w:t>
      </w:r>
      <w:r w:rsidRPr="005129B7">
        <w:rPr>
          <w:rFonts w:ascii="Calibri" w:eastAsia="Calibri" w:hAnsi="Calibri"/>
          <w:i/>
          <w:sz w:val="22"/>
          <w:szCs w:val="22"/>
          <w:lang w:eastAsia="en-US"/>
        </w:rPr>
        <w:t>“a source who makes public information about alleged wrongdoing, typically by or within the organization in which they are employed…”</w:t>
      </w:r>
      <w:r w:rsidRPr="005129B7">
        <w:rPr>
          <w:rFonts w:ascii="Calibri" w:eastAsia="Calibri" w:hAnsi="Calibri"/>
          <w:sz w:val="22"/>
          <w:szCs w:val="22"/>
          <w:lang w:eastAsia="en-US"/>
        </w:rPr>
        <w:t xml:space="preserve"> (Oxford Reference 2014) These are persons, usually employees of a company who “leak” information to journalists, prompting a reaction from media/government and authorities. This can form part of what is called “insider threat”. Insider threat is the threat of employees revealing operational, strategic, and tactical data from companies, either purposefully or accidental, to external agents. Not only is it capable of causing harm to the company itself, such as is the case for the leakage of a unique intellectual property idea to others, but in the most extreme of scenarios, put the company at risk of a terrorist incident, as the case of nuclear power plants, or disclose information which can lead to terrorist incidents, such as the layout of buildings, including security points.</w:t>
      </w:r>
    </w:p>
    <w:p w14:paraId="35206505"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lastRenderedPageBreak/>
        <w:t>Indeed, as BaMaung, McIlhatton, MacDonald &amp; Beattie point out, rightly so, insider threat-terrorism, is a topic not to be taken lightly. (BaMaung et al, 2018, pp.133) In the most recent UK deadly terror attacks, such as the 7/7 bombings in 2005, or the Manchester Arena attack in 2017, subjects must have had some sort of knowledge of the infrastructure they were targeting. There are very limited methods to conduct this type of gathering of information. One of them is the most commonly discussed, named hostile reconnaissance. (UK Gov 2020) Hostile reconnaissance is the gathering of information, whether this be through the use of recordings or physical walks around the target location, in order to plan the attack. Such a tactic was believed to have been employed with the November of 2015 attacks in Paris, where the attacks were planned at highly populated venues. (BBC 2015) Another method deployed to gather information is through the use of insiders who leak information, or persons who infiltrate organisations with the purpose of obtaining information which is not freely available to the general public. These are two different forms of insider threat. BaMaung and others, rightly discuss that the current threat of the insider terrorism is not being taken as serious as it should. (BaMaung 2018, pp.134) This is evidenced by, for example, on the MI5 website’s information about terrorist attack methods, insider threat falls under “Other methods of attack”. (MI5 unknown) Studies in 2014 discuss that not enough is being done to disrupt insider threat, relating to terrorism, or even, consider it as a risk. (Anon 2014, pp.7) As evidenced by the foiled 2006 liquid bomb terrorist attempt, terrorist use information from restricted areas of airports, flight plans, airplanes layouts, all in order to plan for the terrorist attack, including logistics involved, prior to executing said attack. (Finkel 2017, pp.68) This type of information can only be obtained from personnel who work within the company. Alekseeva et al also indirectly discuss the risk associated with insider terrorism when discussing environmental terrorist attacks. One of the main risks associated is the sabotage and taking control of nuclear plants, threatening to detonate the same. The fear provoked in the population and governments can be strongly impactive, more so than with some fatal terrorist attacks (Alekseeva, et al 2017, pp.27), thus making insider threat a high priority in research.</w:t>
      </w:r>
    </w:p>
    <w:p w14:paraId="36D02E8F"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With information being more easily transmittable through the internet, via channels such as the Dark web and other obscure, unregulated forum channels such “8chan” (now known as “8kun”), disgruntled employees, and other actors with much more sinister and malicious intent, can easily transmit information to terrorist cells and organisations/groups. Channels such as these have played a strong role, particularly more recently, in terrorist incident. This was observed with the case of the Christchurch right-wing terrorist, who used the platform 8chan to discuss his attack and leave a link to his “live-stream” of the terrorist attack on a Mosque in 2019, killing 51 people. (Keen 2020) Given how worldwide and infinite the internet is, as 8chan liked to brand itself, (Keen 2020) this is something very difficult to monitor, although, not impossible. Not long after the Christchurch attack, a number of “copy-cat” attempts and successful attacks occurred in 2019. These attacks prompted the cyber security server Cloudflare to terminate its contract with 8chan as a customer. (Reuters 2019) This creates a large issue for police and authorities when it comes to monitoring extremism content, and preventing terrorist attacks. One must always consider the balance between each individual’s human rights, any potential collateral intrusion to innocent by-standers, as well as the task of protecting the public. Such a task is highly scrutinised by independent authorities, such as the independent reviewer of terrorism legislation, government, and ultimately the public, to whom the police serve. The internet also provides an easily accessible platform to those most vulnerable in society to become radicalised. A number of campaigns have been launched aimed at protecting children against extremist material and protecting them from radicalisation.</w:t>
      </w:r>
      <w:r w:rsidRPr="005129B7">
        <w:rPr>
          <w:rFonts w:ascii="Calibri" w:eastAsia="Calibri" w:hAnsi="Calibri"/>
          <w:sz w:val="22"/>
          <w:szCs w:val="22"/>
          <w:vertAlign w:val="superscript"/>
          <w:lang w:eastAsia="en-US"/>
        </w:rPr>
        <w:footnoteReference w:id="1"/>
      </w:r>
      <w:r w:rsidRPr="005129B7">
        <w:rPr>
          <w:rFonts w:ascii="Calibri" w:eastAsia="Calibri" w:hAnsi="Calibri"/>
          <w:sz w:val="22"/>
          <w:szCs w:val="22"/>
          <w:lang w:eastAsia="en-US"/>
        </w:rPr>
        <w:t xml:space="preserve"> </w:t>
      </w:r>
      <w:r w:rsidRPr="005129B7">
        <w:rPr>
          <w:rFonts w:ascii="Calibri" w:eastAsia="Calibri" w:hAnsi="Calibri"/>
          <w:sz w:val="22"/>
          <w:szCs w:val="22"/>
          <w:vertAlign w:val="superscript"/>
          <w:lang w:eastAsia="en-US"/>
        </w:rPr>
        <w:footnoteReference w:id="2"/>
      </w:r>
      <w:r w:rsidRPr="005129B7">
        <w:rPr>
          <w:rFonts w:ascii="Calibri" w:eastAsia="Calibri" w:hAnsi="Calibri"/>
          <w:sz w:val="22"/>
          <w:szCs w:val="22"/>
          <w:lang w:eastAsia="en-US"/>
        </w:rPr>
        <w:t xml:space="preserve"> </w:t>
      </w:r>
      <w:r w:rsidRPr="005129B7">
        <w:rPr>
          <w:rFonts w:ascii="Calibri" w:eastAsia="Calibri" w:hAnsi="Calibri"/>
          <w:sz w:val="22"/>
          <w:szCs w:val="22"/>
          <w:vertAlign w:val="superscript"/>
          <w:lang w:eastAsia="en-US"/>
        </w:rPr>
        <w:footnoteReference w:id="3"/>
      </w:r>
    </w:p>
    <w:p w14:paraId="6B96F133"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Another form of insider threat is changes within the personnel themselves. Rather than passing information on to other external persons with ulterior motives, if one who has access to such risk areas becomes radicalised, then they may also become a risk to an organisation, exposing the organisation to potential terrorist attacks. Such an example occurred in Fort Hood, in 2009, where a soldier at the military base became radicalised with extremist views, and murdered 13 people, whilst shouting “</w:t>
      </w:r>
      <w:r w:rsidRPr="005129B7">
        <w:rPr>
          <w:rFonts w:ascii="Calibri" w:eastAsia="Calibri" w:hAnsi="Calibri"/>
          <w:i/>
          <w:sz w:val="22"/>
          <w:szCs w:val="22"/>
          <w:lang w:eastAsia="en-US"/>
        </w:rPr>
        <w:t>Allahu akbar</w:t>
      </w:r>
      <w:r w:rsidRPr="005129B7">
        <w:rPr>
          <w:rFonts w:ascii="Calibri" w:eastAsia="Calibri" w:hAnsi="Calibri"/>
          <w:sz w:val="22"/>
          <w:szCs w:val="22"/>
          <w:lang w:eastAsia="en-US"/>
        </w:rPr>
        <w:t xml:space="preserve">”, a quote commonly used by those aligned with ISIS and Al-Qaeda, prior to carrying out terrorist attacks. (Poppe 2018) This attack also re-iterates a point made earlier connected to the definition of the terrorism legislation. As Poppe suggests, following the attack on Fort Hood, there was much </w:t>
      </w:r>
      <w:r w:rsidRPr="005129B7">
        <w:rPr>
          <w:rFonts w:ascii="Calibri" w:eastAsia="Calibri" w:hAnsi="Calibri"/>
          <w:sz w:val="22"/>
          <w:szCs w:val="22"/>
          <w:lang w:eastAsia="en-US"/>
        </w:rPr>
        <w:lastRenderedPageBreak/>
        <w:t xml:space="preserve">discussion in place regarding whether this was an act of terrorism or a mass shooting, due to not being fully able to attribute any formal “membership” to any group or association linked to terrorism. (Poppe 2018, pp.2-3) </w:t>
      </w:r>
    </w:p>
    <w:p w14:paraId="18B015C9"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The next question it raises is how would one mitigate such threat? Prior to any employment of risk, a potential employee is vetted for their criminal record, associations, and any counter-terrorism intelligence. Whilst this may be the first step into disrupting those wanting to infiltrate an organisation to gather intelligence, it may not disrupt the latter threats: disgruntled employees, or, those radicalised whilst in their positions. There is the need for reliance of others to be observant and report worrying behaviours without the fear of consequences. Greitzer and Hohimer have attempted to model human behaviour in order to anticipate insider attacks within the cyber-security world. Interestingly, they use the Fort Hood attack as a case study, describing that there were strong indicators in the subject’s behaviour which could have been realised and, thus, could have had some sort of intervention to prevent any plans for terrorism materialising. (Greitzer and Hohimer 2011, pp.42) This is a seemingly simple solution, however, if one notes Poppe’s in-depth report on the same incident, one can note that Nidal Hasan did not publicise his thoughts, nor share his beliefs with anyone other than the imam he learned from, Anwar al-Awlaki who, himself, is believed to have been “one of the most influential al-Qaeda recruiters and ideologues”. (Poppe 2018, pp.7) This makes it a challenge on various levels. Firstly, his family noticed Hasan’s furthering into more extreme values, (Poppe 2018, pp.8) however, in spite of these concerns, it would be very unlikely that the family would report them to the police, especially when the subject had a career within the military and of such a high standing within the military itself, as a major. Such a report could potentially destroy his career and any future aspirations. Secondly, perhaps the lack of knowledge from his peers relating to Hasan’s following of an extreme version of Islamic teachings, may have contributed as if they did, his peers may have realised the extreme extent of his ideology, however, throughout the period in which he progressively became radicalised, he stopped associating with others outside his work, studies, and mosque. (Poppe 2018, pp.8-9). Thirdly, the imam himself was a “well known and moderate” Muslim leader in the county. (Poppe 2018, pp.7) It was not until 2010, that his association with Al-Qaeda and extremism was firmed and an authorisation to use military force against him was agreed. (The Guardian 2014)</w:t>
      </w:r>
    </w:p>
    <w:p w14:paraId="364074FF"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Given the variety attacks, the vast methods deployed, and the different ranges of organisations behind the attack, the police have a difficult task at hand in protecting communities against such events. This essay has already looked in part at some of the strategies and legislations in place to combat terrorism, and its various forms. Winters discusses a broad and interesting concept to the definition of terrorism, adding that </w:t>
      </w:r>
      <w:r w:rsidRPr="005129B7">
        <w:rPr>
          <w:rFonts w:ascii="Calibri" w:eastAsia="Calibri" w:hAnsi="Calibri"/>
          <w:i/>
          <w:sz w:val="22"/>
          <w:szCs w:val="22"/>
          <w:lang w:eastAsia="en-US"/>
        </w:rPr>
        <w:t xml:space="preserve">“targeting mainly civilians and non-combatants, performed for its propagandistic and psychological effects”. </w:t>
      </w:r>
      <w:r w:rsidRPr="005129B7">
        <w:rPr>
          <w:rFonts w:ascii="Calibri" w:eastAsia="Calibri" w:hAnsi="Calibri"/>
          <w:sz w:val="22"/>
          <w:szCs w:val="22"/>
          <w:lang w:eastAsia="en-US"/>
        </w:rPr>
        <w:t>(Winters 2017, pp.262) In fact, it is the conclusion one can come to when looking into terrorism. There is no one particular form of terrorism. It comes in a wide range of activities, almost like a war, except against innocent civilians, who did not wish to take part in such an event. Thus the job of the police is crucial in disrupting terrorists, foiling attacks, and preventing, where possible, the persons in becoming radicalised in the first instance.</w:t>
      </w:r>
    </w:p>
    <w:p w14:paraId="61D51E38"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Before proceeding, it is worth to make a side note and discuss the differentiation between extremism, radicalism, and terrorism, as have been mentioned throughout the essay, thus far. The definitions in UK law were set out in the UK government’s CONTEST strategy in 2011, and further amended in 2015 with the counter terrorism legislation, making it the responsibility of all public bodies to ensure that children do not become radicalised. The strategy defines each term as follows:</w:t>
      </w:r>
    </w:p>
    <w:p w14:paraId="47F54467" w14:textId="77777777" w:rsidR="005129B7" w:rsidRPr="005129B7" w:rsidRDefault="005129B7" w:rsidP="005129B7">
      <w:pPr>
        <w:spacing w:after="160" w:line="259" w:lineRule="auto"/>
        <w:ind w:left="720"/>
        <w:jc w:val="both"/>
        <w:rPr>
          <w:rFonts w:ascii="Calibri" w:eastAsia="Calibri" w:hAnsi="Calibri"/>
          <w:i/>
          <w:sz w:val="22"/>
          <w:szCs w:val="22"/>
          <w:lang w:eastAsia="en-US"/>
        </w:rPr>
      </w:pPr>
      <w:r w:rsidRPr="005129B7">
        <w:rPr>
          <w:rFonts w:ascii="Calibri" w:eastAsia="Calibri" w:hAnsi="Calibri"/>
          <w:i/>
          <w:sz w:val="22"/>
          <w:szCs w:val="22"/>
          <w:lang w:eastAsia="en-US"/>
        </w:rPr>
        <w:t xml:space="preserve">“Extremism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r w:rsidRPr="005129B7">
        <w:rPr>
          <w:rFonts w:ascii="Calibri" w:eastAsia="Calibri" w:hAnsi="Calibri"/>
          <w:sz w:val="22"/>
          <w:szCs w:val="22"/>
          <w:lang w:eastAsia="en-US"/>
        </w:rPr>
        <w:t>(HM Government 2011, pp. 108)</w:t>
      </w:r>
    </w:p>
    <w:p w14:paraId="274DF923" w14:textId="77777777" w:rsidR="005129B7" w:rsidRPr="005129B7" w:rsidRDefault="005129B7" w:rsidP="005129B7">
      <w:pPr>
        <w:spacing w:after="160" w:line="259" w:lineRule="auto"/>
        <w:ind w:left="720"/>
        <w:jc w:val="both"/>
        <w:rPr>
          <w:rFonts w:ascii="Calibri" w:eastAsia="Calibri" w:hAnsi="Calibri"/>
          <w:sz w:val="22"/>
          <w:szCs w:val="22"/>
          <w:lang w:eastAsia="en-US"/>
        </w:rPr>
      </w:pPr>
      <w:r w:rsidRPr="005129B7">
        <w:rPr>
          <w:rFonts w:ascii="Calibri" w:eastAsia="Calibri" w:hAnsi="Calibri"/>
          <w:i/>
          <w:sz w:val="22"/>
          <w:szCs w:val="22"/>
          <w:lang w:eastAsia="en-US"/>
        </w:rPr>
        <w:t xml:space="preserve">“Radicalisation refers to the process by which a person comes to support terrorism and forms of extremism leading to terrorism.” </w:t>
      </w:r>
      <w:r w:rsidRPr="005129B7">
        <w:rPr>
          <w:rFonts w:ascii="Calibri" w:eastAsia="Calibri" w:hAnsi="Calibri"/>
          <w:sz w:val="22"/>
          <w:szCs w:val="22"/>
          <w:lang w:eastAsia="en-US"/>
        </w:rPr>
        <w:t>(HM Government 2011, pp. 108)</w:t>
      </w:r>
    </w:p>
    <w:p w14:paraId="755B85C2"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The definition of terrorism has already been discussed extensively throughout this essay, thus, the repeating of it will not be necessary. For the purposes of this discussion, a “terrorist” shall be someone who carries out an act of terrorism. Interestingly, this differentiation between the three terms is of crucial importance, especially when approaching the counter-terrorist measures. If terrorism is one side and extremism in the other, then radicalisation is the bridge that brings both concepts together. It is, however, possible for one to be aligned with extremist views, but, </w:t>
      </w:r>
      <w:r w:rsidRPr="005129B7">
        <w:rPr>
          <w:rFonts w:ascii="Calibri" w:eastAsia="Calibri" w:hAnsi="Calibri"/>
          <w:sz w:val="22"/>
          <w:szCs w:val="22"/>
          <w:lang w:eastAsia="en-US"/>
        </w:rPr>
        <w:lastRenderedPageBreak/>
        <w:t>not be a terrorist, or participate in terrorist activities. Such was the case argued earlier on by Alekseeva et al when discussing eco-terrorism. (Alekseeva et al 2017, pp.29) This has also recently been a point of argument when, as part of the Contest strategy, prevention lectures were delivered at schools and hospitals, featuring organisations of the likes of Greenpeace and, the more recent, Extinction Rebellion, as well as other communist, fascist, and socialist possible extremist organisations. (The Guardian 2020) This prompts the discussion relating to when does political, social, and other matters, become extremist, and when extreme criminal non-violent acts become terrorist incidents. The animals and environmental organisations (ALF and ELF) have clearly committed serious crimes which endanger the lives and property of persons, thus falling into the category of terrorism. Greenpeace however, may not have committed such serious crimes, however, as observed earlier with the case of India, Greenpeace has cost the country a decline in its growth, due to the repetition of small incidents, earning them the label of extremist, from India’s government.</w:t>
      </w:r>
    </w:p>
    <w:p w14:paraId="53275FB5"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Looking at the current definition of terrorism also prompts various issues. Having an extremist view is a small component of what makes terrorist, for the individual(s) must have some form of “agenda”, and, to undertake such action, one must have extreme views of a subject. If they did not, then they would not have the motivation to undertake such attacks. Perhaps moving forward, there is a need for both the revisiting of the terms “extremism” and “terrorism”, as well as, perhaps having the definition of “terrorism” broken into 2, or even, 3 parts, covering violent acts, non-violent acts, and the cyber-space.</w:t>
      </w:r>
    </w:p>
    <w:p w14:paraId="288F82E3" w14:textId="041240BF" w:rsid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Looking in particular at terrorism in the United Kingdom, the UK has suffered from a number of terrorist attacks since the 1970s, where the main terrorist attacks were linked to the so called “the troubles”, originating with the conflict between Northern Ireland and the Republic of Ireland. These attacks continued until 1998, when the peace treaty was signed. Since then, there was a noticeable decline in terror attacks in the UK. (Figure 1) </w:t>
      </w:r>
    </w:p>
    <w:p w14:paraId="73E62CC1" w14:textId="4B4A8E4B" w:rsid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noProof/>
          <w:sz w:val="22"/>
          <w:szCs w:val="22"/>
        </w:rPr>
        <w:drawing>
          <wp:anchor distT="0" distB="0" distL="114300" distR="114300" simplePos="0" relativeHeight="251660288" behindDoc="1" locked="0" layoutInCell="1" allowOverlap="1" wp14:anchorId="7AD903B0" wp14:editId="579A89BC">
            <wp:simplePos x="0" y="0"/>
            <wp:positionH relativeFrom="margin">
              <wp:align>center</wp:align>
            </wp:positionH>
            <wp:positionV relativeFrom="paragraph">
              <wp:posOffset>165393</wp:posOffset>
            </wp:positionV>
            <wp:extent cx="5725160" cy="1532890"/>
            <wp:effectExtent l="0" t="0" r="8890" b="0"/>
            <wp:wrapTight wrapText="bothSides">
              <wp:wrapPolygon edited="0">
                <wp:start x="0" y="0"/>
                <wp:lineTo x="0" y="21206"/>
                <wp:lineTo x="21562" y="21206"/>
                <wp:lineTo x="21562" y="0"/>
                <wp:lineTo x="0" y="0"/>
              </wp:wrapPolygon>
            </wp:wrapTight>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723" t="31227" r="1" b="9999"/>
                    <a:stretch/>
                  </pic:blipFill>
                  <pic:spPr bwMode="auto">
                    <a:xfrm>
                      <a:off x="0" y="0"/>
                      <a:ext cx="5725160" cy="1532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A06D18" w14:textId="3CAE8626" w:rsidR="005129B7" w:rsidRDefault="005129B7" w:rsidP="005129B7">
      <w:pPr>
        <w:spacing w:after="160" w:line="259" w:lineRule="auto"/>
        <w:jc w:val="both"/>
        <w:rPr>
          <w:rFonts w:ascii="Calibri" w:eastAsia="Calibri" w:hAnsi="Calibri"/>
          <w:sz w:val="22"/>
          <w:szCs w:val="22"/>
          <w:lang w:eastAsia="en-US"/>
        </w:rPr>
      </w:pPr>
    </w:p>
    <w:p w14:paraId="0E5D335A" w14:textId="28DBC433" w:rsidR="005129B7" w:rsidRDefault="005129B7" w:rsidP="005129B7">
      <w:pPr>
        <w:spacing w:after="160" w:line="259" w:lineRule="auto"/>
        <w:jc w:val="both"/>
        <w:rPr>
          <w:rFonts w:ascii="Calibri" w:eastAsia="Calibri" w:hAnsi="Calibri"/>
          <w:sz w:val="22"/>
          <w:szCs w:val="22"/>
          <w:lang w:eastAsia="en-US"/>
        </w:rPr>
      </w:pPr>
    </w:p>
    <w:p w14:paraId="1202AA34" w14:textId="75B16FBC" w:rsidR="005129B7" w:rsidRDefault="005129B7" w:rsidP="005129B7">
      <w:pPr>
        <w:spacing w:after="160" w:line="259" w:lineRule="auto"/>
        <w:jc w:val="both"/>
        <w:rPr>
          <w:rFonts w:ascii="Calibri" w:eastAsia="Calibri" w:hAnsi="Calibri"/>
          <w:sz w:val="22"/>
          <w:szCs w:val="22"/>
          <w:lang w:eastAsia="en-US"/>
        </w:rPr>
      </w:pPr>
    </w:p>
    <w:p w14:paraId="331867BF" w14:textId="10D90EF1" w:rsidR="005129B7" w:rsidRDefault="005129B7" w:rsidP="005129B7">
      <w:pPr>
        <w:spacing w:after="160" w:line="259" w:lineRule="auto"/>
        <w:jc w:val="both"/>
        <w:rPr>
          <w:rFonts w:ascii="Calibri" w:eastAsia="Calibri" w:hAnsi="Calibri"/>
          <w:sz w:val="22"/>
          <w:szCs w:val="22"/>
          <w:lang w:eastAsia="en-US"/>
        </w:rPr>
      </w:pPr>
    </w:p>
    <w:p w14:paraId="721EE23A" w14:textId="0F60F068" w:rsidR="005129B7" w:rsidRDefault="005129B7" w:rsidP="005129B7">
      <w:pPr>
        <w:spacing w:after="160" w:line="259" w:lineRule="auto"/>
        <w:jc w:val="both"/>
        <w:rPr>
          <w:rFonts w:ascii="Calibri" w:eastAsia="Calibri" w:hAnsi="Calibri"/>
          <w:sz w:val="22"/>
          <w:szCs w:val="22"/>
          <w:lang w:eastAsia="en-US"/>
        </w:rPr>
      </w:pPr>
    </w:p>
    <w:p w14:paraId="14F38D1E" w14:textId="77777777" w:rsidR="005129B7" w:rsidRPr="005129B7" w:rsidRDefault="005129B7" w:rsidP="005129B7">
      <w:pPr>
        <w:spacing w:after="160" w:line="259" w:lineRule="auto"/>
        <w:jc w:val="both"/>
        <w:rPr>
          <w:rFonts w:ascii="Calibri" w:eastAsia="Calibri" w:hAnsi="Calibri"/>
          <w:sz w:val="22"/>
          <w:szCs w:val="22"/>
          <w:lang w:eastAsia="en-US"/>
        </w:rPr>
      </w:pPr>
    </w:p>
    <w:p w14:paraId="249D1A07"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Fig.1 shows number of terrorist attacks in the United Kingdom between 1970 and 2018, based on data from the Global Terrorism Database (GTD).</w:t>
      </w:r>
    </w:p>
    <w:p w14:paraId="39FC5709" w14:textId="77777777" w:rsidR="005129B7" w:rsidRPr="005129B7" w:rsidRDefault="005129B7" w:rsidP="005129B7">
      <w:pPr>
        <w:spacing w:after="160" w:line="259" w:lineRule="auto"/>
        <w:jc w:val="both"/>
        <w:rPr>
          <w:rFonts w:ascii="Calibri" w:eastAsia="Calibri" w:hAnsi="Calibri"/>
          <w:sz w:val="22"/>
          <w:szCs w:val="22"/>
          <w:lang w:eastAsia="en-US"/>
        </w:rPr>
      </w:pPr>
    </w:p>
    <w:p w14:paraId="20A3BB9A"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However, there is a noticeable rise in attacks in 2013, in line with the rest of the world, believed to have been prompted mainly by the rise in activity associated with Jihadi groups such as ISIS, Al-Qaeda, Boko Haram, and the Taliban groups. (BBC 2014)</w:t>
      </w:r>
    </w:p>
    <w:p w14:paraId="4460D9CA"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Since then, the UK has seen a stable number of attacks, of which, in 2017, the attacks were the most deadly, since 2005. Besides the Northern Ireland related groups of terrorism, mostly from an ethno-nationalist and separatist group of extremists, the UK also has a number of persons associated with right and left wing extremists, and Jihadi extremism. In comparison to the rest of Europe, in 2019, the UK had also over 50% of the terrorist attacks (64 attacks and attempts), and arrested the most persons linked to terrorism (281 or 28%), in Europe. (Europol 2019 pp.10) However, of the 64 attacks reported, 56 were related to the Dissident Republican groups, linked to the Northern Ireland troubles. (Europol, 2019, pp. 16) A further 4 attacks and attempts were linked to right-wing terrorism. (Europol, 2019 pp. 18) The threat of terrorism within the UK is still very much a crucial point of debate and a focal point of policing to ensure the safety of communities.</w:t>
      </w:r>
    </w:p>
    <w:p w14:paraId="528FE1DD"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lastRenderedPageBreak/>
        <w:t>In the UK, there are a number of bodies who deal with terrorism affairs, and support the police in investigating terrorism related matters. The police are the first point of contact with all members of the public, collecting intelligence, and making decisions on the spot whether something constitutes a terrorist attack. If it does, then protocols are evoked and specialist teams of police officers and staff are called to assist. These specialists form part of the Counter-Terrorism Units, who are spread throughout the country in regional task forces. Besides dealing with on-going terrorist incidents, they work together with National Security Intelligence Agencies, such as MI5 and MI6; the National Counter Terrorism Support Office, the government, the Government Communications Headquarters (GCHQ), the National Chemical, Biological, Radiological and Nuclear Centre, Centre for the Protection of National Infrastructure, National Cyber Security Centre, and the National Operations Centre. (Jones 2020) Together the agencies co-ordinate an approach towards dealing with, preventing, protecting, and pursuing terrorists and terrorism incidents throughout the country. They are also supported by the European Counter Terrorism Centre, a branch of Europol, as well as working with the United Nations.</w:t>
      </w:r>
    </w:p>
    <w:p w14:paraId="74D8C010"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In order for the police to deal with terrorist related matters, there is terrorism legislation (The Terrorism Act 2000) which provides the police with special powers such as stop and search of persons and vehicles (section 44 and 47A), question and detain persons at ports (Schedule 7 and 8), carry out general police tasks (section 41). (Carlile 2007, pp.6) Following from this act, several other pieces of legislation have been made available:</w:t>
      </w:r>
    </w:p>
    <w:p w14:paraId="3A4D0B6A"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Anti-terrorism, Crime and Security Act 2001;</w:t>
      </w:r>
    </w:p>
    <w:p w14:paraId="38BBC709"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Criminal Justice Act 2003;</w:t>
      </w:r>
    </w:p>
    <w:p w14:paraId="16CF82D5"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Anti-terrorism, Crime and Security Act 2001;</w:t>
      </w:r>
    </w:p>
    <w:p w14:paraId="31DAE1B3"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Prevention of Terrorism Act 2005;</w:t>
      </w:r>
    </w:p>
    <w:p w14:paraId="35114BF9"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Terrorism Act 2006;</w:t>
      </w:r>
    </w:p>
    <w:p w14:paraId="739C4EEB"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Counter-Terrorism Act 2008;</w:t>
      </w:r>
    </w:p>
    <w:p w14:paraId="4E8C87CE"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Coroners and Justice Act 2009;</w:t>
      </w:r>
    </w:p>
    <w:p w14:paraId="0042BC30"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Justice and Security Act 2013</w:t>
      </w:r>
    </w:p>
    <w:p w14:paraId="1B3A2274"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Counter-Terrorism and Security Act 2015</w:t>
      </w:r>
    </w:p>
    <w:p w14:paraId="20488BA5" w14:textId="77777777" w:rsidR="005129B7" w:rsidRPr="005129B7" w:rsidRDefault="005129B7" w:rsidP="005129B7">
      <w:pPr>
        <w:numPr>
          <w:ilvl w:val="0"/>
          <w:numId w:val="36"/>
        </w:numPr>
        <w:spacing w:after="160" w:line="259" w:lineRule="auto"/>
        <w:contextualSpacing/>
        <w:jc w:val="both"/>
        <w:rPr>
          <w:rFonts w:ascii="Calibri" w:eastAsia="Calibri" w:hAnsi="Calibri"/>
          <w:sz w:val="22"/>
          <w:szCs w:val="22"/>
          <w:lang w:eastAsia="en-US"/>
        </w:rPr>
      </w:pPr>
      <w:r w:rsidRPr="005129B7">
        <w:rPr>
          <w:rFonts w:ascii="Calibri" w:eastAsia="Calibri" w:hAnsi="Calibri"/>
          <w:sz w:val="22"/>
          <w:szCs w:val="22"/>
          <w:lang w:eastAsia="en-US"/>
        </w:rPr>
        <w:t>The Counter-Terrorism and Border Security Act 2019</w:t>
      </w:r>
    </w:p>
    <w:p w14:paraId="1A21F017"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All these measures were put in place to give police and security services further support in carrying out counter terrorism measures, such as further guidance for communications data, biometrics data, the recruitment and radicalisation of vulnerable members of society. Also as part of the government’s efforts to combating terrorism, the UK government created, in 2011, the “CONTEST” strategy to combat terrorism. The strategy is made up of 4 parts: Pursue, Prevent, Protect, and Prepare. These measures are aimed firstly at pursuing and stopping any terrorist attacks. Secondly, they are designed to prevent anyone becoming affiliated with terrorism by identifying those individuals at risk of radicalisation and mitigating it either by de-radicalising them, or if unsuccessful, monitoring their activities. The strategy also aims at disrupting those influencing others into becoming radicalised as well as preparing infrastructures and ensuring there are plans in place should an attack occur. There is however quite a large scope to argue the validity of these acts and strategies. Some may argue that the monitoring of groups and associates may break various human rights, including the right to a private life, freedom of speech, and freedom of association. There are also concerns that in monitoring the activities of people, there may be an amount of collateral intrusion linked to innocent parties. </w:t>
      </w:r>
    </w:p>
    <w:p w14:paraId="23047035"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There were also concerns relating to the use of stop and searching powers under the terrorism act 2000 as there is no need for a police officer to have a suspicion to conduct a stop search (S.44). (Allen &amp; Kirk-wade 2020, pp.6) Stop searches on a whole in Britain have been considered to be problematic, thus this caused alarm with groups and members of the public. Since then, a new provision for stop searches has been created to replace and give better definition and direction for officers, under the section 47A of the Terrorism Act 2000. (Staniforth 2013, pp.100-101) </w:t>
      </w:r>
    </w:p>
    <w:p w14:paraId="7C517086"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However, countering terrorism is a policing priority to ensure first and foremost the safety of the country, and ensuring that people can live in a safe society. The societal impact of terrorism also goes beyond the fear or threat of violent crimes. Data from the Office for Democratic Institutions and Human Rights (ODIHR) show that anti-Muslim hate crime tends to rise after specific national or international events, such as terrorism. (ODIHR 2020:11)</w:t>
      </w:r>
    </w:p>
    <w:p w14:paraId="5B56CBA0"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 xml:space="preserve"> </w:t>
      </w:r>
    </w:p>
    <w:p w14:paraId="2BCE9836"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lastRenderedPageBreak/>
        <w:t xml:space="preserve">To conclude, terrorism is a broad and vast topic, encompassing a range of criminal activities, from arson to mass murders. Despite the numerous attempts at finding one definition to fit all, this is yet to be successfully achieved. The current terrorism act in the UK contains perhaps one of the broadest of definitions for a terrorist incident, which is both an advantage and a disadvantage as it does define criminal damage and mass murder, both as terrorist incidents. As discussed throughout the essay, there is a need to review the current terrorism legislation, as it may no longer be fit for purpose. The number of Acts which have been passed since the first terrorism act of 2000, show that the legislation was implemented lacking quite some details. Also due to how broad and complex some terrorism cases are, there is a need to consider the separating of the legislation into 3 types: violent, non-violent, and cyber terrorism. There is also a need to conduct further research into insider threat terrorism as this in itself is a very broad area, with very little focus or studies made, however, it can have a great impact. As discussed in the essay, insider threat is not only limited to the “leaking” of information to others, sabotage, or espionage, it can also appear in the form of persons infiltrating, or even becoming radicalised within the job itself, and using it as an advantage to conduct a terror attack. This essay has also discussed that as much as can be done to try and mitigate insider threats, being aware of warning signs always plays a part into it. </w:t>
      </w:r>
    </w:p>
    <w:p w14:paraId="2FB2165A" w14:textId="77777777"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There is also a need to further counter terrorism in the cyber space. Recent attacks are being posted online, as well as persons becoming extremists, and even radicalisation. This is an area of much contestation as the internet is worldwide and to be able to police it, is an impossible task, especially given its infinitude and dark regions. There is also a need to consider cyber-attacks as an area of further research. There exists a large potential for radicalisation and to influence people, as seen by current disinformation issues.</w:t>
      </w:r>
    </w:p>
    <w:p w14:paraId="5E104027" w14:textId="21E23EB6" w:rsidR="005129B7" w:rsidRPr="005129B7" w:rsidRDefault="005129B7" w:rsidP="005129B7">
      <w:pPr>
        <w:spacing w:after="160" w:line="259" w:lineRule="auto"/>
        <w:jc w:val="both"/>
        <w:rPr>
          <w:rFonts w:ascii="Calibri" w:eastAsia="Calibri" w:hAnsi="Calibri"/>
          <w:sz w:val="22"/>
          <w:szCs w:val="22"/>
          <w:lang w:eastAsia="en-US"/>
        </w:rPr>
      </w:pPr>
      <w:r w:rsidRPr="005129B7">
        <w:rPr>
          <w:rFonts w:ascii="Calibri" w:eastAsia="Calibri" w:hAnsi="Calibri"/>
          <w:sz w:val="22"/>
          <w:szCs w:val="22"/>
          <w:lang w:eastAsia="en-US"/>
        </w:rPr>
        <w:t>Within the UK itself, the terrorist threat remains fairly high, with the UK having the most terrorist attacks out of everyone in Europe, in 2019. Despite of this, the CONTEST strategy has been one of the most successful creations from the UK government in the fight against terror. Indeed, the police, along with other agencies who assist, have quite a complex job to do, and whilst there is still a lot of research outstanding, the police are slowly becoming well-equipped to deal with such threats.</w:t>
      </w:r>
      <w:r w:rsidR="00EB0790">
        <w:rPr>
          <w:rFonts w:ascii="Calibri" w:eastAsia="Calibri" w:hAnsi="Calibri"/>
          <w:sz w:val="22"/>
          <w:szCs w:val="22"/>
          <w:lang w:eastAsia="en-US"/>
        </w:rPr>
        <w:t xml:space="preserve"> [4973 words</w:t>
      </w:r>
      <w:bookmarkStart w:id="0" w:name="_GoBack"/>
      <w:bookmarkEnd w:id="0"/>
      <w:r w:rsidR="00EB0790">
        <w:rPr>
          <w:rFonts w:ascii="Calibri" w:eastAsia="Calibri" w:hAnsi="Calibri"/>
          <w:sz w:val="22"/>
          <w:szCs w:val="22"/>
          <w:lang w:eastAsia="en-US"/>
        </w:rPr>
        <w:t>]</w:t>
      </w:r>
    </w:p>
    <w:p w14:paraId="307A009F"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br w:type="page"/>
      </w:r>
    </w:p>
    <w:p w14:paraId="53768F2E"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lastRenderedPageBreak/>
        <w:t>Bibliography</w:t>
      </w:r>
    </w:p>
    <w:p w14:paraId="065FB321"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Alekseeva, A, Anisimov A, Ryzhenkov, A. (2017) “Environmental Terrorism, Environmental Radicalism and Measures to Counteract Them” in </w:t>
      </w:r>
      <w:r w:rsidRPr="005129B7">
        <w:rPr>
          <w:rFonts w:ascii="Calibri" w:eastAsia="Calibri" w:hAnsi="Calibri"/>
          <w:i/>
          <w:sz w:val="22"/>
          <w:szCs w:val="22"/>
          <w:lang w:eastAsia="en-US"/>
        </w:rPr>
        <w:t>Environmental Policy and Law</w:t>
      </w:r>
      <w:r w:rsidRPr="005129B7">
        <w:rPr>
          <w:rFonts w:ascii="Calibri" w:eastAsia="Calibri" w:hAnsi="Calibri"/>
          <w:sz w:val="22"/>
          <w:szCs w:val="22"/>
          <w:lang w:eastAsia="en-US"/>
        </w:rPr>
        <w:t>, 41(1), pp.24 - 34</w:t>
      </w:r>
    </w:p>
    <w:p w14:paraId="20679D2E"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Allen, G. &amp; Kirk-Wade, E. (2020) “Terrorism in Great Britain: The Statistics” in </w:t>
      </w:r>
      <w:r w:rsidRPr="005129B7">
        <w:rPr>
          <w:rFonts w:ascii="Calibri" w:eastAsia="Calibri" w:hAnsi="Calibri"/>
          <w:i/>
          <w:sz w:val="22"/>
          <w:szCs w:val="22"/>
          <w:lang w:eastAsia="en-US"/>
        </w:rPr>
        <w:t>Briefing Paper number CBP7613</w:t>
      </w:r>
      <w:r w:rsidRPr="005129B7">
        <w:rPr>
          <w:rFonts w:ascii="Calibri" w:eastAsia="Calibri" w:hAnsi="Calibri"/>
          <w:sz w:val="22"/>
          <w:szCs w:val="22"/>
          <w:lang w:eastAsia="en-US"/>
        </w:rPr>
        <w:t>, House of Commons Library.</w:t>
      </w:r>
    </w:p>
    <w:p w14:paraId="4205BD49"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Anon. (2014) “The Risk of Nuclear Terrorism from Insider Threats” in </w:t>
      </w:r>
      <w:r w:rsidRPr="005129B7">
        <w:rPr>
          <w:rFonts w:ascii="Calibri" w:eastAsia="Calibri" w:hAnsi="Calibri"/>
          <w:i/>
          <w:sz w:val="22"/>
          <w:szCs w:val="22"/>
          <w:lang w:eastAsia="en-US"/>
        </w:rPr>
        <w:t>Bulletin of the American Academy of Arts and Science</w:t>
      </w:r>
      <w:r w:rsidRPr="005129B7">
        <w:rPr>
          <w:rFonts w:ascii="Calibri" w:eastAsia="Calibri" w:hAnsi="Calibri"/>
          <w:sz w:val="22"/>
          <w:szCs w:val="22"/>
          <w:lang w:eastAsia="en-US"/>
        </w:rPr>
        <w:t>, 67(4), pp. 6-8</w:t>
      </w:r>
    </w:p>
    <w:p w14:paraId="713B6F9C"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Asal, V. Rethemeyer, K. (2008) “Dilettantes, Ideologues, and the Weak: Terrorists Who Don’t Kill”, in </w:t>
      </w:r>
      <w:r w:rsidRPr="005129B7">
        <w:rPr>
          <w:rFonts w:ascii="Calibri" w:eastAsia="Calibri" w:hAnsi="Calibri"/>
          <w:i/>
          <w:sz w:val="22"/>
          <w:szCs w:val="22"/>
          <w:lang w:eastAsia="en-US"/>
        </w:rPr>
        <w:t>Conflict Management and Peace Science</w:t>
      </w:r>
      <w:r w:rsidRPr="005129B7">
        <w:rPr>
          <w:rFonts w:ascii="Calibri" w:eastAsia="Calibri" w:hAnsi="Calibri"/>
          <w:sz w:val="22"/>
          <w:szCs w:val="22"/>
          <w:lang w:eastAsia="en-US"/>
        </w:rPr>
        <w:t>, 25, pp.244 – 263.</w:t>
      </w:r>
    </w:p>
    <w:p w14:paraId="1035A890"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BaMaung, D. McIlhatton, D. MacDonald, M. Beattie, R. (2018) “The Enemy Within? The connection between Insider Threat and Terrorism” in </w:t>
      </w:r>
      <w:r w:rsidRPr="005129B7">
        <w:rPr>
          <w:rFonts w:ascii="Calibri" w:eastAsia="Calibri" w:hAnsi="Calibri"/>
          <w:i/>
          <w:sz w:val="22"/>
          <w:szCs w:val="22"/>
          <w:lang w:eastAsia="en-US"/>
        </w:rPr>
        <w:t xml:space="preserve">Studies in Conflict &amp; Terrorism, </w:t>
      </w:r>
      <w:r w:rsidRPr="005129B7">
        <w:rPr>
          <w:rFonts w:ascii="Calibri" w:eastAsia="Calibri" w:hAnsi="Calibri"/>
          <w:sz w:val="22"/>
          <w:szCs w:val="22"/>
          <w:lang w:eastAsia="en-US"/>
        </w:rPr>
        <w:t xml:space="preserve">41(2), pp. 133-150. </w:t>
      </w:r>
    </w:p>
    <w:p w14:paraId="75905D92"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BBC (2013a) </w:t>
      </w:r>
      <w:r w:rsidRPr="005129B7">
        <w:rPr>
          <w:rFonts w:ascii="Calibri" w:eastAsia="Calibri" w:hAnsi="Calibri"/>
          <w:i/>
          <w:sz w:val="22"/>
          <w:szCs w:val="22"/>
          <w:lang w:eastAsia="en-US"/>
        </w:rPr>
        <w:t>China IP address link to South Korea cyber-attack.</w:t>
      </w:r>
      <w:r w:rsidRPr="005129B7">
        <w:rPr>
          <w:rFonts w:ascii="Calibri" w:eastAsia="Calibri" w:hAnsi="Calibri"/>
          <w:sz w:val="22"/>
          <w:szCs w:val="22"/>
          <w:lang w:eastAsia="en-US"/>
        </w:rPr>
        <w:t xml:space="preserve"> Available at: </w:t>
      </w:r>
      <w:hyperlink r:id="rId14" w:history="1">
        <w:r w:rsidRPr="005129B7">
          <w:rPr>
            <w:rFonts w:ascii="Calibri" w:eastAsia="Calibri" w:hAnsi="Calibri"/>
            <w:color w:val="0563C1"/>
            <w:sz w:val="22"/>
            <w:szCs w:val="22"/>
            <w:u w:val="single"/>
            <w:lang w:eastAsia="en-US"/>
          </w:rPr>
          <w:t>https://www.bbc.co.uk/news/world-asia-21873017</w:t>
        </w:r>
      </w:hyperlink>
      <w:r w:rsidRPr="005129B7">
        <w:rPr>
          <w:rFonts w:ascii="Calibri" w:eastAsia="Calibri" w:hAnsi="Calibri"/>
          <w:sz w:val="22"/>
          <w:szCs w:val="22"/>
          <w:lang w:eastAsia="en-US"/>
        </w:rPr>
        <w:t xml:space="preserve"> (Accessed: 03 January 2021)</w:t>
      </w:r>
    </w:p>
    <w:p w14:paraId="3E62B242"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BBC (2013b) </w:t>
      </w:r>
      <w:r w:rsidRPr="005129B7">
        <w:rPr>
          <w:rFonts w:ascii="Calibri" w:eastAsia="Calibri" w:hAnsi="Calibri"/>
          <w:i/>
          <w:sz w:val="22"/>
          <w:szCs w:val="22"/>
          <w:lang w:eastAsia="en-US"/>
        </w:rPr>
        <w:t>Cyber attack hits South Korea websites.</w:t>
      </w:r>
      <w:r w:rsidRPr="005129B7">
        <w:rPr>
          <w:rFonts w:ascii="Calibri" w:eastAsia="Calibri" w:hAnsi="Calibri"/>
          <w:sz w:val="22"/>
          <w:szCs w:val="22"/>
          <w:lang w:eastAsia="en-US"/>
        </w:rPr>
        <w:t xml:space="preserve"> Available at: </w:t>
      </w:r>
      <w:hyperlink r:id="rId15" w:history="1">
        <w:r w:rsidRPr="005129B7">
          <w:rPr>
            <w:rFonts w:ascii="Calibri" w:eastAsia="Calibri" w:hAnsi="Calibri"/>
            <w:color w:val="0563C1"/>
            <w:sz w:val="22"/>
            <w:szCs w:val="22"/>
            <w:u w:val="single"/>
            <w:lang w:eastAsia="en-US"/>
          </w:rPr>
          <w:t>https://www.bbc.co.uk/news/world-asia-23042334</w:t>
        </w:r>
      </w:hyperlink>
      <w:r w:rsidRPr="005129B7">
        <w:rPr>
          <w:rFonts w:ascii="Calibri" w:eastAsia="Calibri" w:hAnsi="Calibri"/>
          <w:sz w:val="22"/>
          <w:szCs w:val="22"/>
          <w:lang w:eastAsia="en-US"/>
        </w:rPr>
        <w:t xml:space="preserve"> (Accessed: 03 January 2021)</w:t>
      </w:r>
    </w:p>
    <w:p w14:paraId="6B5D7081"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BBC (2014) </w:t>
      </w:r>
      <w:r w:rsidRPr="005129B7">
        <w:rPr>
          <w:rFonts w:ascii="Calibri" w:eastAsia="Calibri" w:hAnsi="Calibri"/>
          <w:i/>
          <w:sz w:val="22"/>
          <w:szCs w:val="22"/>
          <w:lang w:eastAsia="en-US"/>
        </w:rPr>
        <w:t>Global terror attack deaths rose sharply in 2013, says report</w:t>
      </w:r>
      <w:r w:rsidRPr="005129B7">
        <w:rPr>
          <w:rFonts w:ascii="Calibri" w:eastAsia="Calibri" w:hAnsi="Calibri"/>
          <w:sz w:val="22"/>
          <w:szCs w:val="22"/>
          <w:lang w:eastAsia="en-US"/>
        </w:rPr>
        <w:t xml:space="preserve">. Available at: </w:t>
      </w:r>
      <w:hyperlink r:id="rId16" w:history="1">
        <w:r w:rsidRPr="005129B7">
          <w:rPr>
            <w:rFonts w:ascii="Calibri" w:eastAsia="Calibri" w:hAnsi="Calibri"/>
            <w:color w:val="0563C1"/>
            <w:sz w:val="22"/>
            <w:szCs w:val="22"/>
            <w:u w:val="single"/>
            <w:lang w:eastAsia="en-US"/>
          </w:rPr>
          <w:t>https://www.bbc.co.uk/news/world-30086435</w:t>
        </w:r>
      </w:hyperlink>
      <w:r w:rsidRPr="005129B7">
        <w:rPr>
          <w:rFonts w:ascii="Calibri" w:eastAsia="Calibri" w:hAnsi="Calibri"/>
          <w:sz w:val="22"/>
          <w:szCs w:val="22"/>
          <w:lang w:eastAsia="en-US"/>
        </w:rPr>
        <w:t xml:space="preserve"> (Accessed: 03 January 2021)</w:t>
      </w:r>
    </w:p>
    <w:p w14:paraId="7AB1FF98"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BBC, (2015) </w:t>
      </w:r>
      <w:r w:rsidRPr="005129B7">
        <w:rPr>
          <w:rFonts w:ascii="Calibri" w:eastAsia="Calibri" w:hAnsi="Calibri"/>
          <w:i/>
          <w:sz w:val="22"/>
          <w:szCs w:val="22"/>
          <w:lang w:eastAsia="en-US"/>
        </w:rPr>
        <w:t>Paris attacks: What happened on the night</w:t>
      </w:r>
      <w:r w:rsidRPr="005129B7">
        <w:rPr>
          <w:rFonts w:ascii="Calibri" w:eastAsia="Calibri" w:hAnsi="Calibri"/>
          <w:sz w:val="22"/>
          <w:szCs w:val="22"/>
          <w:lang w:eastAsia="en-US"/>
        </w:rPr>
        <w:t xml:space="preserve">. Available at: </w:t>
      </w:r>
      <w:hyperlink r:id="rId17" w:history="1">
        <w:r w:rsidRPr="005129B7">
          <w:rPr>
            <w:rFonts w:ascii="Calibri" w:eastAsia="Calibri" w:hAnsi="Calibri"/>
            <w:color w:val="0563C1"/>
            <w:sz w:val="22"/>
            <w:szCs w:val="22"/>
            <w:u w:val="single"/>
            <w:lang w:eastAsia="en-US"/>
          </w:rPr>
          <w:t>https://www.bbc.co.uk/news/world-europe-34818994</w:t>
        </w:r>
      </w:hyperlink>
      <w:r w:rsidRPr="005129B7">
        <w:rPr>
          <w:rFonts w:ascii="Calibri" w:eastAsia="Calibri" w:hAnsi="Calibri"/>
          <w:sz w:val="22"/>
          <w:szCs w:val="22"/>
          <w:lang w:eastAsia="en-US"/>
        </w:rPr>
        <w:t xml:space="preserve"> (Accessed: 03 January 2021)</w:t>
      </w:r>
    </w:p>
    <w:p w14:paraId="19A75871"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BBC, (2017) </w:t>
      </w:r>
      <w:r w:rsidRPr="005129B7">
        <w:rPr>
          <w:rFonts w:ascii="Calibri" w:eastAsia="Calibri" w:hAnsi="Calibri"/>
          <w:i/>
          <w:sz w:val="22"/>
          <w:szCs w:val="22"/>
          <w:lang w:eastAsia="en-US"/>
        </w:rPr>
        <w:t>Quebec mosque shooting: Trudeau condemns 'terrorist attack'.</w:t>
      </w:r>
      <w:r w:rsidRPr="005129B7">
        <w:rPr>
          <w:rFonts w:ascii="Calibri" w:eastAsia="Calibri" w:hAnsi="Calibri"/>
          <w:sz w:val="22"/>
          <w:szCs w:val="22"/>
          <w:lang w:eastAsia="en-US"/>
        </w:rPr>
        <w:t xml:space="preserve"> Available at: </w:t>
      </w:r>
      <w:hyperlink r:id="rId18" w:history="1">
        <w:r w:rsidRPr="005129B7">
          <w:rPr>
            <w:rFonts w:ascii="Calibri" w:eastAsia="Calibri" w:hAnsi="Calibri"/>
            <w:color w:val="0563C1"/>
            <w:sz w:val="22"/>
            <w:szCs w:val="22"/>
            <w:u w:val="single"/>
            <w:lang w:eastAsia="en-US"/>
          </w:rPr>
          <w:t>https://www.bbc.co.uk/news/av/world-us-canada-38803631</w:t>
        </w:r>
      </w:hyperlink>
      <w:r w:rsidRPr="005129B7">
        <w:rPr>
          <w:rFonts w:ascii="Calibri" w:eastAsia="Calibri" w:hAnsi="Calibri"/>
          <w:sz w:val="22"/>
          <w:szCs w:val="22"/>
          <w:lang w:eastAsia="en-US"/>
        </w:rPr>
        <w:t xml:space="preserve"> (Accessed: 03 January 2021)</w:t>
      </w:r>
    </w:p>
    <w:p w14:paraId="43F8A205"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BBC, (2020a) </w:t>
      </w:r>
      <w:r w:rsidRPr="005129B7">
        <w:rPr>
          <w:rFonts w:ascii="Calibri" w:eastAsia="Calibri" w:hAnsi="Calibri"/>
          <w:i/>
          <w:sz w:val="22"/>
          <w:szCs w:val="22"/>
          <w:lang w:eastAsia="en-US"/>
        </w:rPr>
        <w:t>Dos Santos: Whistleblower named a Football Leaks author.</w:t>
      </w:r>
      <w:r w:rsidRPr="005129B7">
        <w:rPr>
          <w:rFonts w:ascii="Calibri" w:eastAsia="Calibri" w:hAnsi="Calibri"/>
          <w:sz w:val="22"/>
          <w:szCs w:val="22"/>
          <w:lang w:eastAsia="en-US"/>
        </w:rPr>
        <w:t xml:space="preserve"> Available at: </w:t>
      </w:r>
      <w:hyperlink r:id="rId19" w:history="1">
        <w:r w:rsidRPr="005129B7">
          <w:rPr>
            <w:rFonts w:ascii="Calibri" w:eastAsia="Calibri" w:hAnsi="Calibri"/>
            <w:color w:val="0563C1"/>
            <w:sz w:val="22"/>
            <w:szCs w:val="22"/>
            <w:u w:val="single"/>
            <w:lang w:eastAsia="en-US"/>
          </w:rPr>
          <w:t>https://www.bbc.co.uk/news/business-51262449</w:t>
        </w:r>
      </w:hyperlink>
      <w:r w:rsidRPr="005129B7">
        <w:rPr>
          <w:rFonts w:ascii="Calibri" w:eastAsia="Calibri" w:hAnsi="Calibri"/>
          <w:sz w:val="22"/>
          <w:szCs w:val="22"/>
          <w:lang w:eastAsia="en-US"/>
        </w:rPr>
        <w:t xml:space="preserve"> (Accessed: 03 January 2021)</w:t>
      </w:r>
    </w:p>
    <w:p w14:paraId="346C71C9"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BBC, (2020b) </w:t>
      </w:r>
      <w:r w:rsidRPr="005129B7">
        <w:rPr>
          <w:rFonts w:ascii="Calibri" w:eastAsia="Calibri" w:hAnsi="Calibri"/>
          <w:i/>
          <w:sz w:val="22"/>
          <w:szCs w:val="22"/>
          <w:lang w:eastAsia="en-US"/>
        </w:rPr>
        <w:t>Rui Pinto Football Leaks trial starts in Portugal.</w:t>
      </w:r>
      <w:r w:rsidRPr="005129B7">
        <w:rPr>
          <w:rFonts w:ascii="Calibri" w:eastAsia="Calibri" w:hAnsi="Calibri"/>
          <w:sz w:val="22"/>
          <w:szCs w:val="22"/>
          <w:lang w:eastAsia="en-US"/>
        </w:rPr>
        <w:t xml:space="preserve"> Available at: </w:t>
      </w:r>
      <w:hyperlink r:id="rId20" w:history="1">
        <w:r w:rsidRPr="005129B7">
          <w:rPr>
            <w:rFonts w:ascii="Calibri" w:eastAsia="Calibri" w:hAnsi="Calibri"/>
            <w:color w:val="0563C1"/>
            <w:sz w:val="22"/>
            <w:szCs w:val="22"/>
            <w:u w:val="single"/>
            <w:lang w:eastAsia="en-US"/>
          </w:rPr>
          <w:t>https://www.bbc.co.uk/news/world-europe-54016147</w:t>
        </w:r>
      </w:hyperlink>
      <w:r w:rsidRPr="005129B7">
        <w:rPr>
          <w:rFonts w:ascii="Calibri" w:eastAsia="Calibri" w:hAnsi="Calibri"/>
          <w:sz w:val="22"/>
          <w:szCs w:val="22"/>
          <w:lang w:eastAsia="en-US"/>
        </w:rPr>
        <w:t xml:space="preserve"> (Accessed: 03 January 2021)</w:t>
      </w:r>
    </w:p>
    <w:p w14:paraId="3F55E8F0"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Europol (2020) </w:t>
      </w:r>
      <w:r w:rsidRPr="005129B7">
        <w:rPr>
          <w:rFonts w:ascii="Calibri" w:eastAsia="Calibri" w:hAnsi="Calibri"/>
          <w:i/>
          <w:sz w:val="22"/>
          <w:szCs w:val="22"/>
          <w:lang w:eastAsia="en-US"/>
        </w:rPr>
        <w:t xml:space="preserve">European Union Terrorism Situation and Trend Report. </w:t>
      </w:r>
      <w:r w:rsidRPr="005129B7">
        <w:rPr>
          <w:rFonts w:ascii="Calibri" w:eastAsia="Calibri" w:hAnsi="Calibri"/>
          <w:sz w:val="22"/>
          <w:szCs w:val="22"/>
          <w:lang w:eastAsia="en-US"/>
        </w:rPr>
        <w:t>Europol</w:t>
      </w:r>
    </w:p>
    <w:p w14:paraId="5DD60C83"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CBC, (2014) </w:t>
      </w:r>
      <w:r w:rsidRPr="005129B7">
        <w:rPr>
          <w:rFonts w:ascii="Calibri" w:eastAsia="Calibri" w:hAnsi="Calibri"/>
          <w:i/>
          <w:sz w:val="22"/>
          <w:szCs w:val="22"/>
          <w:lang w:eastAsia="en-US"/>
        </w:rPr>
        <w:t>Greenpeace stunt wrong approach to climate change: Bob McDonald</w:t>
      </w:r>
      <w:r w:rsidRPr="005129B7">
        <w:rPr>
          <w:rFonts w:ascii="Calibri" w:eastAsia="Calibri" w:hAnsi="Calibri"/>
          <w:sz w:val="22"/>
          <w:szCs w:val="22"/>
          <w:lang w:eastAsia="en-US"/>
        </w:rPr>
        <w:t xml:space="preserve">. Available at: </w:t>
      </w:r>
      <w:hyperlink r:id="rId21" w:history="1">
        <w:r w:rsidRPr="005129B7">
          <w:rPr>
            <w:rFonts w:ascii="Calibri" w:eastAsia="Calibri" w:hAnsi="Calibri"/>
            <w:color w:val="0563C1"/>
            <w:sz w:val="22"/>
            <w:szCs w:val="22"/>
            <w:u w:val="single"/>
            <w:lang w:eastAsia="en-US"/>
          </w:rPr>
          <w:t>https://www.cbc.ca/news/technology/greenpeace-stunt-wrong-approach-to-climate-change-bob-mcdonald-1.2870270</w:t>
        </w:r>
      </w:hyperlink>
      <w:r w:rsidRPr="005129B7">
        <w:rPr>
          <w:rFonts w:ascii="Calibri" w:eastAsia="Calibri" w:hAnsi="Calibri"/>
          <w:color w:val="0563C1"/>
          <w:sz w:val="22"/>
          <w:szCs w:val="22"/>
          <w:u w:val="single"/>
          <w:lang w:eastAsia="en-US"/>
        </w:rPr>
        <w:t xml:space="preserve"> </w:t>
      </w:r>
      <w:r w:rsidRPr="005129B7">
        <w:rPr>
          <w:rFonts w:ascii="Calibri" w:eastAsia="Calibri" w:hAnsi="Calibri"/>
          <w:sz w:val="22"/>
          <w:szCs w:val="22"/>
          <w:lang w:eastAsia="en-US"/>
        </w:rPr>
        <w:t>(Accessed: 03 January 2021)</w:t>
      </w:r>
    </w:p>
    <w:p w14:paraId="77AAE8CF"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Control Risks (2020)</w:t>
      </w:r>
      <w:r w:rsidRPr="005129B7">
        <w:rPr>
          <w:rFonts w:ascii="Calibri" w:eastAsia="Calibri" w:hAnsi="Calibri"/>
          <w:i/>
          <w:sz w:val="22"/>
          <w:szCs w:val="22"/>
          <w:lang w:eastAsia="en-US"/>
        </w:rPr>
        <w:t xml:space="preserve"> The reputational impact of the Luanda Leaks.</w:t>
      </w:r>
      <w:r w:rsidRPr="005129B7">
        <w:rPr>
          <w:rFonts w:ascii="Calibri" w:eastAsia="Calibri" w:hAnsi="Calibri"/>
          <w:sz w:val="22"/>
          <w:szCs w:val="22"/>
          <w:lang w:eastAsia="en-US"/>
        </w:rPr>
        <w:t xml:space="preserve"> Available at: </w:t>
      </w:r>
      <w:hyperlink r:id="rId22" w:history="1">
        <w:r w:rsidRPr="005129B7">
          <w:rPr>
            <w:rFonts w:ascii="Calibri" w:eastAsia="Calibri" w:hAnsi="Calibri"/>
            <w:color w:val="0563C1"/>
            <w:sz w:val="22"/>
            <w:szCs w:val="22"/>
            <w:u w:val="single"/>
            <w:lang w:eastAsia="en-US"/>
          </w:rPr>
          <w:t>https://www.controlrisks.com/our-thinking/insights/the-reputational-impact-of-the-luanda-leaks</w:t>
        </w:r>
      </w:hyperlink>
      <w:r w:rsidRPr="005129B7">
        <w:rPr>
          <w:rFonts w:ascii="Calibri" w:eastAsia="Calibri" w:hAnsi="Calibri"/>
          <w:sz w:val="22"/>
          <w:szCs w:val="22"/>
          <w:lang w:eastAsia="en-US"/>
        </w:rPr>
        <w:t xml:space="preserve"> (Accessed: 03 January 2021)</w:t>
      </w:r>
    </w:p>
    <w:p w14:paraId="72B24AA0"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Carlile (2007) </w:t>
      </w:r>
      <w:r w:rsidRPr="005129B7">
        <w:rPr>
          <w:rFonts w:ascii="Calibri" w:eastAsia="Calibri" w:hAnsi="Calibri"/>
          <w:i/>
          <w:sz w:val="22"/>
          <w:szCs w:val="22"/>
          <w:lang w:eastAsia="en-US"/>
        </w:rPr>
        <w:t>The Definition of Terrorism</w:t>
      </w:r>
      <w:r w:rsidRPr="005129B7">
        <w:rPr>
          <w:rFonts w:ascii="Calibri" w:eastAsia="Calibri" w:hAnsi="Calibri"/>
          <w:sz w:val="22"/>
          <w:szCs w:val="22"/>
          <w:lang w:eastAsia="en-US"/>
        </w:rPr>
        <w:t>. Crown Document.</w:t>
      </w:r>
    </w:p>
    <w:p w14:paraId="3CE5DF06"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CPS (2017) </w:t>
      </w:r>
      <w:r w:rsidRPr="005129B7">
        <w:rPr>
          <w:rFonts w:ascii="Calibri" w:eastAsia="Calibri" w:hAnsi="Calibri"/>
          <w:i/>
          <w:sz w:val="22"/>
          <w:szCs w:val="22"/>
          <w:lang w:eastAsia="en-US"/>
        </w:rPr>
        <w:t>Terrorism</w:t>
      </w:r>
      <w:r w:rsidRPr="005129B7">
        <w:rPr>
          <w:rFonts w:ascii="Calibri" w:eastAsia="Calibri" w:hAnsi="Calibri"/>
          <w:sz w:val="22"/>
          <w:szCs w:val="22"/>
          <w:lang w:eastAsia="en-US"/>
        </w:rPr>
        <w:t xml:space="preserve">. Available at: </w:t>
      </w:r>
      <w:hyperlink r:id="rId23" w:history="1">
        <w:r w:rsidRPr="005129B7">
          <w:rPr>
            <w:rFonts w:ascii="Calibri" w:eastAsia="Calibri" w:hAnsi="Calibri"/>
            <w:color w:val="0563C1"/>
            <w:sz w:val="22"/>
            <w:szCs w:val="22"/>
            <w:u w:val="single"/>
            <w:lang w:eastAsia="en-US"/>
          </w:rPr>
          <w:t>https://www.cps.gov.uk/crime-info/terrorism</w:t>
        </w:r>
      </w:hyperlink>
      <w:r w:rsidRPr="005129B7">
        <w:rPr>
          <w:rFonts w:ascii="Calibri" w:eastAsia="Calibri" w:hAnsi="Calibri"/>
          <w:sz w:val="22"/>
          <w:szCs w:val="22"/>
          <w:lang w:eastAsia="en-US"/>
        </w:rPr>
        <w:t xml:space="preserve"> (Accessed: 03 January 2021)</w:t>
      </w:r>
    </w:p>
    <w:p w14:paraId="59A9CF9B"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Finkel, E. (2017) “Airport Security: Active Shooter, Insider Threat, Terrorism and Protests”, in </w:t>
      </w:r>
      <w:r w:rsidRPr="005129B7">
        <w:rPr>
          <w:rFonts w:ascii="Calibri" w:eastAsia="Calibri" w:hAnsi="Calibri"/>
          <w:i/>
          <w:sz w:val="22"/>
          <w:szCs w:val="22"/>
          <w:lang w:eastAsia="en-US"/>
        </w:rPr>
        <w:t>Security</w:t>
      </w:r>
      <w:r w:rsidRPr="005129B7">
        <w:rPr>
          <w:rFonts w:ascii="Calibri" w:eastAsia="Calibri" w:hAnsi="Calibri"/>
          <w:sz w:val="22"/>
          <w:szCs w:val="22"/>
          <w:lang w:eastAsia="en-US"/>
        </w:rPr>
        <w:t>, April 2017, pp. 66-73.</w:t>
      </w:r>
    </w:p>
    <w:p w14:paraId="628E52C2"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Greitzer, F., Hohimer, R. (2011) “Modeling Human Behaviour to Anticipate Insider Attacks” in </w:t>
      </w:r>
      <w:r w:rsidRPr="005129B7">
        <w:rPr>
          <w:rFonts w:ascii="Calibri" w:eastAsia="Calibri" w:hAnsi="Calibri"/>
          <w:i/>
          <w:sz w:val="22"/>
          <w:szCs w:val="22"/>
          <w:lang w:eastAsia="en-US"/>
        </w:rPr>
        <w:t>Journal of Strategic Security,</w:t>
      </w:r>
      <w:r w:rsidRPr="005129B7">
        <w:rPr>
          <w:rFonts w:ascii="Calibri" w:eastAsia="Calibri" w:hAnsi="Calibri"/>
          <w:sz w:val="22"/>
          <w:szCs w:val="22"/>
          <w:lang w:eastAsia="en-US"/>
        </w:rPr>
        <w:t xml:space="preserve"> 2(4), pp.25-47</w:t>
      </w:r>
    </w:p>
    <w:p w14:paraId="0909DA6F"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HM Government (2011) </w:t>
      </w:r>
      <w:r w:rsidRPr="005129B7">
        <w:rPr>
          <w:rFonts w:ascii="Calibri" w:eastAsia="Calibri" w:hAnsi="Calibri"/>
          <w:i/>
          <w:sz w:val="22"/>
          <w:szCs w:val="22"/>
          <w:lang w:eastAsia="en-US"/>
        </w:rPr>
        <w:t>CONTEST: The United Kingdom’s Strategy for Countering Terrorism.</w:t>
      </w:r>
    </w:p>
    <w:p w14:paraId="5A0D94C3"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Jones, W. (2020), </w:t>
      </w:r>
      <w:r w:rsidRPr="005129B7">
        <w:rPr>
          <w:rFonts w:ascii="Calibri" w:eastAsia="Calibri" w:hAnsi="Calibri"/>
          <w:i/>
          <w:sz w:val="22"/>
          <w:szCs w:val="22"/>
          <w:lang w:eastAsia="en-US"/>
        </w:rPr>
        <w:t>Counter Terrorism,</w:t>
      </w:r>
      <w:r w:rsidRPr="005129B7">
        <w:rPr>
          <w:rFonts w:ascii="Calibri" w:eastAsia="Calibri" w:hAnsi="Calibri"/>
          <w:sz w:val="22"/>
          <w:szCs w:val="22"/>
          <w:lang w:eastAsia="en-US"/>
        </w:rPr>
        <w:t xml:space="preserve"> [Moodle] University of Wales Trinity St. David, (Accessed: 03 January 2021)</w:t>
      </w:r>
    </w:p>
    <w:p w14:paraId="5610DEC5"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lastRenderedPageBreak/>
        <w:t xml:space="preserve">Keen, F. (2020) </w:t>
      </w:r>
      <w:r w:rsidRPr="005129B7">
        <w:rPr>
          <w:rFonts w:ascii="Calibri" w:eastAsia="Calibri" w:hAnsi="Calibri"/>
          <w:i/>
          <w:sz w:val="22"/>
          <w:szCs w:val="22"/>
          <w:lang w:eastAsia="en-US"/>
        </w:rPr>
        <w:t>A summary of the rise and fall of 8chan, its role within the online far-right ecosystem, and the extent to which its successor, 8kun, has taken its place.</w:t>
      </w:r>
      <w:r w:rsidRPr="005129B7">
        <w:rPr>
          <w:rFonts w:ascii="Calibri" w:eastAsia="Calibri" w:hAnsi="Calibri"/>
          <w:sz w:val="22"/>
          <w:szCs w:val="22"/>
          <w:lang w:eastAsia="en-US"/>
        </w:rPr>
        <w:t xml:space="preserve"> Available at: </w:t>
      </w:r>
      <w:hyperlink r:id="rId24" w:history="1">
        <w:r w:rsidRPr="005129B7">
          <w:rPr>
            <w:rFonts w:ascii="Calibri" w:eastAsia="Calibri" w:hAnsi="Calibri"/>
            <w:color w:val="0563C1"/>
            <w:sz w:val="22"/>
            <w:szCs w:val="22"/>
            <w:u w:val="single"/>
            <w:lang w:eastAsia="en-US"/>
          </w:rPr>
          <w:t>https://crestresearch.ac.uk/comment/after-8chan/</w:t>
        </w:r>
      </w:hyperlink>
      <w:r w:rsidRPr="005129B7">
        <w:rPr>
          <w:rFonts w:ascii="Calibri" w:eastAsia="Calibri" w:hAnsi="Calibri"/>
          <w:sz w:val="22"/>
          <w:szCs w:val="22"/>
          <w:lang w:eastAsia="en-US"/>
        </w:rPr>
        <w:t xml:space="preserve"> (Accessed: 03 January 2021)</w:t>
      </w:r>
    </w:p>
    <w:p w14:paraId="603F14EA"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MI5 (unknown) </w:t>
      </w:r>
      <w:r w:rsidRPr="005129B7">
        <w:rPr>
          <w:rFonts w:ascii="Calibri" w:eastAsia="Calibri" w:hAnsi="Calibri"/>
          <w:i/>
          <w:sz w:val="22"/>
          <w:szCs w:val="22"/>
          <w:lang w:eastAsia="en-US"/>
        </w:rPr>
        <w:t>Terrorist Methods</w:t>
      </w:r>
      <w:r w:rsidRPr="005129B7">
        <w:rPr>
          <w:rFonts w:ascii="Calibri" w:eastAsia="Calibri" w:hAnsi="Calibri"/>
          <w:sz w:val="22"/>
          <w:szCs w:val="22"/>
          <w:lang w:eastAsia="en-US"/>
        </w:rPr>
        <w:t xml:space="preserve">. Available at: </w:t>
      </w:r>
      <w:hyperlink r:id="rId25" w:history="1">
        <w:r w:rsidRPr="005129B7">
          <w:rPr>
            <w:rFonts w:ascii="Calibri" w:eastAsia="Calibri" w:hAnsi="Calibri"/>
            <w:color w:val="0563C1"/>
            <w:sz w:val="22"/>
            <w:szCs w:val="22"/>
            <w:u w:val="single"/>
            <w:lang w:eastAsia="en-US"/>
          </w:rPr>
          <w:t>https://www.mi5.gov.uk/terrorist-methods</w:t>
        </w:r>
      </w:hyperlink>
      <w:r w:rsidRPr="005129B7">
        <w:rPr>
          <w:rFonts w:ascii="Calibri" w:eastAsia="Calibri" w:hAnsi="Calibri"/>
          <w:sz w:val="22"/>
          <w:szCs w:val="22"/>
          <w:lang w:eastAsia="en-US"/>
        </w:rPr>
        <w:t xml:space="preserve"> (Accessed: 03 January 2021)</w:t>
      </w:r>
    </w:p>
    <w:p w14:paraId="6F123DAE"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National Post (2017) </w:t>
      </w:r>
      <w:r w:rsidRPr="005129B7">
        <w:rPr>
          <w:rFonts w:ascii="Calibri" w:eastAsia="Calibri" w:hAnsi="Calibri"/>
          <w:i/>
          <w:sz w:val="22"/>
          <w:szCs w:val="22"/>
          <w:lang w:eastAsia="en-US"/>
        </w:rPr>
        <w:t>Why no terrorism charges in Quebec mosque shooting? It would place extra burden on prosecutors: experts.</w:t>
      </w:r>
      <w:r w:rsidRPr="005129B7">
        <w:rPr>
          <w:rFonts w:ascii="Calibri" w:eastAsia="Calibri" w:hAnsi="Calibri"/>
          <w:sz w:val="22"/>
          <w:szCs w:val="22"/>
          <w:lang w:eastAsia="en-US"/>
        </w:rPr>
        <w:t xml:space="preserve"> Available at: </w:t>
      </w:r>
      <w:hyperlink r:id="rId26" w:history="1">
        <w:r w:rsidRPr="005129B7">
          <w:rPr>
            <w:rFonts w:ascii="Calibri" w:eastAsia="Calibri" w:hAnsi="Calibri"/>
            <w:color w:val="0563C1"/>
            <w:sz w:val="22"/>
            <w:szCs w:val="22"/>
            <w:u w:val="single"/>
            <w:lang w:eastAsia="en-US"/>
          </w:rPr>
          <w:t>Why no terrorism charges in Quebec mosque shooting? It would place extra burden on prosecutors: experts | National Post</w:t>
        </w:r>
      </w:hyperlink>
      <w:r w:rsidRPr="005129B7">
        <w:rPr>
          <w:rFonts w:ascii="Calibri" w:eastAsia="Calibri" w:hAnsi="Calibri"/>
          <w:sz w:val="22"/>
          <w:szCs w:val="22"/>
          <w:lang w:eastAsia="en-US"/>
        </w:rPr>
        <w:t xml:space="preserve"> (Accessed: 03 January 2021)</w:t>
      </w:r>
    </w:p>
    <w:p w14:paraId="29D532E6"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ODIHR (2020) </w:t>
      </w:r>
      <w:r w:rsidRPr="005129B7">
        <w:rPr>
          <w:rFonts w:ascii="Calibri" w:eastAsia="Calibri" w:hAnsi="Calibri"/>
          <w:i/>
          <w:sz w:val="22"/>
          <w:szCs w:val="22"/>
          <w:lang w:eastAsia="en-US"/>
        </w:rPr>
        <w:t>Understanding Anti-Muslim Hate Crimes.</w:t>
      </w:r>
      <w:r w:rsidRPr="005129B7">
        <w:rPr>
          <w:rFonts w:ascii="Calibri" w:eastAsia="Calibri" w:hAnsi="Calibri"/>
          <w:sz w:val="22"/>
          <w:szCs w:val="22"/>
          <w:lang w:eastAsia="en-US"/>
        </w:rPr>
        <w:t xml:space="preserve"> Warsaw: OSCE Office for Democratic Institutions and Human Rights (ODIHR)</w:t>
      </w:r>
    </w:p>
    <w:p w14:paraId="730E709A"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Oxford English Dictionary (1989) </w:t>
      </w:r>
      <w:r w:rsidRPr="005129B7">
        <w:rPr>
          <w:rFonts w:ascii="Calibri" w:eastAsia="Calibri" w:hAnsi="Calibri"/>
          <w:i/>
          <w:sz w:val="22"/>
          <w:szCs w:val="22"/>
          <w:lang w:eastAsia="en-US"/>
        </w:rPr>
        <w:t>terrorism</w:t>
      </w:r>
      <w:r w:rsidRPr="005129B7">
        <w:rPr>
          <w:rFonts w:ascii="Calibri" w:eastAsia="Calibri" w:hAnsi="Calibri"/>
          <w:sz w:val="22"/>
          <w:szCs w:val="22"/>
          <w:lang w:eastAsia="en-US"/>
        </w:rPr>
        <w:t xml:space="preserve">. Available at: </w:t>
      </w:r>
      <w:hyperlink r:id="rId27" w:history="1">
        <w:r w:rsidRPr="005129B7">
          <w:rPr>
            <w:rFonts w:ascii="Calibri" w:eastAsia="Calibri" w:hAnsi="Calibri"/>
            <w:color w:val="0563C1"/>
            <w:sz w:val="22"/>
            <w:szCs w:val="22"/>
            <w:u w:val="single"/>
            <w:lang w:eastAsia="en-US"/>
          </w:rPr>
          <w:t>https://www.oed.com/oed2/00249602;jsessionid=A14CBC89A41317E966650528756F5841</w:t>
        </w:r>
      </w:hyperlink>
      <w:r w:rsidRPr="005129B7">
        <w:rPr>
          <w:rFonts w:ascii="Calibri" w:eastAsia="Calibri" w:hAnsi="Calibri"/>
          <w:sz w:val="22"/>
          <w:szCs w:val="22"/>
          <w:lang w:eastAsia="en-US"/>
        </w:rPr>
        <w:t xml:space="preserve">  (Accessed: 03 January 2021)</w:t>
      </w:r>
    </w:p>
    <w:p w14:paraId="0C02B5FD"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Oxford Reference (2014) “Whistleblower” in </w:t>
      </w:r>
      <w:r w:rsidRPr="005129B7">
        <w:rPr>
          <w:rFonts w:ascii="Calibri" w:eastAsia="Calibri" w:hAnsi="Calibri"/>
          <w:i/>
          <w:sz w:val="22"/>
          <w:szCs w:val="22"/>
          <w:lang w:eastAsia="en-US"/>
        </w:rPr>
        <w:t xml:space="preserve">A Dictionary of Journalism. </w:t>
      </w:r>
      <w:r w:rsidRPr="005129B7">
        <w:rPr>
          <w:rFonts w:ascii="Calibri" w:eastAsia="Calibri" w:hAnsi="Calibri"/>
          <w:sz w:val="22"/>
          <w:szCs w:val="22"/>
          <w:lang w:eastAsia="en-US"/>
        </w:rPr>
        <w:t xml:space="preserve">Oxford: Oxford University Press. Available at: </w:t>
      </w:r>
      <w:hyperlink r:id="rId28" w:history="1">
        <w:r w:rsidRPr="005129B7">
          <w:rPr>
            <w:rFonts w:ascii="Calibri" w:eastAsia="Calibri" w:hAnsi="Calibri"/>
            <w:color w:val="0563C1"/>
            <w:sz w:val="22"/>
            <w:szCs w:val="22"/>
            <w:u w:val="single"/>
            <w:lang w:eastAsia="en-US"/>
          </w:rPr>
          <w:t>https://www.oxfordreference.com/view/10.1093/acref/9780199646241.001.0001/acref-9780199646241-e-1482</w:t>
        </w:r>
      </w:hyperlink>
      <w:r w:rsidRPr="005129B7">
        <w:rPr>
          <w:rFonts w:ascii="Calibri" w:eastAsia="Calibri" w:hAnsi="Calibri"/>
          <w:sz w:val="22"/>
          <w:szCs w:val="22"/>
          <w:lang w:eastAsia="en-US"/>
        </w:rPr>
        <w:t xml:space="preserve"> (Accessed: 03 January 2021)</w:t>
      </w:r>
    </w:p>
    <w:p w14:paraId="5F0C7011"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Poppe, K. (2018) </w:t>
      </w:r>
      <w:r w:rsidRPr="005129B7">
        <w:rPr>
          <w:rFonts w:ascii="Calibri" w:eastAsia="Calibri" w:hAnsi="Calibri"/>
          <w:i/>
          <w:sz w:val="22"/>
          <w:szCs w:val="22"/>
          <w:lang w:eastAsia="en-US"/>
        </w:rPr>
        <w:t xml:space="preserve">Nidal Hasan: A Case Study in Lone-Actor Terrorism. </w:t>
      </w:r>
      <w:r w:rsidRPr="005129B7">
        <w:rPr>
          <w:rFonts w:ascii="Calibri" w:eastAsia="Calibri" w:hAnsi="Calibri"/>
          <w:sz w:val="22"/>
          <w:szCs w:val="22"/>
          <w:lang w:eastAsia="en-US"/>
        </w:rPr>
        <w:t>George Washington University.</w:t>
      </w:r>
    </w:p>
    <w:p w14:paraId="7B342F1D"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Reuters (2019) </w:t>
      </w:r>
      <w:r w:rsidRPr="005129B7">
        <w:rPr>
          <w:rFonts w:ascii="Calibri" w:eastAsia="Calibri" w:hAnsi="Calibri"/>
          <w:i/>
          <w:sz w:val="22"/>
          <w:szCs w:val="22"/>
          <w:lang w:eastAsia="en-US"/>
        </w:rPr>
        <w:t>Cloudflare terminates 8chan as customer on 'hate-filled' content: CEO</w:t>
      </w:r>
      <w:r w:rsidRPr="005129B7">
        <w:rPr>
          <w:rFonts w:ascii="Calibri" w:eastAsia="Calibri" w:hAnsi="Calibri"/>
          <w:sz w:val="22"/>
          <w:szCs w:val="22"/>
          <w:lang w:eastAsia="en-US"/>
        </w:rPr>
        <w:t xml:space="preserve">. Available at: </w:t>
      </w:r>
      <w:hyperlink r:id="rId29" w:history="1">
        <w:r w:rsidRPr="005129B7">
          <w:rPr>
            <w:rFonts w:ascii="Calibri" w:eastAsia="Calibri" w:hAnsi="Calibri"/>
            <w:color w:val="0563C1"/>
            <w:sz w:val="22"/>
            <w:szCs w:val="22"/>
            <w:u w:val="single"/>
            <w:lang w:eastAsia="en-US"/>
          </w:rPr>
          <w:t>https://www.reuters.com/article/us-texas-shooting-8chan-idUSKCN1UV08G</w:t>
        </w:r>
      </w:hyperlink>
      <w:r w:rsidRPr="005129B7">
        <w:rPr>
          <w:rFonts w:ascii="Calibri" w:eastAsia="Calibri" w:hAnsi="Calibri"/>
          <w:sz w:val="22"/>
          <w:szCs w:val="22"/>
          <w:lang w:eastAsia="en-US"/>
        </w:rPr>
        <w:t xml:space="preserve"> (Accessed: 03 January 2021)</w:t>
      </w:r>
    </w:p>
    <w:p w14:paraId="1C005DCE"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Staniforth, A. (2013), </w:t>
      </w:r>
      <w:r w:rsidRPr="005129B7">
        <w:rPr>
          <w:rFonts w:ascii="Calibri" w:eastAsia="Calibri" w:hAnsi="Calibri"/>
          <w:i/>
          <w:sz w:val="22"/>
          <w:szCs w:val="22"/>
          <w:lang w:eastAsia="en-US"/>
        </w:rPr>
        <w:t>Blackstone’s Counter-Terrorism Handbook</w:t>
      </w:r>
      <w:r w:rsidRPr="005129B7">
        <w:rPr>
          <w:rFonts w:ascii="Calibri" w:eastAsia="Calibri" w:hAnsi="Calibri"/>
          <w:sz w:val="22"/>
          <w:szCs w:val="22"/>
          <w:lang w:eastAsia="en-US"/>
        </w:rPr>
        <w:t>, 3</w:t>
      </w:r>
      <w:r w:rsidRPr="005129B7">
        <w:rPr>
          <w:rFonts w:ascii="Calibri" w:eastAsia="Calibri" w:hAnsi="Calibri"/>
          <w:sz w:val="22"/>
          <w:szCs w:val="22"/>
          <w:vertAlign w:val="superscript"/>
          <w:lang w:eastAsia="en-US"/>
        </w:rPr>
        <w:t>rd</w:t>
      </w:r>
      <w:r w:rsidRPr="005129B7">
        <w:rPr>
          <w:rFonts w:ascii="Calibri" w:eastAsia="Calibri" w:hAnsi="Calibri"/>
          <w:sz w:val="22"/>
          <w:szCs w:val="22"/>
          <w:lang w:eastAsia="en-US"/>
        </w:rPr>
        <w:t xml:space="preserve"> edn. Oxford: Oxford University Press.</w:t>
      </w:r>
    </w:p>
    <w:p w14:paraId="551B5B76"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The Guardian (2014) </w:t>
      </w:r>
      <w:r w:rsidRPr="005129B7">
        <w:rPr>
          <w:rFonts w:ascii="Calibri" w:eastAsia="Calibri" w:hAnsi="Calibri"/>
          <w:i/>
          <w:sz w:val="22"/>
          <w:szCs w:val="22"/>
          <w:lang w:eastAsia="en-US"/>
        </w:rPr>
        <w:t xml:space="preserve">US cited controversial law in decision to kill American citizen by drone. </w:t>
      </w:r>
      <w:r w:rsidRPr="005129B7">
        <w:rPr>
          <w:rFonts w:ascii="Calibri" w:eastAsia="Calibri" w:hAnsi="Calibri"/>
          <w:sz w:val="22"/>
          <w:szCs w:val="22"/>
          <w:lang w:eastAsia="en-US"/>
        </w:rPr>
        <w:t xml:space="preserve">Available at: </w:t>
      </w:r>
      <w:hyperlink r:id="rId30" w:history="1">
        <w:r w:rsidRPr="005129B7">
          <w:rPr>
            <w:rFonts w:ascii="Calibri" w:eastAsia="Calibri" w:hAnsi="Calibri"/>
            <w:color w:val="0563C1"/>
            <w:sz w:val="22"/>
            <w:szCs w:val="22"/>
            <w:u w:val="single"/>
            <w:lang w:eastAsia="en-US"/>
          </w:rPr>
          <w:t>https://www.theguardian.com/world/2014/jun/23/us-justification-drone-killing-american-citizen-awlaki</w:t>
        </w:r>
      </w:hyperlink>
      <w:r w:rsidRPr="005129B7">
        <w:rPr>
          <w:rFonts w:ascii="Calibri" w:eastAsia="Calibri" w:hAnsi="Calibri"/>
          <w:sz w:val="22"/>
          <w:szCs w:val="22"/>
          <w:lang w:eastAsia="en-US"/>
        </w:rPr>
        <w:t xml:space="preserve"> (Accessed: 03 January 2021)</w:t>
      </w:r>
    </w:p>
    <w:p w14:paraId="15909D7B"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The Guardian (2020) </w:t>
      </w:r>
      <w:r w:rsidRPr="005129B7">
        <w:rPr>
          <w:rFonts w:ascii="Calibri" w:eastAsia="Calibri" w:hAnsi="Calibri"/>
          <w:i/>
          <w:sz w:val="22"/>
          <w:szCs w:val="22"/>
          <w:lang w:eastAsia="en-US"/>
        </w:rPr>
        <w:t xml:space="preserve">Greenpeace included with neo-Nazis on UK counter-terror list. </w:t>
      </w:r>
      <w:r w:rsidRPr="005129B7">
        <w:rPr>
          <w:rFonts w:ascii="Calibri" w:eastAsia="Calibri" w:hAnsi="Calibri"/>
          <w:sz w:val="22"/>
          <w:szCs w:val="22"/>
          <w:lang w:eastAsia="en-US"/>
        </w:rPr>
        <w:t xml:space="preserve">Available at: </w:t>
      </w:r>
      <w:hyperlink r:id="rId31" w:history="1">
        <w:r w:rsidRPr="005129B7">
          <w:rPr>
            <w:rFonts w:ascii="Calibri" w:eastAsia="Calibri" w:hAnsi="Calibri"/>
            <w:color w:val="0563C1"/>
            <w:sz w:val="22"/>
            <w:szCs w:val="22"/>
            <w:u w:val="single"/>
            <w:lang w:eastAsia="en-US"/>
          </w:rPr>
          <w:t>https://www.theguardian.com/uk-news/2020/jan/17/greenpeace-included-with-neo-nazis-on-uk-counter-terror-list</w:t>
        </w:r>
      </w:hyperlink>
      <w:r w:rsidRPr="005129B7">
        <w:rPr>
          <w:rFonts w:ascii="Calibri" w:eastAsia="Calibri" w:hAnsi="Calibri"/>
          <w:sz w:val="22"/>
          <w:szCs w:val="22"/>
          <w:lang w:eastAsia="en-US"/>
        </w:rPr>
        <w:t xml:space="preserve"> (Accessed: 03 January 2021)</w:t>
      </w:r>
    </w:p>
    <w:p w14:paraId="67F62277"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The Indian Express (2014) </w:t>
      </w:r>
      <w:r w:rsidRPr="005129B7">
        <w:rPr>
          <w:rFonts w:ascii="Calibri" w:eastAsia="Calibri" w:hAnsi="Calibri"/>
          <w:i/>
          <w:sz w:val="22"/>
          <w:szCs w:val="22"/>
          <w:lang w:eastAsia="en-US"/>
        </w:rPr>
        <w:t>IB report to PMO: Greenpeace is a threat to national economic security</w:t>
      </w:r>
      <w:r w:rsidRPr="005129B7">
        <w:rPr>
          <w:rFonts w:ascii="Calibri" w:eastAsia="Calibri" w:hAnsi="Calibri"/>
          <w:sz w:val="22"/>
          <w:szCs w:val="22"/>
          <w:lang w:eastAsia="en-US"/>
        </w:rPr>
        <w:t xml:space="preserve">. Available at: </w:t>
      </w:r>
      <w:hyperlink r:id="rId32" w:history="1">
        <w:r w:rsidRPr="005129B7">
          <w:rPr>
            <w:rFonts w:ascii="Calibri" w:eastAsia="Calibri" w:hAnsi="Calibri"/>
            <w:color w:val="0563C1"/>
            <w:sz w:val="22"/>
            <w:szCs w:val="22"/>
            <w:u w:val="single"/>
            <w:lang w:eastAsia="en-US"/>
          </w:rPr>
          <w:t>https://indianexpress.com/article/india/india-others/ib-report-to-pmo-greenpeace-is-a-threat-to-national-economic-security/</w:t>
        </w:r>
      </w:hyperlink>
      <w:r w:rsidRPr="005129B7">
        <w:rPr>
          <w:rFonts w:ascii="Calibri" w:eastAsia="Calibri" w:hAnsi="Calibri"/>
          <w:color w:val="0563C1"/>
          <w:sz w:val="22"/>
          <w:szCs w:val="22"/>
          <w:u w:val="single"/>
          <w:lang w:eastAsia="en-US"/>
        </w:rPr>
        <w:t xml:space="preserve"> </w:t>
      </w:r>
      <w:r w:rsidRPr="005129B7">
        <w:rPr>
          <w:rFonts w:ascii="Calibri" w:eastAsia="Calibri" w:hAnsi="Calibri"/>
          <w:sz w:val="22"/>
          <w:szCs w:val="22"/>
          <w:lang w:eastAsia="en-US"/>
        </w:rPr>
        <w:t>(Accessed: 03 January 2021)</w:t>
      </w:r>
    </w:p>
    <w:p w14:paraId="68952491" w14:textId="77777777" w:rsidR="005129B7" w:rsidRPr="005129B7" w:rsidRDefault="005129B7" w:rsidP="005129B7">
      <w:pPr>
        <w:spacing w:after="160" w:line="259" w:lineRule="auto"/>
        <w:rPr>
          <w:rFonts w:ascii="Calibri" w:eastAsia="Calibri" w:hAnsi="Calibri"/>
          <w:color w:val="0563C1"/>
          <w:sz w:val="22"/>
          <w:szCs w:val="22"/>
          <w:u w:val="single"/>
          <w:lang w:eastAsia="en-US"/>
        </w:rPr>
      </w:pPr>
      <w:r w:rsidRPr="005129B7">
        <w:rPr>
          <w:rFonts w:ascii="Calibri" w:eastAsia="Calibri" w:hAnsi="Calibri"/>
          <w:sz w:val="22"/>
          <w:szCs w:val="22"/>
          <w:lang w:eastAsia="en-US"/>
        </w:rPr>
        <w:t xml:space="preserve">The New York Times (2012) </w:t>
      </w:r>
      <w:r w:rsidRPr="005129B7">
        <w:rPr>
          <w:rFonts w:ascii="Calibri" w:eastAsia="Calibri" w:hAnsi="Calibri"/>
          <w:i/>
          <w:sz w:val="22"/>
          <w:szCs w:val="22"/>
          <w:lang w:eastAsia="en-US"/>
        </w:rPr>
        <w:t>Prosecutors Press Norwegian on Extremist Affiliations,</w:t>
      </w:r>
      <w:r w:rsidRPr="005129B7">
        <w:rPr>
          <w:rFonts w:ascii="Calibri" w:eastAsia="Calibri" w:hAnsi="Calibri"/>
          <w:sz w:val="22"/>
          <w:szCs w:val="22"/>
          <w:lang w:eastAsia="en-US"/>
        </w:rPr>
        <w:t xml:space="preserve"> Available at: </w:t>
      </w:r>
      <w:hyperlink r:id="rId33" w:history="1">
        <w:r w:rsidRPr="005129B7">
          <w:rPr>
            <w:rFonts w:ascii="Calibri" w:eastAsia="Calibri" w:hAnsi="Calibri"/>
            <w:color w:val="0563C1"/>
            <w:sz w:val="22"/>
            <w:szCs w:val="22"/>
            <w:u w:val="single"/>
            <w:lang w:eastAsia="en-US"/>
          </w:rPr>
          <w:t>https://www.nytimes.com/2012/04/19/world/europe/norway-anders-behring-breivik-trial-extremist-affiliations.html</w:t>
        </w:r>
      </w:hyperlink>
      <w:r w:rsidRPr="005129B7">
        <w:rPr>
          <w:rFonts w:ascii="Calibri" w:eastAsia="Calibri" w:hAnsi="Calibri"/>
          <w:color w:val="0563C1"/>
          <w:sz w:val="22"/>
          <w:szCs w:val="22"/>
          <w:u w:val="single"/>
          <w:lang w:eastAsia="en-US"/>
        </w:rPr>
        <w:t xml:space="preserve"> </w:t>
      </w:r>
      <w:r w:rsidRPr="005129B7">
        <w:rPr>
          <w:rFonts w:ascii="Calibri" w:eastAsia="Calibri" w:hAnsi="Calibri"/>
          <w:sz w:val="22"/>
          <w:szCs w:val="22"/>
          <w:lang w:eastAsia="en-US"/>
        </w:rPr>
        <w:t>(Accessed: 03 January 2021)</w:t>
      </w:r>
    </w:p>
    <w:p w14:paraId="3CA8B9C0"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UK gov (2020) </w:t>
      </w:r>
      <w:r w:rsidRPr="005129B7">
        <w:rPr>
          <w:rFonts w:ascii="Calibri" w:eastAsia="Calibri" w:hAnsi="Calibri"/>
          <w:i/>
          <w:sz w:val="22"/>
          <w:szCs w:val="22"/>
          <w:lang w:eastAsia="en-US"/>
        </w:rPr>
        <w:t xml:space="preserve">Hostile Reconnaissance. </w:t>
      </w:r>
      <w:r w:rsidRPr="005129B7">
        <w:rPr>
          <w:rFonts w:ascii="Calibri" w:eastAsia="Calibri" w:hAnsi="Calibri"/>
          <w:sz w:val="22"/>
          <w:szCs w:val="22"/>
          <w:lang w:eastAsia="en-US"/>
        </w:rPr>
        <w:t xml:space="preserve">Available at: </w:t>
      </w:r>
      <w:hyperlink r:id="rId34" w:history="1">
        <w:r w:rsidRPr="005129B7">
          <w:rPr>
            <w:rFonts w:ascii="Calibri" w:eastAsia="Calibri" w:hAnsi="Calibri"/>
            <w:color w:val="0563C1"/>
            <w:sz w:val="22"/>
            <w:szCs w:val="22"/>
            <w:u w:val="single"/>
            <w:lang w:eastAsia="en-US"/>
          </w:rPr>
          <w:t>https://www.gov.uk/government/publications/crowded-places-guidance/hostile-reconnaissance</w:t>
        </w:r>
      </w:hyperlink>
      <w:r w:rsidRPr="005129B7">
        <w:rPr>
          <w:rFonts w:ascii="Calibri" w:eastAsia="Calibri" w:hAnsi="Calibri"/>
          <w:sz w:val="22"/>
          <w:szCs w:val="22"/>
          <w:lang w:eastAsia="en-US"/>
        </w:rPr>
        <w:t xml:space="preserve"> (Accessed: 03 January 2021)</w:t>
      </w:r>
    </w:p>
    <w:p w14:paraId="2FEAC3E2"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UN Office of the High Commissioner for Human Rights (OHCHR) (2008) </w:t>
      </w:r>
      <w:r w:rsidRPr="005129B7">
        <w:rPr>
          <w:rFonts w:ascii="Calibri" w:eastAsia="Calibri" w:hAnsi="Calibri"/>
          <w:i/>
          <w:sz w:val="22"/>
          <w:szCs w:val="22"/>
          <w:lang w:eastAsia="en-US"/>
        </w:rPr>
        <w:t>Fact sheet 32: Human Rights, Terrorism and Counter-terrorism</w:t>
      </w:r>
      <w:r w:rsidRPr="005129B7">
        <w:rPr>
          <w:rFonts w:ascii="Calibri" w:eastAsia="Calibri" w:hAnsi="Calibri"/>
          <w:sz w:val="22"/>
          <w:szCs w:val="22"/>
          <w:lang w:eastAsia="en-US"/>
        </w:rPr>
        <w:t>, United Nations.</w:t>
      </w:r>
    </w:p>
    <w:p w14:paraId="5C69735E"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Winters, I. (2017) “Comparing Barbary and Islamic State Terror to an Academic Consensus Definition of Terrorism” in </w:t>
      </w:r>
      <w:r w:rsidRPr="005129B7">
        <w:rPr>
          <w:rFonts w:ascii="Calibri" w:eastAsia="Calibri" w:hAnsi="Calibri"/>
          <w:i/>
          <w:sz w:val="22"/>
          <w:szCs w:val="22"/>
          <w:lang w:eastAsia="en-US"/>
        </w:rPr>
        <w:t>Studia Ubb. Europaea</w:t>
      </w:r>
      <w:r w:rsidRPr="005129B7">
        <w:rPr>
          <w:rFonts w:ascii="Calibri" w:eastAsia="Calibri" w:hAnsi="Calibri"/>
          <w:sz w:val="22"/>
          <w:szCs w:val="22"/>
          <w:lang w:eastAsia="en-US"/>
        </w:rPr>
        <w:t>, 4, pp. 261-281</w:t>
      </w:r>
    </w:p>
    <w:p w14:paraId="547BB4D0" w14:textId="77777777" w:rsidR="005129B7" w:rsidRPr="005129B7" w:rsidRDefault="005129B7" w:rsidP="005129B7">
      <w:pPr>
        <w:spacing w:after="160" w:line="259" w:lineRule="auto"/>
        <w:rPr>
          <w:rFonts w:ascii="Calibri" w:eastAsia="Calibri" w:hAnsi="Calibri"/>
          <w:sz w:val="22"/>
          <w:szCs w:val="22"/>
          <w:lang w:eastAsia="en-US"/>
        </w:rPr>
      </w:pPr>
      <w:r w:rsidRPr="005129B7">
        <w:rPr>
          <w:rFonts w:ascii="Calibri" w:eastAsia="Calibri" w:hAnsi="Calibri"/>
          <w:sz w:val="22"/>
          <w:szCs w:val="22"/>
          <w:lang w:eastAsia="en-US"/>
        </w:rPr>
        <w:t xml:space="preserve">Yang, S. Jen, I. (2017) “An Evaluation of Displacement and Diffusion Effects on Eco-Terrorist Activities After Police Interventions” in </w:t>
      </w:r>
      <w:r w:rsidRPr="005129B7">
        <w:rPr>
          <w:rFonts w:ascii="Calibri" w:eastAsia="Calibri" w:hAnsi="Calibri"/>
          <w:i/>
          <w:sz w:val="22"/>
          <w:szCs w:val="22"/>
          <w:lang w:eastAsia="en-US"/>
        </w:rPr>
        <w:t>Journal of Quantitative Criminology</w:t>
      </w:r>
      <w:r w:rsidRPr="005129B7">
        <w:rPr>
          <w:rFonts w:ascii="Calibri" w:eastAsia="Calibri" w:hAnsi="Calibri"/>
          <w:sz w:val="22"/>
          <w:szCs w:val="22"/>
          <w:lang w:eastAsia="en-US"/>
        </w:rPr>
        <w:t>, 34, pp. 1103 – 1123</w:t>
      </w:r>
    </w:p>
    <w:p w14:paraId="5D3ADB9C" w14:textId="77777777" w:rsidR="005129B7" w:rsidRDefault="005129B7" w:rsidP="005129B7">
      <w:pPr>
        <w:spacing w:after="160" w:line="259" w:lineRule="auto"/>
        <w:rPr>
          <w:rFonts w:ascii="Calibri" w:eastAsia="Calibri" w:hAnsi="Calibri"/>
          <w:sz w:val="22"/>
          <w:szCs w:val="22"/>
          <w:lang w:eastAsia="en-US"/>
        </w:rPr>
        <w:sectPr w:rsidR="005129B7" w:rsidSect="00F31C04">
          <w:footerReference w:type="default" r:id="rId35"/>
          <w:pgSz w:w="11894" w:h="16834"/>
          <w:pgMar w:top="720" w:right="720" w:bottom="720" w:left="720" w:header="706" w:footer="454" w:gutter="0"/>
          <w:paperSrc w:first="1" w:other="1"/>
          <w:cols w:space="720"/>
          <w:docGrid w:linePitch="272"/>
        </w:sectPr>
      </w:pPr>
    </w:p>
    <w:p w14:paraId="44756E0E" w14:textId="77777777" w:rsidR="005129B7" w:rsidRDefault="005129B7" w:rsidP="005129B7">
      <w:r w:rsidRPr="00740ADF">
        <w:rPr>
          <w:b/>
        </w:rPr>
        <w:lastRenderedPageBreak/>
        <w:t>Appendix 1:</w:t>
      </w:r>
      <w:r>
        <w:t xml:space="preserve"> Table of terrorist incidents in Western Europe between 2000 and 2018, with 5 and more deaths. Data obtained from Global Terrorism Database (GTD).</w:t>
      </w:r>
    </w:p>
    <w:tbl>
      <w:tblPr>
        <w:tblpPr w:leftFromText="180" w:rightFromText="180" w:vertAnchor="page" w:horzAnchor="margin" w:tblpY="1114"/>
        <w:tblW w:w="14689" w:type="dxa"/>
        <w:tblLook w:val="04A0" w:firstRow="1" w:lastRow="0" w:firstColumn="1" w:lastColumn="0" w:noHBand="0" w:noVBand="1"/>
      </w:tblPr>
      <w:tblGrid>
        <w:gridCol w:w="1998"/>
        <w:gridCol w:w="1659"/>
        <w:gridCol w:w="1619"/>
        <w:gridCol w:w="2483"/>
        <w:gridCol w:w="1966"/>
        <w:gridCol w:w="2718"/>
        <w:gridCol w:w="1062"/>
        <w:gridCol w:w="1184"/>
      </w:tblGrid>
      <w:tr w:rsidR="005129B7" w:rsidRPr="001F4EB9" w14:paraId="340DB8C6" w14:textId="77777777" w:rsidTr="005129B7">
        <w:trPr>
          <w:trHeight w:val="437"/>
        </w:trPr>
        <w:tc>
          <w:tcPr>
            <w:tcW w:w="1998" w:type="dxa"/>
            <w:tcBorders>
              <w:top w:val="single" w:sz="8" w:space="0" w:color="auto"/>
              <w:left w:val="single" w:sz="8" w:space="0" w:color="auto"/>
              <w:bottom w:val="nil"/>
              <w:right w:val="single" w:sz="4" w:space="0" w:color="auto"/>
            </w:tcBorders>
            <w:shd w:val="clear" w:color="000000" w:fill="5B9BD5"/>
            <w:vAlign w:val="center"/>
            <w:hideMark/>
          </w:tcPr>
          <w:p w14:paraId="233AF99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Country</w:t>
            </w:r>
          </w:p>
        </w:tc>
        <w:tc>
          <w:tcPr>
            <w:tcW w:w="1659" w:type="dxa"/>
            <w:tcBorders>
              <w:top w:val="single" w:sz="8" w:space="0" w:color="auto"/>
              <w:left w:val="nil"/>
              <w:bottom w:val="nil"/>
              <w:right w:val="single" w:sz="4" w:space="0" w:color="auto"/>
            </w:tcBorders>
            <w:shd w:val="clear" w:color="000000" w:fill="5B9BD5"/>
            <w:vAlign w:val="center"/>
            <w:hideMark/>
          </w:tcPr>
          <w:p w14:paraId="28855665"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City</w:t>
            </w:r>
          </w:p>
        </w:tc>
        <w:tc>
          <w:tcPr>
            <w:tcW w:w="1619" w:type="dxa"/>
            <w:tcBorders>
              <w:top w:val="single" w:sz="8" w:space="0" w:color="auto"/>
              <w:left w:val="nil"/>
              <w:bottom w:val="nil"/>
              <w:right w:val="single" w:sz="4" w:space="0" w:color="auto"/>
            </w:tcBorders>
            <w:shd w:val="clear" w:color="000000" w:fill="5B9BD5"/>
            <w:vAlign w:val="center"/>
            <w:hideMark/>
          </w:tcPr>
          <w:p w14:paraId="1E5019F0"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Attack date</w:t>
            </w:r>
          </w:p>
        </w:tc>
        <w:tc>
          <w:tcPr>
            <w:tcW w:w="2483" w:type="dxa"/>
            <w:tcBorders>
              <w:top w:val="single" w:sz="8" w:space="0" w:color="auto"/>
              <w:left w:val="nil"/>
              <w:bottom w:val="nil"/>
              <w:right w:val="single" w:sz="4" w:space="0" w:color="auto"/>
            </w:tcBorders>
            <w:shd w:val="clear" w:color="000000" w:fill="5B9BD5"/>
            <w:vAlign w:val="center"/>
            <w:hideMark/>
          </w:tcPr>
          <w:p w14:paraId="01FFDD57"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Type of attack</w:t>
            </w:r>
          </w:p>
        </w:tc>
        <w:tc>
          <w:tcPr>
            <w:tcW w:w="1966" w:type="dxa"/>
            <w:tcBorders>
              <w:top w:val="single" w:sz="8" w:space="0" w:color="auto"/>
              <w:left w:val="nil"/>
              <w:bottom w:val="nil"/>
              <w:right w:val="single" w:sz="4" w:space="0" w:color="auto"/>
            </w:tcBorders>
            <w:shd w:val="clear" w:color="000000" w:fill="5B9BD5"/>
            <w:vAlign w:val="center"/>
            <w:hideMark/>
          </w:tcPr>
          <w:p w14:paraId="4FDAFB37"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Target</w:t>
            </w:r>
          </w:p>
        </w:tc>
        <w:tc>
          <w:tcPr>
            <w:tcW w:w="2718" w:type="dxa"/>
            <w:tcBorders>
              <w:top w:val="single" w:sz="8" w:space="0" w:color="auto"/>
              <w:left w:val="nil"/>
              <w:bottom w:val="nil"/>
              <w:right w:val="single" w:sz="4" w:space="0" w:color="auto"/>
            </w:tcBorders>
            <w:shd w:val="clear" w:color="000000" w:fill="5B9BD5"/>
            <w:vAlign w:val="center"/>
            <w:hideMark/>
          </w:tcPr>
          <w:p w14:paraId="1EE4580F"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Group name</w:t>
            </w:r>
          </w:p>
        </w:tc>
        <w:tc>
          <w:tcPr>
            <w:tcW w:w="1062" w:type="dxa"/>
            <w:tcBorders>
              <w:top w:val="single" w:sz="8" w:space="0" w:color="auto"/>
              <w:left w:val="nil"/>
              <w:bottom w:val="nil"/>
              <w:right w:val="single" w:sz="4" w:space="0" w:color="auto"/>
            </w:tcBorders>
            <w:shd w:val="clear" w:color="000000" w:fill="5B9BD5"/>
            <w:vAlign w:val="center"/>
            <w:hideMark/>
          </w:tcPr>
          <w:p w14:paraId="3912F138"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Number of attacks</w:t>
            </w:r>
          </w:p>
        </w:tc>
        <w:tc>
          <w:tcPr>
            <w:tcW w:w="1184" w:type="dxa"/>
            <w:tcBorders>
              <w:top w:val="single" w:sz="8" w:space="0" w:color="auto"/>
              <w:left w:val="nil"/>
              <w:bottom w:val="nil"/>
              <w:right w:val="single" w:sz="8" w:space="0" w:color="auto"/>
            </w:tcBorders>
            <w:shd w:val="clear" w:color="000000" w:fill="5B9BD5"/>
            <w:vAlign w:val="center"/>
            <w:hideMark/>
          </w:tcPr>
          <w:p w14:paraId="26BCCCE8"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Total deaths</w:t>
            </w:r>
          </w:p>
        </w:tc>
      </w:tr>
      <w:tr w:rsidR="005129B7" w:rsidRPr="001F4EB9" w14:paraId="25BBA726" w14:textId="77777777" w:rsidTr="005129B7">
        <w:trPr>
          <w:trHeight w:val="430"/>
        </w:trPr>
        <w:tc>
          <w:tcPr>
            <w:tcW w:w="1998"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0D764B4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France</w:t>
            </w:r>
          </w:p>
        </w:tc>
        <w:tc>
          <w:tcPr>
            <w:tcW w:w="1659"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E32202F"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Paris</w:t>
            </w:r>
          </w:p>
        </w:tc>
        <w:tc>
          <w:tcPr>
            <w:tcW w:w="1619" w:type="dxa"/>
            <w:tcBorders>
              <w:top w:val="single" w:sz="8" w:space="0" w:color="auto"/>
              <w:left w:val="nil"/>
              <w:bottom w:val="single" w:sz="4" w:space="0" w:color="auto"/>
              <w:right w:val="single" w:sz="4" w:space="0" w:color="auto"/>
            </w:tcBorders>
            <w:shd w:val="clear" w:color="auto" w:fill="auto"/>
            <w:vAlign w:val="center"/>
            <w:hideMark/>
          </w:tcPr>
          <w:p w14:paraId="3409728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07/01/2015</w:t>
            </w:r>
          </w:p>
        </w:tc>
        <w:tc>
          <w:tcPr>
            <w:tcW w:w="2483" w:type="dxa"/>
            <w:tcBorders>
              <w:top w:val="single" w:sz="8" w:space="0" w:color="auto"/>
              <w:left w:val="nil"/>
              <w:bottom w:val="single" w:sz="4" w:space="0" w:color="auto"/>
              <w:right w:val="single" w:sz="4" w:space="0" w:color="auto"/>
            </w:tcBorders>
            <w:shd w:val="clear" w:color="auto" w:fill="auto"/>
            <w:vAlign w:val="center"/>
            <w:hideMark/>
          </w:tcPr>
          <w:p w14:paraId="697C965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Hostage Taking (Barricade Incident)</w:t>
            </w:r>
          </w:p>
        </w:tc>
        <w:tc>
          <w:tcPr>
            <w:tcW w:w="1966" w:type="dxa"/>
            <w:tcBorders>
              <w:top w:val="single" w:sz="8" w:space="0" w:color="auto"/>
              <w:left w:val="nil"/>
              <w:bottom w:val="single" w:sz="4" w:space="0" w:color="auto"/>
              <w:right w:val="single" w:sz="4" w:space="0" w:color="auto"/>
            </w:tcBorders>
            <w:shd w:val="clear" w:color="auto" w:fill="auto"/>
            <w:vAlign w:val="center"/>
            <w:hideMark/>
          </w:tcPr>
          <w:p w14:paraId="6BA15363"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Journalists &amp; Media</w:t>
            </w:r>
          </w:p>
        </w:tc>
        <w:tc>
          <w:tcPr>
            <w:tcW w:w="2718" w:type="dxa"/>
            <w:tcBorders>
              <w:top w:val="single" w:sz="8" w:space="0" w:color="auto"/>
              <w:left w:val="nil"/>
              <w:bottom w:val="single" w:sz="4" w:space="0" w:color="auto"/>
              <w:right w:val="single" w:sz="4" w:space="0" w:color="auto"/>
            </w:tcBorders>
            <w:shd w:val="clear" w:color="auto" w:fill="auto"/>
            <w:vAlign w:val="center"/>
            <w:hideMark/>
          </w:tcPr>
          <w:p w14:paraId="2708E27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Al-Qaida in the Arabian Peninsula (AQAP)</w:t>
            </w:r>
          </w:p>
        </w:tc>
        <w:tc>
          <w:tcPr>
            <w:tcW w:w="1062" w:type="dxa"/>
            <w:tcBorders>
              <w:top w:val="single" w:sz="8" w:space="0" w:color="auto"/>
              <w:left w:val="nil"/>
              <w:bottom w:val="single" w:sz="4" w:space="0" w:color="auto"/>
              <w:right w:val="single" w:sz="4" w:space="0" w:color="auto"/>
            </w:tcBorders>
            <w:shd w:val="clear" w:color="auto" w:fill="auto"/>
            <w:vAlign w:val="center"/>
            <w:hideMark/>
          </w:tcPr>
          <w:p w14:paraId="1AE5DA69"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single" w:sz="8" w:space="0" w:color="auto"/>
              <w:left w:val="nil"/>
              <w:bottom w:val="single" w:sz="4" w:space="0" w:color="auto"/>
              <w:right w:val="single" w:sz="8" w:space="0" w:color="auto"/>
            </w:tcBorders>
            <w:shd w:val="clear" w:color="auto" w:fill="auto"/>
            <w:vAlign w:val="center"/>
            <w:hideMark/>
          </w:tcPr>
          <w:p w14:paraId="7EF8B16D"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12</w:t>
            </w:r>
          </w:p>
        </w:tc>
      </w:tr>
      <w:tr w:rsidR="005129B7" w:rsidRPr="001F4EB9" w14:paraId="4185070D" w14:textId="77777777" w:rsidTr="005129B7">
        <w:trPr>
          <w:trHeight w:val="286"/>
        </w:trPr>
        <w:tc>
          <w:tcPr>
            <w:tcW w:w="1998" w:type="dxa"/>
            <w:vMerge/>
            <w:tcBorders>
              <w:top w:val="single" w:sz="8" w:space="0" w:color="auto"/>
              <w:left w:val="single" w:sz="8" w:space="0" w:color="auto"/>
              <w:bottom w:val="single" w:sz="8" w:space="0" w:color="000000"/>
              <w:right w:val="single" w:sz="4" w:space="0" w:color="auto"/>
            </w:tcBorders>
            <w:vAlign w:val="center"/>
            <w:hideMark/>
          </w:tcPr>
          <w:p w14:paraId="2B081CB8" w14:textId="77777777" w:rsidR="005129B7" w:rsidRPr="001F4EB9" w:rsidRDefault="005129B7" w:rsidP="005129B7">
            <w:pPr>
              <w:rPr>
                <w:rFonts w:ascii="Calibri" w:hAnsi="Calibri" w:cs="Calibri"/>
                <w:b/>
                <w:bCs/>
                <w:color w:val="000000"/>
              </w:rPr>
            </w:pPr>
          </w:p>
        </w:tc>
        <w:tc>
          <w:tcPr>
            <w:tcW w:w="1659" w:type="dxa"/>
            <w:vMerge/>
            <w:tcBorders>
              <w:top w:val="single" w:sz="8" w:space="0" w:color="auto"/>
              <w:left w:val="single" w:sz="4" w:space="0" w:color="auto"/>
              <w:bottom w:val="single" w:sz="4" w:space="0" w:color="000000"/>
              <w:right w:val="single" w:sz="4" w:space="0" w:color="auto"/>
            </w:tcBorders>
            <w:vAlign w:val="center"/>
            <w:hideMark/>
          </w:tcPr>
          <w:p w14:paraId="7142965B" w14:textId="77777777" w:rsidR="005129B7" w:rsidRPr="001F4EB9" w:rsidRDefault="005129B7" w:rsidP="005129B7">
            <w:pPr>
              <w:rPr>
                <w:rFonts w:ascii="Calibri" w:hAnsi="Calibri" w:cs="Calibri"/>
                <w:b/>
                <w:bCs/>
                <w:color w:val="000000"/>
              </w:rPr>
            </w:pPr>
          </w:p>
        </w:tc>
        <w:tc>
          <w:tcPr>
            <w:tcW w:w="1619" w:type="dxa"/>
            <w:tcBorders>
              <w:top w:val="nil"/>
              <w:left w:val="nil"/>
              <w:bottom w:val="single" w:sz="4" w:space="0" w:color="auto"/>
              <w:right w:val="single" w:sz="4" w:space="0" w:color="auto"/>
            </w:tcBorders>
            <w:shd w:val="clear" w:color="auto" w:fill="auto"/>
            <w:vAlign w:val="center"/>
            <w:hideMark/>
          </w:tcPr>
          <w:p w14:paraId="228F2742"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09/01/2015</w:t>
            </w:r>
          </w:p>
        </w:tc>
        <w:tc>
          <w:tcPr>
            <w:tcW w:w="2483" w:type="dxa"/>
            <w:tcBorders>
              <w:top w:val="nil"/>
              <w:left w:val="nil"/>
              <w:bottom w:val="single" w:sz="4" w:space="0" w:color="auto"/>
              <w:right w:val="single" w:sz="4" w:space="0" w:color="auto"/>
            </w:tcBorders>
            <w:shd w:val="clear" w:color="auto" w:fill="auto"/>
            <w:vAlign w:val="center"/>
            <w:hideMark/>
          </w:tcPr>
          <w:p w14:paraId="68E1CEB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Hostage Taking (Barricade Incident)</w:t>
            </w:r>
          </w:p>
        </w:tc>
        <w:tc>
          <w:tcPr>
            <w:tcW w:w="1966" w:type="dxa"/>
            <w:tcBorders>
              <w:top w:val="nil"/>
              <w:left w:val="nil"/>
              <w:bottom w:val="single" w:sz="4" w:space="0" w:color="auto"/>
              <w:right w:val="single" w:sz="4" w:space="0" w:color="auto"/>
            </w:tcBorders>
            <w:shd w:val="clear" w:color="auto" w:fill="auto"/>
            <w:vAlign w:val="center"/>
            <w:hideMark/>
          </w:tcPr>
          <w:p w14:paraId="39C5189B"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Business</w:t>
            </w:r>
          </w:p>
        </w:tc>
        <w:tc>
          <w:tcPr>
            <w:tcW w:w="2718" w:type="dxa"/>
            <w:tcBorders>
              <w:top w:val="nil"/>
              <w:left w:val="nil"/>
              <w:bottom w:val="single" w:sz="4" w:space="0" w:color="auto"/>
              <w:right w:val="single" w:sz="4" w:space="0" w:color="auto"/>
            </w:tcBorders>
            <w:shd w:val="clear" w:color="auto" w:fill="auto"/>
            <w:vAlign w:val="center"/>
            <w:hideMark/>
          </w:tcPr>
          <w:p w14:paraId="594DB405"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Jihadi-inspired extremists</w:t>
            </w:r>
          </w:p>
        </w:tc>
        <w:tc>
          <w:tcPr>
            <w:tcW w:w="1062" w:type="dxa"/>
            <w:tcBorders>
              <w:top w:val="nil"/>
              <w:left w:val="nil"/>
              <w:bottom w:val="single" w:sz="4" w:space="0" w:color="auto"/>
              <w:right w:val="single" w:sz="4" w:space="0" w:color="auto"/>
            </w:tcBorders>
            <w:shd w:val="clear" w:color="auto" w:fill="auto"/>
            <w:vAlign w:val="center"/>
            <w:hideMark/>
          </w:tcPr>
          <w:p w14:paraId="1500091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3D6AB3EB"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5</w:t>
            </w:r>
          </w:p>
        </w:tc>
      </w:tr>
      <w:tr w:rsidR="005129B7" w:rsidRPr="001F4EB9" w14:paraId="5AFB9E60" w14:textId="77777777" w:rsidTr="005129B7">
        <w:trPr>
          <w:trHeight w:val="286"/>
        </w:trPr>
        <w:tc>
          <w:tcPr>
            <w:tcW w:w="1998" w:type="dxa"/>
            <w:vMerge/>
            <w:tcBorders>
              <w:top w:val="single" w:sz="8" w:space="0" w:color="auto"/>
              <w:left w:val="single" w:sz="8" w:space="0" w:color="auto"/>
              <w:bottom w:val="single" w:sz="8" w:space="0" w:color="000000"/>
              <w:right w:val="single" w:sz="4" w:space="0" w:color="auto"/>
            </w:tcBorders>
            <w:vAlign w:val="center"/>
            <w:hideMark/>
          </w:tcPr>
          <w:p w14:paraId="276C5EE8" w14:textId="77777777" w:rsidR="005129B7" w:rsidRPr="001F4EB9" w:rsidRDefault="005129B7" w:rsidP="005129B7">
            <w:pPr>
              <w:rPr>
                <w:rFonts w:ascii="Calibri" w:hAnsi="Calibri" w:cs="Calibri"/>
                <w:b/>
                <w:bCs/>
                <w:color w:val="000000"/>
              </w:rPr>
            </w:pPr>
          </w:p>
        </w:tc>
        <w:tc>
          <w:tcPr>
            <w:tcW w:w="1659" w:type="dxa"/>
            <w:vMerge/>
            <w:tcBorders>
              <w:top w:val="single" w:sz="8" w:space="0" w:color="auto"/>
              <w:left w:val="single" w:sz="4" w:space="0" w:color="auto"/>
              <w:bottom w:val="single" w:sz="4" w:space="0" w:color="000000"/>
              <w:right w:val="single" w:sz="4" w:space="0" w:color="auto"/>
            </w:tcBorders>
            <w:vAlign w:val="center"/>
            <w:hideMark/>
          </w:tcPr>
          <w:p w14:paraId="0381B450" w14:textId="77777777" w:rsidR="005129B7" w:rsidRPr="001F4EB9" w:rsidRDefault="005129B7" w:rsidP="005129B7">
            <w:pPr>
              <w:rPr>
                <w:rFonts w:ascii="Calibri" w:hAnsi="Calibri" w:cs="Calibri"/>
                <w:b/>
                <w:bCs/>
                <w:color w:val="000000"/>
              </w:rPr>
            </w:pPr>
          </w:p>
        </w:tc>
        <w:tc>
          <w:tcPr>
            <w:tcW w:w="1619" w:type="dxa"/>
            <w:vMerge w:val="restart"/>
            <w:tcBorders>
              <w:top w:val="nil"/>
              <w:left w:val="single" w:sz="4" w:space="0" w:color="auto"/>
              <w:bottom w:val="single" w:sz="4" w:space="0" w:color="000000"/>
              <w:right w:val="single" w:sz="4" w:space="0" w:color="auto"/>
            </w:tcBorders>
            <w:shd w:val="clear" w:color="auto" w:fill="auto"/>
            <w:vAlign w:val="center"/>
            <w:hideMark/>
          </w:tcPr>
          <w:p w14:paraId="21EF2639"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13/11/2015</w:t>
            </w:r>
          </w:p>
        </w:tc>
        <w:tc>
          <w:tcPr>
            <w:tcW w:w="2483" w:type="dxa"/>
            <w:tcBorders>
              <w:top w:val="nil"/>
              <w:left w:val="nil"/>
              <w:bottom w:val="single" w:sz="4" w:space="0" w:color="auto"/>
              <w:right w:val="single" w:sz="4" w:space="0" w:color="auto"/>
            </w:tcBorders>
            <w:shd w:val="clear" w:color="auto" w:fill="auto"/>
            <w:vAlign w:val="center"/>
            <w:hideMark/>
          </w:tcPr>
          <w:p w14:paraId="6E9A2548"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Hostage Taking (Barricade Incident)</w:t>
            </w:r>
          </w:p>
        </w:tc>
        <w:tc>
          <w:tcPr>
            <w:tcW w:w="1966" w:type="dxa"/>
            <w:tcBorders>
              <w:top w:val="nil"/>
              <w:left w:val="nil"/>
              <w:bottom w:val="single" w:sz="4" w:space="0" w:color="auto"/>
              <w:right w:val="single" w:sz="4" w:space="0" w:color="auto"/>
            </w:tcBorders>
            <w:shd w:val="clear" w:color="auto" w:fill="auto"/>
            <w:vAlign w:val="center"/>
            <w:hideMark/>
          </w:tcPr>
          <w:p w14:paraId="2A952D6C"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Business</w:t>
            </w:r>
          </w:p>
        </w:tc>
        <w:tc>
          <w:tcPr>
            <w:tcW w:w="2718" w:type="dxa"/>
            <w:tcBorders>
              <w:top w:val="nil"/>
              <w:left w:val="nil"/>
              <w:bottom w:val="single" w:sz="4" w:space="0" w:color="auto"/>
              <w:right w:val="single" w:sz="4" w:space="0" w:color="auto"/>
            </w:tcBorders>
            <w:shd w:val="clear" w:color="auto" w:fill="auto"/>
            <w:vAlign w:val="center"/>
            <w:hideMark/>
          </w:tcPr>
          <w:p w14:paraId="37FC6239"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Islamic State of Iraq and the Levant (ISIL)</w:t>
            </w:r>
          </w:p>
        </w:tc>
        <w:tc>
          <w:tcPr>
            <w:tcW w:w="1062" w:type="dxa"/>
            <w:tcBorders>
              <w:top w:val="nil"/>
              <w:left w:val="nil"/>
              <w:bottom w:val="single" w:sz="4" w:space="0" w:color="auto"/>
              <w:right w:val="single" w:sz="4" w:space="0" w:color="auto"/>
            </w:tcBorders>
            <w:shd w:val="clear" w:color="auto" w:fill="auto"/>
            <w:vAlign w:val="center"/>
            <w:hideMark/>
          </w:tcPr>
          <w:p w14:paraId="68510450"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071F689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93</w:t>
            </w:r>
          </w:p>
        </w:tc>
      </w:tr>
      <w:tr w:rsidR="005129B7" w:rsidRPr="001F4EB9" w14:paraId="0CCA335F" w14:textId="77777777" w:rsidTr="005129B7">
        <w:trPr>
          <w:trHeight w:val="286"/>
        </w:trPr>
        <w:tc>
          <w:tcPr>
            <w:tcW w:w="1998" w:type="dxa"/>
            <w:vMerge/>
            <w:tcBorders>
              <w:top w:val="single" w:sz="8" w:space="0" w:color="auto"/>
              <w:left w:val="single" w:sz="8" w:space="0" w:color="auto"/>
              <w:bottom w:val="single" w:sz="8" w:space="0" w:color="000000"/>
              <w:right w:val="single" w:sz="4" w:space="0" w:color="auto"/>
            </w:tcBorders>
            <w:vAlign w:val="center"/>
            <w:hideMark/>
          </w:tcPr>
          <w:p w14:paraId="01F7B3F4" w14:textId="77777777" w:rsidR="005129B7" w:rsidRPr="001F4EB9" w:rsidRDefault="005129B7" w:rsidP="005129B7">
            <w:pPr>
              <w:rPr>
                <w:rFonts w:ascii="Calibri" w:hAnsi="Calibri" w:cs="Calibri"/>
                <w:b/>
                <w:bCs/>
                <w:color w:val="000000"/>
              </w:rPr>
            </w:pPr>
          </w:p>
        </w:tc>
        <w:tc>
          <w:tcPr>
            <w:tcW w:w="1659" w:type="dxa"/>
            <w:vMerge/>
            <w:tcBorders>
              <w:top w:val="single" w:sz="8" w:space="0" w:color="auto"/>
              <w:left w:val="single" w:sz="4" w:space="0" w:color="auto"/>
              <w:bottom w:val="single" w:sz="4" w:space="0" w:color="000000"/>
              <w:right w:val="single" w:sz="4" w:space="0" w:color="auto"/>
            </w:tcBorders>
            <w:vAlign w:val="center"/>
            <w:hideMark/>
          </w:tcPr>
          <w:p w14:paraId="16BF3A69" w14:textId="77777777" w:rsidR="005129B7" w:rsidRPr="001F4EB9" w:rsidRDefault="005129B7" w:rsidP="005129B7">
            <w:pPr>
              <w:rPr>
                <w:rFonts w:ascii="Calibri" w:hAnsi="Calibri" w:cs="Calibri"/>
                <w:b/>
                <w:bCs/>
                <w:color w:val="000000"/>
              </w:rPr>
            </w:pPr>
          </w:p>
        </w:tc>
        <w:tc>
          <w:tcPr>
            <w:tcW w:w="1619" w:type="dxa"/>
            <w:vMerge/>
            <w:tcBorders>
              <w:top w:val="nil"/>
              <w:left w:val="single" w:sz="4" w:space="0" w:color="auto"/>
              <w:bottom w:val="single" w:sz="4" w:space="0" w:color="000000"/>
              <w:right w:val="single" w:sz="4" w:space="0" w:color="auto"/>
            </w:tcBorders>
            <w:vAlign w:val="center"/>
            <w:hideMark/>
          </w:tcPr>
          <w:p w14:paraId="41308C6A" w14:textId="77777777" w:rsidR="005129B7" w:rsidRPr="001F4EB9" w:rsidRDefault="005129B7" w:rsidP="005129B7">
            <w:pPr>
              <w:rPr>
                <w:rFonts w:ascii="Calibri" w:hAnsi="Calibri" w:cs="Calibri"/>
                <w:color w:val="000000"/>
              </w:rPr>
            </w:pPr>
          </w:p>
        </w:tc>
        <w:tc>
          <w:tcPr>
            <w:tcW w:w="2483" w:type="dxa"/>
            <w:tcBorders>
              <w:top w:val="nil"/>
              <w:left w:val="nil"/>
              <w:bottom w:val="single" w:sz="4" w:space="0" w:color="auto"/>
              <w:right w:val="single" w:sz="4" w:space="0" w:color="auto"/>
            </w:tcBorders>
            <w:shd w:val="clear" w:color="auto" w:fill="auto"/>
            <w:vAlign w:val="center"/>
            <w:hideMark/>
          </w:tcPr>
          <w:p w14:paraId="7E8786C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single" w:sz="4" w:space="0" w:color="auto"/>
              <w:right w:val="single" w:sz="4" w:space="0" w:color="auto"/>
            </w:tcBorders>
            <w:shd w:val="clear" w:color="auto" w:fill="auto"/>
            <w:vAlign w:val="center"/>
            <w:hideMark/>
          </w:tcPr>
          <w:p w14:paraId="304BBE44"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Business</w:t>
            </w:r>
          </w:p>
        </w:tc>
        <w:tc>
          <w:tcPr>
            <w:tcW w:w="2718" w:type="dxa"/>
            <w:tcBorders>
              <w:top w:val="nil"/>
              <w:left w:val="nil"/>
              <w:bottom w:val="single" w:sz="4" w:space="0" w:color="auto"/>
              <w:right w:val="single" w:sz="4" w:space="0" w:color="auto"/>
            </w:tcBorders>
            <w:shd w:val="clear" w:color="auto" w:fill="auto"/>
            <w:vAlign w:val="center"/>
            <w:hideMark/>
          </w:tcPr>
          <w:p w14:paraId="64CF1556"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Islamic State of Iraq and the Levant (ISIL)</w:t>
            </w:r>
          </w:p>
        </w:tc>
        <w:tc>
          <w:tcPr>
            <w:tcW w:w="1062" w:type="dxa"/>
            <w:tcBorders>
              <w:top w:val="nil"/>
              <w:left w:val="nil"/>
              <w:bottom w:val="single" w:sz="4" w:space="0" w:color="auto"/>
              <w:right w:val="single" w:sz="4" w:space="0" w:color="auto"/>
            </w:tcBorders>
            <w:shd w:val="clear" w:color="auto" w:fill="auto"/>
            <w:vAlign w:val="center"/>
            <w:hideMark/>
          </w:tcPr>
          <w:p w14:paraId="77726DE3"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3</w:t>
            </w:r>
          </w:p>
        </w:tc>
        <w:tc>
          <w:tcPr>
            <w:tcW w:w="1184" w:type="dxa"/>
            <w:tcBorders>
              <w:top w:val="nil"/>
              <w:left w:val="nil"/>
              <w:bottom w:val="single" w:sz="4" w:space="0" w:color="auto"/>
              <w:right w:val="single" w:sz="8" w:space="0" w:color="auto"/>
            </w:tcBorders>
            <w:shd w:val="clear" w:color="auto" w:fill="auto"/>
            <w:vAlign w:val="center"/>
            <w:hideMark/>
          </w:tcPr>
          <w:p w14:paraId="7BEEA202"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39</w:t>
            </w:r>
          </w:p>
        </w:tc>
      </w:tr>
      <w:tr w:rsidR="005129B7" w:rsidRPr="001F4EB9" w14:paraId="05CD012F" w14:textId="77777777" w:rsidTr="005129B7">
        <w:trPr>
          <w:trHeight w:val="143"/>
        </w:trPr>
        <w:tc>
          <w:tcPr>
            <w:tcW w:w="1998" w:type="dxa"/>
            <w:vMerge/>
            <w:tcBorders>
              <w:top w:val="single" w:sz="8" w:space="0" w:color="auto"/>
              <w:left w:val="single" w:sz="8" w:space="0" w:color="auto"/>
              <w:bottom w:val="single" w:sz="8" w:space="0" w:color="000000"/>
              <w:right w:val="single" w:sz="4" w:space="0" w:color="auto"/>
            </w:tcBorders>
            <w:vAlign w:val="center"/>
            <w:hideMark/>
          </w:tcPr>
          <w:p w14:paraId="442174BD" w14:textId="77777777" w:rsidR="005129B7" w:rsidRPr="001F4EB9" w:rsidRDefault="005129B7" w:rsidP="005129B7">
            <w:pPr>
              <w:rPr>
                <w:rFonts w:ascii="Calibri" w:hAnsi="Calibri" w:cs="Calibri"/>
                <w:b/>
                <w:bCs/>
                <w:color w:val="000000"/>
              </w:rPr>
            </w:pPr>
          </w:p>
        </w:tc>
        <w:tc>
          <w:tcPr>
            <w:tcW w:w="10445" w:type="dxa"/>
            <w:gridSpan w:val="5"/>
            <w:tcBorders>
              <w:top w:val="single" w:sz="4" w:space="0" w:color="auto"/>
              <w:left w:val="nil"/>
              <w:bottom w:val="single" w:sz="4" w:space="0" w:color="auto"/>
              <w:right w:val="single" w:sz="4" w:space="0" w:color="000000"/>
            </w:tcBorders>
            <w:shd w:val="clear" w:color="auto" w:fill="auto"/>
            <w:vAlign w:val="center"/>
            <w:hideMark/>
          </w:tcPr>
          <w:p w14:paraId="52885D76"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Paris Total</w:t>
            </w:r>
          </w:p>
        </w:tc>
        <w:tc>
          <w:tcPr>
            <w:tcW w:w="1062" w:type="dxa"/>
            <w:tcBorders>
              <w:top w:val="nil"/>
              <w:left w:val="nil"/>
              <w:bottom w:val="single" w:sz="4" w:space="0" w:color="auto"/>
              <w:right w:val="single" w:sz="4" w:space="0" w:color="auto"/>
            </w:tcBorders>
            <w:shd w:val="clear" w:color="auto" w:fill="auto"/>
            <w:vAlign w:val="center"/>
            <w:hideMark/>
          </w:tcPr>
          <w:p w14:paraId="547659CC"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6</w:t>
            </w:r>
          </w:p>
        </w:tc>
        <w:tc>
          <w:tcPr>
            <w:tcW w:w="1184" w:type="dxa"/>
            <w:tcBorders>
              <w:top w:val="nil"/>
              <w:left w:val="nil"/>
              <w:bottom w:val="single" w:sz="4" w:space="0" w:color="auto"/>
              <w:right w:val="single" w:sz="8" w:space="0" w:color="auto"/>
            </w:tcBorders>
            <w:shd w:val="clear" w:color="auto" w:fill="auto"/>
            <w:vAlign w:val="center"/>
            <w:hideMark/>
          </w:tcPr>
          <w:p w14:paraId="5B5FD075"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149</w:t>
            </w:r>
          </w:p>
        </w:tc>
      </w:tr>
      <w:tr w:rsidR="005129B7" w:rsidRPr="001F4EB9" w14:paraId="3980C704" w14:textId="77777777" w:rsidTr="005129B7">
        <w:trPr>
          <w:trHeight w:val="430"/>
        </w:trPr>
        <w:tc>
          <w:tcPr>
            <w:tcW w:w="1998" w:type="dxa"/>
            <w:vMerge/>
            <w:tcBorders>
              <w:top w:val="single" w:sz="8" w:space="0" w:color="auto"/>
              <w:left w:val="single" w:sz="8" w:space="0" w:color="auto"/>
              <w:bottom w:val="single" w:sz="8" w:space="0" w:color="000000"/>
              <w:right w:val="single" w:sz="4" w:space="0" w:color="auto"/>
            </w:tcBorders>
            <w:vAlign w:val="center"/>
            <w:hideMark/>
          </w:tcPr>
          <w:p w14:paraId="24B31209" w14:textId="77777777" w:rsidR="005129B7" w:rsidRPr="001F4EB9" w:rsidRDefault="005129B7" w:rsidP="005129B7">
            <w:pPr>
              <w:rPr>
                <w:rFonts w:ascii="Calibri" w:hAnsi="Calibri" w:cs="Calibri"/>
                <w:b/>
                <w:bCs/>
                <w:color w:val="000000"/>
              </w:rPr>
            </w:pPr>
          </w:p>
        </w:tc>
        <w:tc>
          <w:tcPr>
            <w:tcW w:w="1659" w:type="dxa"/>
            <w:tcBorders>
              <w:top w:val="nil"/>
              <w:left w:val="nil"/>
              <w:bottom w:val="single" w:sz="4" w:space="0" w:color="auto"/>
              <w:right w:val="single" w:sz="4" w:space="0" w:color="auto"/>
            </w:tcBorders>
            <w:shd w:val="clear" w:color="auto" w:fill="auto"/>
            <w:vAlign w:val="center"/>
            <w:hideMark/>
          </w:tcPr>
          <w:p w14:paraId="04C7B253"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Nice</w:t>
            </w:r>
          </w:p>
        </w:tc>
        <w:tc>
          <w:tcPr>
            <w:tcW w:w="1619" w:type="dxa"/>
            <w:tcBorders>
              <w:top w:val="nil"/>
              <w:left w:val="nil"/>
              <w:bottom w:val="single" w:sz="4" w:space="0" w:color="auto"/>
              <w:right w:val="single" w:sz="4" w:space="0" w:color="auto"/>
            </w:tcBorders>
            <w:shd w:val="clear" w:color="auto" w:fill="auto"/>
            <w:vAlign w:val="center"/>
            <w:hideMark/>
          </w:tcPr>
          <w:p w14:paraId="7C10BF77"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14/07/2016</w:t>
            </w:r>
          </w:p>
        </w:tc>
        <w:tc>
          <w:tcPr>
            <w:tcW w:w="2483" w:type="dxa"/>
            <w:tcBorders>
              <w:top w:val="nil"/>
              <w:left w:val="nil"/>
              <w:bottom w:val="single" w:sz="4" w:space="0" w:color="auto"/>
              <w:right w:val="single" w:sz="4" w:space="0" w:color="auto"/>
            </w:tcBorders>
            <w:shd w:val="clear" w:color="auto" w:fill="auto"/>
            <w:vAlign w:val="center"/>
            <w:hideMark/>
          </w:tcPr>
          <w:p w14:paraId="298E239B"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single" w:sz="4" w:space="0" w:color="auto"/>
              <w:right w:val="single" w:sz="4" w:space="0" w:color="auto"/>
            </w:tcBorders>
            <w:shd w:val="clear" w:color="auto" w:fill="auto"/>
            <w:vAlign w:val="center"/>
            <w:hideMark/>
          </w:tcPr>
          <w:p w14:paraId="4CF8B006"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single" w:sz="4" w:space="0" w:color="auto"/>
              <w:right w:val="single" w:sz="4" w:space="0" w:color="auto"/>
            </w:tcBorders>
            <w:shd w:val="clear" w:color="auto" w:fill="auto"/>
            <w:vAlign w:val="center"/>
            <w:hideMark/>
          </w:tcPr>
          <w:p w14:paraId="7B85B14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Jihadi-inspired extremists</w:t>
            </w:r>
          </w:p>
        </w:tc>
        <w:tc>
          <w:tcPr>
            <w:tcW w:w="1062" w:type="dxa"/>
            <w:tcBorders>
              <w:top w:val="nil"/>
              <w:left w:val="nil"/>
              <w:bottom w:val="single" w:sz="4" w:space="0" w:color="auto"/>
              <w:right w:val="single" w:sz="4" w:space="0" w:color="auto"/>
            </w:tcBorders>
            <w:shd w:val="clear" w:color="auto" w:fill="auto"/>
            <w:vAlign w:val="center"/>
            <w:hideMark/>
          </w:tcPr>
          <w:p w14:paraId="52EF5F4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44277A0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87</w:t>
            </w:r>
          </w:p>
        </w:tc>
      </w:tr>
      <w:tr w:rsidR="005129B7" w:rsidRPr="001F4EB9" w14:paraId="229D3FF9" w14:textId="77777777" w:rsidTr="005129B7">
        <w:trPr>
          <w:trHeight w:val="437"/>
        </w:trPr>
        <w:tc>
          <w:tcPr>
            <w:tcW w:w="1998" w:type="dxa"/>
            <w:vMerge/>
            <w:tcBorders>
              <w:top w:val="single" w:sz="8" w:space="0" w:color="auto"/>
              <w:left w:val="single" w:sz="8" w:space="0" w:color="auto"/>
              <w:bottom w:val="single" w:sz="8" w:space="0" w:color="000000"/>
              <w:right w:val="single" w:sz="4" w:space="0" w:color="auto"/>
            </w:tcBorders>
            <w:vAlign w:val="center"/>
            <w:hideMark/>
          </w:tcPr>
          <w:p w14:paraId="1C5FBCF2" w14:textId="77777777" w:rsidR="005129B7" w:rsidRPr="001F4EB9" w:rsidRDefault="005129B7" w:rsidP="005129B7">
            <w:pPr>
              <w:rPr>
                <w:rFonts w:ascii="Calibri" w:hAnsi="Calibri" w:cs="Calibri"/>
                <w:b/>
                <w:bCs/>
                <w:color w:val="000000"/>
              </w:rPr>
            </w:pPr>
          </w:p>
        </w:tc>
        <w:tc>
          <w:tcPr>
            <w:tcW w:w="1659" w:type="dxa"/>
            <w:tcBorders>
              <w:top w:val="nil"/>
              <w:left w:val="nil"/>
              <w:bottom w:val="single" w:sz="8" w:space="0" w:color="auto"/>
              <w:right w:val="single" w:sz="4" w:space="0" w:color="auto"/>
            </w:tcBorders>
            <w:shd w:val="clear" w:color="auto" w:fill="auto"/>
            <w:vAlign w:val="center"/>
            <w:hideMark/>
          </w:tcPr>
          <w:p w14:paraId="1FE05740"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Strasbourg</w:t>
            </w:r>
          </w:p>
        </w:tc>
        <w:tc>
          <w:tcPr>
            <w:tcW w:w="1619" w:type="dxa"/>
            <w:tcBorders>
              <w:top w:val="nil"/>
              <w:left w:val="nil"/>
              <w:bottom w:val="single" w:sz="8" w:space="0" w:color="auto"/>
              <w:right w:val="single" w:sz="4" w:space="0" w:color="auto"/>
            </w:tcBorders>
            <w:shd w:val="clear" w:color="auto" w:fill="auto"/>
            <w:vAlign w:val="center"/>
            <w:hideMark/>
          </w:tcPr>
          <w:p w14:paraId="7C7FE2B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11/12/2018</w:t>
            </w:r>
          </w:p>
        </w:tc>
        <w:tc>
          <w:tcPr>
            <w:tcW w:w="2483" w:type="dxa"/>
            <w:tcBorders>
              <w:top w:val="nil"/>
              <w:left w:val="nil"/>
              <w:bottom w:val="single" w:sz="8" w:space="0" w:color="auto"/>
              <w:right w:val="single" w:sz="4" w:space="0" w:color="auto"/>
            </w:tcBorders>
            <w:shd w:val="clear" w:color="auto" w:fill="auto"/>
            <w:vAlign w:val="center"/>
            <w:hideMark/>
          </w:tcPr>
          <w:p w14:paraId="5129E76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single" w:sz="8" w:space="0" w:color="auto"/>
              <w:right w:val="single" w:sz="4" w:space="0" w:color="auto"/>
            </w:tcBorders>
            <w:shd w:val="clear" w:color="auto" w:fill="auto"/>
            <w:vAlign w:val="center"/>
            <w:hideMark/>
          </w:tcPr>
          <w:p w14:paraId="4F9FB270"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single" w:sz="8" w:space="0" w:color="auto"/>
              <w:right w:val="single" w:sz="4" w:space="0" w:color="auto"/>
            </w:tcBorders>
            <w:shd w:val="clear" w:color="auto" w:fill="auto"/>
            <w:vAlign w:val="center"/>
            <w:hideMark/>
          </w:tcPr>
          <w:p w14:paraId="3C8D3FD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Jihadi-inspired extremists</w:t>
            </w:r>
          </w:p>
        </w:tc>
        <w:tc>
          <w:tcPr>
            <w:tcW w:w="1062" w:type="dxa"/>
            <w:tcBorders>
              <w:top w:val="nil"/>
              <w:left w:val="nil"/>
              <w:bottom w:val="single" w:sz="8" w:space="0" w:color="auto"/>
              <w:right w:val="single" w:sz="4" w:space="0" w:color="auto"/>
            </w:tcBorders>
            <w:shd w:val="clear" w:color="auto" w:fill="auto"/>
            <w:vAlign w:val="center"/>
            <w:hideMark/>
          </w:tcPr>
          <w:p w14:paraId="11D7DE93"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8" w:space="0" w:color="auto"/>
              <w:right w:val="single" w:sz="8" w:space="0" w:color="auto"/>
            </w:tcBorders>
            <w:shd w:val="clear" w:color="auto" w:fill="auto"/>
            <w:vAlign w:val="center"/>
            <w:hideMark/>
          </w:tcPr>
          <w:p w14:paraId="2182665A"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5</w:t>
            </w:r>
          </w:p>
        </w:tc>
      </w:tr>
      <w:tr w:rsidR="005129B7" w:rsidRPr="001F4EB9" w14:paraId="414BF57A"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05ABEC8E"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France Total</w:t>
            </w:r>
          </w:p>
        </w:tc>
        <w:tc>
          <w:tcPr>
            <w:tcW w:w="1062" w:type="dxa"/>
            <w:tcBorders>
              <w:top w:val="nil"/>
              <w:left w:val="nil"/>
              <w:bottom w:val="single" w:sz="8" w:space="0" w:color="auto"/>
              <w:right w:val="single" w:sz="4" w:space="0" w:color="auto"/>
            </w:tcBorders>
            <w:shd w:val="clear" w:color="000000" w:fill="BDD7EE"/>
            <w:vAlign w:val="center"/>
            <w:hideMark/>
          </w:tcPr>
          <w:p w14:paraId="2F9EC6CC"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8</w:t>
            </w:r>
          </w:p>
        </w:tc>
        <w:tc>
          <w:tcPr>
            <w:tcW w:w="1184" w:type="dxa"/>
            <w:tcBorders>
              <w:top w:val="nil"/>
              <w:left w:val="nil"/>
              <w:bottom w:val="single" w:sz="8" w:space="0" w:color="auto"/>
              <w:right w:val="single" w:sz="8" w:space="0" w:color="auto"/>
            </w:tcBorders>
            <w:shd w:val="clear" w:color="000000" w:fill="BDD7EE"/>
            <w:vAlign w:val="center"/>
            <w:hideMark/>
          </w:tcPr>
          <w:p w14:paraId="793D5753"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241</w:t>
            </w:r>
          </w:p>
        </w:tc>
      </w:tr>
      <w:tr w:rsidR="005129B7" w:rsidRPr="001F4EB9" w14:paraId="095B66DF" w14:textId="77777777" w:rsidTr="005129B7">
        <w:trPr>
          <w:trHeight w:val="143"/>
        </w:trPr>
        <w:tc>
          <w:tcPr>
            <w:tcW w:w="1998" w:type="dxa"/>
            <w:vMerge w:val="restart"/>
            <w:tcBorders>
              <w:top w:val="nil"/>
              <w:left w:val="single" w:sz="8" w:space="0" w:color="auto"/>
              <w:bottom w:val="nil"/>
              <w:right w:val="single" w:sz="4" w:space="0" w:color="auto"/>
            </w:tcBorders>
            <w:shd w:val="clear" w:color="auto" w:fill="auto"/>
            <w:vAlign w:val="center"/>
            <w:hideMark/>
          </w:tcPr>
          <w:p w14:paraId="1A151992"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United Kingdom</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14:paraId="3682BE1F"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London</w:t>
            </w:r>
          </w:p>
        </w:tc>
        <w:tc>
          <w:tcPr>
            <w:tcW w:w="1619" w:type="dxa"/>
            <w:tcBorders>
              <w:top w:val="nil"/>
              <w:left w:val="nil"/>
              <w:bottom w:val="single" w:sz="4" w:space="0" w:color="auto"/>
              <w:right w:val="single" w:sz="4" w:space="0" w:color="auto"/>
            </w:tcBorders>
            <w:shd w:val="clear" w:color="auto" w:fill="auto"/>
            <w:vAlign w:val="center"/>
            <w:hideMark/>
          </w:tcPr>
          <w:p w14:paraId="50C47B0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07/07/2005</w:t>
            </w:r>
          </w:p>
        </w:tc>
        <w:tc>
          <w:tcPr>
            <w:tcW w:w="2483" w:type="dxa"/>
            <w:tcBorders>
              <w:top w:val="nil"/>
              <w:left w:val="nil"/>
              <w:bottom w:val="single" w:sz="4" w:space="0" w:color="auto"/>
              <w:right w:val="single" w:sz="4" w:space="0" w:color="auto"/>
            </w:tcBorders>
            <w:shd w:val="clear" w:color="auto" w:fill="auto"/>
            <w:vAlign w:val="center"/>
            <w:hideMark/>
          </w:tcPr>
          <w:p w14:paraId="1CB1D973"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Bombing/Explosion</w:t>
            </w:r>
          </w:p>
        </w:tc>
        <w:tc>
          <w:tcPr>
            <w:tcW w:w="1966" w:type="dxa"/>
            <w:tcBorders>
              <w:top w:val="nil"/>
              <w:left w:val="nil"/>
              <w:bottom w:val="single" w:sz="4" w:space="0" w:color="auto"/>
              <w:right w:val="single" w:sz="4" w:space="0" w:color="auto"/>
            </w:tcBorders>
            <w:shd w:val="clear" w:color="auto" w:fill="auto"/>
            <w:vAlign w:val="center"/>
            <w:hideMark/>
          </w:tcPr>
          <w:p w14:paraId="6DEFD2F0"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Transportation</w:t>
            </w:r>
          </w:p>
        </w:tc>
        <w:tc>
          <w:tcPr>
            <w:tcW w:w="2718" w:type="dxa"/>
            <w:tcBorders>
              <w:top w:val="nil"/>
              <w:left w:val="nil"/>
              <w:bottom w:val="single" w:sz="4" w:space="0" w:color="auto"/>
              <w:right w:val="single" w:sz="4" w:space="0" w:color="auto"/>
            </w:tcBorders>
            <w:shd w:val="clear" w:color="auto" w:fill="auto"/>
            <w:vAlign w:val="center"/>
            <w:hideMark/>
          </w:tcPr>
          <w:p w14:paraId="247C29F0"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Al-Qaida</w:t>
            </w:r>
          </w:p>
        </w:tc>
        <w:tc>
          <w:tcPr>
            <w:tcW w:w="1062" w:type="dxa"/>
            <w:tcBorders>
              <w:top w:val="nil"/>
              <w:left w:val="nil"/>
              <w:bottom w:val="single" w:sz="4" w:space="0" w:color="auto"/>
              <w:right w:val="single" w:sz="4" w:space="0" w:color="auto"/>
            </w:tcBorders>
            <w:shd w:val="clear" w:color="auto" w:fill="auto"/>
            <w:vAlign w:val="center"/>
            <w:hideMark/>
          </w:tcPr>
          <w:p w14:paraId="4A61B3A1"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4</w:t>
            </w:r>
          </w:p>
        </w:tc>
        <w:tc>
          <w:tcPr>
            <w:tcW w:w="1184" w:type="dxa"/>
            <w:tcBorders>
              <w:top w:val="nil"/>
              <w:left w:val="nil"/>
              <w:bottom w:val="single" w:sz="4" w:space="0" w:color="auto"/>
              <w:right w:val="single" w:sz="8" w:space="0" w:color="auto"/>
            </w:tcBorders>
            <w:shd w:val="clear" w:color="auto" w:fill="auto"/>
            <w:vAlign w:val="center"/>
            <w:hideMark/>
          </w:tcPr>
          <w:p w14:paraId="2135005B"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56</w:t>
            </w:r>
          </w:p>
        </w:tc>
      </w:tr>
      <w:tr w:rsidR="005129B7" w:rsidRPr="001F4EB9" w14:paraId="2A88E495" w14:textId="77777777" w:rsidTr="005129B7">
        <w:trPr>
          <w:trHeight w:val="143"/>
        </w:trPr>
        <w:tc>
          <w:tcPr>
            <w:tcW w:w="1998" w:type="dxa"/>
            <w:vMerge/>
            <w:tcBorders>
              <w:top w:val="nil"/>
              <w:left w:val="single" w:sz="8" w:space="0" w:color="auto"/>
              <w:bottom w:val="nil"/>
              <w:right w:val="single" w:sz="4" w:space="0" w:color="auto"/>
            </w:tcBorders>
            <w:vAlign w:val="center"/>
            <w:hideMark/>
          </w:tcPr>
          <w:p w14:paraId="12863B40" w14:textId="77777777" w:rsidR="005129B7" w:rsidRPr="001F4EB9" w:rsidRDefault="005129B7" w:rsidP="005129B7">
            <w:pPr>
              <w:rPr>
                <w:rFonts w:ascii="Calibri" w:hAnsi="Calibri" w:cs="Calibri"/>
                <w:b/>
                <w:bCs/>
                <w:color w:val="000000"/>
              </w:rPr>
            </w:pPr>
          </w:p>
        </w:tc>
        <w:tc>
          <w:tcPr>
            <w:tcW w:w="1659" w:type="dxa"/>
            <w:vMerge/>
            <w:tcBorders>
              <w:top w:val="nil"/>
              <w:left w:val="single" w:sz="4" w:space="0" w:color="auto"/>
              <w:bottom w:val="single" w:sz="4" w:space="0" w:color="000000"/>
              <w:right w:val="single" w:sz="4" w:space="0" w:color="auto"/>
            </w:tcBorders>
            <w:vAlign w:val="center"/>
            <w:hideMark/>
          </w:tcPr>
          <w:p w14:paraId="429BCF9B" w14:textId="77777777" w:rsidR="005129B7" w:rsidRPr="001F4EB9" w:rsidRDefault="005129B7" w:rsidP="005129B7">
            <w:pPr>
              <w:rPr>
                <w:rFonts w:ascii="Calibri" w:hAnsi="Calibri" w:cs="Calibri"/>
                <w:b/>
                <w:bCs/>
                <w:color w:val="000000"/>
              </w:rPr>
            </w:pPr>
          </w:p>
        </w:tc>
        <w:tc>
          <w:tcPr>
            <w:tcW w:w="1619" w:type="dxa"/>
            <w:tcBorders>
              <w:top w:val="nil"/>
              <w:left w:val="nil"/>
              <w:bottom w:val="single" w:sz="4" w:space="0" w:color="auto"/>
              <w:right w:val="single" w:sz="4" w:space="0" w:color="auto"/>
            </w:tcBorders>
            <w:shd w:val="clear" w:color="auto" w:fill="auto"/>
            <w:vAlign w:val="center"/>
            <w:hideMark/>
          </w:tcPr>
          <w:p w14:paraId="6E78407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22/03/2017</w:t>
            </w:r>
          </w:p>
        </w:tc>
        <w:tc>
          <w:tcPr>
            <w:tcW w:w="2483" w:type="dxa"/>
            <w:tcBorders>
              <w:top w:val="nil"/>
              <w:left w:val="nil"/>
              <w:bottom w:val="single" w:sz="4" w:space="0" w:color="auto"/>
              <w:right w:val="single" w:sz="4" w:space="0" w:color="auto"/>
            </w:tcBorders>
            <w:shd w:val="clear" w:color="auto" w:fill="auto"/>
            <w:vAlign w:val="center"/>
            <w:hideMark/>
          </w:tcPr>
          <w:p w14:paraId="164E79F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single" w:sz="4" w:space="0" w:color="auto"/>
              <w:right w:val="single" w:sz="4" w:space="0" w:color="auto"/>
            </w:tcBorders>
            <w:shd w:val="clear" w:color="auto" w:fill="auto"/>
            <w:vAlign w:val="center"/>
            <w:hideMark/>
          </w:tcPr>
          <w:p w14:paraId="5BAAA784"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Police</w:t>
            </w:r>
          </w:p>
        </w:tc>
        <w:tc>
          <w:tcPr>
            <w:tcW w:w="2718" w:type="dxa"/>
            <w:tcBorders>
              <w:top w:val="nil"/>
              <w:left w:val="nil"/>
              <w:bottom w:val="single" w:sz="4" w:space="0" w:color="auto"/>
              <w:right w:val="single" w:sz="4" w:space="0" w:color="auto"/>
            </w:tcBorders>
            <w:shd w:val="clear" w:color="auto" w:fill="auto"/>
            <w:vAlign w:val="center"/>
            <w:hideMark/>
          </w:tcPr>
          <w:p w14:paraId="3CE94D2B"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Muslim extremists</w:t>
            </w:r>
          </w:p>
        </w:tc>
        <w:tc>
          <w:tcPr>
            <w:tcW w:w="1062" w:type="dxa"/>
            <w:tcBorders>
              <w:top w:val="nil"/>
              <w:left w:val="nil"/>
              <w:bottom w:val="single" w:sz="4" w:space="0" w:color="auto"/>
              <w:right w:val="single" w:sz="4" w:space="0" w:color="auto"/>
            </w:tcBorders>
            <w:shd w:val="clear" w:color="auto" w:fill="auto"/>
            <w:vAlign w:val="center"/>
            <w:hideMark/>
          </w:tcPr>
          <w:p w14:paraId="5D4238C5"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5088C8B7"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6</w:t>
            </w:r>
          </w:p>
        </w:tc>
      </w:tr>
      <w:tr w:rsidR="005129B7" w:rsidRPr="001F4EB9" w14:paraId="47E38CE9" w14:textId="77777777" w:rsidTr="005129B7">
        <w:trPr>
          <w:trHeight w:val="430"/>
        </w:trPr>
        <w:tc>
          <w:tcPr>
            <w:tcW w:w="1998" w:type="dxa"/>
            <w:vMerge/>
            <w:tcBorders>
              <w:top w:val="nil"/>
              <w:left w:val="single" w:sz="8" w:space="0" w:color="auto"/>
              <w:bottom w:val="nil"/>
              <w:right w:val="single" w:sz="4" w:space="0" w:color="auto"/>
            </w:tcBorders>
            <w:vAlign w:val="center"/>
            <w:hideMark/>
          </w:tcPr>
          <w:p w14:paraId="60B5E246" w14:textId="77777777" w:rsidR="005129B7" w:rsidRPr="001F4EB9" w:rsidRDefault="005129B7" w:rsidP="005129B7">
            <w:pPr>
              <w:rPr>
                <w:rFonts w:ascii="Calibri" w:hAnsi="Calibri" w:cs="Calibri"/>
                <w:b/>
                <w:bCs/>
                <w:color w:val="000000"/>
              </w:rPr>
            </w:pPr>
          </w:p>
        </w:tc>
        <w:tc>
          <w:tcPr>
            <w:tcW w:w="1659" w:type="dxa"/>
            <w:vMerge/>
            <w:tcBorders>
              <w:top w:val="nil"/>
              <w:left w:val="single" w:sz="4" w:space="0" w:color="auto"/>
              <w:bottom w:val="single" w:sz="4" w:space="0" w:color="000000"/>
              <w:right w:val="single" w:sz="4" w:space="0" w:color="auto"/>
            </w:tcBorders>
            <w:vAlign w:val="center"/>
            <w:hideMark/>
          </w:tcPr>
          <w:p w14:paraId="3CB66F79" w14:textId="77777777" w:rsidR="005129B7" w:rsidRPr="001F4EB9" w:rsidRDefault="005129B7" w:rsidP="005129B7">
            <w:pPr>
              <w:rPr>
                <w:rFonts w:ascii="Calibri" w:hAnsi="Calibri" w:cs="Calibri"/>
                <w:b/>
                <w:bCs/>
                <w:color w:val="000000"/>
              </w:rPr>
            </w:pPr>
          </w:p>
        </w:tc>
        <w:tc>
          <w:tcPr>
            <w:tcW w:w="1619" w:type="dxa"/>
            <w:tcBorders>
              <w:top w:val="nil"/>
              <w:left w:val="nil"/>
              <w:bottom w:val="single" w:sz="4" w:space="0" w:color="auto"/>
              <w:right w:val="single" w:sz="4" w:space="0" w:color="auto"/>
            </w:tcBorders>
            <w:shd w:val="clear" w:color="auto" w:fill="auto"/>
            <w:vAlign w:val="center"/>
            <w:hideMark/>
          </w:tcPr>
          <w:p w14:paraId="3DDF38D8"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03/06/2017</w:t>
            </w:r>
          </w:p>
        </w:tc>
        <w:tc>
          <w:tcPr>
            <w:tcW w:w="2483" w:type="dxa"/>
            <w:tcBorders>
              <w:top w:val="nil"/>
              <w:left w:val="nil"/>
              <w:bottom w:val="single" w:sz="4" w:space="0" w:color="auto"/>
              <w:right w:val="single" w:sz="4" w:space="0" w:color="auto"/>
            </w:tcBorders>
            <w:shd w:val="clear" w:color="auto" w:fill="auto"/>
            <w:vAlign w:val="center"/>
            <w:hideMark/>
          </w:tcPr>
          <w:p w14:paraId="37947FA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single" w:sz="4" w:space="0" w:color="auto"/>
              <w:right w:val="single" w:sz="4" w:space="0" w:color="auto"/>
            </w:tcBorders>
            <w:shd w:val="clear" w:color="auto" w:fill="auto"/>
            <w:vAlign w:val="center"/>
            <w:hideMark/>
          </w:tcPr>
          <w:p w14:paraId="56F2D515"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single" w:sz="4" w:space="0" w:color="auto"/>
              <w:right w:val="single" w:sz="4" w:space="0" w:color="auto"/>
            </w:tcBorders>
            <w:shd w:val="clear" w:color="auto" w:fill="auto"/>
            <w:vAlign w:val="center"/>
            <w:hideMark/>
          </w:tcPr>
          <w:p w14:paraId="3CE55A2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Jihadi-inspired extremists</w:t>
            </w:r>
          </w:p>
        </w:tc>
        <w:tc>
          <w:tcPr>
            <w:tcW w:w="1062" w:type="dxa"/>
            <w:tcBorders>
              <w:top w:val="nil"/>
              <w:left w:val="nil"/>
              <w:bottom w:val="single" w:sz="4" w:space="0" w:color="auto"/>
              <w:right w:val="single" w:sz="4" w:space="0" w:color="auto"/>
            </w:tcBorders>
            <w:shd w:val="clear" w:color="auto" w:fill="auto"/>
            <w:vAlign w:val="center"/>
            <w:hideMark/>
          </w:tcPr>
          <w:p w14:paraId="45C13821"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20932447"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11</w:t>
            </w:r>
          </w:p>
        </w:tc>
      </w:tr>
      <w:tr w:rsidR="005129B7" w:rsidRPr="001F4EB9" w14:paraId="337DFC87" w14:textId="77777777" w:rsidTr="005129B7">
        <w:trPr>
          <w:trHeight w:val="143"/>
        </w:trPr>
        <w:tc>
          <w:tcPr>
            <w:tcW w:w="1998" w:type="dxa"/>
            <w:vMerge/>
            <w:tcBorders>
              <w:top w:val="nil"/>
              <w:left w:val="single" w:sz="8" w:space="0" w:color="auto"/>
              <w:bottom w:val="nil"/>
              <w:right w:val="single" w:sz="4" w:space="0" w:color="auto"/>
            </w:tcBorders>
            <w:vAlign w:val="center"/>
            <w:hideMark/>
          </w:tcPr>
          <w:p w14:paraId="7FA1ADAB" w14:textId="77777777" w:rsidR="005129B7" w:rsidRPr="001F4EB9" w:rsidRDefault="005129B7" w:rsidP="005129B7">
            <w:pPr>
              <w:rPr>
                <w:rFonts w:ascii="Calibri" w:hAnsi="Calibri" w:cs="Calibri"/>
                <w:b/>
                <w:bCs/>
                <w:color w:val="000000"/>
              </w:rPr>
            </w:pPr>
          </w:p>
        </w:tc>
        <w:tc>
          <w:tcPr>
            <w:tcW w:w="10445" w:type="dxa"/>
            <w:gridSpan w:val="5"/>
            <w:tcBorders>
              <w:top w:val="single" w:sz="4" w:space="0" w:color="auto"/>
              <w:left w:val="nil"/>
              <w:bottom w:val="single" w:sz="4" w:space="0" w:color="auto"/>
              <w:right w:val="single" w:sz="4" w:space="0" w:color="000000"/>
            </w:tcBorders>
            <w:shd w:val="clear" w:color="auto" w:fill="auto"/>
            <w:vAlign w:val="center"/>
            <w:hideMark/>
          </w:tcPr>
          <w:p w14:paraId="78906FF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London Total</w:t>
            </w:r>
          </w:p>
        </w:tc>
        <w:tc>
          <w:tcPr>
            <w:tcW w:w="1062" w:type="dxa"/>
            <w:tcBorders>
              <w:top w:val="nil"/>
              <w:left w:val="nil"/>
              <w:bottom w:val="single" w:sz="4" w:space="0" w:color="auto"/>
              <w:right w:val="single" w:sz="4" w:space="0" w:color="auto"/>
            </w:tcBorders>
            <w:shd w:val="clear" w:color="auto" w:fill="auto"/>
            <w:vAlign w:val="center"/>
            <w:hideMark/>
          </w:tcPr>
          <w:p w14:paraId="5823E723"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6</w:t>
            </w:r>
          </w:p>
        </w:tc>
        <w:tc>
          <w:tcPr>
            <w:tcW w:w="1184" w:type="dxa"/>
            <w:tcBorders>
              <w:top w:val="nil"/>
              <w:left w:val="nil"/>
              <w:bottom w:val="single" w:sz="4" w:space="0" w:color="auto"/>
              <w:right w:val="single" w:sz="8" w:space="0" w:color="auto"/>
            </w:tcBorders>
            <w:shd w:val="clear" w:color="auto" w:fill="auto"/>
            <w:vAlign w:val="center"/>
            <w:hideMark/>
          </w:tcPr>
          <w:p w14:paraId="74672186"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73</w:t>
            </w:r>
          </w:p>
        </w:tc>
      </w:tr>
      <w:tr w:rsidR="005129B7" w:rsidRPr="001F4EB9" w14:paraId="452AA47C" w14:textId="77777777" w:rsidTr="005129B7">
        <w:trPr>
          <w:trHeight w:val="293"/>
        </w:trPr>
        <w:tc>
          <w:tcPr>
            <w:tcW w:w="1998" w:type="dxa"/>
            <w:vMerge/>
            <w:tcBorders>
              <w:top w:val="nil"/>
              <w:left w:val="single" w:sz="8" w:space="0" w:color="auto"/>
              <w:bottom w:val="nil"/>
              <w:right w:val="single" w:sz="4" w:space="0" w:color="auto"/>
            </w:tcBorders>
            <w:vAlign w:val="center"/>
            <w:hideMark/>
          </w:tcPr>
          <w:p w14:paraId="034DA1C9" w14:textId="77777777" w:rsidR="005129B7" w:rsidRPr="001F4EB9" w:rsidRDefault="005129B7" w:rsidP="005129B7">
            <w:pPr>
              <w:rPr>
                <w:rFonts w:ascii="Calibri" w:hAnsi="Calibri" w:cs="Calibri"/>
                <w:b/>
                <w:bCs/>
                <w:color w:val="000000"/>
              </w:rPr>
            </w:pPr>
          </w:p>
        </w:tc>
        <w:tc>
          <w:tcPr>
            <w:tcW w:w="1659" w:type="dxa"/>
            <w:tcBorders>
              <w:top w:val="nil"/>
              <w:left w:val="nil"/>
              <w:bottom w:val="nil"/>
              <w:right w:val="single" w:sz="4" w:space="0" w:color="auto"/>
            </w:tcBorders>
            <w:shd w:val="clear" w:color="auto" w:fill="auto"/>
            <w:vAlign w:val="center"/>
            <w:hideMark/>
          </w:tcPr>
          <w:p w14:paraId="54444E38"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Manchester</w:t>
            </w:r>
          </w:p>
        </w:tc>
        <w:tc>
          <w:tcPr>
            <w:tcW w:w="1619" w:type="dxa"/>
            <w:tcBorders>
              <w:top w:val="nil"/>
              <w:left w:val="nil"/>
              <w:bottom w:val="nil"/>
              <w:right w:val="single" w:sz="4" w:space="0" w:color="auto"/>
            </w:tcBorders>
            <w:shd w:val="clear" w:color="auto" w:fill="auto"/>
            <w:vAlign w:val="center"/>
            <w:hideMark/>
          </w:tcPr>
          <w:p w14:paraId="5B79AF02"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22/05/2017</w:t>
            </w:r>
          </w:p>
        </w:tc>
        <w:tc>
          <w:tcPr>
            <w:tcW w:w="2483" w:type="dxa"/>
            <w:tcBorders>
              <w:top w:val="nil"/>
              <w:left w:val="nil"/>
              <w:bottom w:val="nil"/>
              <w:right w:val="single" w:sz="4" w:space="0" w:color="auto"/>
            </w:tcBorders>
            <w:shd w:val="clear" w:color="auto" w:fill="auto"/>
            <w:vAlign w:val="center"/>
            <w:hideMark/>
          </w:tcPr>
          <w:p w14:paraId="663BC973"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Bombing/Explosion</w:t>
            </w:r>
          </w:p>
        </w:tc>
        <w:tc>
          <w:tcPr>
            <w:tcW w:w="1966" w:type="dxa"/>
            <w:tcBorders>
              <w:top w:val="nil"/>
              <w:left w:val="nil"/>
              <w:bottom w:val="nil"/>
              <w:right w:val="single" w:sz="4" w:space="0" w:color="auto"/>
            </w:tcBorders>
            <w:shd w:val="clear" w:color="auto" w:fill="auto"/>
            <w:vAlign w:val="center"/>
            <w:hideMark/>
          </w:tcPr>
          <w:p w14:paraId="1EAC25E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Business</w:t>
            </w:r>
          </w:p>
        </w:tc>
        <w:tc>
          <w:tcPr>
            <w:tcW w:w="2718" w:type="dxa"/>
            <w:tcBorders>
              <w:top w:val="nil"/>
              <w:left w:val="nil"/>
              <w:bottom w:val="nil"/>
              <w:right w:val="single" w:sz="4" w:space="0" w:color="auto"/>
            </w:tcBorders>
            <w:shd w:val="clear" w:color="auto" w:fill="auto"/>
            <w:vAlign w:val="center"/>
            <w:hideMark/>
          </w:tcPr>
          <w:p w14:paraId="4D37FD8B"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Islamic State of Iraq and the Levant (ISIL)</w:t>
            </w:r>
          </w:p>
        </w:tc>
        <w:tc>
          <w:tcPr>
            <w:tcW w:w="1062" w:type="dxa"/>
            <w:tcBorders>
              <w:top w:val="nil"/>
              <w:left w:val="nil"/>
              <w:bottom w:val="nil"/>
              <w:right w:val="single" w:sz="4" w:space="0" w:color="auto"/>
            </w:tcBorders>
            <w:shd w:val="clear" w:color="auto" w:fill="auto"/>
            <w:vAlign w:val="center"/>
            <w:hideMark/>
          </w:tcPr>
          <w:p w14:paraId="78068E6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2E927F4E"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23</w:t>
            </w:r>
          </w:p>
        </w:tc>
      </w:tr>
      <w:tr w:rsidR="005129B7" w:rsidRPr="001F4EB9" w14:paraId="371734A2"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0FF4F806"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United Kingdom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43DBC2E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7</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60D06DF5"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96</w:t>
            </w:r>
          </w:p>
        </w:tc>
      </w:tr>
      <w:tr w:rsidR="005129B7" w:rsidRPr="001F4EB9" w14:paraId="4DD4BED8" w14:textId="77777777" w:rsidTr="005129B7">
        <w:trPr>
          <w:trHeight w:val="143"/>
        </w:trPr>
        <w:tc>
          <w:tcPr>
            <w:tcW w:w="1998" w:type="dxa"/>
            <w:vMerge w:val="restart"/>
            <w:tcBorders>
              <w:top w:val="nil"/>
              <w:left w:val="single" w:sz="8" w:space="0" w:color="auto"/>
              <w:bottom w:val="nil"/>
              <w:right w:val="single" w:sz="4" w:space="0" w:color="auto"/>
            </w:tcBorders>
            <w:shd w:val="clear" w:color="auto" w:fill="auto"/>
            <w:vAlign w:val="center"/>
            <w:hideMark/>
          </w:tcPr>
          <w:p w14:paraId="104B0285"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Spain</w:t>
            </w:r>
          </w:p>
        </w:tc>
        <w:tc>
          <w:tcPr>
            <w:tcW w:w="1659" w:type="dxa"/>
            <w:tcBorders>
              <w:top w:val="nil"/>
              <w:left w:val="nil"/>
              <w:bottom w:val="single" w:sz="4" w:space="0" w:color="auto"/>
              <w:right w:val="single" w:sz="4" w:space="0" w:color="auto"/>
            </w:tcBorders>
            <w:shd w:val="clear" w:color="auto" w:fill="auto"/>
            <w:vAlign w:val="center"/>
            <w:hideMark/>
          </w:tcPr>
          <w:p w14:paraId="28AC6FBA"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Madrid</w:t>
            </w:r>
          </w:p>
        </w:tc>
        <w:tc>
          <w:tcPr>
            <w:tcW w:w="1619" w:type="dxa"/>
            <w:tcBorders>
              <w:top w:val="nil"/>
              <w:left w:val="nil"/>
              <w:bottom w:val="single" w:sz="4" w:space="0" w:color="auto"/>
              <w:right w:val="single" w:sz="4" w:space="0" w:color="auto"/>
            </w:tcBorders>
            <w:shd w:val="clear" w:color="auto" w:fill="auto"/>
            <w:vAlign w:val="center"/>
            <w:hideMark/>
          </w:tcPr>
          <w:p w14:paraId="7A46EA04"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11/03/2004</w:t>
            </w:r>
          </w:p>
        </w:tc>
        <w:tc>
          <w:tcPr>
            <w:tcW w:w="2483" w:type="dxa"/>
            <w:tcBorders>
              <w:top w:val="nil"/>
              <w:left w:val="nil"/>
              <w:bottom w:val="single" w:sz="4" w:space="0" w:color="auto"/>
              <w:right w:val="single" w:sz="4" w:space="0" w:color="auto"/>
            </w:tcBorders>
            <w:shd w:val="clear" w:color="auto" w:fill="auto"/>
            <w:vAlign w:val="center"/>
            <w:hideMark/>
          </w:tcPr>
          <w:p w14:paraId="0D8C852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Bombing/Explosion</w:t>
            </w:r>
          </w:p>
        </w:tc>
        <w:tc>
          <w:tcPr>
            <w:tcW w:w="1966" w:type="dxa"/>
            <w:tcBorders>
              <w:top w:val="nil"/>
              <w:left w:val="nil"/>
              <w:bottom w:val="single" w:sz="4" w:space="0" w:color="auto"/>
              <w:right w:val="single" w:sz="4" w:space="0" w:color="auto"/>
            </w:tcBorders>
            <w:shd w:val="clear" w:color="auto" w:fill="auto"/>
            <w:vAlign w:val="center"/>
            <w:hideMark/>
          </w:tcPr>
          <w:p w14:paraId="62DDF493"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Transportation</w:t>
            </w:r>
          </w:p>
        </w:tc>
        <w:tc>
          <w:tcPr>
            <w:tcW w:w="2718" w:type="dxa"/>
            <w:tcBorders>
              <w:top w:val="nil"/>
              <w:left w:val="nil"/>
              <w:bottom w:val="single" w:sz="4" w:space="0" w:color="auto"/>
              <w:right w:val="single" w:sz="4" w:space="0" w:color="auto"/>
            </w:tcBorders>
            <w:shd w:val="clear" w:color="auto" w:fill="auto"/>
            <w:vAlign w:val="center"/>
            <w:hideMark/>
          </w:tcPr>
          <w:p w14:paraId="77FC9473"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Al-Qaida</w:t>
            </w:r>
          </w:p>
        </w:tc>
        <w:tc>
          <w:tcPr>
            <w:tcW w:w="1062" w:type="dxa"/>
            <w:tcBorders>
              <w:top w:val="nil"/>
              <w:left w:val="nil"/>
              <w:bottom w:val="single" w:sz="4" w:space="0" w:color="auto"/>
              <w:right w:val="single" w:sz="4" w:space="0" w:color="auto"/>
            </w:tcBorders>
            <w:shd w:val="clear" w:color="auto" w:fill="auto"/>
            <w:vAlign w:val="center"/>
            <w:hideMark/>
          </w:tcPr>
          <w:p w14:paraId="2FD7F2F2"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4</w:t>
            </w:r>
          </w:p>
        </w:tc>
        <w:tc>
          <w:tcPr>
            <w:tcW w:w="1184" w:type="dxa"/>
            <w:tcBorders>
              <w:top w:val="nil"/>
              <w:left w:val="nil"/>
              <w:bottom w:val="single" w:sz="4" w:space="0" w:color="auto"/>
              <w:right w:val="single" w:sz="8" w:space="0" w:color="auto"/>
            </w:tcBorders>
            <w:shd w:val="clear" w:color="auto" w:fill="auto"/>
            <w:vAlign w:val="center"/>
            <w:hideMark/>
          </w:tcPr>
          <w:p w14:paraId="0A8FE870"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191</w:t>
            </w:r>
          </w:p>
        </w:tc>
      </w:tr>
      <w:tr w:rsidR="005129B7" w:rsidRPr="001F4EB9" w14:paraId="608F91D5" w14:textId="77777777" w:rsidTr="005129B7">
        <w:trPr>
          <w:trHeight w:val="430"/>
        </w:trPr>
        <w:tc>
          <w:tcPr>
            <w:tcW w:w="1998" w:type="dxa"/>
            <w:vMerge/>
            <w:tcBorders>
              <w:top w:val="nil"/>
              <w:left w:val="single" w:sz="8" w:space="0" w:color="auto"/>
              <w:bottom w:val="nil"/>
              <w:right w:val="single" w:sz="4" w:space="0" w:color="auto"/>
            </w:tcBorders>
            <w:vAlign w:val="center"/>
            <w:hideMark/>
          </w:tcPr>
          <w:p w14:paraId="75AA3A1C" w14:textId="77777777" w:rsidR="005129B7" w:rsidRPr="001F4EB9" w:rsidRDefault="005129B7" w:rsidP="005129B7">
            <w:pPr>
              <w:rPr>
                <w:rFonts w:ascii="Calibri" w:hAnsi="Calibri" w:cs="Calibri"/>
                <w:b/>
                <w:bCs/>
                <w:color w:val="000000"/>
              </w:rPr>
            </w:pPr>
          </w:p>
        </w:tc>
        <w:tc>
          <w:tcPr>
            <w:tcW w:w="1659" w:type="dxa"/>
            <w:tcBorders>
              <w:top w:val="nil"/>
              <w:left w:val="nil"/>
              <w:bottom w:val="single" w:sz="4" w:space="0" w:color="auto"/>
              <w:right w:val="single" w:sz="4" w:space="0" w:color="auto"/>
            </w:tcBorders>
            <w:shd w:val="clear" w:color="auto" w:fill="auto"/>
            <w:vAlign w:val="center"/>
            <w:hideMark/>
          </w:tcPr>
          <w:p w14:paraId="1E84359E"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Barcelona</w:t>
            </w:r>
          </w:p>
        </w:tc>
        <w:tc>
          <w:tcPr>
            <w:tcW w:w="1619" w:type="dxa"/>
            <w:tcBorders>
              <w:top w:val="nil"/>
              <w:left w:val="nil"/>
              <w:bottom w:val="single" w:sz="4" w:space="0" w:color="auto"/>
              <w:right w:val="single" w:sz="4" w:space="0" w:color="auto"/>
            </w:tcBorders>
            <w:shd w:val="clear" w:color="auto" w:fill="auto"/>
            <w:vAlign w:val="center"/>
            <w:hideMark/>
          </w:tcPr>
          <w:p w14:paraId="5109A22C"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17/08/2017</w:t>
            </w:r>
          </w:p>
        </w:tc>
        <w:tc>
          <w:tcPr>
            <w:tcW w:w="2483" w:type="dxa"/>
            <w:tcBorders>
              <w:top w:val="nil"/>
              <w:left w:val="nil"/>
              <w:bottom w:val="single" w:sz="4" w:space="0" w:color="auto"/>
              <w:right w:val="single" w:sz="4" w:space="0" w:color="auto"/>
            </w:tcBorders>
            <w:shd w:val="clear" w:color="auto" w:fill="auto"/>
            <w:vAlign w:val="center"/>
            <w:hideMark/>
          </w:tcPr>
          <w:p w14:paraId="799F5F87"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Unarmed Assault</w:t>
            </w:r>
          </w:p>
        </w:tc>
        <w:tc>
          <w:tcPr>
            <w:tcW w:w="1966" w:type="dxa"/>
            <w:tcBorders>
              <w:top w:val="nil"/>
              <w:left w:val="nil"/>
              <w:bottom w:val="single" w:sz="4" w:space="0" w:color="auto"/>
              <w:right w:val="single" w:sz="4" w:space="0" w:color="auto"/>
            </w:tcBorders>
            <w:shd w:val="clear" w:color="auto" w:fill="auto"/>
            <w:vAlign w:val="center"/>
            <w:hideMark/>
          </w:tcPr>
          <w:p w14:paraId="7220AD4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single" w:sz="4" w:space="0" w:color="auto"/>
              <w:right w:val="single" w:sz="4" w:space="0" w:color="auto"/>
            </w:tcBorders>
            <w:shd w:val="clear" w:color="auto" w:fill="auto"/>
            <w:vAlign w:val="center"/>
            <w:hideMark/>
          </w:tcPr>
          <w:p w14:paraId="6AA5A5DC"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Muslim extremists</w:t>
            </w:r>
          </w:p>
        </w:tc>
        <w:tc>
          <w:tcPr>
            <w:tcW w:w="1062" w:type="dxa"/>
            <w:tcBorders>
              <w:top w:val="nil"/>
              <w:left w:val="nil"/>
              <w:bottom w:val="single" w:sz="4" w:space="0" w:color="auto"/>
              <w:right w:val="single" w:sz="4" w:space="0" w:color="auto"/>
            </w:tcBorders>
            <w:shd w:val="clear" w:color="auto" w:fill="auto"/>
            <w:vAlign w:val="center"/>
            <w:hideMark/>
          </w:tcPr>
          <w:p w14:paraId="6FD8D3F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6C49A6C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14</w:t>
            </w:r>
          </w:p>
        </w:tc>
      </w:tr>
      <w:tr w:rsidR="005129B7" w:rsidRPr="001F4EB9" w14:paraId="5C85E659" w14:textId="77777777" w:rsidTr="005129B7">
        <w:trPr>
          <w:trHeight w:val="437"/>
        </w:trPr>
        <w:tc>
          <w:tcPr>
            <w:tcW w:w="1998" w:type="dxa"/>
            <w:vMerge/>
            <w:tcBorders>
              <w:top w:val="nil"/>
              <w:left w:val="single" w:sz="8" w:space="0" w:color="auto"/>
              <w:bottom w:val="nil"/>
              <w:right w:val="single" w:sz="4" w:space="0" w:color="auto"/>
            </w:tcBorders>
            <w:vAlign w:val="center"/>
            <w:hideMark/>
          </w:tcPr>
          <w:p w14:paraId="7EDA701E" w14:textId="77777777" w:rsidR="005129B7" w:rsidRPr="001F4EB9" w:rsidRDefault="005129B7" w:rsidP="005129B7">
            <w:pPr>
              <w:rPr>
                <w:rFonts w:ascii="Calibri" w:hAnsi="Calibri" w:cs="Calibri"/>
                <w:b/>
                <w:bCs/>
                <w:color w:val="000000"/>
              </w:rPr>
            </w:pPr>
          </w:p>
        </w:tc>
        <w:tc>
          <w:tcPr>
            <w:tcW w:w="1659" w:type="dxa"/>
            <w:tcBorders>
              <w:top w:val="nil"/>
              <w:left w:val="nil"/>
              <w:bottom w:val="nil"/>
              <w:right w:val="single" w:sz="4" w:space="0" w:color="auto"/>
            </w:tcBorders>
            <w:shd w:val="clear" w:color="auto" w:fill="auto"/>
            <w:vAlign w:val="center"/>
            <w:hideMark/>
          </w:tcPr>
          <w:p w14:paraId="1D0C23A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Cambrils</w:t>
            </w:r>
          </w:p>
        </w:tc>
        <w:tc>
          <w:tcPr>
            <w:tcW w:w="1619" w:type="dxa"/>
            <w:tcBorders>
              <w:top w:val="nil"/>
              <w:left w:val="nil"/>
              <w:bottom w:val="nil"/>
              <w:right w:val="single" w:sz="4" w:space="0" w:color="auto"/>
            </w:tcBorders>
            <w:shd w:val="clear" w:color="auto" w:fill="auto"/>
            <w:vAlign w:val="center"/>
            <w:hideMark/>
          </w:tcPr>
          <w:p w14:paraId="75BFFE0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18/08/2017</w:t>
            </w:r>
          </w:p>
        </w:tc>
        <w:tc>
          <w:tcPr>
            <w:tcW w:w="2483" w:type="dxa"/>
            <w:tcBorders>
              <w:top w:val="nil"/>
              <w:left w:val="nil"/>
              <w:bottom w:val="nil"/>
              <w:right w:val="single" w:sz="4" w:space="0" w:color="auto"/>
            </w:tcBorders>
            <w:shd w:val="clear" w:color="auto" w:fill="auto"/>
            <w:vAlign w:val="center"/>
            <w:hideMark/>
          </w:tcPr>
          <w:p w14:paraId="618230C2"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nil"/>
              <w:right w:val="single" w:sz="4" w:space="0" w:color="auto"/>
            </w:tcBorders>
            <w:shd w:val="clear" w:color="auto" w:fill="auto"/>
            <w:vAlign w:val="center"/>
            <w:hideMark/>
          </w:tcPr>
          <w:p w14:paraId="5A955C04"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nil"/>
              <w:right w:val="single" w:sz="4" w:space="0" w:color="auto"/>
            </w:tcBorders>
            <w:shd w:val="clear" w:color="auto" w:fill="auto"/>
            <w:vAlign w:val="center"/>
            <w:hideMark/>
          </w:tcPr>
          <w:p w14:paraId="2EF7E19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Muslim extremists</w:t>
            </w:r>
          </w:p>
        </w:tc>
        <w:tc>
          <w:tcPr>
            <w:tcW w:w="1062" w:type="dxa"/>
            <w:tcBorders>
              <w:top w:val="nil"/>
              <w:left w:val="nil"/>
              <w:bottom w:val="nil"/>
              <w:right w:val="single" w:sz="4" w:space="0" w:color="auto"/>
            </w:tcBorders>
            <w:shd w:val="clear" w:color="auto" w:fill="auto"/>
            <w:vAlign w:val="center"/>
            <w:hideMark/>
          </w:tcPr>
          <w:p w14:paraId="76972DE8"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20C91060"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6</w:t>
            </w:r>
          </w:p>
        </w:tc>
      </w:tr>
      <w:tr w:rsidR="005129B7" w:rsidRPr="001F4EB9" w14:paraId="7193942C"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17E2DC5F"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Spain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752CDB89"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6</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54EF0B5B"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211</w:t>
            </w:r>
          </w:p>
        </w:tc>
      </w:tr>
      <w:tr w:rsidR="005129B7" w:rsidRPr="001F4EB9" w14:paraId="226287DD" w14:textId="77777777" w:rsidTr="005129B7">
        <w:trPr>
          <w:trHeight w:val="430"/>
        </w:trPr>
        <w:tc>
          <w:tcPr>
            <w:tcW w:w="1998" w:type="dxa"/>
            <w:vMerge w:val="restart"/>
            <w:tcBorders>
              <w:top w:val="nil"/>
              <w:left w:val="single" w:sz="8" w:space="0" w:color="auto"/>
              <w:bottom w:val="single" w:sz="8" w:space="0" w:color="000000"/>
              <w:right w:val="single" w:sz="4" w:space="0" w:color="auto"/>
            </w:tcBorders>
            <w:shd w:val="clear" w:color="auto" w:fill="auto"/>
            <w:vAlign w:val="center"/>
            <w:hideMark/>
          </w:tcPr>
          <w:p w14:paraId="45A84E53"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Norway</w:t>
            </w:r>
          </w:p>
        </w:tc>
        <w:tc>
          <w:tcPr>
            <w:tcW w:w="1659" w:type="dxa"/>
            <w:tcBorders>
              <w:top w:val="nil"/>
              <w:left w:val="nil"/>
              <w:bottom w:val="single" w:sz="4" w:space="0" w:color="auto"/>
              <w:right w:val="single" w:sz="4" w:space="0" w:color="auto"/>
            </w:tcBorders>
            <w:shd w:val="clear" w:color="auto" w:fill="auto"/>
            <w:vAlign w:val="center"/>
            <w:hideMark/>
          </w:tcPr>
          <w:p w14:paraId="64D1A72F"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Utoya</w:t>
            </w:r>
          </w:p>
        </w:tc>
        <w:tc>
          <w:tcPr>
            <w:tcW w:w="1619" w:type="dxa"/>
            <w:tcBorders>
              <w:top w:val="nil"/>
              <w:left w:val="nil"/>
              <w:bottom w:val="single" w:sz="4" w:space="0" w:color="auto"/>
              <w:right w:val="single" w:sz="4" w:space="0" w:color="auto"/>
            </w:tcBorders>
            <w:shd w:val="clear" w:color="auto" w:fill="auto"/>
            <w:vAlign w:val="center"/>
            <w:hideMark/>
          </w:tcPr>
          <w:p w14:paraId="5A079887"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22/07/2011</w:t>
            </w:r>
          </w:p>
        </w:tc>
        <w:tc>
          <w:tcPr>
            <w:tcW w:w="2483" w:type="dxa"/>
            <w:tcBorders>
              <w:top w:val="nil"/>
              <w:left w:val="nil"/>
              <w:bottom w:val="single" w:sz="4" w:space="0" w:color="auto"/>
              <w:right w:val="single" w:sz="4" w:space="0" w:color="auto"/>
            </w:tcBorders>
            <w:shd w:val="clear" w:color="auto" w:fill="auto"/>
            <w:vAlign w:val="center"/>
            <w:hideMark/>
          </w:tcPr>
          <w:p w14:paraId="707366C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single" w:sz="4" w:space="0" w:color="auto"/>
              <w:right w:val="single" w:sz="4" w:space="0" w:color="auto"/>
            </w:tcBorders>
            <w:shd w:val="clear" w:color="auto" w:fill="auto"/>
            <w:vAlign w:val="center"/>
            <w:hideMark/>
          </w:tcPr>
          <w:p w14:paraId="163BDF08"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single" w:sz="4" w:space="0" w:color="auto"/>
              <w:right w:val="single" w:sz="4" w:space="0" w:color="auto"/>
            </w:tcBorders>
            <w:shd w:val="clear" w:color="auto" w:fill="auto"/>
            <w:vAlign w:val="center"/>
            <w:hideMark/>
          </w:tcPr>
          <w:p w14:paraId="11E7E27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Right-wing extremists</w:t>
            </w:r>
          </w:p>
        </w:tc>
        <w:tc>
          <w:tcPr>
            <w:tcW w:w="1062" w:type="dxa"/>
            <w:tcBorders>
              <w:top w:val="nil"/>
              <w:left w:val="nil"/>
              <w:bottom w:val="single" w:sz="4" w:space="0" w:color="auto"/>
              <w:right w:val="single" w:sz="4" w:space="0" w:color="auto"/>
            </w:tcBorders>
            <w:shd w:val="clear" w:color="auto" w:fill="auto"/>
            <w:vAlign w:val="center"/>
            <w:hideMark/>
          </w:tcPr>
          <w:p w14:paraId="07E8B22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050816E2"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69</w:t>
            </w:r>
          </w:p>
        </w:tc>
      </w:tr>
      <w:tr w:rsidR="005129B7" w:rsidRPr="001F4EB9" w14:paraId="5E6B0AF9" w14:textId="77777777" w:rsidTr="005129B7">
        <w:trPr>
          <w:trHeight w:val="293"/>
        </w:trPr>
        <w:tc>
          <w:tcPr>
            <w:tcW w:w="1998" w:type="dxa"/>
            <w:vMerge/>
            <w:tcBorders>
              <w:top w:val="nil"/>
              <w:left w:val="single" w:sz="8" w:space="0" w:color="auto"/>
              <w:bottom w:val="single" w:sz="8" w:space="0" w:color="000000"/>
              <w:right w:val="single" w:sz="4" w:space="0" w:color="auto"/>
            </w:tcBorders>
            <w:vAlign w:val="center"/>
            <w:hideMark/>
          </w:tcPr>
          <w:p w14:paraId="3902DFC2" w14:textId="77777777" w:rsidR="005129B7" w:rsidRPr="001F4EB9" w:rsidRDefault="005129B7" w:rsidP="005129B7">
            <w:pPr>
              <w:rPr>
                <w:rFonts w:ascii="Calibri" w:hAnsi="Calibri" w:cs="Calibri"/>
                <w:b/>
                <w:bCs/>
                <w:color w:val="000000"/>
              </w:rPr>
            </w:pPr>
          </w:p>
        </w:tc>
        <w:tc>
          <w:tcPr>
            <w:tcW w:w="1659" w:type="dxa"/>
            <w:tcBorders>
              <w:top w:val="nil"/>
              <w:left w:val="nil"/>
              <w:bottom w:val="nil"/>
              <w:right w:val="single" w:sz="4" w:space="0" w:color="auto"/>
            </w:tcBorders>
            <w:shd w:val="clear" w:color="auto" w:fill="auto"/>
            <w:vAlign w:val="center"/>
            <w:hideMark/>
          </w:tcPr>
          <w:p w14:paraId="3E4EF157"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Oslo</w:t>
            </w:r>
          </w:p>
        </w:tc>
        <w:tc>
          <w:tcPr>
            <w:tcW w:w="1619" w:type="dxa"/>
            <w:tcBorders>
              <w:top w:val="nil"/>
              <w:left w:val="nil"/>
              <w:bottom w:val="nil"/>
              <w:right w:val="single" w:sz="4" w:space="0" w:color="auto"/>
            </w:tcBorders>
            <w:shd w:val="clear" w:color="auto" w:fill="auto"/>
            <w:vAlign w:val="center"/>
            <w:hideMark/>
          </w:tcPr>
          <w:p w14:paraId="758D649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22/07/2011</w:t>
            </w:r>
          </w:p>
        </w:tc>
        <w:tc>
          <w:tcPr>
            <w:tcW w:w="2483" w:type="dxa"/>
            <w:tcBorders>
              <w:top w:val="nil"/>
              <w:left w:val="nil"/>
              <w:bottom w:val="nil"/>
              <w:right w:val="single" w:sz="4" w:space="0" w:color="auto"/>
            </w:tcBorders>
            <w:shd w:val="clear" w:color="auto" w:fill="auto"/>
            <w:vAlign w:val="center"/>
            <w:hideMark/>
          </w:tcPr>
          <w:p w14:paraId="4C596B85"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Bombing/Explosion</w:t>
            </w:r>
          </w:p>
        </w:tc>
        <w:tc>
          <w:tcPr>
            <w:tcW w:w="1966" w:type="dxa"/>
            <w:tcBorders>
              <w:top w:val="nil"/>
              <w:left w:val="nil"/>
              <w:bottom w:val="nil"/>
              <w:right w:val="single" w:sz="4" w:space="0" w:color="auto"/>
            </w:tcBorders>
            <w:shd w:val="clear" w:color="auto" w:fill="auto"/>
            <w:vAlign w:val="center"/>
            <w:hideMark/>
          </w:tcPr>
          <w:p w14:paraId="1D7EA5A9"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Government (General)</w:t>
            </w:r>
          </w:p>
        </w:tc>
        <w:tc>
          <w:tcPr>
            <w:tcW w:w="2718" w:type="dxa"/>
            <w:tcBorders>
              <w:top w:val="nil"/>
              <w:left w:val="nil"/>
              <w:bottom w:val="nil"/>
              <w:right w:val="single" w:sz="4" w:space="0" w:color="auto"/>
            </w:tcBorders>
            <w:shd w:val="clear" w:color="auto" w:fill="auto"/>
            <w:vAlign w:val="center"/>
            <w:hideMark/>
          </w:tcPr>
          <w:p w14:paraId="1EA5FDCB"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Right-wing extremists</w:t>
            </w:r>
          </w:p>
        </w:tc>
        <w:tc>
          <w:tcPr>
            <w:tcW w:w="1062" w:type="dxa"/>
            <w:tcBorders>
              <w:top w:val="nil"/>
              <w:left w:val="nil"/>
              <w:bottom w:val="nil"/>
              <w:right w:val="single" w:sz="4" w:space="0" w:color="auto"/>
            </w:tcBorders>
            <w:shd w:val="clear" w:color="auto" w:fill="auto"/>
            <w:vAlign w:val="center"/>
            <w:hideMark/>
          </w:tcPr>
          <w:p w14:paraId="61060D77"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403F7B5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8</w:t>
            </w:r>
          </w:p>
        </w:tc>
      </w:tr>
      <w:tr w:rsidR="005129B7" w:rsidRPr="001F4EB9" w14:paraId="6561B09F"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4B90DAE8"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Norway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0F2AD811"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2</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79AFB939"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77</w:t>
            </w:r>
          </w:p>
        </w:tc>
      </w:tr>
      <w:tr w:rsidR="005129B7" w:rsidRPr="001F4EB9" w14:paraId="0B54197A" w14:textId="77777777" w:rsidTr="005129B7">
        <w:trPr>
          <w:trHeight w:val="430"/>
        </w:trPr>
        <w:tc>
          <w:tcPr>
            <w:tcW w:w="1998" w:type="dxa"/>
            <w:vMerge w:val="restart"/>
            <w:tcBorders>
              <w:top w:val="nil"/>
              <w:left w:val="single" w:sz="8" w:space="0" w:color="auto"/>
              <w:bottom w:val="nil"/>
              <w:right w:val="single" w:sz="4" w:space="0" w:color="auto"/>
            </w:tcBorders>
            <w:shd w:val="clear" w:color="auto" w:fill="auto"/>
            <w:vAlign w:val="center"/>
            <w:hideMark/>
          </w:tcPr>
          <w:p w14:paraId="6FC1B9C5"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Germany</w:t>
            </w:r>
          </w:p>
        </w:tc>
        <w:tc>
          <w:tcPr>
            <w:tcW w:w="1659" w:type="dxa"/>
            <w:tcBorders>
              <w:top w:val="nil"/>
              <w:left w:val="nil"/>
              <w:bottom w:val="single" w:sz="4" w:space="0" w:color="auto"/>
              <w:right w:val="single" w:sz="4" w:space="0" w:color="auto"/>
            </w:tcBorders>
            <w:shd w:val="clear" w:color="auto" w:fill="auto"/>
            <w:vAlign w:val="center"/>
            <w:hideMark/>
          </w:tcPr>
          <w:p w14:paraId="7600BDFD"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Berlin</w:t>
            </w:r>
          </w:p>
        </w:tc>
        <w:tc>
          <w:tcPr>
            <w:tcW w:w="1619" w:type="dxa"/>
            <w:tcBorders>
              <w:top w:val="nil"/>
              <w:left w:val="nil"/>
              <w:bottom w:val="single" w:sz="4" w:space="0" w:color="auto"/>
              <w:right w:val="single" w:sz="4" w:space="0" w:color="auto"/>
            </w:tcBorders>
            <w:shd w:val="clear" w:color="auto" w:fill="auto"/>
            <w:vAlign w:val="center"/>
            <w:hideMark/>
          </w:tcPr>
          <w:p w14:paraId="158583D4"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19/12/2016</w:t>
            </w:r>
          </w:p>
        </w:tc>
        <w:tc>
          <w:tcPr>
            <w:tcW w:w="2483" w:type="dxa"/>
            <w:tcBorders>
              <w:top w:val="nil"/>
              <w:left w:val="nil"/>
              <w:bottom w:val="single" w:sz="4" w:space="0" w:color="auto"/>
              <w:right w:val="single" w:sz="4" w:space="0" w:color="auto"/>
            </w:tcBorders>
            <w:shd w:val="clear" w:color="auto" w:fill="auto"/>
            <w:vAlign w:val="center"/>
            <w:hideMark/>
          </w:tcPr>
          <w:p w14:paraId="3E1F2BA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Unarmed Assault</w:t>
            </w:r>
          </w:p>
        </w:tc>
        <w:tc>
          <w:tcPr>
            <w:tcW w:w="1966" w:type="dxa"/>
            <w:tcBorders>
              <w:top w:val="nil"/>
              <w:left w:val="nil"/>
              <w:bottom w:val="single" w:sz="4" w:space="0" w:color="auto"/>
              <w:right w:val="single" w:sz="4" w:space="0" w:color="auto"/>
            </w:tcBorders>
            <w:shd w:val="clear" w:color="auto" w:fill="auto"/>
            <w:vAlign w:val="center"/>
            <w:hideMark/>
          </w:tcPr>
          <w:p w14:paraId="4CDAF5D1"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single" w:sz="4" w:space="0" w:color="auto"/>
              <w:right w:val="single" w:sz="4" w:space="0" w:color="auto"/>
            </w:tcBorders>
            <w:shd w:val="clear" w:color="auto" w:fill="auto"/>
            <w:vAlign w:val="center"/>
            <w:hideMark/>
          </w:tcPr>
          <w:p w14:paraId="071543B2"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Jihadi-inspired extremists</w:t>
            </w:r>
          </w:p>
        </w:tc>
        <w:tc>
          <w:tcPr>
            <w:tcW w:w="1062" w:type="dxa"/>
            <w:tcBorders>
              <w:top w:val="nil"/>
              <w:left w:val="nil"/>
              <w:bottom w:val="single" w:sz="4" w:space="0" w:color="auto"/>
              <w:right w:val="single" w:sz="4" w:space="0" w:color="auto"/>
            </w:tcBorders>
            <w:shd w:val="clear" w:color="auto" w:fill="auto"/>
            <w:vAlign w:val="center"/>
            <w:hideMark/>
          </w:tcPr>
          <w:p w14:paraId="55D2C54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11E7F94F"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12</w:t>
            </w:r>
          </w:p>
        </w:tc>
      </w:tr>
      <w:tr w:rsidR="005129B7" w:rsidRPr="001F4EB9" w14:paraId="20FD50B9" w14:textId="77777777" w:rsidTr="005129B7">
        <w:trPr>
          <w:trHeight w:val="437"/>
        </w:trPr>
        <w:tc>
          <w:tcPr>
            <w:tcW w:w="1998" w:type="dxa"/>
            <w:vMerge/>
            <w:tcBorders>
              <w:top w:val="nil"/>
              <w:left w:val="single" w:sz="8" w:space="0" w:color="auto"/>
              <w:bottom w:val="nil"/>
              <w:right w:val="single" w:sz="4" w:space="0" w:color="auto"/>
            </w:tcBorders>
            <w:vAlign w:val="center"/>
            <w:hideMark/>
          </w:tcPr>
          <w:p w14:paraId="346225A1" w14:textId="77777777" w:rsidR="005129B7" w:rsidRPr="001F4EB9" w:rsidRDefault="005129B7" w:rsidP="005129B7">
            <w:pPr>
              <w:rPr>
                <w:rFonts w:ascii="Calibri" w:hAnsi="Calibri" w:cs="Calibri"/>
                <w:b/>
                <w:bCs/>
                <w:color w:val="000000"/>
              </w:rPr>
            </w:pPr>
          </w:p>
        </w:tc>
        <w:tc>
          <w:tcPr>
            <w:tcW w:w="1659" w:type="dxa"/>
            <w:tcBorders>
              <w:top w:val="nil"/>
              <w:left w:val="nil"/>
              <w:bottom w:val="nil"/>
              <w:right w:val="single" w:sz="4" w:space="0" w:color="auto"/>
            </w:tcBorders>
            <w:shd w:val="clear" w:color="auto" w:fill="auto"/>
            <w:vAlign w:val="center"/>
            <w:hideMark/>
          </w:tcPr>
          <w:p w14:paraId="344A4FD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Munich</w:t>
            </w:r>
          </w:p>
        </w:tc>
        <w:tc>
          <w:tcPr>
            <w:tcW w:w="1619" w:type="dxa"/>
            <w:tcBorders>
              <w:top w:val="nil"/>
              <w:left w:val="nil"/>
              <w:bottom w:val="nil"/>
              <w:right w:val="single" w:sz="4" w:space="0" w:color="auto"/>
            </w:tcBorders>
            <w:shd w:val="clear" w:color="auto" w:fill="auto"/>
            <w:vAlign w:val="center"/>
            <w:hideMark/>
          </w:tcPr>
          <w:p w14:paraId="21E556A7"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22/07/2016</w:t>
            </w:r>
          </w:p>
        </w:tc>
        <w:tc>
          <w:tcPr>
            <w:tcW w:w="2483" w:type="dxa"/>
            <w:tcBorders>
              <w:top w:val="nil"/>
              <w:left w:val="nil"/>
              <w:bottom w:val="nil"/>
              <w:right w:val="single" w:sz="4" w:space="0" w:color="auto"/>
            </w:tcBorders>
            <w:shd w:val="clear" w:color="auto" w:fill="auto"/>
            <w:vAlign w:val="center"/>
            <w:hideMark/>
          </w:tcPr>
          <w:p w14:paraId="763A07F3"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nil"/>
              <w:right w:val="single" w:sz="4" w:space="0" w:color="auto"/>
            </w:tcBorders>
            <w:shd w:val="clear" w:color="auto" w:fill="auto"/>
            <w:vAlign w:val="center"/>
            <w:hideMark/>
          </w:tcPr>
          <w:p w14:paraId="2B4FF9D4"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nil"/>
              <w:right w:val="single" w:sz="4" w:space="0" w:color="auto"/>
            </w:tcBorders>
            <w:shd w:val="clear" w:color="auto" w:fill="auto"/>
            <w:vAlign w:val="center"/>
            <w:hideMark/>
          </w:tcPr>
          <w:p w14:paraId="362FF9E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Anti-Immigrant extremists</w:t>
            </w:r>
          </w:p>
        </w:tc>
        <w:tc>
          <w:tcPr>
            <w:tcW w:w="1062" w:type="dxa"/>
            <w:tcBorders>
              <w:top w:val="nil"/>
              <w:left w:val="nil"/>
              <w:bottom w:val="nil"/>
              <w:right w:val="single" w:sz="4" w:space="0" w:color="auto"/>
            </w:tcBorders>
            <w:shd w:val="clear" w:color="auto" w:fill="auto"/>
            <w:vAlign w:val="center"/>
            <w:hideMark/>
          </w:tcPr>
          <w:p w14:paraId="6993F6F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6C76B4A7"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10</w:t>
            </w:r>
          </w:p>
        </w:tc>
      </w:tr>
      <w:tr w:rsidR="005129B7" w:rsidRPr="001F4EB9" w14:paraId="35EB4C62"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310E8BF8"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Germany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161C7CDE"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2</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5DEF06F8"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22</w:t>
            </w:r>
          </w:p>
        </w:tc>
      </w:tr>
      <w:tr w:rsidR="005129B7" w:rsidRPr="001F4EB9" w14:paraId="45C265FA" w14:textId="77777777" w:rsidTr="005129B7">
        <w:trPr>
          <w:trHeight w:val="286"/>
        </w:trPr>
        <w:tc>
          <w:tcPr>
            <w:tcW w:w="1998" w:type="dxa"/>
            <w:vMerge w:val="restart"/>
            <w:tcBorders>
              <w:top w:val="nil"/>
              <w:left w:val="single" w:sz="8" w:space="0" w:color="auto"/>
              <w:bottom w:val="nil"/>
              <w:right w:val="single" w:sz="4" w:space="0" w:color="auto"/>
            </w:tcBorders>
            <w:shd w:val="clear" w:color="auto" w:fill="auto"/>
            <w:vAlign w:val="center"/>
            <w:hideMark/>
          </w:tcPr>
          <w:p w14:paraId="1EDE21D9"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Belgium</w:t>
            </w:r>
          </w:p>
        </w:tc>
        <w:tc>
          <w:tcPr>
            <w:tcW w:w="1659" w:type="dxa"/>
            <w:tcBorders>
              <w:top w:val="nil"/>
              <w:left w:val="nil"/>
              <w:bottom w:val="single" w:sz="4" w:space="0" w:color="auto"/>
              <w:right w:val="single" w:sz="4" w:space="0" w:color="auto"/>
            </w:tcBorders>
            <w:shd w:val="clear" w:color="auto" w:fill="auto"/>
            <w:vAlign w:val="center"/>
            <w:hideMark/>
          </w:tcPr>
          <w:p w14:paraId="4AC537EE"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Zaventem</w:t>
            </w:r>
          </w:p>
        </w:tc>
        <w:tc>
          <w:tcPr>
            <w:tcW w:w="1619" w:type="dxa"/>
            <w:tcBorders>
              <w:top w:val="nil"/>
              <w:left w:val="nil"/>
              <w:bottom w:val="single" w:sz="4" w:space="0" w:color="auto"/>
              <w:right w:val="single" w:sz="4" w:space="0" w:color="auto"/>
            </w:tcBorders>
            <w:shd w:val="clear" w:color="auto" w:fill="auto"/>
            <w:vAlign w:val="center"/>
            <w:hideMark/>
          </w:tcPr>
          <w:p w14:paraId="0AFF84D9"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22/03/2016</w:t>
            </w:r>
          </w:p>
        </w:tc>
        <w:tc>
          <w:tcPr>
            <w:tcW w:w="2483" w:type="dxa"/>
            <w:tcBorders>
              <w:top w:val="nil"/>
              <w:left w:val="nil"/>
              <w:bottom w:val="single" w:sz="4" w:space="0" w:color="auto"/>
              <w:right w:val="single" w:sz="4" w:space="0" w:color="auto"/>
            </w:tcBorders>
            <w:shd w:val="clear" w:color="auto" w:fill="auto"/>
            <w:vAlign w:val="center"/>
            <w:hideMark/>
          </w:tcPr>
          <w:p w14:paraId="07983514"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Bombing/Explosion</w:t>
            </w:r>
          </w:p>
        </w:tc>
        <w:tc>
          <w:tcPr>
            <w:tcW w:w="1966" w:type="dxa"/>
            <w:tcBorders>
              <w:top w:val="nil"/>
              <w:left w:val="nil"/>
              <w:bottom w:val="single" w:sz="4" w:space="0" w:color="auto"/>
              <w:right w:val="single" w:sz="4" w:space="0" w:color="auto"/>
            </w:tcBorders>
            <w:shd w:val="clear" w:color="auto" w:fill="auto"/>
            <w:vAlign w:val="center"/>
            <w:hideMark/>
          </w:tcPr>
          <w:p w14:paraId="7538F53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Airports &amp; Aircraft</w:t>
            </w:r>
          </w:p>
        </w:tc>
        <w:tc>
          <w:tcPr>
            <w:tcW w:w="2718" w:type="dxa"/>
            <w:tcBorders>
              <w:top w:val="nil"/>
              <w:left w:val="nil"/>
              <w:bottom w:val="single" w:sz="4" w:space="0" w:color="auto"/>
              <w:right w:val="single" w:sz="4" w:space="0" w:color="auto"/>
            </w:tcBorders>
            <w:shd w:val="clear" w:color="auto" w:fill="auto"/>
            <w:vAlign w:val="center"/>
            <w:hideMark/>
          </w:tcPr>
          <w:p w14:paraId="25250F1C"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Islamic State of Iraq and the Levant (ISIL)</w:t>
            </w:r>
          </w:p>
        </w:tc>
        <w:tc>
          <w:tcPr>
            <w:tcW w:w="1062" w:type="dxa"/>
            <w:tcBorders>
              <w:top w:val="nil"/>
              <w:left w:val="nil"/>
              <w:bottom w:val="single" w:sz="4" w:space="0" w:color="auto"/>
              <w:right w:val="single" w:sz="4" w:space="0" w:color="auto"/>
            </w:tcBorders>
            <w:shd w:val="clear" w:color="auto" w:fill="auto"/>
            <w:vAlign w:val="center"/>
            <w:hideMark/>
          </w:tcPr>
          <w:p w14:paraId="19C17905"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single" w:sz="4" w:space="0" w:color="auto"/>
              <w:right w:val="single" w:sz="8" w:space="0" w:color="auto"/>
            </w:tcBorders>
            <w:shd w:val="clear" w:color="auto" w:fill="auto"/>
            <w:vAlign w:val="center"/>
            <w:hideMark/>
          </w:tcPr>
          <w:p w14:paraId="2E4C721C"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18</w:t>
            </w:r>
          </w:p>
        </w:tc>
      </w:tr>
      <w:tr w:rsidR="005129B7" w:rsidRPr="001F4EB9" w14:paraId="79C7CE66" w14:textId="77777777" w:rsidTr="005129B7">
        <w:trPr>
          <w:trHeight w:val="293"/>
        </w:trPr>
        <w:tc>
          <w:tcPr>
            <w:tcW w:w="1998" w:type="dxa"/>
            <w:vMerge/>
            <w:tcBorders>
              <w:top w:val="nil"/>
              <w:left w:val="single" w:sz="8" w:space="0" w:color="auto"/>
              <w:bottom w:val="nil"/>
              <w:right w:val="single" w:sz="4" w:space="0" w:color="auto"/>
            </w:tcBorders>
            <w:vAlign w:val="center"/>
            <w:hideMark/>
          </w:tcPr>
          <w:p w14:paraId="4DCEFE70" w14:textId="77777777" w:rsidR="005129B7" w:rsidRPr="001F4EB9" w:rsidRDefault="005129B7" w:rsidP="005129B7">
            <w:pPr>
              <w:rPr>
                <w:rFonts w:ascii="Calibri" w:hAnsi="Calibri" w:cs="Calibri"/>
                <w:b/>
                <w:bCs/>
                <w:color w:val="000000"/>
              </w:rPr>
            </w:pPr>
          </w:p>
        </w:tc>
        <w:tc>
          <w:tcPr>
            <w:tcW w:w="1659" w:type="dxa"/>
            <w:tcBorders>
              <w:top w:val="nil"/>
              <w:left w:val="nil"/>
              <w:bottom w:val="nil"/>
              <w:right w:val="single" w:sz="4" w:space="0" w:color="auto"/>
            </w:tcBorders>
            <w:shd w:val="clear" w:color="auto" w:fill="auto"/>
            <w:vAlign w:val="center"/>
            <w:hideMark/>
          </w:tcPr>
          <w:p w14:paraId="1903E7A1"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Brussels</w:t>
            </w:r>
          </w:p>
        </w:tc>
        <w:tc>
          <w:tcPr>
            <w:tcW w:w="1619" w:type="dxa"/>
            <w:tcBorders>
              <w:top w:val="nil"/>
              <w:left w:val="nil"/>
              <w:bottom w:val="nil"/>
              <w:right w:val="single" w:sz="4" w:space="0" w:color="auto"/>
            </w:tcBorders>
            <w:shd w:val="clear" w:color="auto" w:fill="auto"/>
            <w:vAlign w:val="center"/>
            <w:hideMark/>
          </w:tcPr>
          <w:p w14:paraId="45D9D644"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22/03/2016</w:t>
            </w:r>
          </w:p>
        </w:tc>
        <w:tc>
          <w:tcPr>
            <w:tcW w:w="2483" w:type="dxa"/>
            <w:tcBorders>
              <w:top w:val="nil"/>
              <w:left w:val="nil"/>
              <w:bottom w:val="nil"/>
              <w:right w:val="single" w:sz="4" w:space="0" w:color="auto"/>
            </w:tcBorders>
            <w:shd w:val="clear" w:color="auto" w:fill="auto"/>
            <w:vAlign w:val="center"/>
            <w:hideMark/>
          </w:tcPr>
          <w:p w14:paraId="50FDD32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Bombing/Explosion</w:t>
            </w:r>
          </w:p>
        </w:tc>
        <w:tc>
          <w:tcPr>
            <w:tcW w:w="1966" w:type="dxa"/>
            <w:tcBorders>
              <w:top w:val="nil"/>
              <w:left w:val="nil"/>
              <w:bottom w:val="nil"/>
              <w:right w:val="single" w:sz="4" w:space="0" w:color="auto"/>
            </w:tcBorders>
            <w:shd w:val="clear" w:color="auto" w:fill="auto"/>
            <w:vAlign w:val="center"/>
            <w:hideMark/>
          </w:tcPr>
          <w:p w14:paraId="349B7BC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Transportation</w:t>
            </w:r>
          </w:p>
        </w:tc>
        <w:tc>
          <w:tcPr>
            <w:tcW w:w="2718" w:type="dxa"/>
            <w:tcBorders>
              <w:top w:val="nil"/>
              <w:left w:val="nil"/>
              <w:bottom w:val="nil"/>
              <w:right w:val="single" w:sz="4" w:space="0" w:color="auto"/>
            </w:tcBorders>
            <w:shd w:val="clear" w:color="auto" w:fill="auto"/>
            <w:vAlign w:val="center"/>
            <w:hideMark/>
          </w:tcPr>
          <w:p w14:paraId="4BE95D7C"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Islamic State of Iraq and the Levant (ISIL)</w:t>
            </w:r>
          </w:p>
        </w:tc>
        <w:tc>
          <w:tcPr>
            <w:tcW w:w="1062" w:type="dxa"/>
            <w:tcBorders>
              <w:top w:val="nil"/>
              <w:left w:val="nil"/>
              <w:bottom w:val="nil"/>
              <w:right w:val="single" w:sz="4" w:space="0" w:color="auto"/>
            </w:tcBorders>
            <w:shd w:val="clear" w:color="auto" w:fill="auto"/>
            <w:vAlign w:val="center"/>
            <w:hideMark/>
          </w:tcPr>
          <w:p w14:paraId="52B43B1B"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674C6B93"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17</w:t>
            </w:r>
          </w:p>
        </w:tc>
      </w:tr>
      <w:tr w:rsidR="005129B7" w:rsidRPr="001F4EB9" w14:paraId="3486A97C"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014623C2"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Belgium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7AD670F6"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2</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0FB88302"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35</w:t>
            </w:r>
          </w:p>
        </w:tc>
      </w:tr>
      <w:tr w:rsidR="005129B7" w:rsidRPr="001F4EB9" w14:paraId="6557ED11" w14:textId="77777777" w:rsidTr="005129B7">
        <w:trPr>
          <w:trHeight w:val="293"/>
        </w:trPr>
        <w:tc>
          <w:tcPr>
            <w:tcW w:w="1998" w:type="dxa"/>
            <w:tcBorders>
              <w:top w:val="nil"/>
              <w:left w:val="single" w:sz="8" w:space="0" w:color="auto"/>
              <w:bottom w:val="nil"/>
              <w:right w:val="single" w:sz="4" w:space="0" w:color="auto"/>
            </w:tcBorders>
            <w:shd w:val="clear" w:color="auto" w:fill="auto"/>
            <w:vAlign w:val="center"/>
            <w:hideMark/>
          </w:tcPr>
          <w:p w14:paraId="2D20D802"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Finland</w:t>
            </w:r>
          </w:p>
        </w:tc>
        <w:tc>
          <w:tcPr>
            <w:tcW w:w="1659" w:type="dxa"/>
            <w:tcBorders>
              <w:top w:val="nil"/>
              <w:left w:val="nil"/>
              <w:bottom w:val="nil"/>
              <w:right w:val="single" w:sz="4" w:space="0" w:color="auto"/>
            </w:tcBorders>
            <w:shd w:val="clear" w:color="auto" w:fill="auto"/>
            <w:vAlign w:val="center"/>
            <w:hideMark/>
          </w:tcPr>
          <w:p w14:paraId="600B9606"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Tuusula</w:t>
            </w:r>
          </w:p>
        </w:tc>
        <w:tc>
          <w:tcPr>
            <w:tcW w:w="1619" w:type="dxa"/>
            <w:tcBorders>
              <w:top w:val="nil"/>
              <w:left w:val="nil"/>
              <w:bottom w:val="nil"/>
              <w:right w:val="single" w:sz="4" w:space="0" w:color="auto"/>
            </w:tcBorders>
            <w:shd w:val="clear" w:color="auto" w:fill="auto"/>
            <w:vAlign w:val="center"/>
            <w:hideMark/>
          </w:tcPr>
          <w:p w14:paraId="37874117"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07/11/2007</w:t>
            </w:r>
          </w:p>
        </w:tc>
        <w:tc>
          <w:tcPr>
            <w:tcW w:w="2483" w:type="dxa"/>
            <w:tcBorders>
              <w:top w:val="nil"/>
              <w:left w:val="nil"/>
              <w:bottom w:val="nil"/>
              <w:right w:val="single" w:sz="4" w:space="0" w:color="auto"/>
            </w:tcBorders>
            <w:shd w:val="clear" w:color="auto" w:fill="auto"/>
            <w:vAlign w:val="center"/>
            <w:hideMark/>
          </w:tcPr>
          <w:p w14:paraId="5AD8F22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nil"/>
              <w:right w:val="single" w:sz="4" w:space="0" w:color="auto"/>
            </w:tcBorders>
            <w:shd w:val="clear" w:color="auto" w:fill="auto"/>
            <w:vAlign w:val="center"/>
            <w:hideMark/>
          </w:tcPr>
          <w:p w14:paraId="4FCFE551"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Educational Institution</w:t>
            </w:r>
          </w:p>
        </w:tc>
        <w:tc>
          <w:tcPr>
            <w:tcW w:w="2718" w:type="dxa"/>
            <w:tcBorders>
              <w:top w:val="nil"/>
              <w:left w:val="nil"/>
              <w:bottom w:val="nil"/>
              <w:right w:val="single" w:sz="4" w:space="0" w:color="auto"/>
            </w:tcBorders>
            <w:shd w:val="clear" w:color="auto" w:fill="auto"/>
            <w:vAlign w:val="center"/>
            <w:hideMark/>
          </w:tcPr>
          <w:p w14:paraId="759D3202"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Neo-Fascist extremists</w:t>
            </w:r>
          </w:p>
        </w:tc>
        <w:tc>
          <w:tcPr>
            <w:tcW w:w="1062" w:type="dxa"/>
            <w:tcBorders>
              <w:top w:val="nil"/>
              <w:left w:val="nil"/>
              <w:bottom w:val="nil"/>
              <w:right w:val="single" w:sz="4" w:space="0" w:color="auto"/>
            </w:tcBorders>
            <w:shd w:val="clear" w:color="auto" w:fill="auto"/>
            <w:vAlign w:val="center"/>
            <w:hideMark/>
          </w:tcPr>
          <w:p w14:paraId="2A9471E9"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1BE2C2CD"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9</w:t>
            </w:r>
          </w:p>
        </w:tc>
      </w:tr>
      <w:tr w:rsidR="005129B7" w:rsidRPr="001F4EB9" w14:paraId="302BBB24"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792E80A9"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Finland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080ACB49"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2125549C"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9</w:t>
            </w:r>
          </w:p>
        </w:tc>
      </w:tr>
      <w:tr w:rsidR="005129B7" w:rsidRPr="001F4EB9" w14:paraId="1BD63140" w14:textId="77777777" w:rsidTr="005129B7">
        <w:trPr>
          <w:trHeight w:val="293"/>
        </w:trPr>
        <w:tc>
          <w:tcPr>
            <w:tcW w:w="1998" w:type="dxa"/>
            <w:tcBorders>
              <w:top w:val="nil"/>
              <w:left w:val="single" w:sz="8" w:space="0" w:color="auto"/>
              <w:bottom w:val="nil"/>
              <w:right w:val="single" w:sz="4" w:space="0" w:color="auto"/>
            </w:tcBorders>
            <w:shd w:val="clear" w:color="auto" w:fill="auto"/>
            <w:vAlign w:val="center"/>
            <w:hideMark/>
          </w:tcPr>
          <w:p w14:paraId="18B71F16"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Switzerland</w:t>
            </w:r>
          </w:p>
        </w:tc>
        <w:tc>
          <w:tcPr>
            <w:tcW w:w="1659" w:type="dxa"/>
            <w:tcBorders>
              <w:top w:val="nil"/>
              <w:left w:val="nil"/>
              <w:bottom w:val="nil"/>
              <w:right w:val="single" w:sz="4" w:space="0" w:color="auto"/>
            </w:tcBorders>
            <w:shd w:val="clear" w:color="auto" w:fill="auto"/>
            <w:vAlign w:val="center"/>
            <w:hideMark/>
          </w:tcPr>
          <w:p w14:paraId="44303BA6"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Zug</w:t>
            </w:r>
          </w:p>
        </w:tc>
        <w:tc>
          <w:tcPr>
            <w:tcW w:w="1619" w:type="dxa"/>
            <w:tcBorders>
              <w:top w:val="nil"/>
              <w:left w:val="nil"/>
              <w:bottom w:val="nil"/>
              <w:right w:val="single" w:sz="4" w:space="0" w:color="auto"/>
            </w:tcBorders>
            <w:shd w:val="clear" w:color="auto" w:fill="auto"/>
            <w:vAlign w:val="center"/>
            <w:hideMark/>
          </w:tcPr>
          <w:p w14:paraId="096D330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27/09/2001</w:t>
            </w:r>
          </w:p>
        </w:tc>
        <w:tc>
          <w:tcPr>
            <w:tcW w:w="2483" w:type="dxa"/>
            <w:tcBorders>
              <w:top w:val="nil"/>
              <w:left w:val="nil"/>
              <w:bottom w:val="nil"/>
              <w:right w:val="single" w:sz="4" w:space="0" w:color="auto"/>
            </w:tcBorders>
            <w:shd w:val="clear" w:color="auto" w:fill="auto"/>
            <w:vAlign w:val="center"/>
            <w:hideMark/>
          </w:tcPr>
          <w:p w14:paraId="3D4BB10B"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Armed Assault</w:t>
            </w:r>
          </w:p>
        </w:tc>
        <w:tc>
          <w:tcPr>
            <w:tcW w:w="1966" w:type="dxa"/>
            <w:tcBorders>
              <w:top w:val="nil"/>
              <w:left w:val="nil"/>
              <w:bottom w:val="nil"/>
              <w:right w:val="single" w:sz="4" w:space="0" w:color="auto"/>
            </w:tcBorders>
            <w:shd w:val="clear" w:color="auto" w:fill="auto"/>
            <w:vAlign w:val="center"/>
            <w:hideMark/>
          </w:tcPr>
          <w:p w14:paraId="1BD3C57F"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Government (General)</w:t>
            </w:r>
          </w:p>
        </w:tc>
        <w:tc>
          <w:tcPr>
            <w:tcW w:w="2718" w:type="dxa"/>
            <w:tcBorders>
              <w:top w:val="nil"/>
              <w:left w:val="nil"/>
              <w:bottom w:val="nil"/>
              <w:right w:val="single" w:sz="4" w:space="0" w:color="auto"/>
            </w:tcBorders>
            <w:shd w:val="clear" w:color="auto" w:fill="auto"/>
            <w:vAlign w:val="center"/>
            <w:hideMark/>
          </w:tcPr>
          <w:p w14:paraId="264C4C17"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Unknown</w:t>
            </w:r>
          </w:p>
        </w:tc>
        <w:tc>
          <w:tcPr>
            <w:tcW w:w="1062" w:type="dxa"/>
            <w:tcBorders>
              <w:top w:val="nil"/>
              <w:left w:val="nil"/>
              <w:bottom w:val="nil"/>
              <w:right w:val="single" w:sz="4" w:space="0" w:color="auto"/>
            </w:tcBorders>
            <w:shd w:val="clear" w:color="auto" w:fill="auto"/>
            <w:vAlign w:val="center"/>
            <w:hideMark/>
          </w:tcPr>
          <w:p w14:paraId="580FD59C"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7282B7E8"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14</w:t>
            </w:r>
          </w:p>
        </w:tc>
      </w:tr>
      <w:tr w:rsidR="005129B7" w:rsidRPr="001F4EB9" w14:paraId="73359607"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032C225F"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Switzerland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4F2F39E1"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61CC3C63"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14</w:t>
            </w:r>
          </w:p>
        </w:tc>
      </w:tr>
      <w:tr w:rsidR="005129B7" w:rsidRPr="001F4EB9" w14:paraId="59048C9D" w14:textId="77777777" w:rsidTr="005129B7">
        <w:trPr>
          <w:trHeight w:val="437"/>
        </w:trPr>
        <w:tc>
          <w:tcPr>
            <w:tcW w:w="1998" w:type="dxa"/>
            <w:tcBorders>
              <w:top w:val="nil"/>
              <w:left w:val="single" w:sz="8" w:space="0" w:color="auto"/>
              <w:bottom w:val="nil"/>
              <w:right w:val="single" w:sz="4" w:space="0" w:color="auto"/>
            </w:tcBorders>
            <w:shd w:val="clear" w:color="auto" w:fill="auto"/>
            <w:vAlign w:val="center"/>
            <w:hideMark/>
          </w:tcPr>
          <w:p w14:paraId="69C9723E"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Sweden</w:t>
            </w:r>
          </w:p>
        </w:tc>
        <w:tc>
          <w:tcPr>
            <w:tcW w:w="1659" w:type="dxa"/>
            <w:tcBorders>
              <w:top w:val="nil"/>
              <w:left w:val="nil"/>
              <w:bottom w:val="nil"/>
              <w:right w:val="single" w:sz="4" w:space="0" w:color="auto"/>
            </w:tcBorders>
            <w:shd w:val="clear" w:color="auto" w:fill="auto"/>
            <w:vAlign w:val="center"/>
            <w:hideMark/>
          </w:tcPr>
          <w:p w14:paraId="70309D58"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Stockholm</w:t>
            </w:r>
          </w:p>
        </w:tc>
        <w:tc>
          <w:tcPr>
            <w:tcW w:w="1619" w:type="dxa"/>
            <w:tcBorders>
              <w:top w:val="nil"/>
              <w:left w:val="nil"/>
              <w:bottom w:val="nil"/>
              <w:right w:val="single" w:sz="4" w:space="0" w:color="auto"/>
            </w:tcBorders>
            <w:shd w:val="clear" w:color="auto" w:fill="auto"/>
            <w:vAlign w:val="center"/>
            <w:hideMark/>
          </w:tcPr>
          <w:p w14:paraId="14113D98"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07/04/2017</w:t>
            </w:r>
          </w:p>
        </w:tc>
        <w:tc>
          <w:tcPr>
            <w:tcW w:w="2483" w:type="dxa"/>
            <w:tcBorders>
              <w:top w:val="nil"/>
              <w:left w:val="nil"/>
              <w:bottom w:val="nil"/>
              <w:right w:val="single" w:sz="4" w:space="0" w:color="auto"/>
            </w:tcBorders>
            <w:shd w:val="clear" w:color="auto" w:fill="auto"/>
            <w:vAlign w:val="center"/>
            <w:hideMark/>
          </w:tcPr>
          <w:p w14:paraId="7474B72C"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Hijacking</w:t>
            </w:r>
          </w:p>
        </w:tc>
        <w:tc>
          <w:tcPr>
            <w:tcW w:w="1966" w:type="dxa"/>
            <w:tcBorders>
              <w:top w:val="nil"/>
              <w:left w:val="nil"/>
              <w:bottom w:val="nil"/>
              <w:right w:val="single" w:sz="4" w:space="0" w:color="auto"/>
            </w:tcBorders>
            <w:shd w:val="clear" w:color="auto" w:fill="auto"/>
            <w:vAlign w:val="center"/>
            <w:hideMark/>
          </w:tcPr>
          <w:p w14:paraId="3CA413B6"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Private Citizens &amp; Property</w:t>
            </w:r>
          </w:p>
        </w:tc>
        <w:tc>
          <w:tcPr>
            <w:tcW w:w="2718" w:type="dxa"/>
            <w:tcBorders>
              <w:top w:val="nil"/>
              <w:left w:val="nil"/>
              <w:bottom w:val="nil"/>
              <w:right w:val="single" w:sz="4" w:space="0" w:color="auto"/>
            </w:tcBorders>
            <w:shd w:val="clear" w:color="auto" w:fill="auto"/>
            <w:vAlign w:val="center"/>
            <w:hideMark/>
          </w:tcPr>
          <w:p w14:paraId="7D95095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Jihadi-inspired extremists</w:t>
            </w:r>
          </w:p>
        </w:tc>
        <w:tc>
          <w:tcPr>
            <w:tcW w:w="1062" w:type="dxa"/>
            <w:tcBorders>
              <w:top w:val="nil"/>
              <w:left w:val="nil"/>
              <w:bottom w:val="nil"/>
              <w:right w:val="single" w:sz="4" w:space="0" w:color="auto"/>
            </w:tcBorders>
            <w:shd w:val="clear" w:color="auto" w:fill="auto"/>
            <w:vAlign w:val="center"/>
            <w:hideMark/>
          </w:tcPr>
          <w:p w14:paraId="5994B289"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389220E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5</w:t>
            </w:r>
          </w:p>
        </w:tc>
      </w:tr>
      <w:tr w:rsidR="005129B7" w:rsidRPr="001F4EB9" w14:paraId="4E917DDB"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1E934F4F"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Sweden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14564F3C"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4E2A79DA"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5</w:t>
            </w:r>
          </w:p>
        </w:tc>
      </w:tr>
      <w:tr w:rsidR="005129B7" w:rsidRPr="001F4EB9" w14:paraId="5688FF51" w14:textId="77777777" w:rsidTr="005129B7">
        <w:trPr>
          <w:trHeight w:val="293"/>
        </w:trPr>
        <w:tc>
          <w:tcPr>
            <w:tcW w:w="1998" w:type="dxa"/>
            <w:tcBorders>
              <w:top w:val="nil"/>
              <w:left w:val="single" w:sz="8" w:space="0" w:color="auto"/>
              <w:bottom w:val="nil"/>
              <w:right w:val="single" w:sz="4" w:space="0" w:color="auto"/>
            </w:tcBorders>
            <w:shd w:val="clear" w:color="auto" w:fill="auto"/>
            <w:vAlign w:val="center"/>
            <w:hideMark/>
          </w:tcPr>
          <w:p w14:paraId="3E961659"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Netherlands</w:t>
            </w:r>
          </w:p>
        </w:tc>
        <w:tc>
          <w:tcPr>
            <w:tcW w:w="1659" w:type="dxa"/>
            <w:tcBorders>
              <w:top w:val="nil"/>
              <w:left w:val="nil"/>
              <w:bottom w:val="nil"/>
              <w:right w:val="single" w:sz="4" w:space="0" w:color="auto"/>
            </w:tcBorders>
            <w:shd w:val="clear" w:color="auto" w:fill="auto"/>
            <w:vAlign w:val="center"/>
            <w:hideMark/>
          </w:tcPr>
          <w:p w14:paraId="1EE41B5E"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Apeldoorn</w:t>
            </w:r>
          </w:p>
        </w:tc>
        <w:tc>
          <w:tcPr>
            <w:tcW w:w="1619" w:type="dxa"/>
            <w:tcBorders>
              <w:top w:val="nil"/>
              <w:left w:val="nil"/>
              <w:bottom w:val="nil"/>
              <w:right w:val="single" w:sz="4" w:space="0" w:color="auto"/>
            </w:tcBorders>
            <w:shd w:val="clear" w:color="auto" w:fill="auto"/>
            <w:vAlign w:val="center"/>
            <w:hideMark/>
          </w:tcPr>
          <w:p w14:paraId="2FFAA01E"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01/05/2009</w:t>
            </w:r>
          </w:p>
        </w:tc>
        <w:tc>
          <w:tcPr>
            <w:tcW w:w="2483" w:type="dxa"/>
            <w:tcBorders>
              <w:top w:val="nil"/>
              <w:left w:val="nil"/>
              <w:bottom w:val="nil"/>
              <w:right w:val="single" w:sz="4" w:space="0" w:color="auto"/>
            </w:tcBorders>
            <w:shd w:val="clear" w:color="auto" w:fill="auto"/>
            <w:vAlign w:val="center"/>
            <w:hideMark/>
          </w:tcPr>
          <w:p w14:paraId="3CDD76DD"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Assassination</w:t>
            </w:r>
          </w:p>
        </w:tc>
        <w:tc>
          <w:tcPr>
            <w:tcW w:w="1966" w:type="dxa"/>
            <w:tcBorders>
              <w:top w:val="nil"/>
              <w:left w:val="nil"/>
              <w:bottom w:val="nil"/>
              <w:right w:val="single" w:sz="4" w:space="0" w:color="auto"/>
            </w:tcBorders>
            <w:shd w:val="clear" w:color="auto" w:fill="auto"/>
            <w:vAlign w:val="center"/>
            <w:hideMark/>
          </w:tcPr>
          <w:p w14:paraId="1725DF91"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Government (General)</w:t>
            </w:r>
          </w:p>
        </w:tc>
        <w:tc>
          <w:tcPr>
            <w:tcW w:w="2718" w:type="dxa"/>
            <w:tcBorders>
              <w:top w:val="nil"/>
              <w:left w:val="nil"/>
              <w:bottom w:val="nil"/>
              <w:right w:val="single" w:sz="4" w:space="0" w:color="auto"/>
            </w:tcBorders>
            <w:shd w:val="clear" w:color="auto" w:fill="auto"/>
            <w:vAlign w:val="center"/>
            <w:hideMark/>
          </w:tcPr>
          <w:p w14:paraId="22FE8B01"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Unknown</w:t>
            </w:r>
          </w:p>
        </w:tc>
        <w:tc>
          <w:tcPr>
            <w:tcW w:w="1062" w:type="dxa"/>
            <w:tcBorders>
              <w:top w:val="nil"/>
              <w:left w:val="nil"/>
              <w:bottom w:val="nil"/>
              <w:right w:val="single" w:sz="4" w:space="0" w:color="auto"/>
            </w:tcBorders>
            <w:shd w:val="clear" w:color="auto" w:fill="auto"/>
            <w:vAlign w:val="center"/>
            <w:hideMark/>
          </w:tcPr>
          <w:p w14:paraId="1A276A3A" w14:textId="77777777" w:rsidR="005129B7" w:rsidRPr="001F4EB9" w:rsidRDefault="005129B7" w:rsidP="005129B7">
            <w:pPr>
              <w:jc w:val="center"/>
              <w:rPr>
                <w:rFonts w:ascii="Calibri" w:hAnsi="Calibri" w:cs="Calibri"/>
                <w:color w:val="000000"/>
              </w:rPr>
            </w:pPr>
            <w:r w:rsidRPr="001F4EB9">
              <w:rPr>
                <w:rFonts w:ascii="Calibri" w:hAnsi="Calibri" w:cs="Calibri"/>
                <w:color w:val="000000"/>
              </w:rPr>
              <w:t>1</w:t>
            </w:r>
          </w:p>
        </w:tc>
        <w:tc>
          <w:tcPr>
            <w:tcW w:w="1184" w:type="dxa"/>
            <w:tcBorders>
              <w:top w:val="nil"/>
              <w:left w:val="nil"/>
              <w:bottom w:val="nil"/>
              <w:right w:val="single" w:sz="8" w:space="0" w:color="auto"/>
            </w:tcBorders>
            <w:shd w:val="clear" w:color="auto" w:fill="auto"/>
            <w:vAlign w:val="center"/>
            <w:hideMark/>
          </w:tcPr>
          <w:p w14:paraId="7522E3C5"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7</w:t>
            </w:r>
          </w:p>
        </w:tc>
      </w:tr>
      <w:tr w:rsidR="005129B7" w:rsidRPr="001F4EB9" w14:paraId="3BA6D95B"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000000" w:fill="BDD7EE"/>
            <w:vAlign w:val="center"/>
            <w:hideMark/>
          </w:tcPr>
          <w:p w14:paraId="60B79EEA"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Netherlands Total</w:t>
            </w:r>
          </w:p>
        </w:tc>
        <w:tc>
          <w:tcPr>
            <w:tcW w:w="1062" w:type="dxa"/>
            <w:tcBorders>
              <w:top w:val="single" w:sz="8" w:space="0" w:color="auto"/>
              <w:left w:val="nil"/>
              <w:bottom w:val="single" w:sz="8" w:space="0" w:color="auto"/>
              <w:right w:val="single" w:sz="4" w:space="0" w:color="auto"/>
            </w:tcBorders>
            <w:shd w:val="clear" w:color="000000" w:fill="BDD7EE"/>
            <w:vAlign w:val="center"/>
            <w:hideMark/>
          </w:tcPr>
          <w:p w14:paraId="7F5864B3"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1</w:t>
            </w:r>
          </w:p>
        </w:tc>
        <w:tc>
          <w:tcPr>
            <w:tcW w:w="1184" w:type="dxa"/>
            <w:tcBorders>
              <w:top w:val="single" w:sz="8" w:space="0" w:color="auto"/>
              <w:left w:val="nil"/>
              <w:bottom w:val="single" w:sz="8" w:space="0" w:color="auto"/>
              <w:right w:val="single" w:sz="8" w:space="0" w:color="auto"/>
            </w:tcBorders>
            <w:shd w:val="clear" w:color="000000" w:fill="BDD7EE"/>
            <w:vAlign w:val="center"/>
            <w:hideMark/>
          </w:tcPr>
          <w:p w14:paraId="7D1C243B"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7</w:t>
            </w:r>
          </w:p>
        </w:tc>
      </w:tr>
      <w:tr w:rsidR="005129B7" w:rsidRPr="001F4EB9" w14:paraId="3C484DF1" w14:textId="77777777" w:rsidTr="005129B7">
        <w:trPr>
          <w:trHeight w:val="150"/>
        </w:trPr>
        <w:tc>
          <w:tcPr>
            <w:tcW w:w="12443" w:type="dxa"/>
            <w:gridSpan w:val="6"/>
            <w:tcBorders>
              <w:top w:val="single" w:sz="8" w:space="0" w:color="auto"/>
              <w:left w:val="single" w:sz="8" w:space="0" w:color="auto"/>
              <w:bottom w:val="single" w:sz="8" w:space="0" w:color="auto"/>
              <w:right w:val="single" w:sz="4" w:space="0" w:color="000000"/>
            </w:tcBorders>
            <w:shd w:val="clear" w:color="DDEBF7" w:fill="5B9BD5"/>
            <w:vAlign w:val="center"/>
            <w:hideMark/>
          </w:tcPr>
          <w:p w14:paraId="0AED3D85"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Total</w:t>
            </w:r>
          </w:p>
        </w:tc>
        <w:tc>
          <w:tcPr>
            <w:tcW w:w="1062" w:type="dxa"/>
            <w:tcBorders>
              <w:top w:val="nil"/>
              <w:left w:val="nil"/>
              <w:bottom w:val="single" w:sz="8" w:space="0" w:color="auto"/>
              <w:right w:val="single" w:sz="4" w:space="0" w:color="auto"/>
            </w:tcBorders>
            <w:shd w:val="clear" w:color="DDEBF7" w:fill="5B9BD5"/>
            <w:vAlign w:val="center"/>
            <w:hideMark/>
          </w:tcPr>
          <w:p w14:paraId="4A5DD967"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31</w:t>
            </w:r>
          </w:p>
        </w:tc>
        <w:tc>
          <w:tcPr>
            <w:tcW w:w="1184" w:type="dxa"/>
            <w:tcBorders>
              <w:top w:val="nil"/>
              <w:left w:val="nil"/>
              <w:bottom w:val="single" w:sz="8" w:space="0" w:color="auto"/>
              <w:right w:val="single" w:sz="8" w:space="0" w:color="auto"/>
            </w:tcBorders>
            <w:shd w:val="clear" w:color="DDEBF7" w:fill="5B9BD5"/>
            <w:vAlign w:val="center"/>
            <w:hideMark/>
          </w:tcPr>
          <w:p w14:paraId="0D6A2634" w14:textId="77777777" w:rsidR="005129B7" w:rsidRPr="001F4EB9" w:rsidRDefault="005129B7" w:rsidP="005129B7">
            <w:pPr>
              <w:jc w:val="center"/>
              <w:rPr>
                <w:rFonts w:ascii="Calibri" w:hAnsi="Calibri" w:cs="Calibri"/>
                <w:b/>
                <w:bCs/>
                <w:color w:val="000000"/>
              </w:rPr>
            </w:pPr>
            <w:r w:rsidRPr="001F4EB9">
              <w:rPr>
                <w:rFonts w:ascii="Calibri" w:hAnsi="Calibri" w:cs="Calibri"/>
                <w:b/>
                <w:bCs/>
                <w:color w:val="000000"/>
              </w:rPr>
              <w:t>717</w:t>
            </w:r>
          </w:p>
        </w:tc>
      </w:tr>
    </w:tbl>
    <w:p w14:paraId="28D47D56" w14:textId="0869B5D6" w:rsidR="005129B7" w:rsidRDefault="005129B7" w:rsidP="005129B7">
      <w:pPr>
        <w:spacing w:after="160" w:line="259" w:lineRule="auto"/>
        <w:rPr>
          <w:rFonts w:ascii="Calibri" w:eastAsia="Calibri" w:hAnsi="Calibri"/>
          <w:sz w:val="22"/>
          <w:szCs w:val="22"/>
          <w:lang w:eastAsia="en-US"/>
        </w:rPr>
      </w:pPr>
    </w:p>
    <w:p w14:paraId="5A7187DD" w14:textId="7B87CA08" w:rsidR="005129B7" w:rsidRDefault="005129B7" w:rsidP="005129B7">
      <w:pPr>
        <w:spacing w:after="160" w:line="259" w:lineRule="auto"/>
        <w:rPr>
          <w:rFonts w:ascii="Calibri" w:eastAsia="Calibri" w:hAnsi="Calibri"/>
          <w:sz w:val="22"/>
          <w:szCs w:val="22"/>
          <w:lang w:eastAsia="en-US"/>
        </w:rPr>
      </w:pPr>
    </w:p>
    <w:p w14:paraId="235E969C" w14:textId="77777777" w:rsidR="005129B7" w:rsidRDefault="005129B7" w:rsidP="005129B7">
      <w:pPr>
        <w:spacing w:after="160" w:line="259" w:lineRule="auto"/>
        <w:rPr>
          <w:rFonts w:ascii="Calibri" w:eastAsia="Calibri" w:hAnsi="Calibri"/>
          <w:sz w:val="22"/>
          <w:szCs w:val="22"/>
          <w:lang w:eastAsia="en-US"/>
        </w:rPr>
      </w:pPr>
    </w:p>
    <w:p w14:paraId="4BBF2EBC" w14:textId="77777777" w:rsidR="005129B7" w:rsidRPr="005129B7" w:rsidRDefault="005129B7" w:rsidP="005129B7">
      <w:pPr>
        <w:spacing w:after="160" w:line="259" w:lineRule="auto"/>
        <w:rPr>
          <w:rFonts w:ascii="Calibri" w:eastAsia="Calibri" w:hAnsi="Calibri"/>
          <w:sz w:val="22"/>
          <w:szCs w:val="22"/>
          <w:lang w:eastAsia="en-US"/>
        </w:rPr>
      </w:pPr>
    </w:p>
    <w:p w14:paraId="5BC838C6" w14:textId="77777777" w:rsidR="005129B7" w:rsidRDefault="005129B7"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6BF79DA5" w14:textId="77777777" w:rsidR="005129B7" w:rsidRDefault="005129B7">
      <w:pPr>
        <w:rPr>
          <w:rFonts w:ascii="Arial" w:hAnsi="Arial" w:cs="Arial"/>
          <w:sz w:val="22"/>
          <w:szCs w:val="22"/>
        </w:rPr>
      </w:pPr>
    </w:p>
    <w:p w14:paraId="68D4FA92" w14:textId="77777777" w:rsidR="005129B7" w:rsidRDefault="005129B7">
      <w:pPr>
        <w:rPr>
          <w:rFonts w:ascii="Arial" w:hAnsi="Arial" w:cs="Arial"/>
          <w:sz w:val="22"/>
          <w:szCs w:val="22"/>
        </w:rPr>
      </w:pPr>
    </w:p>
    <w:p w14:paraId="33C57A18" w14:textId="77777777" w:rsidR="005129B7" w:rsidRDefault="005129B7">
      <w:pPr>
        <w:rPr>
          <w:rFonts w:ascii="Arial" w:hAnsi="Arial" w:cs="Arial"/>
          <w:sz w:val="22"/>
          <w:szCs w:val="22"/>
        </w:rPr>
      </w:pPr>
    </w:p>
    <w:p w14:paraId="4672484C" w14:textId="77777777" w:rsidR="005129B7" w:rsidRDefault="005129B7">
      <w:pPr>
        <w:rPr>
          <w:rFonts w:ascii="Arial" w:hAnsi="Arial" w:cs="Arial"/>
          <w:sz w:val="22"/>
          <w:szCs w:val="22"/>
        </w:rPr>
      </w:pPr>
    </w:p>
    <w:p w14:paraId="76A17FDD" w14:textId="77777777" w:rsidR="005129B7" w:rsidRDefault="005129B7">
      <w:pPr>
        <w:rPr>
          <w:rFonts w:ascii="Arial" w:hAnsi="Arial" w:cs="Arial"/>
          <w:sz w:val="22"/>
          <w:szCs w:val="22"/>
        </w:rPr>
      </w:pPr>
    </w:p>
    <w:p w14:paraId="650200E0" w14:textId="77777777" w:rsidR="005129B7" w:rsidRDefault="005129B7">
      <w:pPr>
        <w:rPr>
          <w:rFonts w:ascii="Arial" w:hAnsi="Arial" w:cs="Arial"/>
          <w:sz w:val="22"/>
          <w:szCs w:val="22"/>
        </w:rPr>
      </w:pPr>
    </w:p>
    <w:p w14:paraId="26F22922" w14:textId="77777777" w:rsidR="005129B7" w:rsidRDefault="005129B7">
      <w:pPr>
        <w:rPr>
          <w:rFonts w:ascii="Arial" w:hAnsi="Arial" w:cs="Arial"/>
          <w:sz w:val="22"/>
          <w:szCs w:val="22"/>
        </w:rPr>
      </w:pPr>
    </w:p>
    <w:p w14:paraId="05131E99" w14:textId="77777777" w:rsidR="005129B7" w:rsidRDefault="005129B7">
      <w:pPr>
        <w:rPr>
          <w:rFonts w:ascii="Arial" w:hAnsi="Arial" w:cs="Arial"/>
          <w:sz w:val="22"/>
          <w:szCs w:val="22"/>
        </w:rPr>
      </w:pPr>
    </w:p>
    <w:p w14:paraId="7ADA2ED2" w14:textId="77777777" w:rsidR="005129B7" w:rsidRDefault="005129B7">
      <w:pPr>
        <w:rPr>
          <w:rFonts w:ascii="Arial" w:hAnsi="Arial" w:cs="Arial"/>
          <w:sz w:val="22"/>
          <w:szCs w:val="22"/>
        </w:rPr>
      </w:pPr>
    </w:p>
    <w:p w14:paraId="34FDE3E3" w14:textId="77777777" w:rsidR="005129B7" w:rsidRDefault="005129B7">
      <w:pPr>
        <w:rPr>
          <w:rFonts w:ascii="Arial" w:hAnsi="Arial" w:cs="Arial"/>
          <w:sz w:val="22"/>
          <w:szCs w:val="22"/>
        </w:rPr>
      </w:pPr>
    </w:p>
    <w:p w14:paraId="02171707" w14:textId="77777777" w:rsidR="005129B7" w:rsidRDefault="005129B7">
      <w:pPr>
        <w:rPr>
          <w:rFonts w:ascii="Arial" w:hAnsi="Arial" w:cs="Arial"/>
          <w:sz w:val="22"/>
          <w:szCs w:val="22"/>
        </w:rPr>
      </w:pPr>
    </w:p>
    <w:p w14:paraId="3FD19E55" w14:textId="77777777" w:rsidR="005129B7" w:rsidRDefault="005129B7">
      <w:pPr>
        <w:rPr>
          <w:rFonts w:ascii="Arial" w:hAnsi="Arial" w:cs="Arial"/>
          <w:sz w:val="22"/>
          <w:szCs w:val="22"/>
        </w:rPr>
      </w:pPr>
    </w:p>
    <w:p w14:paraId="2F082749" w14:textId="77777777" w:rsidR="005129B7" w:rsidRDefault="005129B7">
      <w:pPr>
        <w:rPr>
          <w:rFonts w:ascii="Arial" w:hAnsi="Arial" w:cs="Arial"/>
          <w:sz w:val="22"/>
          <w:szCs w:val="22"/>
        </w:rPr>
      </w:pPr>
    </w:p>
    <w:p w14:paraId="5A500A02" w14:textId="77777777" w:rsidR="005129B7" w:rsidRDefault="005129B7">
      <w:pPr>
        <w:rPr>
          <w:rFonts w:ascii="Arial" w:hAnsi="Arial" w:cs="Arial"/>
          <w:sz w:val="22"/>
          <w:szCs w:val="22"/>
        </w:rPr>
      </w:pPr>
    </w:p>
    <w:p w14:paraId="75BD8DCA" w14:textId="77777777" w:rsidR="005129B7" w:rsidRDefault="005129B7">
      <w:pPr>
        <w:rPr>
          <w:rFonts w:ascii="Arial" w:hAnsi="Arial" w:cs="Arial"/>
          <w:sz w:val="22"/>
          <w:szCs w:val="22"/>
        </w:rPr>
      </w:pPr>
    </w:p>
    <w:p w14:paraId="76415EF6" w14:textId="77777777" w:rsidR="005129B7" w:rsidRDefault="005129B7">
      <w:pPr>
        <w:rPr>
          <w:rFonts w:ascii="Arial" w:hAnsi="Arial" w:cs="Arial"/>
          <w:sz w:val="22"/>
          <w:szCs w:val="22"/>
        </w:rPr>
      </w:pPr>
    </w:p>
    <w:p w14:paraId="318EE2DB" w14:textId="77777777" w:rsidR="005129B7" w:rsidRDefault="005129B7">
      <w:pPr>
        <w:rPr>
          <w:rFonts w:ascii="Arial" w:hAnsi="Arial" w:cs="Arial"/>
          <w:sz w:val="22"/>
          <w:szCs w:val="22"/>
        </w:rPr>
      </w:pPr>
    </w:p>
    <w:p w14:paraId="3C8D2705" w14:textId="77777777" w:rsidR="005129B7" w:rsidRDefault="005129B7">
      <w:pPr>
        <w:rPr>
          <w:rFonts w:ascii="Arial" w:hAnsi="Arial" w:cs="Arial"/>
          <w:sz w:val="22"/>
          <w:szCs w:val="22"/>
        </w:rPr>
      </w:pPr>
    </w:p>
    <w:p w14:paraId="590B6015" w14:textId="77777777" w:rsidR="005129B7" w:rsidRDefault="005129B7">
      <w:pPr>
        <w:rPr>
          <w:rFonts w:ascii="Arial" w:hAnsi="Arial" w:cs="Arial"/>
          <w:sz w:val="22"/>
          <w:szCs w:val="22"/>
        </w:rPr>
      </w:pPr>
    </w:p>
    <w:p w14:paraId="79C193CF" w14:textId="77777777" w:rsidR="005129B7" w:rsidRDefault="005129B7">
      <w:pPr>
        <w:rPr>
          <w:rFonts w:ascii="Arial" w:hAnsi="Arial" w:cs="Arial"/>
          <w:sz w:val="22"/>
          <w:szCs w:val="22"/>
        </w:rPr>
      </w:pPr>
    </w:p>
    <w:p w14:paraId="20CA2AA3" w14:textId="77777777" w:rsidR="005129B7" w:rsidRDefault="005129B7">
      <w:pPr>
        <w:rPr>
          <w:rFonts w:ascii="Arial" w:hAnsi="Arial" w:cs="Arial"/>
          <w:sz w:val="22"/>
          <w:szCs w:val="22"/>
        </w:rPr>
      </w:pPr>
    </w:p>
    <w:p w14:paraId="2E466583" w14:textId="77777777" w:rsidR="005129B7" w:rsidRDefault="005129B7">
      <w:pPr>
        <w:rPr>
          <w:rFonts w:ascii="Arial" w:hAnsi="Arial" w:cs="Arial"/>
          <w:sz w:val="22"/>
          <w:szCs w:val="22"/>
        </w:rPr>
      </w:pPr>
    </w:p>
    <w:p w14:paraId="0712F436" w14:textId="77777777" w:rsidR="005129B7" w:rsidRDefault="005129B7">
      <w:pPr>
        <w:rPr>
          <w:rFonts w:ascii="Arial" w:hAnsi="Arial" w:cs="Arial"/>
          <w:sz w:val="22"/>
          <w:szCs w:val="22"/>
        </w:rPr>
      </w:pPr>
    </w:p>
    <w:p w14:paraId="19B30C3B" w14:textId="77777777" w:rsidR="005129B7" w:rsidRDefault="005129B7">
      <w:pPr>
        <w:rPr>
          <w:rFonts w:ascii="Arial" w:hAnsi="Arial" w:cs="Arial"/>
          <w:sz w:val="22"/>
          <w:szCs w:val="22"/>
        </w:rPr>
      </w:pPr>
    </w:p>
    <w:p w14:paraId="735B7842" w14:textId="77777777" w:rsidR="005129B7" w:rsidRDefault="005129B7">
      <w:pPr>
        <w:rPr>
          <w:rFonts w:ascii="Arial" w:hAnsi="Arial" w:cs="Arial"/>
          <w:sz w:val="22"/>
          <w:szCs w:val="22"/>
        </w:rPr>
      </w:pPr>
    </w:p>
    <w:p w14:paraId="0720B56F" w14:textId="77777777" w:rsidR="005129B7" w:rsidRDefault="005129B7">
      <w:pPr>
        <w:rPr>
          <w:rFonts w:ascii="Arial" w:hAnsi="Arial" w:cs="Arial"/>
          <w:sz w:val="22"/>
          <w:szCs w:val="22"/>
        </w:rPr>
      </w:pPr>
    </w:p>
    <w:p w14:paraId="5FEFE27E" w14:textId="77777777" w:rsidR="005129B7" w:rsidRDefault="005129B7">
      <w:pPr>
        <w:rPr>
          <w:rFonts w:ascii="Arial" w:hAnsi="Arial" w:cs="Arial"/>
          <w:sz w:val="22"/>
          <w:szCs w:val="22"/>
        </w:rPr>
      </w:pPr>
    </w:p>
    <w:p w14:paraId="055542F8" w14:textId="77777777" w:rsidR="005129B7" w:rsidRDefault="005129B7">
      <w:pPr>
        <w:rPr>
          <w:rFonts w:ascii="Arial" w:hAnsi="Arial" w:cs="Arial"/>
          <w:sz w:val="22"/>
          <w:szCs w:val="22"/>
        </w:rPr>
      </w:pPr>
    </w:p>
    <w:p w14:paraId="32A8D7CF" w14:textId="77777777" w:rsidR="005129B7" w:rsidRDefault="005129B7">
      <w:pPr>
        <w:rPr>
          <w:rFonts w:ascii="Arial" w:hAnsi="Arial" w:cs="Arial"/>
          <w:sz w:val="22"/>
          <w:szCs w:val="22"/>
        </w:rPr>
      </w:pPr>
    </w:p>
    <w:p w14:paraId="3AD12B71" w14:textId="77777777" w:rsidR="005129B7" w:rsidRDefault="005129B7">
      <w:pPr>
        <w:rPr>
          <w:rFonts w:ascii="Arial" w:hAnsi="Arial" w:cs="Arial"/>
          <w:sz w:val="22"/>
          <w:szCs w:val="22"/>
        </w:rPr>
      </w:pPr>
    </w:p>
    <w:p w14:paraId="4820A5E0" w14:textId="77777777" w:rsidR="005129B7" w:rsidRDefault="005129B7">
      <w:pPr>
        <w:rPr>
          <w:rFonts w:ascii="Arial" w:hAnsi="Arial" w:cs="Arial"/>
          <w:sz w:val="22"/>
          <w:szCs w:val="22"/>
        </w:rPr>
      </w:pPr>
    </w:p>
    <w:p w14:paraId="1A2D8424" w14:textId="77777777" w:rsidR="005129B7" w:rsidRDefault="005129B7">
      <w:pPr>
        <w:rPr>
          <w:rFonts w:ascii="Arial" w:hAnsi="Arial" w:cs="Arial"/>
          <w:sz w:val="22"/>
          <w:szCs w:val="22"/>
        </w:rPr>
      </w:pPr>
    </w:p>
    <w:p w14:paraId="01BE451D" w14:textId="77777777" w:rsidR="005129B7" w:rsidRDefault="005129B7">
      <w:pPr>
        <w:rPr>
          <w:rFonts w:ascii="Arial" w:hAnsi="Arial" w:cs="Arial"/>
          <w:sz w:val="22"/>
          <w:szCs w:val="22"/>
        </w:rPr>
      </w:pPr>
    </w:p>
    <w:p w14:paraId="6706B54D" w14:textId="77777777" w:rsidR="005129B7" w:rsidRDefault="005129B7">
      <w:pPr>
        <w:rPr>
          <w:rFonts w:ascii="Arial" w:hAnsi="Arial" w:cs="Arial"/>
          <w:sz w:val="22"/>
          <w:szCs w:val="22"/>
        </w:rPr>
      </w:pPr>
    </w:p>
    <w:p w14:paraId="448F7C91" w14:textId="77777777" w:rsidR="005129B7" w:rsidRDefault="005129B7">
      <w:pPr>
        <w:rPr>
          <w:rFonts w:ascii="Arial" w:hAnsi="Arial" w:cs="Arial"/>
          <w:sz w:val="22"/>
          <w:szCs w:val="22"/>
        </w:rPr>
      </w:pPr>
    </w:p>
    <w:p w14:paraId="2F103A2C" w14:textId="77777777" w:rsidR="005129B7" w:rsidRDefault="005129B7">
      <w:pPr>
        <w:rPr>
          <w:rFonts w:ascii="Arial" w:hAnsi="Arial" w:cs="Arial"/>
          <w:sz w:val="22"/>
          <w:szCs w:val="22"/>
        </w:rPr>
      </w:pPr>
    </w:p>
    <w:p w14:paraId="1073FD39" w14:textId="77777777" w:rsidR="005129B7" w:rsidRDefault="005129B7">
      <w:pPr>
        <w:rPr>
          <w:rFonts w:ascii="Arial" w:hAnsi="Arial" w:cs="Arial"/>
          <w:sz w:val="22"/>
          <w:szCs w:val="22"/>
        </w:rPr>
      </w:pPr>
    </w:p>
    <w:p w14:paraId="2199A641" w14:textId="77777777" w:rsidR="005129B7" w:rsidRDefault="005129B7">
      <w:pPr>
        <w:rPr>
          <w:rFonts w:ascii="Arial" w:hAnsi="Arial" w:cs="Arial"/>
          <w:sz w:val="22"/>
          <w:szCs w:val="22"/>
        </w:rPr>
      </w:pPr>
    </w:p>
    <w:p w14:paraId="31578AAA" w14:textId="77777777" w:rsidR="005129B7" w:rsidRDefault="005129B7">
      <w:pPr>
        <w:rPr>
          <w:rFonts w:ascii="Arial" w:hAnsi="Arial" w:cs="Arial"/>
          <w:sz w:val="22"/>
          <w:szCs w:val="22"/>
        </w:rPr>
      </w:pPr>
    </w:p>
    <w:p w14:paraId="2E6975A0" w14:textId="77777777" w:rsidR="005129B7" w:rsidRDefault="005129B7">
      <w:pPr>
        <w:rPr>
          <w:rFonts w:ascii="Arial" w:hAnsi="Arial" w:cs="Arial"/>
          <w:sz w:val="22"/>
          <w:szCs w:val="22"/>
        </w:rPr>
      </w:pPr>
    </w:p>
    <w:p w14:paraId="20743DB8" w14:textId="77777777" w:rsidR="005129B7" w:rsidRDefault="005129B7">
      <w:pPr>
        <w:rPr>
          <w:rFonts w:ascii="Arial" w:hAnsi="Arial" w:cs="Arial"/>
          <w:sz w:val="22"/>
          <w:szCs w:val="22"/>
        </w:rPr>
      </w:pPr>
    </w:p>
    <w:p w14:paraId="3836DD7B" w14:textId="77777777" w:rsidR="005129B7" w:rsidRDefault="005129B7">
      <w:pPr>
        <w:rPr>
          <w:rFonts w:ascii="Arial" w:hAnsi="Arial" w:cs="Arial"/>
          <w:sz w:val="22"/>
          <w:szCs w:val="22"/>
        </w:rPr>
      </w:pPr>
    </w:p>
    <w:p w14:paraId="4F776F41" w14:textId="77777777" w:rsidR="005129B7" w:rsidRDefault="005129B7">
      <w:pPr>
        <w:rPr>
          <w:rFonts w:ascii="Arial" w:hAnsi="Arial" w:cs="Arial"/>
          <w:sz w:val="22"/>
          <w:szCs w:val="22"/>
        </w:rPr>
      </w:pPr>
    </w:p>
    <w:p w14:paraId="2DD159FF" w14:textId="77777777" w:rsidR="005129B7" w:rsidRDefault="005129B7">
      <w:pPr>
        <w:rPr>
          <w:rFonts w:ascii="Arial" w:hAnsi="Arial" w:cs="Arial"/>
          <w:sz w:val="22"/>
          <w:szCs w:val="22"/>
        </w:rPr>
      </w:pPr>
    </w:p>
    <w:p w14:paraId="006ED7AC" w14:textId="77777777" w:rsidR="005129B7" w:rsidRDefault="005129B7">
      <w:pPr>
        <w:rPr>
          <w:rFonts w:ascii="Arial" w:hAnsi="Arial" w:cs="Arial"/>
          <w:sz w:val="22"/>
          <w:szCs w:val="22"/>
        </w:rPr>
      </w:pPr>
    </w:p>
    <w:p w14:paraId="29949128" w14:textId="77777777" w:rsidR="005129B7" w:rsidRDefault="005129B7">
      <w:pPr>
        <w:rPr>
          <w:rFonts w:ascii="Arial" w:hAnsi="Arial" w:cs="Arial"/>
          <w:sz w:val="22"/>
          <w:szCs w:val="22"/>
        </w:rPr>
      </w:pPr>
    </w:p>
    <w:p w14:paraId="4BFF4D85" w14:textId="77777777" w:rsidR="005129B7" w:rsidRDefault="005129B7">
      <w:pPr>
        <w:rPr>
          <w:rFonts w:ascii="Arial" w:hAnsi="Arial" w:cs="Arial"/>
          <w:sz w:val="22"/>
          <w:szCs w:val="22"/>
        </w:rPr>
      </w:pPr>
    </w:p>
    <w:p w14:paraId="7FFAFA8F" w14:textId="77777777" w:rsidR="005129B7" w:rsidRDefault="005129B7">
      <w:pPr>
        <w:rPr>
          <w:rFonts w:ascii="Arial" w:hAnsi="Arial" w:cs="Arial"/>
          <w:sz w:val="22"/>
          <w:szCs w:val="22"/>
        </w:rPr>
      </w:pPr>
    </w:p>
    <w:p w14:paraId="468FC7E0" w14:textId="77777777" w:rsidR="005129B7" w:rsidRDefault="005129B7">
      <w:pPr>
        <w:rPr>
          <w:rFonts w:ascii="Arial" w:hAnsi="Arial" w:cs="Arial"/>
          <w:sz w:val="22"/>
          <w:szCs w:val="22"/>
        </w:rPr>
      </w:pPr>
    </w:p>
    <w:p w14:paraId="45FF7B74" w14:textId="77777777" w:rsidR="005129B7" w:rsidRDefault="005129B7" w:rsidP="005129B7">
      <w:r>
        <w:t>N.B. – 19/02/2020, in Hanau Germany, 10 people died after a right-wing extremist shot at customers in 2 shisha bars. Not part of the GTD as data is compiled to 2018.</w:t>
      </w:r>
    </w:p>
    <w:p w14:paraId="27A4F6AC" w14:textId="3632666A" w:rsidR="005129B7" w:rsidRDefault="005129B7">
      <w:pPr>
        <w:rPr>
          <w:rFonts w:ascii="Arial" w:hAnsi="Arial" w:cs="Arial"/>
          <w:sz w:val="22"/>
          <w:szCs w:val="22"/>
        </w:rPr>
      </w:pPr>
      <w:r>
        <w:rPr>
          <w:rFonts w:ascii="Arial" w:hAnsi="Arial" w:cs="Arial"/>
          <w:sz w:val="22"/>
          <w:szCs w:val="22"/>
        </w:rPr>
        <w:br w:type="page"/>
      </w:r>
    </w:p>
    <w:p w14:paraId="0A8D06A6" w14:textId="77777777" w:rsidR="005129B7" w:rsidRDefault="005129B7" w:rsidP="00D22D9C">
      <w:pPr>
        <w:jc w:val="both"/>
        <w:rPr>
          <w:rFonts w:ascii="Arial" w:hAnsi="Arial" w:cs="Arial"/>
          <w:sz w:val="22"/>
          <w:szCs w:val="22"/>
        </w:rPr>
        <w:sectPr w:rsidR="005129B7" w:rsidSect="005129B7">
          <w:pgSz w:w="16838" w:h="23811" w:code="8"/>
          <w:pgMar w:top="720" w:right="720" w:bottom="720" w:left="720" w:header="706" w:footer="454" w:gutter="0"/>
          <w:paperSrc w:first="1" w:other="1"/>
          <w:cols w:space="720"/>
          <w:docGrid w:linePitch="272"/>
        </w:sectPr>
      </w:pPr>
    </w:p>
    <w:p w14:paraId="15673806" w14:textId="2BEBA7B1" w:rsidR="00045D04" w:rsidRDefault="00045D04" w:rsidP="00D22D9C">
      <w:pPr>
        <w:jc w:val="both"/>
        <w:rPr>
          <w:rFonts w:ascii="Arial" w:hAnsi="Arial" w:cs="Arial"/>
          <w:sz w:val="22"/>
          <w:szCs w:val="22"/>
        </w:rPr>
      </w:pPr>
    </w:p>
    <w:p w14:paraId="2361492C" w14:textId="6782F2A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36"/>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Mincho">
    <w:altName w:val="Yu Gothic UI"/>
    <w:panose1 w:val="02020609040205080304"/>
    <w:charset w:val="80"/>
    <w:family w:val="auto"/>
    <w:pitch w:val="variable"/>
    <w:sig w:usb0="E00002FF" w:usb1="6AC7FDFB" w:usb2="08000012" w:usb3="00000000" w:csb0="0002009F" w:csb1="00000000"/>
  </w:font>
  <w:font w:name="Calibri,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959" w14:textId="1170FB1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B0790">
      <w:rPr>
        <w:b/>
        <w:noProof/>
      </w:rPr>
      <w:t>12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B0790">
      <w:rPr>
        <w:b/>
        <w:noProof/>
      </w:rPr>
      <w:t>20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 w:id="1">
    <w:p w14:paraId="35DC18A0" w14:textId="77777777" w:rsidR="005129B7" w:rsidRDefault="005129B7" w:rsidP="005129B7">
      <w:pPr>
        <w:pStyle w:val="FootnoteText1"/>
      </w:pPr>
      <w:r>
        <w:rPr>
          <w:rStyle w:val="FootnoteReference"/>
        </w:rPr>
        <w:footnoteRef/>
      </w:r>
      <w:r>
        <w:t xml:space="preserve"> </w:t>
      </w:r>
      <w:hyperlink r:id="rId1" w:history="1">
        <w:r w:rsidRPr="00993CE2">
          <w:rPr>
            <w:rStyle w:val="Hyperlink"/>
          </w:rPr>
          <w:t>https://www.ltai.info/</w:t>
        </w:r>
      </w:hyperlink>
      <w:r>
        <w:t xml:space="preserve"> </w:t>
      </w:r>
    </w:p>
  </w:footnote>
  <w:footnote w:id="2">
    <w:p w14:paraId="57A974E3" w14:textId="77777777" w:rsidR="005129B7" w:rsidRDefault="005129B7" w:rsidP="005129B7">
      <w:pPr>
        <w:pStyle w:val="FootnoteText1"/>
      </w:pPr>
      <w:r>
        <w:rPr>
          <w:rStyle w:val="FootnoteReference"/>
        </w:rPr>
        <w:footnoteRef/>
      </w:r>
      <w:r>
        <w:t xml:space="preserve"> </w:t>
      </w:r>
      <w:hyperlink r:id="rId2" w:history="1">
        <w:r w:rsidRPr="00993CE2">
          <w:rPr>
            <w:rStyle w:val="Hyperlink"/>
          </w:rPr>
          <w:t>https://actearly.uk/</w:t>
        </w:r>
      </w:hyperlink>
    </w:p>
  </w:footnote>
  <w:footnote w:id="3">
    <w:p w14:paraId="1AF5FC3D" w14:textId="77777777" w:rsidR="005129B7" w:rsidRDefault="005129B7" w:rsidP="005129B7">
      <w:pPr>
        <w:pStyle w:val="FootnoteText1"/>
      </w:pPr>
      <w:r>
        <w:rPr>
          <w:rStyle w:val="FootnoteReference"/>
        </w:rPr>
        <w:footnoteRef/>
      </w:r>
      <w:r>
        <w:t xml:space="preserve"> </w:t>
      </w:r>
      <w:hyperlink r:id="rId3" w:history="1">
        <w:r w:rsidRPr="00993CE2">
          <w:rPr>
            <w:rStyle w:val="Hyperlink"/>
          </w:rPr>
          <w:t>https://www.nspcc.org.uk/keeping-children-safe/reporting-abuse/dedicated-helplines/protecting-children-from-radicalisation/</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BC65C8D"/>
    <w:multiLevelType w:val="hybridMultilevel"/>
    <w:tmpl w:val="A4ACD252"/>
    <w:lvl w:ilvl="0" w:tplc="3788A570">
      <w:start w:val="1"/>
      <w:numFmt w:val="bullet"/>
      <w:lvlText w:val=""/>
      <w:lvlJc w:val="left"/>
      <w:pPr>
        <w:ind w:left="720" w:hanging="360"/>
      </w:pPr>
      <w:rPr>
        <w:rFonts w:ascii="Symbol" w:hAnsi="Symbol" w:hint="default"/>
      </w:rPr>
    </w:lvl>
    <w:lvl w:ilvl="1" w:tplc="54F47AB8">
      <w:start w:val="1"/>
      <w:numFmt w:val="bullet"/>
      <w:lvlText w:val="o"/>
      <w:lvlJc w:val="left"/>
      <w:pPr>
        <w:ind w:left="1440" w:hanging="360"/>
      </w:pPr>
      <w:rPr>
        <w:rFonts w:ascii="Courier New" w:hAnsi="Courier New" w:hint="default"/>
      </w:rPr>
    </w:lvl>
    <w:lvl w:ilvl="2" w:tplc="70E2E80E">
      <w:start w:val="1"/>
      <w:numFmt w:val="bullet"/>
      <w:lvlText w:val=""/>
      <w:lvlJc w:val="left"/>
      <w:pPr>
        <w:ind w:left="2160" w:hanging="360"/>
      </w:pPr>
      <w:rPr>
        <w:rFonts w:ascii="Wingdings" w:hAnsi="Wingdings" w:hint="default"/>
      </w:rPr>
    </w:lvl>
    <w:lvl w:ilvl="3" w:tplc="EC2CD588">
      <w:start w:val="1"/>
      <w:numFmt w:val="bullet"/>
      <w:lvlText w:val=""/>
      <w:lvlJc w:val="left"/>
      <w:pPr>
        <w:ind w:left="2880" w:hanging="360"/>
      </w:pPr>
      <w:rPr>
        <w:rFonts w:ascii="Symbol" w:hAnsi="Symbol" w:hint="default"/>
      </w:rPr>
    </w:lvl>
    <w:lvl w:ilvl="4" w:tplc="6E90E85A">
      <w:start w:val="1"/>
      <w:numFmt w:val="bullet"/>
      <w:lvlText w:val="o"/>
      <w:lvlJc w:val="left"/>
      <w:pPr>
        <w:ind w:left="3600" w:hanging="360"/>
      </w:pPr>
      <w:rPr>
        <w:rFonts w:ascii="Courier New" w:hAnsi="Courier New" w:hint="default"/>
      </w:rPr>
    </w:lvl>
    <w:lvl w:ilvl="5" w:tplc="56D0D990">
      <w:start w:val="1"/>
      <w:numFmt w:val="bullet"/>
      <w:lvlText w:val=""/>
      <w:lvlJc w:val="left"/>
      <w:pPr>
        <w:ind w:left="4320" w:hanging="360"/>
      </w:pPr>
      <w:rPr>
        <w:rFonts w:ascii="Wingdings" w:hAnsi="Wingdings" w:hint="default"/>
      </w:rPr>
    </w:lvl>
    <w:lvl w:ilvl="6" w:tplc="1F009720">
      <w:start w:val="1"/>
      <w:numFmt w:val="bullet"/>
      <w:lvlText w:val=""/>
      <w:lvlJc w:val="left"/>
      <w:pPr>
        <w:ind w:left="5040" w:hanging="360"/>
      </w:pPr>
      <w:rPr>
        <w:rFonts w:ascii="Symbol" w:hAnsi="Symbol" w:hint="default"/>
      </w:rPr>
    </w:lvl>
    <w:lvl w:ilvl="7" w:tplc="4306B18A">
      <w:start w:val="1"/>
      <w:numFmt w:val="bullet"/>
      <w:lvlText w:val="o"/>
      <w:lvlJc w:val="left"/>
      <w:pPr>
        <w:ind w:left="5760" w:hanging="360"/>
      </w:pPr>
      <w:rPr>
        <w:rFonts w:ascii="Courier New" w:hAnsi="Courier New" w:hint="default"/>
      </w:rPr>
    </w:lvl>
    <w:lvl w:ilvl="8" w:tplc="89CE4664">
      <w:start w:val="1"/>
      <w:numFmt w:val="bullet"/>
      <w:lvlText w:val=""/>
      <w:lvlJc w:val="left"/>
      <w:pPr>
        <w:ind w:left="6480" w:hanging="360"/>
      </w:pPr>
      <w:rPr>
        <w:rFonts w:ascii="Wingdings" w:hAnsi="Wingdings" w:hint="default"/>
      </w:rPr>
    </w:lvl>
  </w:abstractNum>
  <w:abstractNum w:abstractNumId="3" w15:restartNumberingAfterBreak="0">
    <w:nsid w:val="0D5359DB"/>
    <w:multiLevelType w:val="hybridMultilevel"/>
    <w:tmpl w:val="CC9AD7EC"/>
    <w:lvl w:ilvl="0" w:tplc="DEB68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21448"/>
    <w:multiLevelType w:val="hybridMultilevel"/>
    <w:tmpl w:val="418034F4"/>
    <w:lvl w:ilvl="0" w:tplc="192632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A9F4962"/>
    <w:multiLevelType w:val="hybridMultilevel"/>
    <w:tmpl w:val="E930747E"/>
    <w:lvl w:ilvl="0" w:tplc="42C4DD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2808EE"/>
    <w:multiLevelType w:val="hybridMultilevel"/>
    <w:tmpl w:val="A062796A"/>
    <w:lvl w:ilvl="0" w:tplc="3D7049F2">
      <w:start w:val="1"/>
      <w:numFmt w:val="bullet"/>
      <w:lvlText w:val=""/>
      <w:lvlJc w:val="left"/>
      <w:pPr>
        <w:ind w:left="720" w:hanging="360"/>
      </w:pPr>
      <w:rPr>
        <w:rFonts w:ascii="Symbol" w:hAnsi="Symbol" w:hint="default"/>
      </w:rPr>
    </w:lvl>
    <w:lvl w:ilvl="1" w:tplc="4FA61F84">
      <w:start w:val="1"/>
      <w:numFmt w:val="bullet"/>
      <w:lvlText w:val="o"/>
      <w:lvlJc w:val="left"/>
      <w:pPr>
        <w:ind w:left="1440" w:hanging="360"/>
      </w:pPr>
      <w:rPr>
        <w:rFonts w:ascii="Courier New" w:hAnsi="Courier New" w:hint="default"/>
      </w:rPr>
    </w:lvl>
    <w:lvl w:ilvl="2" w:tplc="4EB84612">
      <w:start w:val="1"/>
      <w:numFmt w:val="bullet"/>
      <w:lvlText w:val=""/>
      <w:lvlJc w:val="left"/>
      <w:pPr>
        <w:ind w:left="2160" w:hanging="360"/>
      </w:pPr>
      <w:rPr>
        <w:rFonts w:ascii="Wingdings" w:hAnsi="Wingdings" w:hint="default"/>
      </w:rPr>
    </w:lvl>
    <w:lvl w:ilvl="3" w:tplc="B3FC7BA8">
      <w:start w:val="1"/>
      <w:numFmt w:val="bullet"/>
      <w:lvlText w:val=""/>
      <w:lvlJc w:val="left"/>
      <w:pPr>
        <w:ind w:left="2880" w:hanging="360"/>
      </w:pPr>
      <w:rPr>
        <w:rFonts w:ascii="Symbol" w:hAnsi="Symbol" w:hint="default"/>
      </w:rPr>
    </w:lvl>
    <w:lvl w:ilvl="4" w:tplc="4448CC4C">
      <w:start w:val="1"/>
      <w:numFmt w:val="bullet"/>
      <w:lvlText w:val="o"/>
      <w:lvlJc w:val="left"/>
      <w:pPr>
        <w:ind w:left="3600" w:hanging="360"/>
      </w:pPr>
      <w:rPr>
        <w:rFonts w:ascii="Courier New" w:hAnsi="Courier New" w:hint="default"/>
      </w:rPr>
    </w:lvl>
    <w:lvl w:ilvl="5" w:tplc="34EA3D6C">
      <w:start w:val="1"/>
      <w:numFmt w:val="bullet"/>
      <w:lvlText w:val=""/>
      <w:lvlJc w:val="left"/>
      <w:pPr>
        <w:ind w:left="4320" w:hanging="360"/>
      </w:pPr>
      <w:rPr>
        <w:rFonts w:ascii="Wingdings" w:hAnsi="Wingdings" w:hint="default"/>
      </w:rPr>
    </w:lvl>
    <w:lvl w:ilvl="6" w:tplc="DE82B37A">
      <w:start w:val="1"/>
      <w:numFmt w:val="bullet"/>
      <w:lvlText w:val=""/>
      <w:lvlJc w:val="left"/>
      <w:pPr>
        <w:ind w:left="5040" w:hanging="360"/>
      </w:pPr>
      <w:rPr>
        <w:rFonts w:ascii="Symbol" w:hAnsi="Symbol" w:hint="default"/>
      </w:rPr>
    </w:lvl>
    <w:lvl w:ilvl="7" w:tplc="02281A24">
      <w:start w:val="1"/>
      <w:numFmt w:val="bullet"/>
      <w:lvlText w:val="o"/>
      <w:lvlJc w:val="left"/>
      <w:pPr>
        <w:ind w:left="5760" w:hanging="360"/>
      </w:pPr>
      <w:rPr>
        <w:rFonts w:ascii="Courier New" w:hAnsi="Courier New" w:hint="default"/>
      </w:rPr>
    </w:lvl>
    <w:lvl w:ilvl="8" w:tplc="2B5244A0">
      <w:start w:val="1"/>
      <w:numFmt w:val="bullet"/>
      <w:lvlText w:val=""/>
      <w:lvlJc w:val="left"/>
      <w:pPr>
        <w:ind w:left="6480" w:hanging="360"/>
      </w:pPr>
      <w:rPr>
        <w:rFonts w:ascii="Wingdings" w:hAnsi="Wingdings" w:hint="default"/>
      </w:rPr>
    </w:lvl>
  </w:abstractNum>
  <w:abstractNum w:abstractNumId="16" w15:restartNumberingAfterBreak="0">
    <w:nsid w:val="307701C3"/>
    <w:multiLevelType w:val="hybridMultilevel"/>
    <w:tmpl w:val="1A1270EA"/>
    <w:lvl w:ilvl="0" w:tplc="46C8E97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7"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94C2B5B"/>
    <w:multiLevelType w:val="hybridMultilevel"/>
    <w:tmpl w:val="FB3E13CC"/>
    <w:lvl w:ilvl="0" w:tplc="871A9B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6"/>
  </w:num>
  <w:num w:numId="4">
    <w:abstractNumId w:val="21"/>
  </w:num>
  <w:num w:numId="5">
    <w:abstractNumId w:val="34"/>
  </w:num>
  <w:num w:numId="6">
    <w:abstractNumId w:val="24"/>
  </w:num>
  <w:num w:numId="7">
    <w:abstractNumId w:val="17"/>
  </w:num>
  <w:num w:numId="8">
    <w:abstractNumId w:val="33"/>
  </w:num>
  <w:num w:numId="9">
    <w:abstractNumId w:val="9"/>
  </w:num>
  <w:num w:numId="10">
    <w:abstractNumId w:val="30"/>
  </w:num>
  <w:num w:numId="11">
    <w:abstractNumId w:val="22"/>
  </w:num>
  <w:num w:numId="12">
    <w:abstractNumId w:val="11"/>
  </w:num>
  <w:num w:numId="13">
    <w:abstractNumId w:val="12"/>
  </w:num>
  <w:num w:numId="14">
    <w:abstractNumId w:val="19"/>
  </w:num>
  <w:num w:numId="15">
    <w:abstractNumId w:val="28"/>
  </w:num>
  <w:num w:numId="16">
    <w:abstractNumId w:val="10"/>
  </w:num>
  <w:num w:numId="17">
    <w:abstractNumId w:val="0"/>
  </w:num>
  <w:num w:numId="18">
    <w:abstractNumId w:val="13"/>
  </w:num>
  <w:num w:numId="19">
    <w:abstractNumId w:val="29"/>
  </w:num>
  <w:num w:numId="20">
    <w:abstractNumId w:val="7"/>
  </w:num>
  <w:num w:numId="21">
    <w:abstractNumId w:val="20"/>
  </w:num>
  <w:num w:numId="22">
    <w:abstractNumId w:val="4"/>
  </w:num>
  <w:num w:numId="23">
    <w:abstractNumId w:val="23"/>
  </w:num>
  <w:num w:numId="24">
    <w:abstractNumId w:val="26"/>
  </w:num>
  <w:num w:numId="25">
    <w:abstractNumId w:val="1"/>
  </w:num>
  <w:num w:numId="26">
    <w:abstractNumId w:val="32"/>
  </w:num>
  <w:num w:numId="27">
    <w:abstractNumId w:val="8"/>
  </w:num>
  <w:num w:numId="28">
    <w:abstractNumId w:val="27"/>
  </w:num>
  <w:num w:numId="29">
    <w:abstractNumId w:val="31"/>
  </w:num>
  <w:num w:numId="30">
    <w:abstractNumId w:val="25"/>
  </w:num>
  <w:num w:numId="31">
    <w:abstractNumId w:val="18"/>
  </w:num>
  <w:num w:numId="32">
    <w:abstractNumId w:val="5"/>
  </w:num>
  <w:num w:numId="33">
    <w:abstractNumId w:val="14"/>
  </w:num>
  <w:num w:numId="34">
    <w:abstractNumId w:val="35"/>
  </w:num>
  <w:num w:numId="35">
    <w:abstractNumId w:val="16"/>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70A38"/>
    <w:rsid w:val="00474229"/>
    <w:rsid w:val="004874DE"/>
    <w:rsid w:val="004B5334"/>
    <w:rsid w:val="004B6C14"/>
    <w:rsid w:val="004B6C61"/>
    <w:rsid w:val="004C4F19"/>
    <w:rsid w:val="004D5E9B"/>
    <w:rsid w:val="004D63D9"/>
    <w:rsid w:val="004E6585"/>
    <w:rsid w:val="0050249F"/>
    <w:rsid w:val="005129B7"/>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73D7B"/>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0790"/>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E5651"/>
    <w:rsid w:val="00FF273B"/>
    <w:rsid w:val="00FF564C"/>
    <w:rsid w:val="043208AE"/>
    <w:rsid w:val="04DED357"/>
    <w:rsid w:val="057B3CB1"/>
    <w:rsid w:val="08FD2EDD"/>
    <w:rsid w:val="0BECC44E"/>
    <w:rsid w:val="0D580C24"/>
    <w:rsid w:val="138BFB3B"/>
    <w:rsid w:val="16B49989"/>
    <w:rsid w:val="17708B44"/>
    <w:rsid w:val="18A581AA"/>
    <w:rsid w:val="2002C083"/>
    <w:rsid w:val="259E24E2"/>
    <w:rsid w:val="25AEE2D9"/>
    <w:rsid w:val="2CC25FBB"/>
    <w:rsid w:val="35D75AD1"/>
    <w:rsid w:val="3A6915F2"/>
    <w:rsid w:val="3BDD3DF9"/>
    <w:rsid w:val="3DF9AB8C"/>
    <w:rsid w:val="43AA28BB"/>
    <w:rsid w:val="464F7901"/>
    <w:rsid w:val="4FB4B4CD"/>
    <w:rsid w:val="55303588"/>
    <w:rsid w:val="5FB4A393"/>
    <w:rsid w:val="663E7263"/>
    <w:rsid w:val="68622ED3"/>
    <w:rsid w:val="6CE8208B"/>
    <w:rsid w:val="74EDEC0F"/>
    <w:rsid w:val="7681C9CE"/>
    <w:rsid w:val="7A0A2E45"/>
    <w:rsid w:val="7D0502EB"/>
    <w:rsid w:val="7E3766E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numbering" w:customStyle="1" w:styleId="NoList1">
    <w:name w:val="No List1"/>
    <w:next w:val="NoList"/>
    <w:uiPriority w:val="99"/>
    <w:semiHidden/>
    <w:unhideWhenUsed/>
    <w:rsid w:val="005129B7"/>
  </w:style>
  <w:style w:type="character" w:customStyle="1" w:styleId="Heading1Char">
    <w:name w:val="Heading 1 Char"/>
    <w:basedOn w:val="DefaultParagraphFont"/>
    <w:link w:val="Heading1"/>
    <w:uiPriority w:val="9"/>
    <w:rsid w:val="005129B7"/>
    <w:rPr>
      <w:b/>
      <w:sz w:val="36"/>
      <w:shd w:val="pct15" w:color="auto" w:fill="auto"/>
      <w:lang w:eastAsia="en-GB"/>
    </w:rPr>
  </w:style>
  <w:style w:type="character" w:customStyle="1" w:styleId="Heading2Char">
    <w:name w:val="Heading 2 Char"/>
    <w:basedOn w:val="DefaultParagraphFont"/>
    <w:link w:val="Heading2"/>
    <w:uiPriority w:val="9"/>
    <w:rsid w:val="005129B7"/>
    <w:rPr>
      <w:b/>
      <w:sz w:val="24"/>
      <w:lang w:eastAsia="en-GB"/>
    </w:rPr>
  </w:style>
  <w:style w:type="paragraph" w:customStyle="1" w:styleId="FootnoteText1">
    <w:name w:val="Footnote Text1"/>
    <w:basedOn w:val="Normal"/>
    <w:next w:val="FootnoteText"/>
    <w:link w:val="FootnoteTextChar"/>
    <w:uiPriority w:val="99"/>
    <w:semiHidden/>
    <w:unhideWhenUsed/>
    <w:rsid w:val="005129B7"/>
    <w:rPr>
      <w:lang w:eastAsia="en-US"/>
    </w:rPr>
  </w:style>
  <w:style w:type="character" w:customStyle="1" w:styleId="FootnoteTextChar">
    <w:name w:val="Footnote Text Char"/>
    <w:basedOn w:val="DefaultParagraphFont"/>
    <w:link w:val="FootnoteText1"/>
    <w:uiPriority w:val="99"/>
    <w:semiHidden/>
    <w:rsid w:val="005129B7"/>
    <w:rPr>
      <w:sz w:val="20"/>
      <w:szCs w:val="20"/>
    </w:rPr>
  </w:style>
  <w:style w:type="character" w:styleId="FootnoteReference">
    <w:name w:val="footnote reference"/>
    <w:basedOn w:val="DefaultParagraphFont"/>
    <w:uiPriority w:val="99"/>
    <w:semiHidden/>
    <w:unhideWhenUsed/>
    <w:rsid w:val="005129B7"/>
    <w:rPr>
      <w:vertAlign w:val="superscript"/>
    </w:rPr>
  </w:style>
  <w:style w:type="character" w:customStyle="1" w:styleId="FollowedHyperlink1">
    <w:name w:val="FollowedHyperlink1"/>
    <w:basedOn w:val="DefaultParagraphFont"/>
    <w:uiPriority w:val="99"/>
    <w:semiHidden/>
    <w:unhideWhenUsed/>
    <w:rsid w:val="005129B7"/>
    <w:rPr>
      <w:color w:val="954F72"/>
      <w:u w:val="single"/>
    </w:rPr>
  </w:style>
  <w:style w:type="paragraph" w:styleId="FootnoteText">
    <w:name w:val="footnote text"/>
    <w:basedOn w:val="Normal"/>
    <w:link w:val="FootnoteTextChar1"/>
    <w:semiHidden/>
    <w:unhideWhenUsed/>
    <w:rsid w:val="005129B7"/>
  </w:style>
  <w:style w:type="character" w:customStyle="1" w:styleId="FootnoteTextChar1">
    <w:name w:val="Footnote Text Char1"/>
    <w:basedOn w:val="DefaultParagraphFont"/>
    <w:link w:val="FootnoteText"/>
    <w:semiHidden/>
    <w:rsid w:val="005129B7"/>
    <w:rPr>
      <w:lang w:eastAsia="en-GB"/>
    </w:rPr>
  </w:style>
  <w:style w:type="character" w:styleId="FollowedHyperlink">
    <w:name w:val="FollowedHyperlink"/>
    <w:basedOn w:val="DefaultParagraphFont"/>
    <w:semiHidden/>
    <w:unhideWhenUsed/>
    <w:rsid w:val="005129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bbc.co.uk/news/av/world-us-canada-38803631" TargetMode="External"/><Relationship Id="rId26" Type="http://schemas.openxmlformats.org/officeDocument/2006/relationships/hyperlink" Target="https://nationalpost.com/news/canada/quebec-mosque-shooting-terrorism-offences-are-complex-experts-say" TargetMode="External"/><Relationship Id="rId3" Type="http://schemas.openxmlformats.org/officeDocument/2006/relationships/customXml" Target="../customXml/item3.xml"/><Relationship Id="rId21" Type="http://schemas.openxmlformats.org/officeDocument/2006/relationships/hyperlink" Target="https://www.cbc.ca/news/technology/greenpeace-stunt-wrong-approach-to-climate-change-bob-mcdonald-1.2870270" TargetMode="External"/><Relationship Id="rId34" Type="http://schemas.openxmlformats.org/officeDocument/2006/relationships/hyperlink" Target="https://www.gov.uk/government/publications/crowded-places-guidance/hostile-reconnaissance"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bbc.co.uk/news/world-europe-34818994" TargetMode="External"/><Relationship Id="rId25" Type="http://schemas.openxmlformats.org/officeDocument/2006/relationships/hyperlink" Target="https://www.mi5.gov.uk/terrorist-methods" TargetMode="External"/><Relationship Id="rId33" Type="http://schemas.openxmlformats.org/officeDocument/2006/relationships/hyperlink" Target="https://www.nytimes.com/2012/04/19/world/europe/norway-anders-behring-breivik-trial-extremist-affiliations.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news/world-30086435" TargetMode="External"/><Relationship Id="rId20" Type="http://schemas.openxmlformats.org/officeDocument/2006/relationships/hyperlink" Target="https://www.bbc.co.uk/news/world-europe-54016147" TargetMode="External"/><Relationship Id="rId29" Type="http://schemas.openxmlformats.org/officeDocument/2006/relationships/hyperlink" Target="https://www.reuters.com/article/us-texas-shooting-8chan-idUSKCN1UV08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restresearch.ac.uk/comment/after-8chan/" TargetMode="External"/><Relationship Id="rId32" Type="http://schemas.openxmlformats.org/officeDocument/2006/relationships/hyperlink" Target="https://indianexpress.com/article/india/india-others/ib-report-to-pmo-greenpeace-is-a-threat-to-national-economic-security/"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bc.co.uk/news/world-asia-23042334" TargetMode="External"/><Relationship Id="rId23" Type="http://schemas.openxmlformats.org/officeDocument/2006/relationships/hyperlink" Target="https://www.cps.gov.uk/crime-info/terrorism" TargetMode="External"/><Relationship Id="rId28" Type="http://schemas.openxmlformats.org/officeDocument/2006/relationships/hyperlink" Target="https://www.oxfordreference.com/view/10.1093/acref/9780199646241.001.0001/acref-9780199646241-e-1482"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bbc.co.uk/news/business-51262449" TargetMode="External"/><Relationship Id="rId31" Type="http://schemas.openxmlformats.org/officeDocument/2006/relationships/hyperlink" Target="https://www.theguardian.com/uk-news/2020/jan/17/greenpeace-included-with-neo-nazis-on-uk-counter-terror-lis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world-asia-21873017" TargetMode="External"/><Relationship Id="rId22" Type="http://schemas.openxmlformats.org/officeDocument/2006/relationships/hyperlink" Target="https://www.controlrisks.com/our-thinking/insights/the-reputational-impact-of-the-luanda-leaks" TargetMode="External"/><Relationship Id="rId27" Type="http://schemas.openxmlformats.org/officeDocument/2006/relationships/hyperlink" Target="https://www.oed.com/oed2/00249602;jsessionid=A14CBC89A41317E966650528756F5841" TargetMode="External"/><Relationship Id="rId30" Type="http://schemas.openxmlformats.org/officeDocument/2006/relationships/hyperlink" Target="https://www.theguardian.com/world/2014/jun/23/us-justification-drone-killing-american-citizen-awlaki" TargetMode="External"/><Relationship Id="rId35"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nspcc.org.uk/keeping-children-safe/reporting-abuse/dedicated-helplines/protecting-children-from-radicalisation/" TargetMode="External"/><Relationship Id="rId2" Type="http://schemas.openxmlformats.org/officeDocument/2006/relationships/hyperlink" Target="https://actearly.uk/" TargetMode="External"/><Relationship Id="rId1" Type="http://schemas.openxmlformats.org/officeDocument/2006/relationships/hyperlink" Target="https://www.ltai.inf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E9C27-BDBD-4E83-86C2-D0D2DD942277}">
  <ds:schemaRef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17B1F5-82B1-4A72-98E6-6853ADDE1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20</Pages>
  <Words>10274</Words>
  <Characters>58568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Macedo dos Santos,Nanci swp6450</cp:lastModifiedBy>
  <cp:revision>4</cp:revision>
  <cp:lastPrinted>2014-10-10T07:42:00Z</cp:lastPrinted>
  <dcterms:created xsi:type="dcterms:W3CDTF">2020-06-09T11:56:00Z</dcterms:created>
  <dcterms:modified xsi:type="dcterms:W3CDTF">2021-01-04T00:42:00Z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e6189ba2-4b06-4850-a594-0a392d47258e</vt:lpwstr>
  </property>
</Properties>
</file>