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39E65" w14:textId="4637F9E0" w:rsidR="007454DB" w:rsidRDefault="0095017F">
      <w:pPr>
        <w:spacing w:before="800"/>
      </w:pPr>
      <w:r>
        <w:rPr>
          <w:noProof/>
        </w:rPr>
        <w:drawing>
          <wp:inline distT="0" distB="0" distL="0" distR="0" wp14:anchorId="6C79D8A5" wp14:editId="566A0F03">
            <wp:extent cx="5731510" cy="2004943"/>
            <wp:effectExtent l="0" t="0" r="0" b="1905"/>
            <wp:docPr id="2" name="Picture 1" descr="UWTSD Named UK University of the Year for Teaching Quality">
              <a:extLst xmlns:a="http://schemas.openxmlformats.org/drawingml/2006/main">
                <a:ext uri="{FF2B5EF4-FFF2-40B4-BE49-F238E27FC236}">
                  <a16:creationId xmlns:a16="http://schemas.microsoft.com/office/drawing/2014/main" id="{C4FDA09C-26C5-3315-37CA-152CE40C4A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Named UK University of the Year for Teaching Quality">
                      <a:extLst>
                        <a:ext uri="{FF2B5EF4-FFF2-40B4-BE49-F238E27FC236}">
                          <a16:creationId xmlns:a16="http://schemas.microsoft.com/office/drawing/2014/main" id="{C4FDA09C-26C5-3315-37CA-152CE40C4A44}"/>
                        </a:ext>
                      </a:extLs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t="14410" b="17897"/>
                    <a:stretch>
                      <a:fillRect/>
                    </a:stretch>
                  </pic:blipFill>
                  <pic:spPr bwMode="auto">
                    <a:xfrm>
                      <a:off x="0" y="0"/>
                      <a:ext cx="5731510" cy="2004943"/>
                    </a:xfrm>
                    <a:prstGeom prst="rect">
                      <a:avLst/>
                    </a:prstGeom>
                    <a:noFill/>
                  </pic:spPr>
                </pic:pic>
              </a:graphicData>
            </a:graphic>
          </wp:inline>
        </w:drawing>
      </w:r>
    </w:p>
    <w:p w14:paraId="78F89ACA" w14:textId="77777777" w:rsidR="0095017F" w:rsidRDefault="0095017F" w:rsidP="0095017F">
      <w:pPr>
        <w:spacing w:after="200"/>
        <w:rPr>
          <w:b/>
          <w:bCs/>
          <w:color w:val="000000" w:themeColor="text1"/>
          <w:sz w:val="40"/>
          <w:szCs w:val="40"/>
        </w:rPr>
      </w:pPr>
    </w:p>
    <w:p w14:paraId="53A044C9" w14:textId="5A1BD649" w:rsidR="007454DB" w:rsidRPr="00960B4E" w:rsidRDefault="00000000">
      <w:pPr>
        <w:spacing w:after="200"/>
        <w:jc w:val="center"/>
        <w:rPr>
          <w:color w:val="000000" w:themeColor="text1"/>
        </w:rPr>
      </w:pPr>
      <w:r w:rsidRPr="00960B4E">
        <w:rPr>
          <w:b/>
          <w:bCs/>
          <w:color w:val="000000" w:themeColor="text1"/>
          <w:sz w:val="40"/>
          <w:szCs w:val="40"/>
        </w:rPr>
        <w:t>Research Proposal</w:t>
      </w:r>
    </w:p>
    <w:p w14:paraId="467BB76A" w14:textId="50E9D03A" w:rsidR="007454DB" w:rsidRPr="00960B4E" w:rsidRDefault="00000000">
      <w:pPr>
        <w:spacing w:after="400"/>
        <w:jc w:val="center"/>
        <w:rPr>
          <w:color w:val="000000" w:themeColor="text1"/>
          <w:sz w:val="36"/>
          <w:szCs w:val="36"/>
        </w:rPr>
      </w:pPr>
      <w:r w:rsidRPr="00960B4E">
        <w:rPr>
          <w:b/>
          <w:bCs/>
          <w:color w:val="000000" w:themeColor="text1"/>
          <w:sz w:val="36"/>
          <w:szCs w:val="36"/>
        </w:rPr>
        <w:t>The Impact of Cancer Waiting Times on Breast Cancer Patient Outcomes Among Women Aged 25–50 in the UK</w:t>
      </w:r>
      <w:r w:rsidR="0095017F">
        <w:rPr>
          <w:b/>
          <w:bCs/>
          <w:color w:val="000000" w:themeColor="text1"/>
          <w:sz w:val="36"/>
          <w:szCs w:val="36"/>
        </w:rPr>
        <w:t>: A Systematic Review</w:t>
      </w:r>
    </w:p>
    <w:p w14:paraId="1338375A" w14:textId="77777777" w:rsidR="007454DB" w:rsidRPr="009F019F" w:rsidRDefault="00000000">
      <w:pPr>
        <w:spacing w:after="80"/>
        <w:jc w:val="center"/>
        <w:rPr>
          <w:color w:val="000000" w:themeColor="text1"/>
          <w:sz w:val="36"/>
          <w:szCs w:val="36"/>
        </w:rPr>
      </w:pPr>
      <w:r w:rsidRPr="009F019F">
        <w:rPr>
          <w:color w:val="000000" w:themeColor="text1"/>
          <w:sz w:val="36"/>
          <w:szCs w:val="36"/>
        </w:rPr>
        <w:t>M.Sc. Public Health and Social Care in Practice</w:t>
      </w:r>
    </w:p>
    <w:p w14:paraId="6EB02300" w14:textId="77777777" w:rsidR="007454DB" w:rsidRPr="009F019F" w:rsidRDefault="00000000">
      <w:pPr>
        <w:spacing w:after="80"/>
        <w:jc w:val="center"/>
        <w:rPr>
          <w:color w:val="000000" w:themeColor="text1"/>
          <w:sz w:val="36"/>
          <w:szCs w:val="36"/>
        </w:rPr>
      </w:pPr>
      <w:r w:rsidRPr="009F019F">
        <w:rPr>
          <w:color w:val="000000" w:themeColor="text1"/>
          <w:sz w:val="36"/>
          <w:szCs w:val="36"/>
        </w:rPr>
        <w:t>Component 2: Individual Research Proposal</w:t>
      </w:r>
    </w:p>
    <w:p w14:paraId="1523170B" w14:textId="01E60786" w:rsidR="009F019F" w:rsidRPr="009F019F" w:rsidRDefault="009F019F" w:rsidP="009F019F">
      <w:pPr>
        <w:pStyle w:val="Heading2"/>
        <w:jc w:val="center"/>
        <w:rPr>
          <w:color w:val="1D2125"/>
          <w:sz w:val="36"/>
          <w:szCs w:val="36"/>
        </w:rPr>
      </w:pPr>
      <w:r w:rsidRPr="009F019F">
        <w:rPr>
          <w:color w:val="000000" w:themeColor="text1"/>
          <w:sz w:val="36"/>
          <w:szCs w:val="36"/>
        </w:rPr>
        <w:t>Module name:</w:t>
      </w:r>
      <w:r w:rsidRPr="009F019F">
        <w:rPr>
          <w:rStyle w:val="Strong1"/>
          <w:color w:val="1D2125"/>
          <w:sz w:val="36"/>
          <w:szCs w:val="36"/>
        </w:rPr>
        <w:t xml:space="preserve"> </w:t>
      </w:r>
      <w:r w:rsidRPr="009F019F">
        <w:rPr>
          <w:rStyle w:val="Strong"/>
          <w:color w:val="1D2125"/>
          <w:sz w:val="36"/>
          <w:szCs w:val="36"/>
        </w:rPr>
        <w:t>Practice-Based Research</w:t>
      </w:r>
    </w:p>
    <w:p w14:paraId="426C284D" w14:textId="6800CF56" w:rsidR="009F019F" w:rsidRPr="009F019F" w:rsidRDefault="009F019F" w:rsidP="009F019F">
      <w:pPr>
        <w:pStyle w:val="Heading2"/>
        <w:jc w:val="center"/>
        <w:rPr>
          <w:color w:val="1D2125"/>
          <w:sz w:val="36"/>
          <w:szCs w:val="36"/>
        </w:rPr>
      </w:pPr>
      <w:r w:rsidRPr="009F019F">
        <w:rPr>
          <w:color w:val="000000" w:themeColor="text1"/>
          <w:sz w:val="36"/>
          <w:szCs w:val="36"/>
        </w:rPr>
        <w:t>Module Code:</w:t>
      </w:r>
      <w:r w:rsidRPr="009F019F">
        <w:rPr>
          <w:rStyle w:val="Strong1"/>
          <w:color w:val="1D2125"/>
          <w:sz w:val="36"/>
          <w:szCs w:val="36"/>
        </w:rPr>
        <w:t xml:space="preserve"> </w:t>
      </w:r>
      <w:r w:rsidRPr="009F019F">
        <w:rPr>
          <w:rStyle w:val="Strong"/>
          <w:color w:val="1D2125"/>
          <w:sz w:val="36"/>
          <w:szCs w:val="36"/>
        </w:rPr>
        <w:t>LCHS7008</w:t>
      </w:r>
    </w:p>
    <w:p w14:paraId="647AE351" w14:textId="01157F3D" w:rsidR="0095017F" w:rsidRPr="009F019F" w:rsidRDefault="0095017F">
      <w:pPr>
        <w:spacing w:after="80"/>
        <w:jc w:val="center"/>
        <w:rPr>
          <w:color w:val="000000" w:themeColor="text1"/>
          <w:sz w:val="36"/>
          <w:szCs w:val="36"/>
        </w:rPr>
      </w:pPr>
      <w:r w:rsidRPr="009F019F">
        <w:rPr>
          <w:color w:val="000000" w:themeColor="text1"/>
          <w:sz w:val="36"/>
          <w:szCs w:val="36"/>
        </w:rPr>
        <w:t>Lecturer:</w:t>
      </w:r>
      <w:r w:rsidRPr="009F019F">
        <w:rPr>
          <w:color w:val="000000" w:themeColor="text1"/>
          <w:sz w:val="36"/>
          <w:szCs w:val="36"/>
          <w:shd w:val="clear" w:color="auto" w:fill="FFFFFF"/>
        </w:rPr>
        <w:t xml:space="preserve"> </w:t>
      </w:r>
      <w:r w:rsidRPr="009F019F">
        <w:rPr>
          <w:color w:val="000000" w:themeColor="text1"/>
          <w:sz w:val="36"/>
          <w:szCs w:val="36"/>
          <w:shd w:val="clear" w:color="auto" w:fill="FFFFFF"/>
        </w:rPr>
        <w:t xml:space="preserve">Dr Diola </w:t>
      </w:r>
      <w:proofErr w:type="spellStart"/>
      <w:r w:rsidRPr="009F019F">
        <w:rPr>
          <w:color w:val="000000" w:themeColor="text1"/>
          <w:sz w:val="36"/>
          <w:szCs w:val="36"/>
          <w:shd w:val="clear" w:color="auto" w:fill="FFFFFF"/>
        </w:rPr>
        <w:t>Bijlhou</w:t>
      </w:r>
      <w:r w:rsidRPr="009F019F">
        <w:rPr>
          <w:color w:val="000000" w:themeColor="text1"/>
          <w:sz w:val="36"/>
          <w:szCs w:val="36"/>
          <w:shd w:val="clear" w:color="auto" w:fill="FFFFFF"/>
        </w:rPr>
        <w:t>t</w:t>
      </w:r>
      <w:proofErr w:type="spellEnd"/>
    </w:p>
    <w:p w14:paraId="763BB6C0" w14:textId="28E453B0" w:rsidR="007454DB" w:rsidRPr="009F019F" w:rsidRDefault="00000000">
      <w:pPr>
        <w:spacing w:after="400"/>
        <w:jc w:val="center"/>
        <w:rPr>
          <w:color w:val="000000" w:themeColor="text1"/>
          <w:sz w:val="36"/>
          <w:szCs w:val="36"/>
        </w:rPr>
      </w:pPr>
      <w:r w:rsidRPr="009F019F">
        <w:rPr>
          <w:color w:val="000000" w:themeColor="text1"/>
          <w:sz w:val="36"/>
          <w:szCs w:val="36"/>
        </w:rPr>
        <w:t xml:space="preserve">Student Name: Amit </w:t>
      </w:r>
      <w:r w:rsidR="0095017F" w:rsidRPr="009F019F">
        <w:rPr>
          <w:color w:val="000000" w:themeColor="text1"/>
          <w:sz w:val="36"/>
          <w:szCs w:val="36"/>
        </w:rPr>
        <w:t>Tiwari |</w:t>
      </w:r>
      <w:r w:rsidRPr="009F019F">
        <w:rPr>
          <w:color w:val="000000" w:themeColor="text1"/>
          <w:sz w:val="36"/>
          <w:szCs w:val="36"/>
        </w:rPr>
        <w:t xml:space="preserve"> Student ID: 2526931</w:t>
      </w:r>
    </w:p>
    <w:p w14:paraId="6BDED869" w14:textId="77777777" w:rsidR="007454DB" w:rsidRDefault="00000000">
      <w:r>
        <w:br w:type="page"/>
      </w:r>
    </w:p>
    <w:p w14:paraId="5F212D4D" w14:textId="77777777" w:rsidR="007454DB" w:rsidRPr="00960B4E" w:rsidRDefault="00000000">
      <w:pPr>
        <w:spacing w:before="200" w:after="200"/>
        <w:rPr>
          <w:color w:val="000000" w:themeColor="text1"/>
          <w:sz w:val="32"/>
          <w:szCs w:val="32"/>
        </w:rPr>
      </w:pPr>
      <w:r w:rsidRPr="00960B4E">
        <w:rPr>
          <w:b/>
          <w:bCs/>
          <w:color w:val="000000" w:themeColor="text1"/>
          <w:sz w:val="32"/>
          <w:szCs w:val="32"/>
        </w:rPr>
        <w:lastRenderedPageBreak/>
        <w:t>Table of Contents</w:t>
      </w:r>
    </w:p>
    <w:p w14:paraId="16D3D83D" w14:textId="77777777" w:rsidR="007454DB" w:rsidRPr="00960B4E" w:rsidRDefault="00000000">
      <w:pPr>
        <w:tabs>
          <w:tab w:val="right" w:leader="dot" w:pos="9026"/>
        </w:tabs>
        <w:spacing w:after="120"/>
        <w:rPr>
          <w:color w:val="000000" w:themeColor="text1"/>
        </w:rPr>
      </w:pPr>
      <w:r w:rsidRPr="00960B4E">
        <w:rPr>
          <w:color w:val="000000" w:themeColor="text1"/>
          <w:sz w:val="24"/>
          <w:szCs w:val="24"/>
        </w:rPr>
        <w:t>1. Prevalence of the Problem</w:t>
      </w:r>
      <w:r w:rsidRPr="00960B4E">
        <w:rPr>
          <w:color w:val="000000" w:themeColor="text1"/>
          <w:sz w:val="24"/>
          <w:szCs w:val="24"/>
        </w:rPr>
        <w:tab/>
        <w:t>3</w:t>
      </w:r>
    </w:p>
    <w:p w14:paraId="581B59E6" w14:textId="4F17E212" w:rsidR="007454DB" w:rsidRPr="00960B4E" w:rsidRDefault="00000000">
      <w:pPr>
        <w:tabs>
          <w:tab w:val="right" w:leader="dot" w:pos="9026"/>
        </w:tabs>
        <w:spacing w:after="120"/>
        <w:rPr>
          <w:color w:val="000000" w:themeColor="text1"/>
        </w:rPr>
      </w:pPr>
      <w:r w:rsidRPr="00960B4E">
        <w:rPr>
          <w:color w:val="000000" w:themeColor="text1"/>
          <w:sz w:val="24"/>
          <w:szCs w:val="24"/>
        </w:rPr>
        <w:t>2. Introduction and Literature-Based Background</w:t>
      </w:r>
      <w:r w:rsidRPr="00960B4E">
        <w:rPr>
          <w:color w:val="000000" w:themeColor="text1"/>
          <w:sz w:val="24"/>
          <w:szCs w:val="24"/>
        </w:rPr>
        <w:tab/>
      </w:r>
      <w:r w:rsidR="0095017F">
        <w:rPr>
          <w:color w:val="000000" w:themeColor="text1"/>
          <w:sz w:val="24"/>
          <w:szCs w:val="24"/>
        </w:rPr>
        <w:t>3</w:t>
      </w:r>
    </w:p>
    <w:p w14:paraId="2C54C02C" w14:textId="1913AE27" w:rsidR="007454DB" w:rsidRPr="00960B4E" w:rsidRDefault="00000000">
      <w:pPr>
        <w:tabs>
          <w:tab w:val="right" w:leader="dot" w:pos="9026"/>
        </w:tabs>
        <w:spacing w:after="120"/>
        <w:rPr>
          <w:color w:val="000000" w:themeColor="text1"/>
        </w:rPr>
      </w:pPr>
      <w:r w:rsidRPr="00960B4E">
        <w:rPr>
          <w:color w:val="000000" w:themeColor="text1"/>
          <w:sz w:val="24"/>
          <w:szCs w:val="24"/>
        </w:rPr>
        <w:t>3. Rationale, Research Question, Aim and Objectives</w:t>
      </w:r>
      <w:r w:rsidRPr="00960B4E">
        <w:rPr>
          <w:color w:val="000000" w:themeColor="text1"/>
          <w:sz w:val="24"/>
          <w:szCs w:val="24"/>
        </w:rPr>
        <w:tab/>
      </w:r>
      <w:r w:rsidR="0095017F">
        <w:rPr>
          <w:color w:val="000000" w:themeColor="text1"/>
          <w:sz w:val="24"/>
          <w:szCs w:val="24"/>
        </w:rPr>
        <w:t>4</w:t>
      </w:r>
    </w:p>
    <w:p w14:paraId="4A5D15E0" w14:textId="77777777" w:rsidR="007454DB" w:rsidRPr="00960B4E" w:rsidRDefault="00000000">
      <w:pPr>
        <w:tabs>
          <w:tab w:val="right" w:leader="dot" w:pos="9026"/>
        </w:tabs>
        <w:spacing w:after="120"/>
        <w:ind w:left="360"/>
        <w:rPr>
          <w:color w:val="000000" w:themeColor="text1"/>
        </w:rPr>
      </w:pPr>
      <w:r w:rsidRPr="00960B4E">
        <w:rPr>
          <w:color w:val="000000" w:themeColor="text1"/>
          <w:sz w:val="24"/>
          <w:szCs w:val="24"/>
        </w:rPr>
        <w:t xml:space="preserve">     Objectives</w:t>
      </w:r>
      <w:r w:rsidRPr="00960B4E">
        <w:rPr>
          <w:color w:val="000000" w:themeColor="text1"/>
          <w:sz w:val="24"/>
          <w:szCs w:val="24"/>
        </w:rPr>
        <w:tab/>
        <w:t>5</w:t>
      </w:r>
    </w:p>
    <w:p w14:paraId="701D0D8F" w14:textId="77777777" w:rsidR="007454DB" w:rsidRPr="00960B4E" w:rsidRDefault="00000000">
      <w:pPr>
        <w:tabs>
          <w:tab w:val="right" w:leader="dot" w:pos="9026"/>
        </w:tabs>
        <w:spacing w:after="120"/>
        <w:rPr>
          <w:color w:val="000000" w:themeColor="text1"/>
        </w:rPr>
      </w:pPr>
      <w:r w:rsidRPr="00960B4E">
        <w:rPr>
          <w:color w:val="000000" w:themeColor="text1"/>
          <w:sz w:val="24"/>
          <w:szCs w:val="24"/>
        </w:rPr>
        <w:t>4. Research Methodology</w:t>
      </w:r>
      <w:r w:rsidRPr="00960B4E">
        <w:rPr>
          <w:color w:val="000000" w:themeColor="text1"/>
          <w:sz w:val="24"/>
          <w:szCs w:val="24"/>
        </w:rPr>
        <w:tab/>
        <w:t>6</w:t>
      </w:r>
    </w:p>
    <w:p w14:paraId="259E2954" w14:textId="77777777" w:rsidR="007454DB" w:rsidRPr="00960B4E" w:rsidRDefault="00000000">
      <w:pPr>
        <w:tabs>
          <w:tab w:val="right" w:leader="dot" w:pos="9026"/>
        </w:tabs>
        <w:spacing w:after="120"/>
        <w:ind w:left="360"/>
        <w:rPr>
          <w:color w:val="000000" w:themeColor="text1"/>
        </w:rPr>
      </w:pPr>
      <w:r w:rsidRPr="00960B4E">
        <w:rPr>
          <w:color w:val="000000" w:themeColor="text1"/>
          <w:sz w:val="24"/>
          <w:szCs w:val="24"/>
        </w:rPr>
        <w:t xml:space="preserve">     4.1 Research Design</w:t>
      </w:r>
      <w:r w:rsidRPr="00960B4E">
        <w:rPr>
          <w:color w:val="000000" w:themeColor="text1"/>
          <w:sz w:val="24"/>
          <w:szCs w:val="24"/>
        </w:rPr>
        <w:tab/>
        <w:t>6</w:t>
      </w:r>
    </w:p>
    <w:p w14:paraId="3FA43117" w14:textId="77777777" w:rsidR="007454DB" w:rsidRPr="00960B4E" w:rsidRDefault="00000000">
      <w:pPr>
        <w:tabs>
          <w:tab w:val="right" w:leader="dot" w:pos="9026"/>
        </w:tabs>
        <w:spacing w:after="120"/>
        <w:ind w:left="360"/>
        <w:rPr>
          <w:color w:val="000000" w:themeColor="text1"/>
        </w:rPr>
      </w:pPr>
      <w:r w:rsidRPr="00960B4E">
        <w:rPr>
          <w:color w:val="000000" w:themeColor="text1"/>
          <w:sz w:val="24"/>
          <w:szCs w:val="24"/>
        </w:rPr>
        <w:t xml:space="preserve">     4.2 Eligibility Criteria and Study Selection</w:t>
      </w:r>
      <w:r w:rsidRPr="00960B4E">
        <w:rPr>
          <w:color w:val="000000" w:themeColor="text1"/>
          <w:sz w:val="24"/>
          <w:szCs w:val="24"/>
        </w:rPr>
        <w:tab/>
        <w:t>6</w:t>
      </w:r>
    </w:p>
    <w:p w14:paraId="18FC1454" w14:textId="77777777" w:rsidR="007454DB" w:rsidRPr="00960B4E" w:rsidRDefault="00000000">
      <w:pPr>
        <w:tabs>
          <w:tab w:val="right" w:leader="dot" w:pos="9026"/>
        </w:tabs>
        <w:spacing w:after="120"/>
        <w:ind w:left="360"/>
        <w:rPr>
          <w:color w:val="000000" w:themeColor="text1"/>
        </w:rPr>
      </w:pPr>
      <w:r w:rsidRPr="00960B4E">
        <w:rPr>
          <w:color w:val="000000" w:themeColor="text1"/>
          <w:sz w:val="24"/>
          <w:szCs w:val="24"/>
        </w:rPr>
        <w:t xml:space="preserve">     4.3 Materials, Data Collection Methods and Procedure</w:t>
      </w:r>
      <w:r w:rsidRPr="00960B4E">
        <w:rPr>
          <w:color w:val="000000" w:themeColor="text1"/>
          <w:sz w:val="24"/>
          <w:szCs w:val="24"/>
        </w:rPr>
        <w:tab/>
        <w:t>7</w:t>
      </w:r>
    </w:p>
    <w:p w14:paraId="19A48D3F" w14:textId="77777777" w:rsidR="007454DB" w:rsidRPr="00960B4E" w:rsidRDefault="00000000">
      <w:pPr>
        <w:tabs>
          <w:tab w:val="right" w:leader="dot" w:pos="9026"/>
        </w:tabs>
        <w:spacing w:after="120"/>
        <w:ind w:left="360"/>
        <w:rPr>
          <w:color w:val="000000" w:themeColor="text1"/>
        </w:rPr>
      </w:pPr>
      <w:r w:rsidRPr="00960B4E">
        <w:rPr>
          <w:color w:val="000000" w:themeColor="text1"/>
          <w:sz w:val="24"/>
          <w:szCs w:val="24"/>
        </w:rPr>
        <w:t xml:space="preserve">     4.4 Proposed Data Analysis Technique</w:t>
      </w:r>
      <w:r w:rsidRPr="00960B4E">
        <w:rPr>
          <w:color w:val="000000" w:themeColor="text1"/>
          <w:sz w:val="24"/>
          <w:szCs w:val="24"/>
        </w:rPr>
        <w:tab/>
        <w:t>8</w:t>
      </w:r>
    </w:p>
    <w:p w14:paraId="58CB5C3D" w14:textId="77777777" w:rsidR="007454DB" w:rsidRPr="00960B4E" w:rsidRDefault="00000000">
      <w:pPr>
        <w:tabs>
          <w:tab w:val="right" w:leader="dot" w:pos="9026"/>
        </w:tabs>
        <w:spacing w:after="120"/>
        <w:ind w:left="360"/>
        <w:rPr>
          <w:color w:val="000000" w:themeColor="text1"/>
        </w:rPr>
      </w:pPr>
      <w:r w:rsidRPr="00960B4E">
        <w:rPr>
          <w:color w:val="000000" w:themeColor="text1"/>
          <w:sz w:val="24"/>
          <w:szCs w:val="24"/>
        </w:rPr>
        <w:t xml:space="preserve">     4.5 Ethical Considerations</w:t>
      </w:r>
      <w:r w:rsidRPr="00960B4E">
        <w:rPr>
          <w:color w:val="000000" w:themeColor="text1"/>
          <w:sz w:val="24"/>
          <w:szCs w:val="24"/>
        </w:rPr>
        <w:tab/>
        <w:t>8</w:t>
      </w:r>
    </w:p>
    <w:p w14:paraId="0C9E6C66" w14:textId="77777777" w:rsidR="007454DB" w:rsidRPr="00960B4E" w:rsidRDefault="00000000">
      <w:pPr>
        <w:tabs>
          <w:tab w:val="right" w:leader="dot" w:pos="9026"/>
        </w:tabs>
        <w:spacing w:after="120"/>
        <w:rPr>
          <w:color w:val="000000" w:themeColor="text1"/>
        </w:rPr>
      </w:pPr>
      <w:r w:rsidRPr="00960B4E">
        <w:rPr>
          <w:color w:val="000000" w:themeColor="text1"/>
          <w:sz w:val="24"/>
          <w:szCs w:val="24"/>
        </w:rPr>
        <w:t>5. Implication of Research</w:t>
      </w:r>
      <w:r w:rsidRPr="00960B4E">
        <w:rPr>
          <w:color w:val="000000" w:themeColor="text1"/>
          <w:sz w:val="24"/>
          <w:szCs w:val="24"/>
        </w:rPr>
        <w:tab/>
        <w:t>9</w:t>
      </w:r>
    </w:p>
    <w:p w14:paraId="34B14F89" w14:textId="4B9A613B" w:rsidR="007454DB" w:rsidRPr="00960B4E" w:rsidRDefault="00000000">
      <w:pPr>
        <w:tabs>
          <w:tab w:val="right" w:leader="dot" w:pos="9026"/>
        </w:tabs>
        <w:spacing w:after="120"/>
        <w:rPr>
          <w:color w:val="000000" w:themeColor="text1"/>
        </w:rPr>
      </w:pPr>
      <w:r w:rsidRPr="00960B4E">
        <w:rPr>
          <w:color w:val="000000" w:themeColor="text1"/>
          <w:sz w:val="24"/>
          <w:szCs w:val="24"/>
        </w:rPr>
        <w:t>6. Plan of Work and Time Schedule</w:t>
      </w:r>
      <w:r w:rsidRPr="00960B4E">
        <w:rPr>
          <w:color w:val="000000" w:themeColor="text1"/>
          <w:sz w:val="24"/>
          <w:szCs w:val="24"/>
        </w:rPr>
        <w:tab/>
      </w:r>
      <w:r w:rsidR="000349E7">
        <w:rPr>
          <w:color w:val="000000" w:themeColor="text1"/>
          <w:sz w:val="24"/>
          <w:szCs w:val="24"/>
        </w:rPr>
        <w:t>10</w:t>
      </w:r>
    </w:p>
    <w:p w14:paraId="11450361" w14:textId="6998DE33" w:rsidR="007454DB" w:rsidRDefault="00000000">
      <w:pPr>
        <w:tabs>
          <w:tab w:val="right" w:leader="dot" w:pos="9026"/>
        </w:tabs>
        <w:spacing w:after="120"/>
      </w:pPr>
      <w:r w:rsidRPr="00960B4E">
        <w:rPr>
          <w:color w:val="000000" w:themeColor="text1"/>
          <w:sz w:val="24"/>
          <w:szCs w:val="24"/>
        </w:rPr>
        <w:t>References</w:t>
      </w:r>
      <w:r>
        <w:rPr>
          <w:sz w:val="24"/>
          <w:szCs w:val="24"/>
        </w:rPr>
        <w:tab/>
        <w:t>1</w:t>
      </w:r>
      <w:r w:rsidR="000349E7">
        <w:rPr>
          <w:sz w:val="24"/>
          <w:szCs w:val="24"/>
        </w:rPr>
        <w:t>1</w:t>
      </w:r>
    </w:p>
    <w:p w14:paraId="1F9F5417" w14:textId="77777777" w:rsidR="007454DB" w:rsidRDefault="00000000">
      <w:r>
        <w:br w:type="page"/>
      </w:r>
    </w:p>
    <w:p w14:paraId="3E69C482" w14:textId="77777777" w:rsidR="007454DB" w:rsidRPr="00960B4E" w:rsidRDefault="00000000">
      <w:pPr>
        <w:pStyle w:val="Heading1"/>
        <w:spacing w:before="320" w:after="180"/>
        <w:rPr>
          <w:color w:val="000000" w:themeColor="text1"/>
        </w:rPr>
      </w:pPr>
      <w:r w:rsidRPr="00960B4E">
        <w:rPr>
          <w:b/>
          <w:bCs/>
          <w:color w:val="000000" w:themeColor="text1"/>
          <w:sz w:val="30"/>
          <w:szCs w:val="30"/>
        </w:rPr>
        <w:lastRenderedPageBreak/>
        <w:t>1. Prevalence of the Problem</w:t>
      </w:r>
    </w:p>
    <w:p w14:paraId="7AA47402" w14:textId="67CCECFC" w:rsidR="007454DB" w:rsidRPr="000349E7" w:rsidRDefault="00000000" w:rsidP="000349E7">
      <w:pPr>
        <w:spacing w:after="200" w:line="360" w:lineRule="auto"/>
        <w:jc w:val="both"/>
      </w:pPr>
      <w:r w:rsidRPr="000349E7">
        <w:rPr>
          <w:sz w:val="24"/>
          <w:szCs w:val="24"/>
        </w:rPr>
        <w:t xml:space="preserve">Breast cancer is the </w:t>
      </w:r>
      <w:r w:rsidR="00960B4E" w:rsidRPr="000349E7">
        <w:rPr>
          <w:sz w:val="24"/>
          <w:szCs w:val="24"/>
        </w:rPr>
        <w:t>most diagnosed</w:t>
      </w:r>
      <w:r w:rsidRPr="000349E7">
        <w:rPr>
          <w:sz w:val="24"/>
          <w:szCs w:val="24"/>
        </w:rPr>
        <w:t xml:space="preserve"> cancer among UK women and remains a leading cause of death in women under 50 (Breast Cancer Now, 2024). Around one in five new cases occur in women under 50, a group typically further from menopause-related risk factors than the wider patient population (Cancer Research UK, 2022). Overall ten-year survival has risen from around 42% in the 1970s to over 76% by 2018, yet this improvement is unevenly distributed: deprivation-related inequalities persist even after accounting for screening uptake, with Woods et al. (2016) finding that more deprived women eligible for mammographic screening in the West Midlands experienced consistently poorer survival, a pattern only partly explained by stage at diagnosis. Breast cancer is now the leading cause of death for women aged 35 to 49 in England and Wales (Breast Cancer UK, 202</w:t>
      </w:r>
      <w:r w:rsidR="00CF0080" w:rsidRPr="000349E7">
        <w:rPr>
          <w:sz w:val="24"/>
          <w:szCs w:val="24"/>
        </w:rPr>
        <w:t>2</w:t>
      </w:r>
      <w:r w:rsidRPr="000349E7">
        <w:rPr>
          <w:sz w:val="24"/>
          <w:szCs w:val="24"/>
        </w:rPr>
        <w:t>; Office for National Statistics, 2023), so younger women, though a minority of overall cases, carry a disproportionate mortality burden relative to their age group.</w:t>
      </w:r>
    </w:p>
    <w:p w14:paraId="12036731" w14:textId="0D851C33" w:rsidR="007454DB" w:rsidRPr="000349E7" w:rsidRDefault="00000000" w:rsidP="000349E7">
      <w:pPr>
        <w:spacing w:after="200" w:line="360" w:lineRule="auto"/>
        <w:jc w:val="both"/>
      </w:pPr>
      <w:r w:rsidRPr="000349E7">
        <w:rPr>
          <w:sz w:val="24"/>
          <w:szCs w:val="24"/>
        </w:rPr>
        <w:t>Timely diagnosis and treatment are central to these outcomes, yet national performance has deteriorated. NHS standards require 85% of patients to begin treatment within 62 days of urgent referral, and diagnosis to be confirmed or excluded within 28 days for 75% of patients (NHS England, 2023; 2024; Nuffield Trust, 2026). The 62-day standard has not been met since November 2020, and Breast Cancer Now (202</w:t>
      </w:r>
      <w:r w:rsidR="00BD4589" w:rsidRPr="000349E7">
        <w:rPr>
          <w:sz w:val="24"/>
          <w:szCs w:val="24"/>
        </w:rPr>
        <w:t>4</w:t>
      </w:r>
      <w:r w:rsidRPr="000349E7">
        <w:rPr>
          <w:sz w:val="24"/>
          <w:szCs w:val="24"/>
        </w:rPr>
        <w:t xml:space="preserve">) estimates consistent achievement over the preceding three years would have meant over 10,000 additional patients starting treatment on time. COVID-19 compounded this: referrals fell by 28% and first treatments by 16% in early 2020 </w:t>
      </w:r>
      <w:r w:rsidR="00BD4589" w:rsidRPr="000349E7">
        <w:rPr>
          <w:color w:val="000000"/>
          <w:sz w:val="28"/>
          <w:szCs w:val="28"/>
        </w:rPr>
        <w:t>(</w:t>
      </w:r>
      <w:proofErr w:type="spellStart"/>
      <w:r w:rsidR="00BD4589" w:rsidRPr="000349E7">
        <w:rPr>
          <w:color w:val="000000"/>
          <w:sz w:val="28"/>
          <w:szCs w:val="28"/>
        </w:rPr>
        <w:t>Gathani</w:t>
      </w:r>
      <w:proofErr w:type="spellEnd"/>
      <w:r w:rsidR="00BD4589" w:rsidRPr="000349E7">
        <w:rPr>
          <w:color w:val="000000"/>
          <w:sz w:val="28"/>
          <w:szCs w:val="28"/>
        </w:rPr>
        <w:t xml:space="preserve"> et al., 2020), </w:t>
      </w:r>
      <w:r w:rsidRPr="000349E7">
        <w:rPr>
          <w:sz w:val="24"/>
          <w:szCs w:val="24"/>
        </w:rPr>
        <w:t xml:space="preserve">and </w:t>
      </w:r>
      <w:proofErr w:type="spellStart"/>
      <w:r w:rsidRPr="000349E7">
        <w:rPr>
          <w:sz w:val="24"/>
          <w:szCs w:val="24"/>
        </w:rPr>
        <w:t>Maringe</w:t>
      </w:r>
      <w:proofErr w:type="spellEnd"/>
      <w:r w:rsidRPr="000349E7">
        <w:rPr>
          <w:sz w:val="24"/>
          <w:szCs w:val="24"/>
        </w:rPr>
        <w:t xml:space="preserve"> et al. (2020) modelled hundreds of additional deaths attributable to this delay. These figures describe average national performance; the extent to which delay compounds the inequalities above remains poorly quantified, particularly for women aged 25 to 50, whose experience of delay is under-researched and forms the focus of this review.</w:t>
      </w:r>
    </w:p>
    <w:p w14:paraId="279A7D06" w14:textId="77777777" w:rsidR="007454DB" w:rsidRPr="00960B4E" w:rsidRDefault="00000000">
      <w:pPr>
        <w:pStyle w:val="Heading1"/>
        <w:spacing w:before="320" w:after="180"/>
        <w:rPr>
          <w:color w:val="000000" w:themeColor="text1"/>
        </w:rPr>
      </w:pPr>
      <w:r w:rsidRPr="00960B4E">
        <w:rPr>
          <w:b/>
          <w:bCs/>
          <w:color w:val="000000" w:themeColor="text1"/>
          <w:sz w:val="30"/>
          <w:szCs w:val="30"/>
        </w:rPr>
        <w:t>2. Introduction and Literature-Based Background</w:t>
      </w:r>
    </w:p>
    <w:p w14:paraId="6CBB07D3" w14:textId="40E50C2C" w:rsidR="007454DB" w:rsidRPr="000349E7" w:rsidRDefault="00000000" w:rsidP="000349E7">
      <w:pPr>
        <w:spacing w:after="200" w:line="360" w:lineRule="auto"/>
        <w:jc w:val="both"/>
      </w:pPr>
      <w:r w:rsidRPr="000349E7">
        <w:rPr>
          <w:sz w:val="24"/>
          <w:szCs w:val="24"/>
        </w:rPr>
        <w:t xml:space="preserve">The relationship between cancer waiting times and patient outcomes has attracted sustained research attention, partly because UK cancer survival has historically </w:t>
      </w:r>
      <w:r w:rsidR="00960B4E" w:rsidRPr="000349E7">
        <w:rPr>
          <w:sz w:val="24"/>
          <w:szCs w:val="24"/>
        </w:rPr>
        <w:t>lagged</w:t>
      </w:r>
      <w:r w:rsidRPr="000349E7">
        <w:rPr>
          <w:sz w:val="24"/>
          <w:szCs w:val="24"/>
        </w:rPr>
        <w:t xml:space="preserve"> comparable European systems, a gap highlighted by the International Cancer Benchmarking Partnership's comparison of registry data across six countries (Coleman et al., 2011; Walter et al., 2012). A parallel strand of that partnership examined why: Forbes et al. (2013) found UK respondents were no less aware of cancer symptoms than respondents in better-surviving countries, </w:t>
      </w:r>
      <w:r w:rsidRPr="000349E7">
        <w:rPr>
          <w:sz w:val="24"/>
          <w:szCs w:val="24"/>
        </w:rPr>
        <w:lastRenderedPageBreak/>
        <w:t>suggesting the UK's disadvantage lies less in symptom awareness and more in what happens after symptoms are recognised. Early evidence on the delay-survival relationship itself was mixed. Richards et al. (1999), in a systematic review of 87 studies and almost 102,000 patients, found delays of three months or more were associated with lower survival, though shorter delays showed less consistent effects, a finding later criticised for combining heterogeneous delay definitions in ways that may have obscured a genuine dose-response relationship. More recent evidence has addressed this limitation: Hanna et al. (2020), in a meta-analysis of 34 studies and over 1.2 million patients, found a four-week delay to breast surgery was associated with an 8% increase in mortality risk (hazard ratio 1.08, 95% CI 1.03-1.13), with risk rising further as delay lengthened.</w:t>
      </w:r>
    </w:p>
    <w:p w14:paraId="5E280FC7" w14:textId="4CAEDBA9" w:rsidR="007454DB" w:rsidRPr="000349E7" w:rsidRDefault="00000000" w:rsidP="000349E7">
      <w:pPr>
        <w:spacing w:after="200" w:line="360" w:lineRule="auto"/>
        <w:jc w:val="both"/>
      </w:pPr>
      <w:r w:rsidRPr="000349E7">
        <w:rPr>
          <w:sz w:val="24"/>
          <w:szCs w:val="24"/>
        </w:rPr>
        <w:t>Explaining why delays occur has been a parallel strand of research. Walter et al. (2012) developed the Model of Total Patient Delay, separating the overall interval into patient, primary care, diagnostic, and system-level components. UK-specific work has found patient and primary care intervals contribute more to overall delay than referral or treatment intervals (Walter et al., 2012), which, alongside Forbes et al.'s (2013) awareness data, points toward help-seeking behaviour and primary care recognition as more promising intervention targets than public awareness campaigns alone. System-level factors have become more prominent since COVID-19 disrupted routine pathways (</w:t>
      </w:r>
      <w:proofErr w:type="spellStart"/>
      <w:r w:rsidR="00BD4589" w:rsidRPr="000349E7">
        <w:rPr>
          <w:color w:val="000000"/>
          <w:sz w:val="28"/>
          <w:szCs w:val="28"/>
        </w:rPr>
        <w:t>Gathani</w:t>
      </w:r>
      <w:proofErr w:type="spellEnd"/>
      <w:r w:rsidR="00BD4589" w:rsidRPr="000349E7">
        <w:rPr>
          <w:color w:val="000000"/>
          <w:sz w:val="28"/>
          <w:szCs w:val="28"/>
        </w:rPr>
        <w:t xml:space="preserve"> et al., 2020</w:t>
      </w:r>
      <w:r w:rsidRPr="000349E7">
        <w:rPr>
          <w:sz w:val="24"/>
          <w:szCs w:val="24"/>
        </w:rPr>
        <w:t xml:space="preserve">; </w:t>
      </w:r>
      <w:proofErr w:type="spellStart"/>
      <w:r w:rsidRPr="000349E7">
        <w:rPr>
          <w:sz w:val="24"/>
          <w:szCs w:val="24"/>
        </w:rPr>
        <w:t>Maringe</w:t>
      </w:r>
      <w:proofErr w:type="spellEnd"/>
      <w:r w:rsidRPr="000349E7">
        <w:rPr>
          <w:sz w:val="24"/>
          <w:szCs w:val="24"/>
        </w:rPr>
        <w:t xml:space="preserve"> et al., 2020), though whether this produced lasting change to diagnostic capacity remains unclear.</w:t>
      </w:r>
    </w:p>
    <w:p w14:paraId="41F23550" w14:textId="61AE1171" w:rsidR="007454DB" w:rsidRPr="000349E7" w:rsidRDefault="00000000" w:rsidP="000349E7">
      <w:pPr>
        <w:spacing w:after="200" w:line="360" w:lineRule="auto"/>
        <w:jc w:val="both"/>
      </w:pPr>
      <w:r w:rsidRPr="000349E7">
        <w:rPr>
          <w:sz w:val="24"/>
          <w:szCs w:val="24"/>
        </w:rPr>
        <w:t>Less is known about how these dynamics affect women aged 25 to 50 specifically. This group falls largely outside the NHS breast screening programme, which invites women from age 50, meaning most cases are detected symptomatically, a pathway already associated with later stage at diagnosis (Cancer Research UK, 2022). Much of the UK evidence derives from routinely collected registration data</w:t>
      </w:r>
      <w:r w:rsidR="00CF0080" w:rsidRPr="000349E7">
        <w:rPr>
          <w:sz w:val="24"/>
          <w:szCs w:val="24"/>
        </w:rPr>
        <w:t>,</w:t>
      </w:r>
      <w:r w:rsidRPr="000349E7">
        <w:rPr>
          <w:sz w:val="24"/>
          <w:szCs w:val="24"/>
        </w:rPr>
        <w:t xml:space="preserve"> yet age-specific analyses remain rare. Where UK studies have focused on younger patients, the pathway appears genuinely distinct: </w:t>
      </w:r>
      <w:proofErr w:type="spellStart"/>
      <w:r w:rsidRPr="000349E7">
        <w:rPr>
          <w:sz w:val="24"/>
          <w:szCs w:val="24"/>
        </w:rPr>
        <w:t>Soomers</w:t>
      </w:r>
      <w:proofErr w:type="spellEnd"/>
      <w:r w:rsidRPr="000349E7">
        <w:rPr>
          <w:sz w:val="24"/>
          <w:szCs w:val="24"/>
        </w:rPr>
        <w:t xml:space="preserve"> et al. (2021), surveying young adults aged 25 to 39 with cancer, found breast cancer patients had short patient intervals but a healthcare interval in which most were not seen by a specialist within two weeks of GP consultation, pointing to system-level rather than patient-level delay as the likelier bottleneck. Monaghan et al. (2024), in a UK cohort of women aged 18 to 40, similarly found all patients presented symptomatically, with a substantial proportion diagnosed at stage III or later. Younger women are also more likely to present with aggressive tumour subtypes and have symptoms attributed to benign causes given their age, potentially </w:t>
      </w:r>
      <w:r w:rsidRPr="000349E7">
        <w:rPr>
          <w:sz w:val="24"/>
          <w:szCs w:val="24"/>
        </w:rPr>
        <w:lastRenderedPageBreak/>
        <w:t>lengthening the intervals identified by Walter et al. (2012), yet the relative contribution of these age-specific factors, as distinct from system-level delay, has not been isolated in existing UK research. Existing literature may therefore understate the scale of the problem and cannot yet resolve whether patient- or system-level delay predominates. This review addresses that gap directly.</w:t>
      </w:r>
    </w:p>
    <w:p w14:paraId="03F406BF" w14:textId="77777777" w:rsidR="007454DB" w:rsidRPr="00960B4E" w:rsidRDefault="00000000">
      <w:pPr>
        <w:pStyle w:val="Heading1"/>
        <w:spacing w:before="320" w:after="180"/>
        <w:rPr>
          <w:color w:val="000000" w:themeColor="text1"/>
        </w:rPr>
      </w:pPr>
      <w:r w:rsidRPr="00960B4E">
        <w:rPr>
          <w:b/>
          <w:bCs/>
          <w:color w:val="000000" w:themeColor="text1"/>
          <w:sz w:val="30"/>
          <w:szCs w:val="30"/>
        </w:rPr>
        <w:t>3. Rationale, Research Question, Aim and Objectives</w:t>
      </w:r>
    </w:p>
    <w:p w14:paraId="1C5070A8" w14:textId="77777777" w:rsidR="00B813F6" w:rsidRPr="000349E7" w:rsidRDefault="00B813F6" w:rsidP="000349E7">
      <w:pPr>
        <w:spacing w:after="200" w:line="360" w:lineRule="auto"/>
        <w:jc w:val="both"/>
        <w:rPr>
          <w:color w:val="000000"/>
          <w:sz w:val="24"/>
          <w:szCs w:val="24"/>
        </w:rPr>
      </w:pPr>
      <w:r w:rsidRPr="000349E7">
        <w:rPr>
          <w:color w:val="000000"/>
          <w:sz w:val="24"/>
          <w:szCs w:val="24"/>
        </w:rPr>
        <w:t xml:space="preserve">The rationale for this study rests on three converging observations: first, that national performance against breast cancer waiting time standards has not merely fluctuated but failed consistently since 2020, suggesting a structural rather than transient failure (Breast Cancer Now, 2024); second, that recent large-scale meta-analytic evidence provides considerably stronger causal grounding for the delay-survival relationship than earlier, more heterogeneous studies (Hanna et al., 2020); and third, that women aged 25 to 50 occupy a structurally distinct position, falling outside routine screening and depending instead on symptomatic presentation, meaning findings from older, screen-eligible cohorts may not generalise to this group. These observations have direct relevance to NHS efforts to meet the Faster Diagnosis Standard (NHS England, 2023) and the 2015 national cancer strategy (NHS England, 2016), neither of which differentiates by age. A systematic review is the most defensible means of establishing this evidence base: it allows dispersed findings to be critically appraised and synthesised systematically, avoiding the selective citation risked by a narrative overview and the generalisability problem a further single-site study would simply replicate. </w:t>
      </w:r>
    </w:p>
    <w:p w14:paraId="597D2348" w14:textId="46433B8D" w:rsidR="007454DB" w:rsidRPr="00B813F6" w:rsidRDefault="00000000" w:rsidP="000349E7">
      <w:pPr>
        <w:spacing w:after="200" w:line="360" w:lineRule="auto"/>
        <w:jc w:val="both"/>
        <w:rPr>
          <w:sz w:val="24"/>
          <w:szCs w:val="24"/>
        </w:rPr>
      </w:pPr>
      <w:r w:rsidRPr="00B813F6">
        <w:rPr>
          <w:sz w:val="24"/>
          <w:szCs w:val="24"/>
        </w:rPr>
        <w:t>The research question and aim for this research are indicated below.</w:t>
      </w:r>
    </w:p>
    <w:p w14:paraId="30BF6CAE" w14:textId="77777777" w:rsidR="007454DB" w:rsidRDefault="00000000" w:rsidP="000349E7">
      <w:pPr>
        <w:spacing w:after="200" w:line="360" w:lineRule="auto"/>
        <w:jc w:val="both"/>
      </w:pPr>
      <w:r w:rsidRPr="00960B4E">
        <w:rPr>
          <w:b/>
          <w:bCs/>
          <w:sz w:val="24"/>
          <w:szCs w:val="24"/>
        </w:rPr>
        <w:t>Research Question:</w:t>
      </w:r>
      <w:r>
        <w:rPr>
          <w:sz w:val="24"/>
          <w:szCs w:val="24"/>
        </w:rPr>
        <w:t xml:space="preserve"> What is the impact of cancer waiting times on patient outcomes among women aged 25-50 diagnosed with breast cancer in the UK?</w:t>
      </w:r>
    </w:p>
    <w:p w14:paraId="3AB91BCA" w14:textId="77777777" w:rsidR="007454DB" w:rsidRDefault="00000000" w:rsidP="000349E7">
      <w:pPr>
        <w:spacing w:after="200" w:line="360" w:lineRule="auto"/>
        <w:jc w:val="both"/>
      </w:pPr>
      <w:r w:rsidRPr="00960B4E">
        <w:rPr>
          <w:b/>
          <w:bCs/>
          <w:sz w:val="24"/>
          <w:szCs w:val="24"/>
        </w:rPr>
        <w:t>Aim:</w:t>
      </w:r>
      <w:r>
        <w:rPr>
          <w:sz w:val="24"/>
          <w:szCs w:val="24"/>
        </w:rPr>
        <w:t xml:space="preserve"> To critically evaluate the impact of delays in breast cancer diagnosis and treatment on patient outcomes among women aged 25-50 years in the UK.</w:t>
      </w:r>
    </w:p>
    <w:p w14:paraId="6A6BE048" w14:textId="77777777" w:rsidR="007454DB" w:rsidRPr="0095017F" w:rsidRDefault="00000000">
      <w:pPr>
        <w:pStyle w:val="Heading2"/>
        <w:spacing w:before="260" w:after="140"/>
        <w:rPr>
          <w:color w:val="000000" w:themeColor="text1"/>
        </w:rPr>
      </w:pPr>
      <w:r w:rsidRPr="0095017F">
        <w:rPr>
          <w:b/>
          <w:bCs/>
          <w:color w:val="000000" w:themeColor="text1"/>
          <w:sz w:val="25"/>
          <w:szCs w:val="25"/>
        </w:rPr>
        <w:t>Objectives</w:t>
      </w:r>
    </w:p>
    <w:p w14:paraId="47882A6F" w14:textId="77777777" w:rsidR="007454DB" w:rsidRDefault="00000000" w:rsidP="000349E7">
      <w:pPr>
        <w:pStyle w:val="ListParagraph"/>
        <w:numPr>
          <w:ilvl w:val="0"/>
          <w:numId w:val="1"/>
        </w:numPr>
        <w:spacing w:after="100" w:line="360" w:lineRule="auto"/>
        <w:jc w:val="both"/>
      </w:pPr>
      <w:r>
        <w:rPr>
          <w:sz w:val="24"/>
          <w:szCs w:val="24"/>
        </w:rPr>
        <w:t>To examine the relationship between delays in breast cancer diagnosis and treatment and patient outcomes among women aged 25-50 years in the UK.</w:t>
      </w:r>
    </w:p>
    <w:p w14:paraId="4DD0BCF7" w14:textId="77777777" w:rsidR="007454DB" w:rsidRDefault="00000000" w:rsidP="000349E7">
      <w:pPr>
        <w:pStyle w:val="ListParagraph"/>
        <w:numPr>
          <w:ilvl w:val="0"/>
          <w:numId w:val="1"/>
        </w:numPr>
        <w:spacing w:after="100" w:line="360" w:lineRule="auto"/>
        <w:jc w:val="both"/>
      </w:pPr>
      <w:r>
        <w:rPr>
          <w:sz w:val="24"/>
          <w:szCs w:val="24"/>
        </w:rPr>
        <w:t>To identify the healthcare system and patient-related factors contributing to delays in breast cancer diagnosis and treatment within the UK.</w:t>
      </w:r>
    </w:p>
    <w:p w14:paraId="5BEE24FF" w14:textId="77777777" w:rsidR="007454DB" w:rsidRDefault="00000000" w:rsidP="000349E7">
      <w:pPr>
        <w:pStyle w:val="ListParagraph"/>
        <w:numPr>
          <w:ilvl w:val="0"/>
          <w:numId w:val="1"/>
        </w:numPr>
        <w:spacing w:after="100" w:line="360" w:lineRule="auto"/>
        <w:jc w:val="both"/>
      </w:pPr>
      <w:r>
        <w:rPr>
          <w:sz w:val="24"/>
          <w:szCs w:val="24"/>
        </w:rPr>
        <w:lastRenderedPageBreak/>
        <w:t>To evaluate the impact of delays in breast cancer diagnosis and treatment on patient outcomes, including survival, disease progression and quality of life.</w:t>
      </w:r>
    </w:p>
    <w:p w14:paraId="5A0E3F99" w14:textId="77777777" w:rsidR="007454DB" w:rsidRDefault="00000000" w:rsidP="000349E7">
      <w:pPr>
        <w:pStyle w:val="ListParagraph"/>
        <w:numPr>
          <w:ilvl w:val="0"/>
          <w:numId w:val="1"/>
        </w:numPr>
        <w:spacing w:after="100" w:line="360" w:lineRule="auto"/>
        <w:jc w:val="both"/>
      </w:pPr>
      <w:r>
        <w:rPr>
          <w:sz w:val="24"/>
          <w:szCs w:val="24"/>
        </w:rPr>
        <w:t>To identify evidence-based recommendations for reducing delays in breast cancer diagnosis and treatment and improving patient outcomes within the UK.</w:t>
      </w:r>
    </w:p>
    <w:p w14:paraId="6FAABF2C" w14:textId="77777777" w:rsidR="007454DB" w:rsidRPr="0095017F" w:rsidRDefault="00000000">
      <w:pPr>
        <w:pStyle w:val="Heading1"/>
        <w:spacing w:before="320" w:after="180"/>
        <w:rPr>
          <w:color w:val="000000" w:themeColor="text1"/>
        </w:rPr>
      </w:pPr>
      <w:r w:rsidRPr="0095017F">
        <w:rPr>
          <w:b/>
          <w:bCs/>
          <w:color w:val="000000" w:themeColor="text1"/>
          <w:sz w:val="30"/>
          <w:szCs w:val="30"/>
        </w:rPr>
        <w:t>4. Research Methodology</w:t>
      </w:r>
    </w:p>
    <w:p w14:paraId="0474FF16" w14:textId="77777777" w:rsidR="007454DB" w:rsidRPr="0095017F" w:rsidRDefault="00000000">
      <w:pPr>
        <w:pStyle w:val="Heading2"/>
        <w:spacing w:before="260" w:after="140"/>
        <w:rPr>
          <w:color w:val="000000" w:themeColor="text1"/>
        </w:rPr>
      </w:pPr>
      <w:r w:rsidRPr="0095017F">
        <w:rPr>
          <w:b/>
          <w:bCs/>
          <w:color w:val="000000" w:themeColor="text1"/>
          <w:sz w:val="25"/>
          <w:szCs w:val="25"/>
        </w:rPr>
        <w:t>4.1 Research Design</w:t>
      </w:r>
    </w:p>
    <w:p w14:paraId="6BE0FA17" w14:textId="13A24B96" w:rsidR="00960B4E" w:rsidRPr="000349E7" w:rsidRDefault="00000000" w:rsidP="000349E7">
      <w:pPr>
        <w:spacing w:after="200" w:line="360" w:lineRule="auto"/>
        <w:jc w:val="both"/>
        <w:rPr>
          <w:sz w:val="24"/>
          <w:szCs w:val="24"/>
        </w:rPr>
      </w:pPr>
      <w:r w:rsidRPr="000349E7">
        <w:rPr>
          <w:sz w:val="24"/>
          <w:szCs w:val="24"/>
        </w:rPr>
        <w:t>The review will follow a secondary research design consistent with PRISMA 2020 (Page et al., 2021) and the Cochrane Handbook (Cochrane, 2024): protocol pre-specification; systematic database searching; study selection through title/abstract and full-text screening against pre-defined eligibility criteria; data extraction; quality appraisal; and evidence synthesis. Given the heterogeneity typically found in this literature, a structured narrative synthesis is anticipated as the primary approach, reported in line with the Synthesis Without Meta-analysis (</w:t>
      </w:r>
      <w:proofErr w:type="spellStart"/>
      <w:r w:rsidRPr="000349E7">
        <w:rPr>
          <w:sz w:val="24"/>
          <w:szCs w:val="24"/>
        </w:rPr>
        <w:t>SWiM</w:t>
      </w:r>
      <w:proofErr w:type="spellEnd"/>
      <w:r w:rsidRPr="000349E7">
        <w:rPr>
          <w:sz w:val="24"/>
          <w:szCs w:val="24"/>
        </w:rPr>
        <w:t>) guideline so the synthesis method itself is transparent and reproducible rather than an unreported, ad hoc account (Campbell et al., 2020). Meta-analysis will be conducted only where a sufficiently homogeneous subset of studies permits pooling, mirroring comparable published reviews in this field (Hanna et al., 2020; Richards et al., 1999)</w:t>
      </w:r>
    </w:p>
    <w:p w14:paraId="724097BE" w14:textId="77777777" w:rsidR="007454DB" w:rsidRPr="00960B4E" w:rsidRDefault="00000000">
      <w:pPr>
        <w:pStyle w:val="Heading2"/>
        <w:spacing w:before="260" w:after="140"/>
        <w:rPr>
          <w:color w:val="000000" w:themeColor="text1"/>
        </w:rPr>
      </w:pPr>
      <w:r w:rsidRPr="00960B4E">
        <w:rPr>
          <w:b/>
          <w:bCs/>
          <w:color w:val="000000" w:themeColor="text1"/>
          <w:sz w:val="25"/>
          <w:szCs w:val="25"/>
        </w:rPr>
        <w:t>4.2 Eligibility Criteria and Study Selection</w:t>
      </w:r>
    </w:p>
    <w:p w14:paraId="1DDA8D15" w14:textId="77777777" w:rsidR="00B813F6" w:rsidRPr="000349E7" w:rsidRDefault="00B813F6" w:rsidP="000349E7">
      <w:pPr>
        <w:pStyle w:val="font-claude-response-body"/>
        <w:spacing w:line="360" w:lineRule="auto"/>
        <w:jc w:val="both"/>
        <w:rPr>
          <w:color w:val="000000"/>
        </w:rPr>
      </w:pPr>
      <w:r w:rsidRPr="000349E7">
        <w:rPr>
          <w:color w:val="000000"/>
        </w:rPr>
        <w:t xml:space="preserve">As this is a systematic review rather than a study involving direct patient recruitment, this section defines the eligibility criteria using the PICOS framework (Population, Intervention/Exposure, Comparator, Outcomes, Study design), consistent with PRISMA 2020 (Page et al., 2021), chosen specifically because it forces explicit justification of each inclusion boundary rather than an intuitive judgement. The Population is women aged 25 to 50 with primary invasive breast cancer; studies with a wider age range are included only where age-disaggregated data can be extracted, since aggregating across ages would obscure the very subgroup effect this review investigates. The Exposure is the diagnostic-to-treatment time interval. No single Comparator is required: restricting eligibility to one delay metric would exclude legitimate but methodologically divergent designs, so both categorical thresholds and continuous time-to-event analyses are accepted, at the cost of some downstream heterogeneity in synthesis. Outcomes are stage at diagnosis (per National Institute for Health and Care Excellence, 2018), disease progression, survival, and quality of life (Objective 3); eligible designs span cohort, case-control and cross-sectional quantitative studies alongside qualitative </w:t>
      </w:r>
      <w:r w:rsidRPr="000349E7">
        <w:rPr>
          <w:color w:val="000000"/>
        </w:rPr>
        <w:lastRenderedPageBreak/>
        <w:t>or mixed-methods work on contributing factors (Objective 2), reflecting the mixed empirical and explanatory nature of the research question.</w:t>
      </w:r>
    </w:p>
    <w:p w14:paraId="64632B6E" w14:textId="77777777" w:rsidR="00B813F6" w:rsidRPr="00B813F6" w:rsidRDefault="00B813F6" w:rsidP="000349E7">
      <w:pPr>
        <w:pStyle w:val="font-claude-response-body"/>
        <w:spacing w:line="360" w:lineRule="auto"/>
        <w:jc w:val="both"/>
        <w:rPr>
          <w:color w:val="000000"/>
        </w:rPr>
      </w:pPr>
      <w:r w:rsidRPr="00B813F6">
        <w:rPr>
          <w:color w:val="000000"/>
        </w:rPr>
        <w:t>Studies are limited to UK settings or UK-specific subgroups, in English, from 2010 onwards, though Richards et al. (1999) is retained as foundational context given its continued influence. Conference abstracts and studies lacking extractable outcomes are excluded. Because this is a single-researcher dissertation, screening will be conducted systematically against these pre-defined criteria, with exclusion rationale documented for every decision to substitute, imperfectly, for the inter-rater verification a dual-screener design would provide; borderline cases will be escalated to the supervisor rather than resolved by consensus, a limitation examined further in Section 4.5.</w:t>
      </w:r>
    </w:p>
    <w:p w14:paraId="0C290ED2" w14:textId="77777777" w:rsidR="007454DB" w:rsidRPr="0095017F" w:rsidRDefault="00000000">
      <w:pPr>
        <w:pStyle w:val="Heading2"/>
        <w:spacing w:before="260" w:after="140"/>
        <w:rPr>
          <w:color w:val="000000" w:themeColor="text1"/>
        </w:rPr>
      </w:pPr>
      <w:r w:rsidRPr="0095017F">
        <w:rPr>
          <w:b/>
          <w:bCs/>
          <w:color w:val="000000" w:themeColor="text1"/>
          <w:sz w:val="25"/>
          <w:szCs w:val="25"/>
        </w:rPr>
        <w:t>4.3 Materials, Data Collection Methods and Procedure</w:t>
      </w:r>
    </w:p>
    <w:p w14:paraId="1E2A44C4" w14:textId="77777777" w:rsidR="007454DB" w:rsidRPr="000349E7" w:rsidRDefault="00000000" w:rsidP="000349E7">
      <w:pPr>
        <w:spacing w:after="200" w:line="360" w:lineRule="auto"/>
        <w:jc w:val="both"/>
      </w:pPr>
      <w:r w:rsidRPr="000349E7">
        <w:rPr>
          <w:sz w:val="24"/>
          <w:szCs w:val="24"/>
        </w:rPr>
        <w:t>A systematic search will be conducted across MEDLINE, Embase and CINAHL, the core databases for biomedical and nursing literature. In place of the Cochrane Central Register of Controlled Trials, which indexes randomised controlled trials specifically and is a poor fit for this review's largely observational evidence base, searches will be supplemented through Google Scholar and the university library's discovery service, together with manual searching of reference lists and forward citation tracking (Page et al., 2021). These sources provide broader coverage and access to grey literature not indexed in the core databases, though their less structured search syntax means results will be screened for relevance and duplication with particular care. Search terms combine controlled vocabulary (</w:t>
      </w:r>
      <w:proofErr w:type="spellStart"/>
      <w:r w:rsidRPr="000349E7">
        <w:rPr>
          <w:sz w:val="24"/>
          <w:szCs w:val="24"/>
        </w:rPr>
        <w:t>MeSH</w:t>
      </w:r>
      <w:proofErr w:type="spellEnd"/>
      <w:r w:rsidRPr="000349E7">
        <w:rPr>
          <w:sz w:val="24"/>
          <w:szCs w:val="24"/>
        </w:rPr>
        <w:t>/</w:t>
      </w:r>
      <w:proofErr w:type="spellStart"/>
      <w:r w:rsidRPr="000349E7">
        <w:rPr>
          <w:sz w:val="24"/>
          <w:szCs w:val="24"/>
        </w:rPr>
        <w:t>Emtree</w:t>
      </w:r>
      <w:proofErr w:type="spellEnd"/>
      <w:r w:rsidRPr="000349E7">
        <w:rPr>
          <w:sz w:val="24"/>
          <w:szCs w:val="24"/>
        </w:rPr>
        <w:t>) and free-text keywords across three concept blocks: breast cancer terms, delay/waiting time terms ("waiting time*" OR "diagnostic delay*" OR "treatment delay*"), and outcome terms ("survival" OR "mortality" OR "stage at diagnosis" OR "quality of life"), with an age-related filter applied at screening rather than the search stage, to avoid excluding studies not specifying age ranges in their indexed terms.</w:t>
      </w:r>
    </w:p>
    <w:p w14:paraId="569CC8B3" w14:textId="77777777" w:rsidR="007454DB" w:rsidRDefault="00000000" w:rsidP="000349E7">
      <w:pPr>
        <w:spacing w:after="200" w:line="360" w:lineRule="auto"/>
        <w:jc w:val="both"/>
      </w:pPr>
      <w:r>
        <w:rPr>
          <w:sz w:val="24"/>
          <w:szCs w:val="24"/>
        </w:rPr>
        <w:t>Extraction will follow a piloted, standardised form covering study characteristics, population characteristics, exposure definition, outcome definitions, key findings, and risk of bias rating. As a single-researcher dissertation, the researcher will perform the search and extraction personally, applying a fixed coding manual consistently across all included studies; a random 20% subsample will be re-extracted after an interval as an internal consistency check in place of independent dual extraction.</w:t>
      </w:r>
    </w:p>
    <w:p w14:paraId="57CC6F64" w14:textId="77777777" w:rsidR="007454DB" w:rsidRPr="0095017F" w:rsidRDefault="00000000">
      <w:pPr>
        <w:pStyle w:val="Heading2"/>
        <w:spacing w:before="260" w:after="140"/>
        <w:rPr>
          <w:color w:val="000000" w:themeColor="text1"/>
        </w:rPr>
      </w:pPr>
      <w:r w:rsidRPr="0095017F">
        <w:rPr>
          <w:b/>
          <w:bCs/>
          <w:color w:val="000000" w:themeColor="text1"/>
          <w:sz w:val="25"/>
          <w:szCs w:val="25"/>
        </w:rPr>
        <w:lastRenderedPageBreak/>
        <w:t>4.4 Proposed Data Analysis Technique</w:t>
      </w:r>
    </w:p>
    <w:p w14:paraId="58DA2C8A" w14:textId="438D17D1" w:rsidR="007454DB" w:rsidRPr="000349E7" w:rsidRDefault="00000000" w:rsidP="000349E7">
      <w:pPr>
        <w:spacing w:after="200" w:line="360" w:lineRule="auto"/>
        <w:jc w:val="both"/>
        <w:rPr>
          <w:sz w:val="24"/>
          <w:szCs w:val="24"/>
        </w:rPr>
      </w:pPr>
      <w:r w:rsidRPr="000349E7">
        <w:rPr>
          <w:sz w:val="24"/>
          <w:szCs w:val="24"/>
        </w:rPr>
        <w:t>Included quantitative studies will be quality appraised using the Newcastle-Ottawa Scale, a validated tool assessing cohort and case-control studies across selection, comparability, and outcome domains (</w:t>
      </w:r>
      <w:r w:rsidR="00BD4589" w:rsidRPr="000349E7">
        <w:rPr>
          <w:color w:val="000000"/>
          <w:sz w:val="24"/>
          <w:szCs w:val="24"/>
        </w:rPr>
        <w:t>Newcastle-Ottawa Scale (NOS),2025</w:t>
      </w:r>
      <w:r w:rsidRPr="000349E7">
        <w:rPr>
          <w:sz w:val="24"/>
          <w:szCs w:val="24"/>
        </w:rPr>
        <w:t xml:space="preserve">); where studies compare distinct interventions rather than observed delay alone, the ROBINS-I tool will be considered as a complementary approach (Sterne et al., 2016). Qualitative studies will be appraised using the relevant Critical Appraisal Skills Programme checklist (CASP, 2024). Quality ratings will inform the weight given to each study's findings rather than excluding studies </w:t>
      </w:r>
      <w:proofErr w:type="gramStart"/>
      <w:r w:rsidRPr="000349E7">
        <w:rPr>
          <w:sz w:val="24"/>
          <w:szCs w:val="24"/>
        </w:rPr>
        <w:t>outright, and</w:t>
      </w:r>
      <w:proofErr w:type="gramEnd"/>
      <w:r w:rsidRPr="000349E7">
        <w:rPr>
          <w:sz w:val="24"/>
          <w:szCs w:val="24"/>
        </w:rPr>
        <w:t xml:space="preserve"> will be used in sensitivity analysis; this is particularly important given that appraisal, like screening, will be conducted by a single researcher and is therefore more vulnerable to unchecked individual judgement.</w:t>
      </w:r>
    </w:p>
    <w:p w14:paraId="44EB8279" w14:textId="77777777" w:rsidR="007454DB" w:rsidRPr="000349E7" w:rsidRDefault="00000000" w:rsidP="000349E7">
      <w:pPr>
        <w:spacing w:after="200" w:line="360" w:lineRule="auto"/>
        <w:jc w:val="both"/>
      </w:pPr>
      <w:r w:rsidRPr="000349E7">
        <w:rPr>
          <w:sz w:val="24"/>
          <w:szCs w:val="24"/>
        </w:rPr>
        <w:t xml:space="preserve">The primary analytic approach will be a structured narrative synthesis, organised around the review's four objectives: the delay-outcome relationship, contributors to delay, impacts on survival and quality of life, and evidence-based recommendations, reported transparently using the </w:t>
      </w:r>
      <w:proofErr w:type="spellStart"/>
      <w:r w:rsidRPr="000349E7">
        <w:rPr>
          <w:sz w:val="24"/>
          <w:szCs w:val="24"/>
        </w:rPr>
        <w:t>SWiM</w:t>
      </w:r>
      <w:proofErr w:type="spellEnd"/>
      <w:r w:rsidRPr="000349E7">
        <w:rPr>
          <w:sz w:val="24"/>
          <w:szCs w:val="24"/>
        </w:rPr>
        <w:t xml:space="preserve"> guideline (Campbell et al., 2020). Where three or more studies report comparable, </w:t>
      </w:r>
      <w:proofErr w:type="spellStart"/>
      <w:r w:rsidRPr="000349E7">
        <w:rPr>
          <w:sz w:val="24"/>
          <w:szCs w:val="24"/>
        </w:rPr>
        <w:t>poolable</w:t>
      </w:r>
      <w:proofErr w:type="spellEnd"/>
      <w:r w:rsidRPr="000349E7">
        <w:rPr>
          <w:sz w:val="24"/>
          <w:szCs w:val="24"/>
        </w:rPr>
        <w:t xml:space="preserve"> estimates, a random-effects meta-analysis will be conducted, with heterogeneity assessed using the I² statistic (Higgins and Thompson, 2002), consistent with comparable published meta-analyses (Hanna et al., 2020). A PRISMA flow diagram will document records identified, screened, excluded, and included at each stage (Page et al., 2021), providing an auditable record that partially compensates for the absence of independent dual screening.</w:t>
      </w:r>
    </w:p>
    <w:p w14:paraId="19F93BB8" w14:textId="77777777" w:rsidR="007454DB" w:rsidRPr="0095017F" w:rsidRDefault="00000000">
      <w:pPr>
        <w:pStyle w:val="Heading2"/>
        <w:spacing w:before="260" w:after="140"/>
        <w:rPr>
          <w:color w:val="000000" w:themeColor="text1"/>
        </w:rPr>
      </w:pPr>
      <w:r w:rsidRPr="0095017F">
        <w:rPr>
          <w:b/>
          <w:bCs/>
          <w:color w:val="000000" w:themeColor="text1"/>
          <w:sz w:val="25"/>
          <w:szCs w:val="25"/>
        </w:rPr>
        <w:t>4.5 Ethical Considerations</w:t>
      </w:r>
    </w:p>
    <w:p w14:paraId="0974BA91" w14:textId="77777777" w:rsidR="007454DB" w:rsidRPr="000349E7" w:rsidRDefault="00000000" w:rsidP="000349E7">
      <w:pPr>
        <w:spacing w:after="200" w:line="360" w:lineRule="auto"/>
        <w:jc w:val="both"/>
      </w:pPr>
      <w:r w:rsidRPr="000349E7">
        <w:rPr>
          <w:sz w:val="24"/>
          <w:szCs w:val="24"/>
        </w:rPr>
        <w:t>As this study is a systematic review of already published, publicly available literature, and involves no direct contact with patients or collection of new identifiable data, formal approval from the university's research ethics committee is nonetheless required, consistent with standard UK guidance that secondary analysis of published, non-identifiable data falls outside the scope of NHS research ethics review (Health Research Authority, 2023). Approval will be sought as institutional good practice, and the review's research question, eligibility criteria and analytic approach are fully pre-specified within this proposal, providing a fixed basis against which the completed review can later be evaluated.</w:t>
      </w:r>
    </w:p>
    <w:p w14:paraId="5E261368" w14:textId="77777777" w:rsidR="007454DB" w:rsidRPr="000349E7" w:rsidRDefault="00000000" w:rsidP="000349E7">
      <w:pPr>
        <w:spacing w:after="200" w:line="360" w:lineRule="auto"/>
        <w:jc w:val="both"/>
      </w:pPr>
      <w:r w:rsidRPr="000349E7">
        <w:rPr>
          <w:sz w:val="24"/>
          <w:szCs w:val="24"/>
        </w:rPr>
        <w:t xml:space="preserve">The principal ethical considerations instead relate to research integrity rather than participant protection, since this review has no participants of its own. All included studies will be reported and synthesised accurately, without selective emphasis on findings supporting a particular </w:t>
      </w:r>
      <w:r w:rsidRPr="000349E7">
        <w:rPr>
          <w:sz w:val="24"/>
          <w:szCs w:val="24"/>
        </w:rPr>
        <w:lastRenderedPageBreak/>
        <w:t>conclusion, in line with PRISMA 2020's emphasis on transparent reporting (Page et al., 2021). Full citation will be given to all authors of included studies, and conflicts of interest they declare will be noted during quality appraisal, since undisclosed funding can bias reported associations. As part of quality appraisal, whether each included study appears to have followed recognised ethical principles for human participant research, such as the Declaration of Helsinki (World Medical Association, 2013), will be considered alongside the Joanna Briggs Institute's tools (2021); this assesses the ethical conduct of the original studies reviewed, not this review itself, which involves no primary contact with participants. Because this is a single-researcher dissertation, screening and extraction will be conducted by the researcher alone; this is disclosed as a methodological limitation, partly mitigated by the fixed criteria, standardised extraction form, and internal consistency checks described in Sections 4.2 to 4.4. Any deviations from the pre-specified approach will be documented and justified in the final dissertation.</w:t>
      </w:r>
    </w:p>
    <w:p w14:paraId="75C3689A" w14:textId="68279FD1" w:rsidR="007454DB" w:rsidRPr="0095017F" w:rsidRDefault="00000000">
      <w:pPr>
        <w:pStyle w:val="Heading1"/>
        <w:spacing w:before="320" w:after="180"/>
        <w:rPr>
          <w:color w:val="000000" w:themeColor="text1"/>
        </w:rPr>
      </w:pPr>
      <w:r w:rsidRPr="0095017F">
        <w:rPr>
          <w:b/>
          <w:bCs/>
          <w:color w:val="000000" w:themeColor="text1"/>
          <w:sz w:val="30"/>
          <w:szCs w:val="30"/>
        </w:rPr>
        <w:t>5. Implication</w:t>
      </w:r>
      <w:r w:rsidR="00960B4E" w:rsidRPr="0095017F">
        <w:rPr>
          <w:b/>
          <w:bCs/>
          <w:color w:val="000000" w:themeColor="text1"/>
          <w:sz w:val="30"/>
          <w:szCs w:val="30"/>
        </w:rPr>
        <w:t>s</w:t>
      </w:r>
      <w:r w:rsidRPr="0095017F">
        <w:rPr>
          <w:b/>
          <w:bCs/>
          <w:color w:val="000000" w:themeColor="text1"/>
          <w:sz w:val="30"/>
          <w:szCs w:val="30"/>
        </w:rPr>
        <w:t xml:space="preserve"> of Research</w:t>
      </w:r>
    </w:p>
    <w:p w14:paraId="6490C465" w14:textId="77777777" w:rsidR="007454DB" w:rsidRPr="000349E7" w:rsidRDefault="00000000" w:rsidP="000349E7">
      <w:pPr>
        <w:spacing w:after="200" w:line="360" w:lineRule="auto"/>
        <w:jc w:val="both"/>
      </w:pPr>
      <w:r w:rsidRPr="000349E7">
        <w:rPr>
          <w:sz w:val="24"/>
          <w:szCs w:val="24"/>
        </w:rPr>
        <w:t>This study has practical relevance across policy, clinical practice and future research. For policy, synthesising the relationship between waiting time intervals and outcomes for women aged 25 to 50 could inform whether age-specific fast-track referral criteria are warranted alongside the Faster Diagnosis Standard (NHS England, 2023), given this group falls outside routine screening. For clinical practice, findings on contributors to delay (Objective 2) could inform primary care education on recognising breast cancer symptoms in younger women, sometimes attributed to benign causes given their age (Cancer Research UK, 2022). For patients, quality-of-life findings (Objective 3) could support embedding psychological support earlier in the pathway.</w:t>
      </w:r>
    </w:p>
    <w:p w14:paraId="20CB387A" w14:textId="77777777" w:rsidR="007454DB" w:rsidRDefault="00000000" w:rsidP="000349E7">
      <w:pPr>
        <w:spacing w:after="200" w:line="360" w:lineRule="auto"/>
        <w:jc w:val="both"/>
        <w:rPr>
          <w:sz w:val="24"/>
          <w:szCs w:val="24"/>
        </w:rPr>
      </w:pPr>
      <w:r w:rsidRPr="000349E7">
        <w:rPr>
          <w:sz w:val="24"/>
          <w:szCs w:val="24"/>
        </w:rPr>
        <w:t>For future research, this review is intended to consolidate existing evidence and identify where primary research is most urgently needed; by synthesising what is known specifically for women aged 25 to 50, underrepresented in all-age analyses (Hanna et al., 2020; Richards et al., 1999), it could support a case for a future cohort study linking Cancer Waiting Times data to long-term outcomes for this group, contributing to the ambitions set out in the national cancer strategy (NHS England, 2016).</w:t>
      </w:r>
    </w:p>
    <w:p w14:paraId="28737498" w14:textId="77777777" w:rsidR="000349E7" w:rsidRDefault="000349E7" w:rsidP="000349E7">
      <w:pPr>
        <w:spacing w:after="200" w:line="360" w:lineRule="auto"/>
        <w:jc w:val="both"/>
        <w:rPr>
          <w:sz w:val="24"/>
          <w:szCs w:val="24"/>
        </w:rPr>
      </w:pPr>
    </w:p>
    <w:p w14:paraId="46D85FAE" w14:textId="77777777" w:rsidR="000349E7" w:rsidRPr="000349E7" w:rsidRDefault="000349E7" w:rsidP="000349E7">
      <w:pPr>
        <w:spacing w:after="200" w:line="360" w:lineRule="auto"/>
        <w:jc w:val="both"/>
      </w:pPr>
    </w:p>
    <w:p w14:paraId="2F42555F" w14:textId="77777777" w:rsidR="007454DB" w:rsidRPr="0095017F" w:rsidRDefault="00000000">
      <w:pPr>
        <w:pStyle w:val="Heading1"/>
        <w:spacing w:before="320" w:after="180"/>
        <w:rPr>
          <w:color w:val="000000" w:themeColor="text1"/>
        </w:rPr>
      </w:pPr>
      <w:r w:rsidRPr="0095017F">
        <w:rPr>
          <w:b/>
          <w:bCs/>
          <w:color w:val="000000" w:themeColor="text1"/>
          <w:sz w:val="30"/>
          <w:szCs w:val="30"/>
        </w:rPr>
        <w:lastRenderedPageBreak/>
        <w:t>6. Plan of Work and Time Schedule</w:t>
      </w:r>
    </w:p>
    <w:p w14:paraId="1ED1E811" w14:textId="77777777" w:rsidR="007454DB" w:rsidRDefault="00000000" w:rsidP="000349E7">
      <w:pPr>
        <w:spacing w:after="200" w:line="360" w:lineRule="auto"/>
        <w:jc w:val="both"/>
        <w:rPr>
          <w:sz w:val="24"/>
          <w:szCs w:val="24"/>
        </w:rPr>
      </w:pPr>
      <w:r>
        <w:rPr>
          <w:sz w:val="24"/>
          <w:szCs w:val="24"/>
        </w:rPr>
        <w:t>The study is scheduled across the four months of the dissertation term, organised around the completion of successive dissertation chapters so that each phase directly produces the material needed for the corresponding chapter. The first month is reserved for finalising the protocol, refining the search strategy, and drafting Chapter 1 (Introduction and Background) alongside Chapter 2 (Methodology), since both can be substantially completed before searching begins. Database searching and screening take place across the second month, generating the PRISMA flow diagram that will anchor Chapter 3 (Results). Data extraction and quality appraisal follow at the start of the third month, with synthesis completed by its midpoint, allowing Chapter 3 to be drafted and Chapter 4 (Discussion) to begin. The final month is reserved for completing Chapter 4, drafting Chapter 5 (Conclusion and Recommendations), incorporating supervisor feedback, and a final review ahead of submission, with a contingency buffer to absorb the delays screening and extraction typically incur in practice.</w:t>
      </w:r>
    </w:p>
    <w:p w14:paraId="3C5ABCC3" w14:textId="77777777" w:rsidR="00D66C95" w:rsidRDefault="00D66C95">
      <w:pPr>
        <w:spacing w:after="200" w:line="300" w:lineRule="auto"/>
        <w:jc w:val="both"/>
        <w:rPr>
          <w:sz w:val="24"/>
          <w:szCs w:val="24"/>
        </w:rPr>
      </w:pPr>
    </w:p>
    <w:tbl>
      <w:tblPr>
        <w:tblStyle w:val="TableGrid"/>
        <w:tblW w:w="11104" w:type="dxa"/>
        <w:tblInd w:w="-856" w:type="dxa"/>
        <w:tblLayout w:type="fixed"/>
        <w:tblLook w:val="04A0" w:firstRow="1" w:lastRow="0" w:firstColumn="1" w:lastColumn="0" w:noHBand="0" w:noVBand="1"/>
      </w:tblPr>
      <w:tblGrid>
        <w:gridCol w:w="2080"/>
        <w:gridCol w:w="749"/>
        <w:gridCol w:w="505"/>
        <w:gridCol w:w="505"/>
        <w:gridCol w:w="505"/>
        <w:gridCol w:w="505"/>
        <w:gridCol w:w="505"/>
        <w:gridCol w:w="505"/>
        <w:gridCol w:w="505"/>
        <w:gridCol w:w="505"/>
        <w:gridCol w:w="605"/>
        <w:gridCol w:w="605"/>
        <w:gridCol w:w="605"/>
        <w:gridCol w:w="605"/>
        <w:gridCol w:w="605"/>
        <w:gridCol w:w="605"/>
        <w:gridCol w:w="605"/>
      </w:tblGrid>
      <w:tr w:rsidR="00771009" w14:paraId="1374970E" w14:textId="2F7B7BF6" w:rsidTr="00C94852">
        <w:trPr>
          <w:trHeight w:val="715"/>
        </w:trPr>
        <w:tc>
          <w:tcPr>
            <w:tcW w:w="2080" w:type="dxa"/>
          </w:tcPr>
          <w:p w14:paraId="7BAA7853" w14:textId="77777777" w:rsidR="00771009" w:rsidRDefault="00771009" w:rsidP="00D66C95">
            <w:pPr>
              <w:spacing w:after="200" w:line="300" w:lineRule="auto"/>
              <w:jc w:val="both"/>
            </w:pPr>
          </w:p>
        </w:tc>
        <w:tc>
          <w:tcPr>
            <w:tcW w:w="749" w:type="dxa"/>
          </w:tcPr>
          <w:p w14:paraId="2ECEC6C1" w14:textId="6C405930" w:rsidR="00771009" w:rsidRDefault="00771009" w:rsidP="00D66C95">
            <w:pPr>
              <w:spacing w:after="200" w:line="300" w:lineRule="auto"/>
              <w:jc w:val="both"/>
            </w:pPr>
            <w:r>
              <w:t>Week-1</w:t>
            </w:r>
          </w:p>
        </w:tc>
        <w:tc>
          <w:tcPr>
            <w:tcW w:w="505" w:type="dxa"/>
          </w:tcPr>
          <w:p w14:paraId="4DAB990D" w14:textId="4E793652" w:rsidR="00771009" w:rsidRDefault="00771009" w:rsidP="00D66C95">
            <w:pPr>
              <w:spacing w:after="200" w:line="300" w:lineRule="auto"/>
              <w:jc w:val="both"/>
            </w:pPr>
            <w:r>
              <w:t>W2</w:t>
            </w:r>
          </w:p>
        </w:tc>
        <w:tc>
          <w:tcPr>
            <w:tcW w:w="505" w:type="dxa"/>
          </w:tcPr>
          <w:p w14:paraId="4B1B77BD" w14:textId="2AF7CE56" w:rsidR="00771009" w:rsidRDefault="00771009" w:rsidP="00D66C95">
            <w:pPr>
              <w:spacing w:after="200" w:line="300" w:lineRule="auto"/>
              <w:jc w:val="both"/>
            </w:pPr>
            <w:r>
              <w:t>W3</w:t>
            </w:r>
          </w:p>
        </w:tc>
        <w:tc>
          <w:tcPr>
            <w:tcW w:w="505" w:type="dxa"/>
          </w:tcPr>
          <w:p w14:paraId="77CD7CB3" w14:textId="7FB37436" w:rsidR="00771009" w:rsidRDefault="00771009" w:rsidP="00D66C95">
            <w:pPr>
              <w:spacing w:after="200" w:line="300" w:lineRule="auto"/>
              <w:jc w:val="both"/>
            </w:pPr>
            <w:r>
              <w:t>W4</w:t>
            </w:r>
          </w:p>
        </w:tc>
        <w:tc>
          <w:tcPr>
            <w:tcW w:w="505" w:type="dxa"/>
          </w:tcPr>
          <w:p w14:paraId="2135E693" w14:textId="227E2A97" w:rsidR="00771009" w:rsidRDefault="00771009" w:rsidP="00D66C95">
            <w:pPr>
              <w:spacing w:after="200" w:line="300" w:lineRule="auto"/>
              <w:jc w:val="both"/>
            </w:pPr>
            <w:r>
              <w:t>W5</w:t>
            </w:r>
          </w:p>
        </w:tc>
        <w:tc>
          <w:tcPr>
            <w:tcW w:w="505" w:type="dxa"/>
          </w:tcPr>
          <w:p w14:paraId="2BDB5F82" w14:textId="5D3496C8" w:rsidR="00771009" w:rsidRDefault="00771009" w:rsidP="00D66C95">
            <w:pPr>
              <w:spacing w:after="200" w:line="300" w:lineRule="auto"/>
              <w:jc w:val="both"/>
            </w:pPr>
            <w:r>
              <w:t>W6</w:t>
            </w:r>
          </w:p>
        </w:tc>
        <w:tc>
          <w:tcPr>
            <w:tcW w:w="505" w:type="dxa"/>
          </w:tcPr>
          <w:p w14:paraId="19EBCA5B" w14:textId="45894BC6" w:rsidR="00771009" w:rsidRDefault="00771009" w:rsidP="00D66C95">
            <w:pPr>
              <w:spacing w:after="200" w:line="300" w:lineRule="auto"/>
              <w:jc w:val="both"/>
            </w:pPr>
            <w:r>
              <w:t>W7</w:t>
            </w:r>
          </w:p>
        </w:tc>
        <w:tc>
          <w:tcPr>
            <w:tcW w:w="505" w:type="dxa"/>
          </w:tcPr>
          <w:p w14:paraId="05BECD85" w14:textId="3F2CD1F5" w:rsidR="00771009" w:rsidRDefault="00771009" w:rsidP="00D66C95">
            <w:pPr>
              <w:spacing w:after="200" w:line="300" w:lineRule="auto"/>
              <w:jc w:val="both"/>
            </w:pPr>
            <w:r>
              <w:t>W8</w:t>
            </w:r>
          </w:p>
        </w:tc>
        <w:tc>
          <w:tcPr>
            <w:tcW w:w="505" w:type="dxa"/>
          </w:tcPr>
          <w:p w14:paraId="03DF0D3C" w14:textId="357F747A" w:rsidR="00771009" w:rsidRDefault="00771009" w:rsidP="00D66C95">
            <w:pPr>
              <w:spacing w:after="200" w:line="300" w:lineRule="auto"/>
              <w:jc w:val="both"/>
            </w:pPr>
            <w:r>
              <w:t>W9</w:t>
            </w:r>
          </w:p>
        </w:tc>
        <w:tc>
          <w:tcPr>
            <w:tcW w:w="605" w:type="dxa"/>
          </w:tcPr>
          <w:p w14:paraId="1F0B66D4" w14:textId="75A4494E" w:rsidR="00771009" w:rsidRDefault="00771009" w:rsidP="00D66C95">
            <w:pPr>
              <w:spacing w:after="200" w:line="300" w:lineRule="auto"/>
              <w:jc w:val="both"/>
            </w:pPr>
            <w:r>
              <w:t>W10</w:t>
            </w:r>
          </w:p>
        </w:tc>
        <w:tc>
          <w:tcPr>
            <w:tcW w:w="605" w:type="dxa"/>
          </w:tcPr>
          <w:p w14:paraId="7BE0A01D" w14:textId="3A9D1F23" w:rsidR="00771009" w:rsidRDefault="00771009" w:rsidP="00D66C95">
            <w:pPr>
              <w:spacing w:after="200" w:line="300" w:lineRule="auto"/>
              <w:jc w:val="both"/>
            </w:pPr>
            <w:r>
              <w:t>W11</w:t>
            </w:r>
          </w:p>
        </w:tc>
        <w:tc>
          <w:tcPr>
            <w:tcW w:w="605" w:type="dxa"/>
          </w:tcPr>
          <w:p w14:paraId="0CBAC9C3" w14:textId="38C04779" w:rsidR="00771009" w:rsidRDefault="00771009" w:rsidP="00D66C95">
            <w:pPr>
              <w:spacing w:after="200" w:line="300" w:lineRule="auto"/>
              <w:jc w:val="both"/>
            </w:pPr>
            <w:r>
              <w:t>W12</w:t>
            </w:r>
          </w:p>
        </w:tc>
        <w:tc>
          <w:tcPr>
            <w:tcW w:w="605" w:type="dxa"/>
          </w:tcPr>
          <w:p w14:paraId="60A9B224" w14:textId="4382CAEB" w:rsidR="00771009" w:rsidRDefault="00771009" w:rsidP="00D66C95">
            <w:pPr>
              <w:spacing w:after="200" w:line="300" w:lineRule="auto"/>
              <w:jc w:val="both"/>
            </w:pPr>
            <w:r>
              <w:t>W13</w:t>
            </w:r>
          </w:p>
        </w:tc>
        <w:tc>
          <w:tcPr>
            <w:tcW w:w="605" w:type="dxa"/>
          </w:tcPr>
          <w:p w14:paraId="2E324B25" w14:textId="0BAF6AAC" w:rsidR="00771009" w:rsidRDefault="00771009" w:rsidP="00D66C95">
            <w:pPr>
              <w:spacing w:after="200" w:line="300" w:lineRule="auto"/>
              <w:jc w:val="both"/>
            </w:pPr>
            <w:r>
              <w:t>W14</w:t>
            </w:r>
          </w:p>
        </w:tc>
        <w:tc>
          <w:tcPr>
            <w:tcW w:w="605" w:type="dxa"/>
          </w:tcPr>
          <w:p w14:paraId="59AAF7B8" w14:textId="639BFF08" w:rsidR="00771009" w:rsidRDefault="00771009" w:rsidP="00D66C95">
            <w:pPr>
              <w:spacing w:after="200" w:line="300" w:lineRule="auto"/>
              <w:jc w:val="both"/>
            </w:pPr>
            <w:r>
              <w:t>W15</w:t>
            </w:r>
          </w:p>
        </w:tc>
        <w:tc>
          <w:tcPr>
            <w:tcW w:w="605" w:type="dxa"/>
          </w:tcPr>
          <w:p w14:paraId="2F4F6BD4" w14:textId="7293B8BC" w:rsidR="00771009" w:rsidRDefault="00771009" w:rsidP="00D66C95">
            <w:pPr>
              <w:spacing w:after="200" w:line="300" w:lineRule="auto"/>
              <w:jc w:val="both"/>
            </w:pPr>
            <w:r>
              <w:t>W16</w:t>
            </w:r>
          </w:p>
        </w:tc>
      </w:tr>
      <w:tr w:rsidR="00771009" w14:paraId="4B61A17B" w14:textId="14E8673B" w:rsidTr="00C94852">
        <w:trPr>
          <w:trHeight w:val="439"/>
        </w:trPr>
        <w:tc>
          <w:tcPr>
            <w:tcW w:w="2080" w:type="dxa"/>
          </w:tcPr>
          <w:p w14:paraId="35F25699" w14:textId="54E4778C" w:rsidR="00771009" w:rsidRDefault="00771009" w:rsidP="00771009">
            <w:pPr>
              <w:spacing w:after="200" w:line="300" w:lineRule="auto"/>
              <w:jc w:val="center"/>
            </w:pPr>
            <w:r>
              <w:t>Chapter 1: Introduction &amp; Background</w:t>
            </w:r>
          </w:p>
        </w:tc>
        <w:tc>
          <w:tcPr>
            <w:tcW w:w="749" w:type="dxa"/>
            <w:shd w:val="clear" w:color="auto" w:fill="DAE9F7" w:themeFill="text2" w:themeFillTint="1A"/>
          </w:tcPr>
          <w:p w14:paraId="49F5C1C0" w14:textId="55D70BF3" w:rsidR="00771009" w:rsidRDefault="00771009" w:rsidP="00D66C95">
            <w:pPr>
              <w:spacing w:after="200" w:line="300" w:lineRule="auto"/>
              <w:jc w:val="both"/>
            </w:pPr>
          </w:p>
        </w:tc>
        <w:tc>
          <w:tcPr>
            <w:tcW w:w="505" w:type="dxa"/>
            <w:shd w:val="clear" w:color="auto" w:fill="DAE9F7" w:themeFill="text2" w:themeFillTint="1A"/>
          </w:tcPr>
          <w:p w14:paraId="7416BA0A" w14:textId="77777777" w:rsidR="00771009" w:rsidRDefault="00771009" w:rsidP="00D66C95">
            <w:pPr>
              <w:spacing w:after="200" w:line="300" w:lineRule="auto"/>
              <w:jc w:val="both"/>
            </w:pPr>
          </w:p>
        </w:tc>
        <w:tc>
          <w:tcPr>
            <w:tcW w:w="505" w:type="dxa"/>
            <w:shd w:val="clear" w:color="auto" w:fill="DAE9F7" w:themeFill="text2" w:themeFillTint="1A"/>
          </w:tcPr>
          <w:p w14:paraId="26EC02ED" w14:textId="77777777" w:rsidR="00771009" w:rsidRDefault="00771009" w:rsidP="00D66C95">
            <w:pPr>
              <w:spacing w:after="200" w:line="300" w:lineRule="auto"/>
              <w:jc w:val="both"/>
            </w:pPr>
          </w:p>
        </w:tc>
        <w:tc>
          <w:tcPr>
            <w:tcW w:w="505" w:type="dxa"/>
          </w:tcPr>
          <w:p w14:paraId="47390A26" w14:textId="77777777" w:rsidR="00771009" w:rsidRDefault="00771009" w:rsidP="00D66C95">
            <w:pPr>
              <w:spacing w:after="200" w:line="300" w:lineRule="auto"/>
              <w:jc w:val="both"/>
            </w:pPr>
          </w:p>
        </w:tc>
        <w:tc>
          <w:tcPr>
            <w:tcW w:w="505" w:type="dxa"/>
          </w:tcPr>
          <w:p w14:paraId="72473BA7" w14:textId="77777777" w:rsidR="00771009" w:rsidRDefault="00771009" w:rsidP="00D66C95">
            <w:pPr>
              <w:spacing w:after="200" w:line="300" w:lineRule="auto"/>
              <w:jc w:val="both"/>
            </w:pPr>
          </w:p>
        </w:tc>
        <w:tc>
          <w:tcPr>
            <w:tcW w:w="505" w:type="dxa"/>
          </w:tcPr>
          <w:p w14:paraId="31C86C6E" w14:textId="77777777" w:rsidR="00771009" w:rsidRDefault="00771009" w:rsidP="00D66C95">
            <w:pPr>
              <w:spacing w:after="200" w:line="300" w:lineRule="auto"/>
              <w:jc w:val="both"/>
            </w:pPr>
          </w:p>
        </w:tc>
        <w:tc>
          <w:tcPr>
            <w:tcW w:w="505" w:type="dxa"/>
          </w:tcPr>
          <w:p w14:paraId="70F48E0D" w14:textId="77777777" w:rsidR="00771009" w:rsidRDefault="00771009" w:rsidP="00D66C95">
            <w:pPr>
              <w:spacing w:after="200" w:line="300" w:lineRule="auto"/>
              <w:jc w:val="both"/>
            </w:pPr>
          </w:p>
        </w:tc>
        <w:tc>
          <w:tcPr>
            <w:tcW w:w="505" w:type="dxa"/>
          </w:tcPr>
          <w:p w14:paraId="70FA7D9C" w14:textId="77777777" w:rsidR="00771009" w:rsidRDefault="00771009" w:rsidP="00D66C95">
            <w:pPr>
              <w:spacing w:after="200" w:line="300" w:lineRule="auto"/>
              <w:jc w:val="both"/>
            </w:pPr>
          </w:p>
        </w:tc>
        <w:tc>
          <w:tcPr>
            <w:tcW w:w="505" w:type="dxa"/>
          </w:tcPr>
          <w:p w14:paraId="54B1B14C" w14:textId="77777777" w:rsidR="00771009" w:rsidRDefault="00771009" w:rsidP="00D66C95">
            <w:pPr>
              <w:spacing w:after="200" w:line="300" w:lineRule="auto"/>
              <w:jc w:val="both"/>
            </w:pPr>
          </w:p>
        </w:tc>
        <w:tc>
          <w:tcPr>
            <w:tcW w:w="605" w:type="dxa"/>
          </w:tcPr>
          <w:p w14:paraId="3FEB928A" w14:textId="77777777" w:rsidR="00771009" w:rsidRDefault="00771009" w:rsidP="00D66C95">
            <w:pPr>
              <w:spacing w:after="200" w:line="300" w:lineRule="auto"/>
              <w:jc w:val="both"/>
            </w:pPr>
          </w:p>
        </w:tc>
        <w:tc>
          <w:tcPr>
            <w:tcW w:w="605" w:type="dxa"/>
          </w:tcPr>
          <w:p w14:paraId="7D657802" w14:textId="77777777" w:rsidR="00771009" w:rsidRDefault="00771009" w:rsidP="00D66C95">
            <w:pPr>
              <w:spacing w:after="200" w:line="300" w:lineRule="auto"/>
              <w:jc w:val="both"/>
            </w:pPr>
          </w:p>
        </w:tc>
        <w:tc>
          <w:tcPr>
            <w:tcW w:w="605" w:type="dxa"/>
          </w:tcPr>
          <w:p w14:paraId="0C409AEF" w14:textId="77777777" w:rsidR="00771009" w:rsidRDefault="00771009" w:rsidP="00D66C95">
            <w:pPr>
              <w:spacing w:after="200" w:line="300" w:lineRule="auto"/>
              <w:jc w:val="both"/>
            </w:pPr>
          </w:p>
        </w:tc>
        <w:tc>
          <w:tcPr>
            <w:tcW w:w="605" w:type="dxa"/>
          </w:tcPr>
          <w:p w14:paraId="22BC64C2" w14:textId="77777777" w:rsidR="00771009" w:rsidRDefault="00771009" w:rsidP="00D66C95">
            <w:pPr>
              <w:spacing w:after="200" w:line="300" w:lineRule="auto"/>
              <w:jc w:val="both"/>
            </w:pPr>
          </w:p>
        </w:tc>
        <w:tc>
          <w:tcPr>
            <w:tcW w:w="605" w:type="dxa"/>
          </w:tcPr>
          <w:p w14:paraId="06445F7B" w14:textId="77777777" w:rsidR="00771009" w:rsidRDefault="00771009" w:rsidP="00D66C95">
            <w:pPr>
              <w:spacing w:after="200" w:line="300" w:lineRule="auto"/>
              <w:jc w:val="both"/>
            </w:pPr>
          </w:p>
        </w:tc>
        <w:tc>
          <w:tcPr>
            <w:tcW w:w="605" w:type="dxa"/>
          </w:tcPr>
          <w:p w14:paraId="621ECE9D" w14:textId="77777777" w:rsidR="00771009" w:rsidRDefault="00771009" w:rsidP="00D66C95">
            <w:pPr>
              <w:spacing w:after="200" w:line="300" w:lineRule="auto"/>
              <w:jc w:val="both"/>
            </w:pPr>
          </w:p>
        </w:tc>
        <w:tc>
          <w:tcPr>
            <w:tcW w:w="605" w:type="dxa"/>
          </w:tcPr>
          <w:p w14:paraId="32CCF34A" w14:textId="77777777" w:rsidR="00771009" w:rsidRDefault="00771009" w:rsidP="00D66C95">
            <w:pPr>
              <w:spacing w:after="200" w:line="300" w:lineRule="auto"/>
              <w:jc w:val="both"/>
            </w:pPr>
          </w:p>
        </w:tc>
      </w:tr>
      <w:tr w:rsidR="00771009" w14:paraId="20A504F0" w14:textId="7B9E21D7" w:rsidTr="00C94852">
        <w:trPr>
          <w:trHeight w:val="448"/>
        </w:trPr>
        <w:tc>
          <w:tcPr>
            <w:tcW w:w="2080" w:type="dxa"/>
          </w:tcPr>
          <w:p w14:paraId="357DF100" w14:textId="50B088B1" w:rsidR="00771009" w:rsidRDefault="00771009" w:rsidP="00771009">
            <w:pPr>
              <w:spacing w:after="200" w:line="300" w:lineRule="auto"/>
              <w:jc w:val="center"/>
            </w:pPr>
            <w:r>
              <w:t>Chapter 2: Methodology</w:t>
            </w:r>
          </w:p>
        </w:tc>
        <w:tc>
          <w:tcPr>
            <w:tcW w:w="749" w:type="dxa"/>
            <w:shd w:val="clear" w:color="auto" w:fill="DAE9F7" w:themeFill="text2" w:themeFillTint="1A"/>
          </w:tcPr>
          <w:p w14:paraId="7B7CD45B" w14:textId="2CF105F2" w:rsidR="00771009" w:rsidRDefault="00771009" w:rsidP="00D66C95">
            <w:pPr>
              <w:spacing w:after="200" w:line="300" w:lineRule="auto"/>
              <w:jc w:val="both"/>
            </w:pPr>
          </w:p>
        </w:tc>
        <w:tc>
          <w:tcPr>
            <w:tcW w:w="505" w:type="dxa"/>
            <w:shd w:val="clear" w:color="auto" w:fill="DAE9F7" w:themeFill="text2" w:themeFillTint="1A"/>
          </w:tcPr>
          <w:p w14:paraId="7EEB9DBE" w14:textId="77777777" w:rsidR="00771009" w:rsidRDefault="00771009" w:rsidP="00D66C95">
            <w:pPr>
              <w:spacing w:after="200" w:line="300" w:lineRule="auto"/>
              <w:jc w:val="both"/>
            </w:pPr>
          </w:p>
        </w:tc>
        <w:tc>
          <w:tcPr>
            <w:tcW w:w="505" w:type="dxa"/>
            <w:shd w:val="clear" w:color="auto" w:fill="DAE9F7" w:themeFill="text2" w:themeFillTint="1A"/>
          </w:tcPr>
          <w:p w14:paraId="300F7770" w14:textId="77777777" w:rsidR="00771009" w:rsidRDefault="00771009" w:rsidP="00D66C95">
            <w:pPr>
              <w:spacing w:after="200" w:line="300" w:lineRule="auto"/>
              <w:jc w:val="both"/>
            </w:pPr>
          </w:p>
        </w:tc>
        <w:tc>
          <w:tcPr>
            <w:tcW w:w="505" w:type="dxa"/>
          </w:tcPr>
          <w:p w14:paraId="5C65CF70" w14:textId="77777777" w:rsidR="00771009" w:rsidRDefault="00771009" w:rsidP="00D66C95">
            <w:pPr>
              <w:spacing w:after="200" w:line="300" w:lineRule="auto"/>
              <w:jc w:val="both"/>
            </w:pPr>
          </w:p>
        </w:tc>
        <w:tc>
          <w:tcPr>
            <w:tcW w:w="505" w:type="dxa"/>
          </w:tcPr>
          <w:p w14:paraId="48D3EE07" w14:textId="77777777" w:rsidR="00771009" w:rsidRDefault="00771009" w:rsidP="00D66C95">
            <w:pPr>
              <w:spacing w:after="200" w:line="300" w:lineRule="auto"/>
              <w:jc w:val="both"/>
            </w:pPr>
          </w:p>
        </w:tc>
        <w:tc>
          <w:tcPr>
            <w:tcW w:w="505" w:type="dxa"/>
          </w:tcPr>
          <w:p w14:paraId="055F636E" w14:textId="77777777" w:rsidR="00771009" w:rsidRDefault="00771009" w:rsidP="00D66C95">
            <w:pPr>
              <w:spacing w:after="200" w:line="300" w:lineRule="auto"/>
              <w:jc w:val="both"/>
            </w:pPr>
          </w:p>
        </w:tc>
        <w:tc>
          <w:tcPr>
            <w:tcW w:w="505" w:type="dxa"/>
          </w:tcPr>
          <w:p w14:paraId="3776211E" w14:textId="77777777" w:rsidR="00771009" w:rsidRDefault="00771009" w:rsidP="00D66C95">
            <w:pPr>
              <w:spacing w:after="200" w:line="300" w:lineRule="auto"/>
              <w:jc w:val="both"/>
            </w:pPr>
          </w:p>
        </w:tc>
        <w:tc>
          <w:tcPr>
            <w:tcW w:w="505" w:type="dxa"/>
          </w:tcPr>
          <w:p w14:paraId="49E1518B" w14:textId="77777777" w:rsidR="00771009" w:rsidRDefault="00771009" w:rsidP="00D66C95">
            <w:pPr>
              <w:spacing w:after="200" w:line="300" w:lineRule="auto"/>
              <w:jc w:val="both"/>
            </w:pPr>
          </w:p>
        </w:tc>
        <w:tc>
          <w:tcPr>
            <w:tcW w:w="505" w:type="dxa"/>
          </w:tcPr>
          <w:p w14:paraId="64020C93" w14:textId="77777777" w:rsidR="00771009" w:rsidRDefault="00771009" w:rsidP="00D66C95">
            <w:pPr>
              <w:spacing w:after="200" w:line="300" w:lineRule="auto"/>
              <w:jc w:val="both"/>
            </w:pPr>
          </w:p>
        </w:tc>
        <w:tc>
          <w:tcPr>
            <w:tcW w:w="605" w:type="dxa"/>
          </w:tcPr>
          <w:p w14:paraId="3DA93D64" w14:textId="77777777" w:rsidR="00771009" w:rsidRDefault="00771009" w:rsidP="00D66C95">
            <w:pPr>
              <w:spacing w:after="200" w:line="300" w:lineRule="auto"/>
              <w:jc w:val="both"/>
            </w:pPr>
          </w:p>
        </w:tc>
        <w:tc>
          <w:tcPr>
            <w:tcW w:w="605" w:type="dxa"/>
          </w:tcPr>
          <w:p w14:paraId="4BCD3005" w14:textId="77777777" w:rsidR="00771009" w:rsidRDefault="00771009" w:rsidP="00D66C95">
            <w:pPr>
              <w:spacing w:after="200" w:line="300" w:lineRule="auto"/>
              <w:jc w:val="both"/>
            </w:pPr>
          </w:p>
        </w:tc>
        <w:tc>
          <w:tcPr>
            <w:tcW w:w="605" w:type="dxa"/>
          </w:tcPr>
          <w:p w14:paraId="63821340" w14:textId="77777777" w:rsidR="00771009" w:rsidRDefault="00771009" w:rsidP="00D66C95">
            <w:pPr>
              <w:spacing w:after="200" w:line="300" w:lineRule="auto"/>
              <w:jc w:val="both"/>
            </w:pPr>
          </w:p>
        </w:tc>
        <w:tc>
          <w:tcPr>
            <w:tcW w:w="605" w:type="dxa"/>
          </w:tcPr>
          <w:p w14:paraId="28DB2374" w14:textId="77777777" w:rsidR="00771009" w:rsidRDefault="00771009" w:rsidP="00D66C95">
            <w:pPr>
              <w:spacing w:after="200" w:line="300" w:lineRule="auto"/>
              <w:jc w:val="both"/>
            </w:pPr>
          </w:p>
        </w:tc>
        <w:tc>
          <w:tcPr>
            <w:tcW w:w="605" w:type="dxa"/>
          </w:tcPr>
          <w:p w14:paraId="5B2BC878" w14:textId="77777777" w:rsidR="00771009" w:rsidRDefault="00771009" w:rsidP="00D66C95">
            <w:pPr>
              <w:spacing w:after="200" w:line="300" w:lineRule="auto"/>
              <w:jc w:val="both"/>
            </w:pPr>
          </w:p>
        </w:tc>
        <w:tc>
          <w:tcPr>
            <w:tcW w:w="605" w:type="dxa"/>
          </w:tcPr>
          <w:p w14:paraId="5BA835FB" w14:textId="77777777" w:rsidR="00771009" w:rsidRDefault="00771009" w:rsidP="00D66C95">
            <w:pPr>
              <w:spacing w:after="200" w:line="300" w:lineRule="auto"/>
              <w:jc w:val="both"/>
            </w:pPr>
          </w:p>
        </w:tc>
        <w:tc>
          <w:tcPr>
            <w:tcW w:w="605" w:type="dxa"/>
          </w:tcPr>
          <w:p w14:paraId="7C852BA3" w14:textId="77777777" w:rsidR="00771009" w:rsidRDefault="00771009" w:rsidP="00D66C95">
            <w:pPr>
              <w:spacing w:after="200" w:line="300" w:lineRule="auto"/>
              <w:jc w:val="both"/>
            </w:pPr>
          </w:p>
        </w:tc>
      </w:tr>
      <w:tr w:rsidR="00C94852" w14:paraId="22DECADE" w14:textId="1BE81A0E" w:rsidTr="00C94852">
        <w:trPr>
          <w:trHeight w:val="448"/>
        </w:trPr>
        <w:tc>
          <w:tcPr>
            <w:tcW w:w="2080" w:type="dxa"/>
          </w:tcPr>
          <w:p w14:paraId="2238E822" w14:textId="44D84B23" w:rsidR="00771009" w:rsidRDefault="00771009" w:rsidP="00771009">
            <w:pPr>
              <w:spacing w:after="200" w:line="300" w:lineRule="auto"/>
              <w:jc w:val="center"/>
            </w:pPr>
            <w:r>
              <w:t>Systematic Search &amp; Screening</w:t>
            </w:r>
          </w:p>
        </w:tc>
        <w:tc>
          <w:tcPr>
            <w:tcW w:w="749" w:type="dxa"/>
          </w:tcPr>
          <w:p w14:paraId="75BB3C55" w14:textId="3B936FE8" w:rsidR="00771009" w:rsidRDefault="00771009" w:rsidP="00D66C95">
            <w:pPr>
              <w:spacing w:after="200" w:line="300" w:lineRule="auto"/>
              <w:jc w:val="both"/>
            </w:pPr>
          </w:p>
        </w:tc>
        <w:tc>
          <w:tcPr>
            <w:tcW w:w="505" w:type="dxa"/>
          </w:tcPr>
          <w:p w14:paraId="2B067E38" w14:textId="77777777" w:rsidR="00771009" w:rsidRDefault="00771009" w:rsidP="00D66C95">
            <w:pPr>
              <w:spacing w:after="200" w:line="300" w:lineRule="auto"/>
              <w:jc w:val="both"/>
            </w:pPr>
          </w:p>
        </w:tc>
        <w:tc>
          <w:tcPr>
            <w:tcW w:w="505" w:type="dxa"/>
            <w:shd w:val="clear" w:color="auto" w:fill="FAE2D5" w:themeFill="accent2" w:themeFillTint="33"/>
          </w:tcPr>
          <w:p w14:paraId="3324EF0E" w14:textId="77777777" w:rsidR="00771009" w:rsidRDefault="00771009" w:rsidP="00D66C95">
            <w:pPr>
              <w:spacing w:after="200" w:line="300" w:lineRule="auto"/>
              <w:jc w:val="both"/>
            </w:pPr>
          </w:p>
        </w:tc>
        <w:tc>
          <w:tcPr>
            <w:tcW w:w="505" w:type="dxa"/>
            <w:shd w:val="clear" w:color="auto" w:fill="FAE2D5" w:themeFill="accent2" w:themeFillTint="33"/>
          </w:tcPr>
          <w:p w14:paraId="2AF3B538" w14:textId="77777777" w:rsidR="00771009" w:rsidRDefault="00771009" w:rsidP="00D66C95">
            <w:pPr>
              <w:spacing w:after="200" w:line="300" w:lineRule="auto"/>
              <w:jc w:val="both"/>
            </w:pPr>
          </w:p>
        </w:tc>
        <w:tc>
          <w:tcPr>
            <w:tcW w:w="505" w:type="dxa"/>
            <w:shd w:val="clear" w:color="auto" w:fill="FAE2D5" w:themeFill="accent2" w:themeFillTint="33"/>
          </w:tcPr>
          <w:p w14:paraId="627BE39B" w14:textId="77777777" w:rsidR="00771009" w:rsidRDefault="00771009" w:rsidP="00D66C95">
            <w:pPr>
              <w:spacing w:after="200" w:line="300" w:lineRule="auto"/>
              <w:jc w:val="both"/>
            </w:pPr>
          </w:p>
        </w:tc>
        <w:tc>
          <w:tcPr>
            <w:tcW w:w="505" w:type="dxa"/>
            <w:shd w:val="clear" w:color="auto" w:fill="FAE2D5" w:themeFill="accent2" w:themeFillTint="33"/>
          </w:tcPr>
          <w:p w14:paraId="45D7AF57" w14:textId="77777777" w:rsidR="00771009" w:rsidRDefault="00771009" w:rsidP="00D66C95">
            <w:pPr>
              <w:spacing w:after="200" w:line="300" w:lineRule="auto"/>
              <w:jc w:val="both"/>
            </w:pPr>
          </w:p>
        </w:tc>
        <w:tc>
          <w:tcPr>
            <w:tcW w:w="505" w:type="dxa"/>
          </w:tcPr>
          <w:p w14:paraId="7E6E6402" w14:textId="77777777" w:rsidR="00771009" w:rsidRDefault="00771009" w:rsidP="00D66C95">
            <w:pPr>
              <w:spacing w:after="200" w:line="300" w:lineRule="auto"/>
              <w:jc w:val="both"/>
            </w:pPr>
          </w:p>
        </w:tc>
        <w:tc>
          <w:tcPr>
            <w:tcW w:w="505" w:type="dxa"/>
          </w:tcPr>
          <w:p w14:paraId="6BFFA4E6" w14:textId="77777777" w:rsidR="00771009" w:rsidRDefault="00771009" w:rsidP="00D66C95">
            <w:pPr>
              <w:spacing w:after="200" w:line="300" w:lineRule="auto"/>
              <w:jc w:val="both"/>
            </w:pPr>
          </w:p>
        </w:tc>
        <w:tc>
          <w:tcPr>
            <w:tcW w:w="505" w:type="dxa"/>
          </w:tcPr>
          <w:p w14:paraId="4965F547" w14:textId="77777777" w:rsidR="00771009" w:rsidRDefault="00771009" w:rsidP="00D66C95">
            <w:pPr>
              <w:spacing w:after="200" w:line="300" w:lineRule="auto"/>
              <w:jc w:val="both"/>
            </w:pPr>
          </w:p>
        </w:tc>
        <w:tc>
          <w:tcPr>
            <w:tcW w:w="605" w:type="dxa"/>
          </w:tcPr>
          <w:p w14:paraId="677F8A05" w14:textId="77777777" w:rsidR="00771009" w:rsidRDefault="00771009" w:rsidP="00D66C95">
            <w:pPr>
              <w:spacing w:after="200" w:line="300" w:lineRule="auto"/>
              <w:jc w:val="both"/>
            </w:pPr>
          </w:p>
        </w:tc>
        <w:tc>
          <w:tcPr>
            <w:tcW w:w="605" w:type="dxa"/>
          </w:tcPr>
          <w:p w14:paraId="47C3FC42" w14:textId="77777777" w:rsidR="00771009" w:rsidRDefault="00771009" w:rsidP="00D66C95">
            <w:pPr>
              <w:spacing w:after="200" w:line="300" w:lineRule="auto"/>
              <w:jc w:val="both"/>
            </w:pPr>
          </w:p>
        </w:tc>
        <w:tc>
          <w:tcPr>
            <w:tcW w:w="605" w:type="dxa"/>
          </w:tcPr>
          <w:p w14:paraId="1EA0AAF5" w14:textId="77777777" w:rsidR="00771009" w:rsidRDefault="00771009" w:rsidP="00D66C95">
            <w:pPr>
              <w:spacing w:after="200" w:line="300" w:lineRule="auto"/>
              <w:jc w:val="both"/>
            </w:pPr>
          </w:p>
        </w:tc>
        <w:tc>
          <w:tcPr>
            <w:tcW w:w="605" w:type="dxa"/>
          </w:tcPr>
          <w:p w14:paraId="6B53FEAC" w14:textId="77777777" w:rsidR="00771009" w:rsidRDefault="00771009" w:rsidP="00D66C95">
            <w:pPr>
              <w:spacing w:after="200" w:line="300" w:lineRule="auto"/>
              <w:jc w:val="both"/>
            </w:pPr>
          </w:p>
        </w:tc>
        <w:tc>
          <w:tcPr>
            <w:tcW w:w="605" w:type="dxa"/>
          </w:tcPr>
          <w:p w14:paraId="2D384BFC" w14:textId="77777777" w:rsidR="00771009" w:rsidRDefault="00771009" w:rsidP="00D66C95">
            <w:pPr>
              <w:spacing w:after="200" w:line="300" w:lineRule="auto"/>
              <w:jc w:val="both"/>
            </w:pPr>
          </w:p>
        </w:tc>
        <w:tc>
          <w:tcPr>
            <w:tcW w:w="605" w:type="dxa"/>
          </w:tcPr>
          <w:p w14:paraId="2C7EA17F" w14:textId="77777777" w:rsidR="00771009" w:rsidRDefault="00771009" w:rsidP="00D66C95">
            <w:pPr>
              <w:spacing w:after="200" w:line="300" w:lineRule="auto"/>
              <w:jc w:val="both"/>
            </w:pPr>
          </w:p>
        </w:tc>
        <w:tc>
          <w:tcPr>
            <w:tcW w:w="605" w:type="dxa"/>
          </w:tcPr>
          <w:p w14:paraId="323C5F15" w14:textId="77777777" w:rsidR="00771009" w:rsidRDefault="00771009" w:rsidP="00D66C95">
            <w:pPr>
              <w:spacing w:after="200" w:line="300" w:lineRule="auto"/>
              <w:jc w:val="both"/>
            </w:pPr>
          </w:p>
        </w:tc>
      </w:tr>
      <w:tr w:rsidR="00771009" w14:paraId="2D02ACE3" w14:textId="511873DB" w:rsidTr="00C94852">
        <w:trPr>
          <w:trHeight w:val="439"/>
        </w:trPr>
        <w:tc>
          <w:tcPr>
            <w:tcW w:w="2080" w:type="dxa"/>
          </w:tcPr>
          <w:p w14:paraId="0EAD1E56" w14:textId="3E32C960" w:rsidR="00771009" w:rsidRDefault="00771009" w:rsidP="00771009">
            <w:pPr>
              <w:spacing w:after="200" w:line="300" w:lineRule="auto"/>
              <w:jc w:val="center"/>
            </w:pPr>
            <w:r>
              <w:t>Data Extraction &amp; Quality Appraisal</w:t>
            </w:r>
          </w:p>
        </w:tc>
        <w:tc>
          <w:tcPr>
            <w:tcW w:w="749" w:type="dxa"/>
          </w:tcPr>
          <w:p w14:paraId="58197373" w14:textId="7C2E1373" w:rsidR="00771009" w:rsidRDefault="00771009" w:rsidP="00D66C95">
            <w:pPr>
              <w:spacing w:after="200" w:line="300" w:lineRule="auto"/>
              <w:jc w:val="both"/>
            </w:pPr>
          </w:p>
        </w:tc>
        <w:tc>
          <w:tcPr>
            <w:tcW w:w="505" w:type="dxa"/>
          </w:tcPr>
          <w:p w14:paraId="636EE395" w14:textId="77777777" w:rsidR="00771009" w:rsidRDefault="00771009" w:rsidP="00D66C95">
            <w:pPr>
              <w:spacing w:after="200" w:line="300" w:lineRule="auto"/>
              <w:jc w:val="both"/>
            </w:pPr>
          </w:p>
        </w:tc>
        <w:tc>
          <w:tcPr>
            <w:tcW w:w="505" w:type="dxa"/>
          </w:tcPr>
          <w:p w14:paraId="301DBF0B" w14:textId="77777777" w:rsidR="00771009" w:rsidRDefault="00771009" w:rsidP="00D66C95">
            <w:pPr>
              <w:spacing w:after="200" w:line="300" w:lineRule="auto"/>
              <w:jc w:val="both"/>
            </w:pPr>
          </w:p>
        </w:tc>
        <w:tc>
          <w:tcPr>
            <w:tcW w:w="505" w:type="dxa"/>
          </w:tcPr>
          <w:p w14:paraId="0036E2C4" w14:textId="77777777" w:rsidR="00771009" w:rsidRDefault="00771009" w:rsidP="00D66C95">
            <w:pPr>
              <w:spacing w:after="200" w:line="300" w:lineRule="auto"/>
              <w:jc w:val="both"/>
            </w:pPr>
          </w:p>
        </w:tc>
        <w:tc>
          <w:tcPr>
            <w:tcW w:w="505" w:type="dxa"/>
          </w:tcPr>
          <w:p w14:paraId="54A61D8B" w14:textId="77777777" w:rsidR="00771009" w:rsidRDefault="00771009" w:rsidP="00D66C95">
            <w:pPr>
              <w:spacing w:after="200" w:line="300" w:lineRule="auto"/>
              <w:jc w:val="both"/>
            </w:pPr>
          </w:p>
        </w:tc>
        <w:tc>
          <w:tcPr>
            <w:tcW w:w="505" w:type="dxa"/>
            <w:shd w:val="clear" w:color="auto" w:fill="FFFFFF" w:themeFill="background1"/>
          </w:tcPr>
          <w:p w14:paraId="03C83B03" w14:textId="77777777" w:rsidR="00771009" w:rsidRDefault="00771009" w:rsidP="00D66C95">
            <w:pPr>
              <w:spacing w:after="200" w:line="300" w:lineRule="auto"/>
              <w:jc w:val="both"/>
            </w:pPr>
          </w:p>
        </w:tc>
        <w:tc>
          <w:tcPr>
            <w:tcW w:w="505" w:type="dxa"/>
            <w:shd w:val="clear" w:color="auto" w:fill="C1F0C7" w:themeFill="accent3" w:themeFillTint="33"/>
          </w:tcPr>
          <w:p w14:paraId="338C97F7" w14:textId="77777777" w:rsidR="00771009" w:rsidRDefault="00771009" w:rsidP="00D66C95">
            <w:pPr>
              <w:spacing w:after="200" w:line="300" w:lineRule="auto"/>
              <w:jc w:val="both"/>
            </w:pPr>
          </w:p>
        </w:tc>
        <w:tc>
          <w:tcPr>
            <w:tcW w:w="505" w:type="dxa"/>
            <w:shd w:val="clear" w:color="auto" w:fill="C1F0C7" w:themeFill="accent3" w:themeFillTint="33"/>
          </w:tcPr>
          <w:p w14:paraId="33AEA936" w14:textId="77777777" w:rsidR="00771009" w:rsidRDefault="00771009" w:rsidP="00D66C95">
            <w:pPr>
              <w:spacing w:after="200" w:line="300" w:lineRule="auto"/>
              <w:jc w:val="both"/>
            </w:pPr>
          </w:p>
        </w:tc>
        <w:tc>
          <w:tcPr>
            <w:tcW w:w="505" w:type="dxa"/>
          </w:tcPr>
          <w:p w14:paraId="4E9E4539" w14:textId="77777777" w:rsidR="00771009" w:rsidRDefault="00771009" w:rsidP="00D66C95">
            <w:pPr>
              <w:spacing w:after="200" w:line="300" w:lineRule="auto"/>
              <w:jc w:val="both"/>
            </w:pPr>
          </w:p>
        </w:tc>
        <w:tc>
          <w:tcPr>
            <w:tcW w:w="605" w:type="dxa"/>
          </w:tcPr>
          <w:p w14:paraId="28D275EC" w14:textId="77777777" w:rsidR="00771009" w:rsidRDefault="00771009" w:rsidP="00D66C95">
            <w:pPr>
              <w:spacing w:after="200" w:line="300" w:lineRule="auto"/>
              <w:jc w:val="both"/>
            </w:pPr>
          </w:p>
        </w:tc>
        <w:tc>
          <w:tcPr>
            <w:tcW w:w="605" w:type="dxa"/>
          </w:tcPr>
          <w:p w14:paraId="61B439B9" w14:textId="77777777" w:rsidR="00771009" w:rsidRDefault="00771009" w:rsidP="00D66C95">
            <w:pPr>
              <w:spacing w:after="200" w:line="300" w:lineRule="auto"/>
              <w:jc w:val="both"/>
            </w:pPr>
          </w:p>
        </w:tc>
        <w:tc>
          <w:tcPr>
            <w:tcW w:w="605" w:type="dxa"/>
          </w:tcPr>
          <w:p w14:paraId="561C46D0" w14:textId="77777777" w:rsidR="00771009" w:rsidRDefault="00771009" w:rsidP="00D66C95">
            <w:pPr>
              <w:spacing w:after="200" w:line="300" w:lineRule="auto"/>
              <w:jc w:val="both"/>
            </w:pPr>
          </w:p>
        </w:tc>
        <w:tc>
          <w:tcPr>
            <w:tcW w:w="605" w:type="dxa"/>
          </w:tcPr>
          <w:p w14:paraId="0216D954" w14:textId="77777777" w:rsidR="00771009" w:rsidRDefault="00771009" w:rsidP="00D66C95">
            <w:pPr>
              <w:spacing w:after="200" w:line="300" w:lineRule="auto"/>
              <w:jc w:val="both"/>
            </w:pPr>
          </w:p>
        </w:tc>
        <w:tc>
          <w:tcPr>
            <w:tcW w:w="605" w:type="dxa"/>
          </w:tcPr>
          <w:p w14:paraId="0134239F" w14:textId="77777777" w:rsidR="00771009" w:rsidRDefault="00771009" w:rsidP="00D66C95">
            <w:pPr>
              <w:spacing w:after="200" w:line="300" w:lineRule="auto"/>
              <w:jc w:val="both"/>
            </w:pPr>
          </w:p>
        </w:tc>
        <w:tc>
          <w:tcPr>
            <w:tcW w:w="605" w:type="dxa"/>
          </w:tcPr>
          <w:p w14:paraId="3CD54A3A" w14:textId="77777777" w:rsidR="00771009" w:rsidRDefault="00771009" w:rsidP="00D66C95">
            <w:pPr>
              <w:spacing w:after="200" w:line="300" w:lineRule="auto"/>
              <w:jc w:val="both"/>
            </w:pPr>
          </w:p>
        </w:tc>
        <w:tc>
          <w:tcPr>
            <w:tcW w:w="605" w:type="dxa"/>
          </w:tcPr>
          <w:p w14:paraId="3221807C" w14:textId="77777777" w:rsidR="00771009" w:rsidRDefault="00771009" w:rsidP="00D66C95">
            <w:pPr>
              <w:spacing w:after="200" w:line="300" w:lineRule="auto"/>
              <w:jc w:val="both"/>
            </w:pPr>
          </w:p>
        </w:tc>
      </w:tr>
      <w:tr w:rsidR="00771009" w14:paraId="488115FE" w14:textId="4A4AEC6A" w:rsidTr="00C94852">
        <w:trPr>
          <w:trHeight w:val="448"/>
        </w:trPr>
        <w:tc>
          <w:tcPr>
            <w:tcW w:w="2080" w:type="dxa"/>
          </w:tcPr>
          <w:p w14:paraId="79D28D98" w14:textId="5F363C53" w:rsidR="00771009" w:rsidRDefault="00771009" w:rsidP="00771009">
            <w:pPr>
              <w:spacing w:after="200" w:line="300" w:lineRule="auto"/>
              <w:jc w:val="center"/>
            </w:pPr>
            <w:r>
              <w:t>Chapter 3: Result Synthesis</w:t>
            </w:r>
          </w:p>
        </w:tc>
        <w:tc>
          <w:tcPr>
            <w:tcW w:w="749" w:type="dxa"/>
          </w:tcPr>
          <w:p w14:paraId="5AAF453F" w14:textId="227190F3" w:rsidR="00771009" w:rsidRDefault="00771009" w:rsidP="00D66C95">
            <w:pPr>
              <w:spacing w:after="200" w:line="300" w:lineRule="auto"/>
              <w:jc w:val="both"/>
            </w:pPr>
          </w:p>
        </w:tc>
        <w:tc>
          <w:tcPr>
            <w:tcW w:w="505" w:type="dxa"/>
          </w:tcPr>
          <w:p w14:paraId="1100785A" w14:textId="77777777" w:rsidR="00771009" w:rsidRDefault="00771009" w:rsidP="00D66C95">
            <w:pPr>
              <w:spacing w:after="200" w:line="300" w:lineRule="auto"/>
              <w:jc w:val="both"/>
            </w:pPr>
          </w:p>
        </w:tc>
        <w:tc>
          <w:tcPr>
            <w:tcW w:w="505" w:type="dxa"/>
          </w:tcPr>
          <w:p w14:paraId="5A15CED7" w14:textId="77777777" w:rsidR="00771009" w:rsidRDefault="00771009" w:rsidP="00D66C95">
            <w:pPr>
              <w:spacing w:after="200" w:line="300" w:lineRule="auto"/>
              <w:jc w:val="both"/>
            </w:pPr>
          </w:p>
        </w:tc>
        <w:tc>
          <w:tcPr>
            <w:tcW w:w="505" w:type="dxa"/>
          </w:tcPr>
          <w:p w14:paraId="11ACE626" w14:textId="77777777" w:rsidR="00771009" w:rsidRDefault="00771009" w:rsidP="00D66C95">
            <w:pPr>
              <w:spacing w:after="200" w:line="300" w:lineRule="auto"/>
              <w:jc w:val="both"/>
            </w:pPr>
          </w:p>
        </w:tc>
        <w:tc>
          <w:tcPr>
            <w:tcW w:w="505" w:type="dxa"/>
          </w:tcPr>
          <w:p w14:paraId="310603B1" w14:textId="77777777" w:rsidR="00771009" w:rsidRDefault="00771009" w:rsidP="00D66C95">
            <w:pPr>
              <w:spacing w:after="200" w:line="300" w:lineRule="auto"/>
              <w:jc w:val="both"/>
            </w:pPr>
          </w:p>
        </w:tc>
        <w:tc>
          <w:tcPr>
            <w:tcW w:w="505" w:type="dxa"/>
          </w:tcPr>
          <w:p w14:paraId="4EC86681" w14:textId="77777777" w:rsidR="00771009" w:rsidRDefault="00771009" w:rsidP="00D66C95">
            <w:pPr>
              <w:spacing w:after="200" w:line="300" w:lineRule="auto"/>
              <w:jc w:val="both"/>
            </w:pPr>
          </w:p>
        </w:tc>
        <w:tc>
          <w:tcPr>
            <w:tcW w:w="505" w:type="dxa"/>
          </w:tcPr>
          <w:p w14:paraId="79114E75" w14:textId="77777777" w:rsidR="00771009" w:rsidRDefault="00771009" w:rsidP="00D66C95">
            <w:pPr>
              <w:spacing w:after="200" w:line="300" w:lineRule="auto"/>
              <w:jc w:val="both"/>
            </w:pPr>
          </w:p>
        </w:tc>
        <w:tc>
          <w:tcPr>
            <w:tcW w:w="505" w:type="dxa"/>
          </w:tcPr>
          <w:p w14:paraId="27FBD86A" w14:textId="77777777" w:rsidR="00771009" w:rsidRDefault="00771009" w:rsidP="00D66C95">
            <w:pPr>
              <w:spacing w:after="200" w:line="300" w:lineRule="auto"/>
              <w:jc w:val="both"/>
            </w:pPr>
          </w:p>
        </w:tc>
        <w:tc>
          <w:tcPr>
            <w:tcW w:w="505" w:type="dxa"/>
            <w:shd w:val="clear" w:color="auto" w:fill="CAEDFB" w:themeFill="accent4" w:themeFillTint="33"/>
          </w:tcPr>
          <w:p w14:paraId="03AA225E" w14:textId="77777777" w:rsidR="00771009" w:rsidRDefault="00771009" w:rsidP="00D66C95">
            <w:pPr>
              <w:spacing w:after="200" w:line="300" w:lineRule="auto"/>
              <w:jc w:val="both"/>
            </w:pPr>
          </w:p>
        </w:tc>
        <w:tc>
          <w:tcPr>
            <w:tcW w:w="605" w:type="dxa"/>
            <w:shd w:val="clear" w:color="auto" w:fill="CAEDFB" w:themeFill="accent4" w:themeFillTint="33"/>
          </w:tcPr>
          <w:p w14:paraId="30F52B0B" w14:textId="77777777" w:rsidR="00771009" w:rsidRDefault="00771009" w:rsidP="00D66C95">
            <w:pPr>
              <w:spacing w:after="200" w:line="300" w:lineRule="auto"/>
              <w:jc w:val="both"/>
            </w:pPr>
          </w:p>
        </w:tc>
        <w:tc>
          <w:tcPr>
            <w:tcW w:w="605" w:type="dxa"/>
            <w:shd w:val="clear" w:color="auto" w:fill="CAEDFB" w:themeFill="accent4" w:themeFillTint="33"/>
          </w:tcPr>
          <w:p w14:paraId="4DD9FC00" w14:textId="77777777" w:rsidR="00771009" w:rsidRDefault="00771009" w:rsidP="00D66C95">
            <w:pPr>
              <w:spacing w:after="200" w:line="300" w:lineRule="auto"/>
              <w:jc w:val="both"/>
            </w:pPr>
          </w:p>
        </w:tc>
        <w:tc>
          <w:tcPr>
            <w:tcW w:w="605" w:type="dxa"/>
          </w:tcPr>
          <w:p w14:paraId="3BAFE5F3" w14:textId="77777777" w:rsidR="00771009" w:rsidRDefault="00771009" w:rsidP="00D66C95">
            <w:pPr>
              <w:spacing w:after="200" w:line="300" w:lineRule="auto"/>
              <w:jc w:val="both"/>
            </w:pPr>
          </w:p>
        </w:tc>
        <w:tc>
          <w:tcPr>
            <w:tcW w:w="605" w:type="dxa"/>
          </w:tcPr>
          <w:p w14:paraId="1C6F32AF" w14:textId="77777777" w:rsidR="00771009" w:rsidRDefault="00771009" w:rsidP="00D66C95">
            <w:pPr>
              <w:spacing w:after="200" w:line="300" w:lineRule="auto"/>
              <w:jc w:val="both"/>
            </w:pPr>
          </w:p>
        </w:tc>
        <w:tc>
          <w:tcPr>
            <w:tcW w:w="605" w:type="dxa"/>
          </w:tcPr>
          <w:p w14:paraId="6F42A64E" w14:textId="77777777" w:rsidR="00771009" w:rsidRDefault="00771009" w:rsidP="00D66C95">
            <w:pPr>
              <w:spacing w:after="200" w:line="300" w:lineRule="auto"/>
              <w:jc w:val="both"/>
            </w:pPr>
          </w:p>
        </w:tc>
        <w:tc>
          <w:tcPr>
            <w:tcW w:w="605" w:type="dxa"/>
          </w:tcPr>
          <w:p w14:paraId="1264BD2D" w14:textId="77777777" w:rsidR="00771009" w:rsidRDefault="00771009" w:rsidP="00D66C95">
            <w:pPr>
              <w:spacing w:after="200" w:line="300" w:lineRule="auto"/>
              <w:jc w:val="both"/>
            </w:pPr>
          </w:p>
        </w:tc>
        <w:tc>
          <w:tcPr>
            <w:tcW w:w="605" w:type="dxa"/>
          </w:tcPr>
          <w:p w14:paraId="375C7068" w14:textId="77777777" w:rsidR="00771009" w:rsidRDefault="00771009" w:rsidP="00D66C95">
            <w:pPr>
              <w:spacing w:after="200" w:line="300" w:lineRule="auto"/>
              <w:jc w:val="both"/>
            </w:pPr>
          </w:p>
        </w:tc>
      </w:tr>
      <w:tr w:rsidR="00771009" w14:paraId="642BCED7" w14:textId="70510DB6" w:rsidTr="00C94852">
        <w:trPr>
          <w:trHeight w:val="439"/>
        </w:trPr>
        <w:tc>
          <w:tcPr>
            <w:tcW w:w="2080" w:type="dxa"/>
          </w:tcPr>
          <w:p w14:paraId="11F90205" w14:textId="27D0AF98" w:rsidR="00771009" w:rsidRDefault="00AD2F5F" w:rsidP="00AD2F5F">
            <w:pPr>
              <w:spacing w:after="200" w:line="300" w:lineRule="auto"/>
              <w:jc w:val="center"/>
            </w:pPr>
            <w:r>
              <w:t>Chapter 4: Discussion</w:t>
            </w:r>
          </w:p>
        </w:tc>
        <w:tc>
          <w:tcPr>
            <w:tcW w:w="749" w:type="dxa"/>
          </w:tcPr>
          <w:p w14:paraId="1B3598AD" w14:textId="1D8EFFD3" w:rsidR="00771009" w:rsidRDefault="00771009" w:rsidP="00D66C95">
            <w:pPr>
              <w:spacing w:after="200" w:line="300" w:lineRule="auto"/>
              <w:jc w:val="both"/>
            </w:pPr>
          </w:p>
        </w:tc>
        <w:tc>
          <w:tcPr>
            <w:tcW w:w="505" w:type="dxa"/>
          </w:tcPr>
          <w:p w14:paraId="722EF1CC" w14:textId="77777777" w:rsidR="00771009" w:rsidRDefault="00771009" w:rsidP="00D66C95">
            <w:pPr>
              <w:spacing w:after="200" w:line="300" w:lineRule="auto"/>
              <w:jc w:val="both"/>
            </w:pPr>
          </w:p>
        </w:tc>
        <w:tc>
          <w:tcPr>
            <w:tcW w:w="505" w:type="dxa"/>
          </w:tcPr>
          <w:p w14:paraId="0DFF0DDB" w14:textId="77777777" w:rsidR="00771009" w:rsidRDefault="00771009" w:rsidP="00D66C95">
            <w:pPr>
              <w:spacing w:after="200" w:line="300" w:lineRule="auto"/>
              <w:jc w:val="both"/>
            </w:pPr>
          </w:p>
        </w:tc>
        <w:tc>
          <w:tcPr>
            <w:tcW w:w="505" w:type="dxa"/>
          </w:tcPr>
          <w:p w14:paraId="0CC34FDF" w14:textId="77777777" w:rsidR="00771009" w:rsidRDefault="00771009" w:rsidP="00D66C95">
            <w:pPr>
              <w:spacing w:after="200" w:line="300" w:lineRule="auto"/>
              <w:jc w:val="both"/>
            </w:pPr>
          </w:p>
        </w:tc>
        <w:tc>
          <w:tcPr>
            <w:tcW w:w="505" w:type="dxa"/>
          </w:tcPr>
          <w:p w14:paraId="3BDBD22A" w14:textId="77777777" w:rsidR="00771009" w:rsidRDefault="00771009" w:rsidP="00D66C95">
            <w:pPr>
              <w:spacing w:after="200" w:line="300" w:lineRule="auto"/>
              <w:jc w:val="both"/>
            </w:pPr>
          </w:p>
        </w:tc>
        <w:tc>
          <w:tcPr>
            <w:tcW w:w="505" w:type="dxa"/>
          </w:tcPr>
          <w:p w14:paraId="7B1A58EA" w14:textId="77777777" w:rsidR="00771009" w:rsidRDefault="00771009" w:rsidP="00D66C95">
            <w:pPr>
              <w:spacing w:after="200" w:line="300" w:lineRule="auto"/>
              <w:jc w:val="both"/>
            </w:pPr>
          </w:p>
        </w:tc>
        <w:tc>
          <w:tcPr>
            <w:tcW w:w="505" w:type="dxa"/>
          </w:tcPr>
          <w:p w14:paraId="3CD20A09" w14:textId="77777777" w:rsidR="00771009" w:rsidRDefault="00771009" w:rsidP="00D66C95">
            <w:pPr>
              <w:spacing w:after="200" w:line="300" w:lineRule="auto"/>
              <w:jc w:val="both"/>
            </w:pPr>
          </w:p>
        </w:tc>
        <w:tc>
          <w:tcPr>
            <w:tcW w:w="505" w:type="dxa"/>
          </w:tcPr>
          <w:p w14:paraId="60D7CCDD" w14:textId="77777777" w:rsidR="00771009" w:rsidRDefault="00771009" w:rsidP="00D66C95">
            <w:pPr>
              <w:spacing w:after="200" w:line="300" w:lineRule="auto"/>
              <w:jc w:val="both"/>
            </w:pPr>
          </w:p>
        </w:tc>
        <w:tc>
          <w:tcPr>
            <w:tcW w:w="505" w:type="dxa"/>
          </w:tcPr>
          <w:p w14:paraId="51DB3312" w14:textId="77777777" w:rsidR="00771009" w:rsidRDefault="00771009" w:rsidP="00D66C95">
            <w:pPr>
              <w:spacing w:after="200" w:line="300" w:lineRule="auto"/>
              <w:jc w:val="both"/>
            </w:pPr>
          </w:p>
        </w:tc>
        <w:tc>
          <w:tcPr>
            <w:tcW w:w="605" w:type="dxa"/>
          </w:tcPr>
          <w:p w14:paraId="61430BE2" w14:textId="77777777" w:rsidR="00771009" w:rsidRDefault="00771009" w:rsidP="00D66C95">
            <w:pPr>
              <w:spacing w:after="200" w:line="300" w:lineRule="auto"/>
              <w:jc w:val="both"/>
            </w:pPr>
          </w:p>
        </w:tc>
        <w:tc>
          <w:tcPr>
            <w:tcW w:w="605" w:type="dxa"/>
            <w:shd w:val="clear" w:color="auto" w:fill="F2CEED" w:themeFill="accent5" w:themeFillTint="33"/>
          </w:tcPr>
          <w:p w14:paraId="6AB0D5BB" w14:textId="77777777" w:rsidR="00771009" w:rsidRDefault="00771009" w:rsidP="00D66C95">
            <w:pPr>
              <w:spacing w:after="200" w:line="300" w:lineRule="auto"/>
              <w:jc w:val="both"/>
            </w:pPr>
          </w:p>
        </w:tc>
        <w:tc>
          <w:tcPr>
            <w:tcW w:w="605" w:type="dxa"/>
            <w:shd w:val="clear" w:color="auto" w:fill="F2CEED" w:themeFill="accent5" w:themeFillTint="33"/>
          </w:tcPr>
          <w:p w14:paraId="5E18AA24" w14:textId="77777777" w:rsidR="00771009" w:rsidRDefault="00771009" w:rsidP="00D66C95">
            <w:pPr>
              <w:spacing w:after="200" w:line="300" w:lineRule="auto"/>
              <w:jc w:val="both"/>
            </w:pPr>
          </w:p>
        </w:tc>
        <w:tc>
          <w:tcPr>
            <w:tcW w:w="605" w:type="dxa"/>
            <w:shd w:val="clear" w:color="auto" w:fill="F2CEED" w:themeFill="accent5" w:themeFillTint="33"/>
          </w:tcPr>
          <w:p w14:paraId="7B7EBE06" w14:textId="77777777" w:rsidR="00771009" w:rsidRDefault="00771009" w:rsidP="00D66C95">
            <w:pPr>
              <w:spacing w:after="200" w:line="300" w:lineRule="auto"/>
              <w:jc w:val="both"/>
            </w:pPr>
          </w:p>
        </w:tc>
        <w:tc>
          <w:tcPr>
            <w:tcW w:w="605" w:type="dxa"/>
          </w:tcPr>
          <w:p w14:paraId="070A86A9" w14:textId="77777777" w:rsidR="00771009" w:rsidRDefault="00771009" w:rsidP="00D66C95">
            <w:pPr>
              <w:spacing w:after="200" w:line="300" w:lineRule="auto"/>
              <w:jc w:val="both"/>
            </w:pPr>
          </w:p>
        </w:tc>
        <w:tc>
          <w:tcPr>
            <w:tcW w:w="605" w:type="dxa"/>
          </w:tcPr>
          <w:p w14:paraId="2B1C1A5D" w14:textId="77777777" w:rsidR="00771009" w:rsidRDefault="00771009" w:rsidP="00D66C95">
            <w:pPr>
              <w:spacing w:after="200" w:line="300" w:lineRule="auto"/>
              <w:jc w:val="both"/>
            </w:pPr>
          </w:p>
        </w:tc>
        <w:tc>
          <w:tcPr>
            <w:tcW w:w="605" w:type="dxa"/>
          </w:tcPr>
          <w:p w14:paraId="7087E757" w14:textId="77777777" w:rsidR="00771009" w:rsidRDefault="00771009" w:rsidP="00D66C95">
            <w:pPr>
              <w:spacing w:after="200" w:line="300" w:lineRule="auto"/>
              <w:jc w:val="both"/>
            </w:pPr>
          </w:p>
        </w:tc>
      </w:tr>
      <w:tr w:rsidR="00771009" w14:paraId="71E77BAB" w14:textId="28C2E7EC" w:rsidTr="00C94852">
        <w:trPr>
          <w:trHeight w:val="448"/>
        </w:trPr>
        <w:tc>
          <w:tcPr>
            <w:tcW w:w="2080" w:type="dxa"/>
          </w:tcPr>
          <w:p w14:paraId="5F3485FA" w14:textId="55CD8C0C" w:rsidR="00771009" w:rsidRDefault="00AD2F5F" w:rsidP="00AD2F5F">
            <w:pPr>
              <w:spacing w:after="200" w:line="300" w:lineRule="auto"/>
              <w:jc w:val="center"/>
            </w:pPr>
            <w:r>
              <w:t>Chapter 5: Conclusion &amp; Recommendation</w:t>
            </w:r>
          </w:p>
        </w:tc>
        <w:tc>
          <w:tcPr>
            <w:tcW w:w="749" w:type="dxa"/>
          </w:tcPr>
          <w:p w14:paraId="7FAB03F7" w14:textId="18CF2E6B" w:rsidR="00771009" w:rsidRDefault="00771009" w:rsidP="00D66C95">
            <w:pPr>
              <w:spacing w:after="200" w:line="300" w:lineRule="auto"/>
              <w:jc w:val="both"/>
            </w:pPr>
          </w:p>
        </w:tc>
        <w:tc>
          <w:tcPr>
            <w:tcW w:w="505" w:type="dxa"/>
          </w:tcPr>
          <w:p w14:paraId="5EC41037" w14:textId="77777777" w:rsidR="00771009" w:rsidRDefault="00771009" w:rsidP="00D66C95">
            <w:pPr>
              <w:spacing w:after="200" w:line="300" w:lineRule="auto"/>
              <w:jc w:val="both"/>
            </w:pPr>
          </w:p>
        </w:tc>
        <w:tc>
          <w:tcPr>
            <w:tcW w:w="505" w:type="dxa"/>
          </w:tcPr>
          <w:p w14:paraId="22AF06FE" w14:textId="77777777" w:rsidR="00771009" w:rsidRDefault="00771009" w:rsidP="00D66C95">
            <w:pPr>
              <w:spacing w:after="200" w:line="300" w:lineRule="auto"/>
              <w:jc w:val="both"/>
            </w:pPr>
          </w:p>
        </w:tc>
        <w:tc>
          <w:tcPr>
            <w:tcW w:w="505" w:type="dxa"/>
          </w:tcPr>
          <w:p w14:paraId="2FABFF2A" w14:textId="77777777" w:rsidR="00771009" w:rsidRDefault="00771009" w:rsidP="00D66C95">
            <w:pPr>
              <w:spacing w:after="200" w:line="300" w:lineRule="auto"/>
              <w:jc w:val="both"/>
            </w:pPr>
          </w:p>
        </w:tc>
        <w:tc>
          <w:tcPr>
            <w:tcW w:w="505" w:type="dxa"/>
          </w:tcPr>
          <w:p w14:paraId="7468AD45" w14:textId="77777777" w:rsidR="00771009" w:rsidRDefault="00771009" w:rsidP="00D66C95">
            <w:pPr>
              <w:spacing w:after="200" w:line="300" w:lineRule="auto"/>
              <w:jc w:val="both"/>
            </w:pPr>
          </w:p>
        </w:tc>
        <w:tc>
          <w:tcPr>
            <w:tcW w:w="505" w:type="dxa"/>
          </w:tcPr>
          <w:p w14:paraId="6ECC270D" w14:textId="77777777" w:rsidR="00771009" w:rsidRDefault="00771009" w:rsidP="00D66C95">
            <w:pPr>
              <w:spacing w:after="200" w:line="300" w:lineRule="auto"/>
              <w:jc w:val="both"/>
            </w:pPr>
          </w:p>
        </w:tc>
        <w:tc>
          <w:tcPr>
            <w:tcW w:w="505" w:type="dxa"/>
          </w:tcPr>
          <w:p w14:paraId="290308A6" w14:textId="77777777" w:rsidR="00771009" w:rsidRDefault="00771009" w:rsidP="00D66C95">
            <w:pPr>
              <w:spacing w:after="200" w:line="300" w:lineRule="auto"/>
              <w:jc w:val="both"/>
            </w:pPr>
          </w:p>
        </w:tc>
        <w:tc>
          <w:tcPr>
            <w:tcW w:w="505" w:type="dxa"/>
          </w:tcPr>
          <w:p w14:paraId="746F8392" w14:textId="77777777" w:rsidR="00771009" w:rsidRDefault="00771009" w:rsidP="00D66C95">
            <w:pPr>
              <w:spacing w:after="200" w:line="300" w:lineRule="auto"/>
              <w:jc w:val="both"/>
            </w:pPr>
          </w:p>
        </w:tc>
        <w:tc>
          <w:tcPr>
            <w:tcW w:w="505" w:type="dxa"/>
          </w:tcPr>
          <w:p w14:paraId="75176BE0" w14:textId="77777777" w:rsidR="00771009" w:rsidRDefault="00771009" w:rsidP="00D66C95">
            <w:pPr>
              <w:spacing w:after="200" w:line="300" w:lineRule="auto"/>
              <w:jc w:val="both"/>
            </w:pPr>
          </w:p>
        </w:tc>
        <w:tc>
          <w:tcPr>
            <w:tcW w:w="605" w:type="dxa"/>
          </w:tcPr>
          <w:p w14:paraId="1E926989" w14:textId="77777777" w:rsidR="00771009" w:rsidRDefault="00771009" w:rsidP="00D66C95">
            <w:pPr>
              <w:spacing w:after="200" w:line="300" w:lineRule="auto"/>
              <w:jc w:val="both"/>
            </w:pPr>
          </w:p>
        </w:tc>
        <w:tc>
          <w:tcPr>
            <w:tcW w:w="605" w:type="dxa"/>
          </w:tcPr>
          <w:p w14:paraId="4BCD68B5" w14:textId="77777777" w:rsidR="00771009" w:rsidRDefault="00771009" w:rsidP="00D66C95">
            <w:pPr>
              <w:spacing w:after="200" w:line="300" w:lineRule="auto"/>
              <w:jc w:val="both"/>
            </w:pPr>
          </w:p>
        </w:tc>
        <w:tc>
          <w:tcPr>
            <w:tcW w:w="605" w:type="dxa"/>
          </w:tcPr>
          <w:p w14:paraId="152E6EAA" w14:textId="77777777" w:rsidR="00771009" w:rsidRDefault="00771009" w:rsidP="00D66C95">
            <w:pPr>
              <w:spacing w:after="200" w:line="300" w:lineRule="auto"/>
              <w:jc w:val="both"/>
            </w:pPr>
          </w:p>
        </w:tc>
        <w:tc>
          <w:tcPr>
            <w:tcW w:w="605" w:type="dxa"/>
            <w:shd w:val="clear" w:color="auto" w:fill="8DD873" w:themeFill="accent6" w:themeFillTint="99"/>
          </w:tcPr>
          <w:p w14:paraId="4BA7AB3E" w14:textId="77777777" w:rsidR="00771009" w:rsidRDefault="00771009" w:rsidP="00D66C95">
            <w:pPr>
              <w:spacing w:after="200" w:line="300" w:lineRule="auto"/>
              <w:jc w:val="both"/>
            </w:pPr>
          </w:p>
        </w:tc>
        <w:tc>
          <w:tcPr>
            <w:tcW w:w="605" w:type="dxa"/>
            <w:shd w:val="clear" w:color="auto" w:fill="8DD873" w:themeFill="accent6" w:themeFillTint="99"/>
          </w:tcPr>
          <w:p w14:paraId="62056CD7" w14:textId="77777777" w:rsidR="00771009" w:rsidRDefault="00771009" w:rsidP="00D66C95">
            <w:pPr>
              <w:spacing w:after="200" w:line="300" w:lineRule="auto"/>
              <w:jc w:val="both"/>
            </w:pPr>
          </w:p>
        </w:tc>
        <w:tc>
          <w:tcPr>
            <w:tcW w:w="605" w:type="dxa"/>
          </w:tcPr>
          <w:p w14:paraId="6ACA6860" w14:textId="77777777" w:rsidR="00771009" w:rsidRDefault="00771009" w:rsidP="00D66C95">
            <w:pPr>
              <w:spacing w:after="200" w:line="300" w:lineRule="auto"/>
              <w:jc w:val="both"/>
            </w:pPr>
          </w:p>
        </w:tc>
        <w:tc>
          <w:tcPr>
            <w:tcW w:w="605" w:type="dxa"/>
          </w:tcPr>
          <w:p w14:paraId="58481130" w14:textId="77777777" w:rsidR="00771009" w:rsidRDefault="00771009" w:rsidP="00D66C95">
            <w:pPr>
              <w:spacing w:after="200" w:line="300" w:lineRule="auto"/>
              <w:jc w:val="both"/>
            </w:pPr>
          </w:p>
        </w:tc>
      </w:tr>
      <w:tr w:rsidR="00771009" w14:paraId="76A03B93" w14:textId="5FC85113" w:rsidTr="00C94852">
        <w:trPr>
          <w:trHeight w:val="381"/>
        </w:trPr>
        <w:tc>
          <w:tcPr>
            <w:tcW w:w="2080" w:type="dxa"/>
          </w:tcPr>
          <w:p w14:paraId="37E5691B" w14:textId="528098AF" w:rsidR="00771009" w:rsidRDefault="00AD2F5F" w:rsidP="00AD2F5F">
            <w:pPr>
              <w:spacing w:after="200" w:line="300" w:lineRule="auto"/>
              <w:jc w:val="center"/>
            </w:pPr>
            <w:r>
              <w:t>Final Review &amp; Submission</w:t>
            </w:r>
          </w:p>
        </w:tc>
        <w:tc>
          <w:tcPr>
            <w:tcW w:w="749" w:type="dxa"/>
          </w:tcPr>
          <w:p w14:paraId="58803339" w14:textId="7D04B01E" w:rsidR="00771009" w:rsidRDefault="00771009" w:rsidP="00D66C95">
            <w:pPr>
              <w:spacing w:after="200" w:line="300" w:lineRule="auto"/>
              <w:jc w:val="both"/>
            </w:pPr>
          </w:p>
        </w:tc>
        <w:tc>
          <w:tcPr>
            <w:tcW w:w="505" w:type="dxa"/>
          </w:tcPr>
          <w:p w14:paraId="493A0552" w14:textId="77777777" w:rsidR="00771009" w:rsidRDefault="00771009" w:rsidP="00D66C95">
            <w:pPr>
              <w:spacing w:after="200" w:line="300" w:lineRule="auto"/>
              <w:jc w:val="both"/>
            </w:pPr>
          </w:p>
        </w:tc>
        <w:tc>
          <w:tcPr>
            <w:tcW w:w="505" w:type="dxa"/>
          </w:tcPr>
          <w:p w14:paraId="51EAFF0B" w14:textId="77777777" w:rsidR="00771009" w:rsidRDefault="00771009" w:rsidP="00D66C95">
            <w:pPr>
              <w:spacing w:after="200" w:line="300" w:lineRule="auto"/>
              <w:jc w:val="both"/>
            </w:pPr>
          </w:p>
        </w:tc>
        <w:tc>
          <w:tcPr>
            <w:tcW w:w="505" w:type="dxa"/>
          </w:tcPr>
          <w:p w14:paraId="3F47242F" w14:textId="77777777" w:rsidR="00771009" w:rsidRDefault="00771009" w:rsidP="00D66C95">
            <w:pPr>
              <w:spacing w:after="200" w:line="300" w:lineRule="auto"/>
              <w:jc w:val="both"/>
            </w:pPr>
          </w:p>
        </w:tc>
        <w:tc>
          <w:tcPr>
            <w:tcW w:w="505" w:type="dxa"/>
          </w:tcPr>
          <w:p w14:paraId="2743FB17" w14:textId="77777777" w:rsidR="00771009" w:rsidRDefault="00771009" w:rsidP="00D66C95">
            <w:pPr>
              <w:spacing w:after="200" w:line="300" w:lineRule="auto"/>
              <w:jc w:val="both"/>
            </w:pPr>
          </w:p>
        </w:tc>
        <w:tc>
          <w:tcPr>
            <w:tcW w:w="505" w:type="dxa"/>
          </w:tcPr>
          <w:p w14:paraId="760456ED" w14:textId="77777777" w:rsidR="00771009" w:rsidRDefault="00771009" w:rsidP="00D66C95">
            <w:pPr>
              <w:spacing w:after="200" w:line="300" w:lineRule="auto"/>
              <w:jc w:val="both"/>
            </w:pPr>
          </w:p>
        </w:tc>
        <w:tc>
          <w:tcPr>
            <w:tcW w:w="505" w:type="dxa"/>
          </w:tcPr>
          <w:p w14:paraId="1F87BD6F" w14:textId="77777777" w:rsidR="00771009" w:rsidRDefault="00771009" w:rsidP="00D66C95">
            <w:pPr>
              <w:spacing w:after="200" w:line="300" w:lineRule="auto"/>
              <w:jc w:val="both"/>
            </w:pPr>
          </w:p>
        </w:tc>
        <w:tc>
          <w:tcPr>
            <w:tcW w:w="505" w:type="dxa"/>
          </w:tcPr>
          <w:p w14:paraId="357AFE0D" w14:textId="77777777" w:rsidR="00771009" w:rsidRDefault="00771009" w:rsidP="00D66C95">
            <w:pPr>
              <w:spacing w:after="200" w:line="300" w:lineRule="auto"/>
              <w:jc w:val="both"/>
            </w:pPr>
          </w:p>
        </w:tc>
        <w:tc>
          <w:tcPr>
            <w:tcW w:w="505" w:type="dxa"/>
          </w:tcPr>
          <w:p w14:paraId="4A711170" w14:textId="77777777" w:rsidR="00771009" w:rsidRDefault="00771009" w:rsidP="00D66C95">
            <w:pPr>
              <w:spacing w:after="200" w:line="300" w:lineRule="auto"/>
              <w:jc w:val="both"/>
            </w:pPr>
          </w:p>
        </w:tc>
        <w:tc>
          <w:tcPr>
            <w:tcW w:w="605" w:type="dxa"/>
          </w:tcPr>
          <w:p w14:paraId="6EB6D1EC" w14:textId="77777777" w:rsidR="00771009" w:rsidRDefault="00771009" w:rsidP="00D66C95">
            <w:pPr>
              <w:spacing w:after="200" w:line="300" w:lineRule="auto"/>
              <w:jc w:val="both"/>
            </w:pPr>
          </w:p>
        </w:tc>
        <w:tc>
          <w:tcPr>
            <w:tcW w:w="605" w:type="dxa"/>
          </w:tcPr>
          <w:p w14:paraId="29FB5267" w14:textId="77777777" w:rsidR="00771009" w:rsidRDefault="00771009" w:rsidP="00D66C95">
            <w:pPr>
              <w:spacing w:after="200" w:line="300" w:lineRule="auto"/>
              <w:jc w:val="both"/>
            </w:pPr>
          </w:p>
        </w:tc>
        <w:tc>
          <w:tcPr>
            <w:tcW w:w="605" w:type="dxa"/>
          </w:tcPr>
          <w:p w14:paraId="1DB9C18F" w14:textId="77777777" w:rsidR="00771009" w:rsidRDefault="00771009" w:rsidP="00D66C95">
            <w:pPr>
              <w:spacing w:after="200" w:line="300" w:lineRule="auto"/>
              <w:jc w:val="both"/>
            </w:pPr>
          </w:p>
        </w:tc>
        <w:tc>
          <w:tcPr>
            <w:tcW w:w="605" w:type="dxa"/>
          </w:tcPr>
          <w:p w14:paraId="0122AFCC" w14:textId="77777777" w:rsidR="00771009" w:rsidRDefault="00771009" w:rsidP="00D66C95">
            <w:pPr>
              <w:spacing w:after="200" w:line="300" w:lineRule="auto"/>
              <w:jc w:val="both"/>
            </w:pPr>
          </w:p>
        </w:tc>
        <w:tc>
          <w:tcPr>
            <w:tcW w:w="605" w:type="dxa"/>
          </w:tcPr>
          <w:p w14:paraId="369288E5" w14:textId="77777777" w:rsidR="00771009" w:rsidRDefault="00771009" w:rsidP="00D66C95">
            <w:pPr>
              <w:spacing w:after="200" w:line="300" w:lineRule="auto"/>
              <w:jc w:val="both"/>
            </w:pPr>
          </w:p>
        </w:tc>
        <w:tc>
          <w:tcPr>
            <w:tcW w:w="605" w:type="dxa"/>
            <w:shd w:val="clear" w:color="auto" w:fill="45B0E1" w:themeFill="accent1" w:themeFillTint="99"/>
          </w:tcPr>
          <w:p w14:paraId="60356061" w14:textId="77777777" w:rsidR="00771009" w:rsidRDefault="00771009" w:rsidP="00D66C95">
            <w:pPr>
              <w:spacing w:after="200" w:line="300" w:lineRule="auto"/>
              <w:jc w:val="both"/>
            </w:pPr>
          </w:p>
        </w:tc>
        <w:tc>
          <w:tcPr>
            <w:tcW w:w="605" w:type="dxa"/>
            <w:shd w:val="clear" w:color="auto" w:fill="45B0E1" w:themeFill="accent1" w:themeFillTint="99"/>
          </w:tcPr>
          <w:p w14:paraId="22DB42A9" w14:textId="77777777" w:rsidR="00771009" w:rsidRDefault="00771009" w:rsidP="00D66C95">
            <w:pPr>
              <w:spacing w:after="200" w:line="300" w:lineRule="auto"/>
              <w:jc w:val="both"/>
            </w:pPr>
          </w:p>
        </w:tc>
      </w:tr>
    </w:tbl>
    <w:p w14:paraId="30E89262" w14:textId="75DB74B1" w:rsidR="000349E7" w:rsidRPr="000349E7" w:rsidRDefault="00C94852" w:rsidP="000349E7">
      <w:pPr>
        <w:spacing w:after="260"/>
        <w:jc w:val="center"/>
      </w:pPr>
      <w:r w:rsidRPr="00C94852">
        <w:t>Figure 1. Gantt chart showing the proposed plan of work, organised by dissertation chapter, across the sixteen weeks. Source: Author's own illustrat</w:t>
      </w:r>
      <w:r w:rsidR="000349E7">
        <w:t>ion</w:t>
      </w:r>
    </w:p>
    <w:p w14:paraId="6FE37711" w14:textId="04439CF2" w:rsidR="007454DB" w:rsidRDefault="00000000">
      <w:pPr>
        <w:pStyle w:val="Heading1"/>
        <w:spacing w:before="320" w:after="180"/>
      </w:pPr>
      <w:r>
        <w:rPr>
          <w:b/>
          <w:bCs/>
          <w:color w:val="0B2A4A"/>
          <w:sz w:val="30"/>
          <w:szCs w:val="30"/>
        </w:rPr>
        <w:lastRenderedPageBreak/>
        <w:t>References</w:t>
      </w:r>
    </w:p>
    <w:p w14:paraId="6525D632" w14:textId="40F7A9F8"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Breast Cancer Now (2024).</w:t>
      </w:r>
      <w:r w:rsidRPr="00B813F6">
        <w:rPr>
          <w:rStyle w:val="apple-converted-space"/>
          <w:color w:val="000000" w:themeColor="text1"/>
        </w:rPr>
        <w:t> </w:t>
      </w:r>
      <w:r w:rsidRPr="00B813F6">
        <w:rPr>
          <w:i/>
          <w:iCs/>
          <w:color w:val="000000" w:themeColor="text1"/>
        </w:rPr>
        <w:t>Missed targets and longer waits - the ‘new normal’ for breast cancer waiting times</w:t>
      </w:r>
      <w:r w:rsidRPr="00B813F6">
        <w:rPr>
          <w:color w:val="000000" w:themeColor="text1"/>
        </w:rPr>
        <w:t>. [online]</w:t>
      </w:r>
      <w:r w:rsidRPr="00B813F6">
        <w:rPr>
          <w:rStyle w:val="apple-converted-space"/>
          <w:color w:val="000000" w:themeColor="text1"/>
        </w:rPr>
        <w:t> </w:t>
      </w:r>
      <w:r w:rsidRPr="00B813F6">
        <w:rPr>
          <w:i/>
          <w:iCs/>
          <w:color w:val="000000" w:themeColor="text1"/>
        </w:rPr>
        <w:t>Breast Cancer Now</w:t>
      </w:r>
      <w:r w:rsidRPr="00B813F6">
        <w:rPr>
          <w:color w:val="000000" w:themeColor="text1"/>
        </w:rPr>
        <w:t>. Available at: https://breastcancernow.org/about-us/campaign-news/missed-targets-and-longer-waits-the-new-normal-for-breast-cancer-waiting-times [Accessed 16 Aug. 2026].</w:t>
      </w:r>
    </w:p>
    <w:p w14:paraId="77973B04"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Breast Cancer UK (2022).</w:t>
      </w:r>
      <w:r w:rsidRPr="00B813F6">
        <w:rPr>
          <w:rStyle w:val="apple-converted-space"/>
          <w:color w:val="000000" w:themeColor="text1"/>
        </w:rPr>
        <w:t> </w:t>
      </w:r>
      <w:r w:rsidRPr="00B813F6">
        <w:rPr>
          <w:i/>
          <w:iCs/>
          <w:color w:val="000000" w:themeColor="text1"/>
        </w:rPr>
        <w:t>Breast Cancer Facts, Figures and Statistics</w:t>
      </w:r>
      <w:r w:rsidRPr="00B813F6">
        <w:rPr>
          <w:color w:val="000000" w:themeColor="text1"/>
        </w:rPr>
        <w:t>. [online]</w:t>
      </w:r>
      <w:r w:rsidRPr="00B813F6">
        <w:rPr>
          <w:rStyle w:val="apple-converted-space"/>
          <w:color w:val="000000" w:themeColor="text1"/>
        </w:rPr>
        <w:t> </w:t>
      </w:r>
      <w:r w:rsidRPr="00B813F6">
        <w:rPr>
          <w:i/>
          <w:iCs/>
          <w:color w:val="000000" w:themeColor="text1"/>
        </w:rPr>
        <w:t>Breastcanceruk.org.uk</w:t>
      </w:r>
      <w:r w:rsidRPr="00B813F6">
        <w:rPr>
          <w:color w:val="000000" w:themeColor="text1"/>
        </w:rPr>
        <w:t>. Available at: https://www.breastcanceruk.org.uk/about-breast-cancer/facts-and-figures/ [Accessed 17 Aug. 2026].</w:t>
      </w:r>
    </w:p>
    <w:p w14:paraId="7FBFF625"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 xml:space="preserve">Campbell, M., McKenzie, J.E., Sowden, A., </w:t>
      </w:r>
      <w:proofErr w:type="spellStart"/>
      <w:r w:rsidRPr="00B813F6">
        <w:rPr>
          <w:color w:val="000000" w:themeColor="text1"/>
        </w:rPr>
        <w:t>Katikireddi</w:t>
      </w:r>
      <w:proofErr w:type="spellEnd"/>
      <w:r w:rsidRPr="00B813F6">
        <w:rPr>
          <w:color w:val="000000" w:themeColor="text1"/>
        </w:rPr>
        <w:t>, S.V., Brennan, S.E., Ellis, S., Hartmann-Boyce, J., Ryan, R., Shepperd, S., Thomas, J., Welch, V. and Thomson, H. (2020). Synthesis without meta-analysis (</w:t>
      </w:r>
      <w:proofErr w:type="spellStart"/>
      <w:r w:rsidRPr="00B813F6">
        <w:rPr>
          <w:color w:val="000000" w:themeColor="text1"/>
        </w:rPr>
        <w:t>SWiM</w:t>
      </w:r>
      <w:proofErr w:type="spellEnd"/>
      <w:r w:rsidRPr="00B813F6">
        <w:rPr>
          <w:color w:val="000000" w:themeColor="text1"/>
        </w:rPr>
        <w:t>) in systematic reviews: Reporting guideline.</w:t>
      </w:r>
      <w:r w:rsidRPr="00B813F6">
        <w:rPr>
          <w:rStyle w:val="apple-converted-space"/>
          <w:color w:val="000000" w:themeColor="text1"/>
        </w:rPr>
        <w:t> </w:t>
      </w:r>
      <w:r w:rsidRPr="00B813F6">
        <w:rPr>
          <w:i/>
          <w:iCs/>
          <w:color w:val="000000" w:themeColor="text1"/>
        </w:rPr>
        <w:t>British Medical Journal</w:t>
      </w:r>
      <w:r w:rsidRPr="00B813F6">
        <w:rPr>
          <w:color w:val="000000" w:themeColor="text1"/>
        </w:rPr>
        <w:t>, [online] 368(1). doi:10.1136/</w:t>
      </w:r>
      <w:proofErr w:type="gramStart"/>
      <w:r w:rsidRPr="00B813F6">
        <w:rPr>
          <w:color w:val="000000" w:themeColor="text1"/>
        </w:rPr>
        <w:t>bmj.l</w:t>
      </w:r>
      <w:proofErr w:type="gramEnd"/>
      <w:r w:rsidRPr="00B813F6">
        <w:rPr>
          <w:color w:val="000000" w:themeColor="text1"/>
        </w:rPr>
        <w:t>6890.</w:t>
      </w:r>
    </w:p>
    <w:p w14:paraId="0252E6A7"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Cancer Research UK (2022).</w:t>
      </w:r>
      <w:r w:rsidRPr="00B813F6">
        <w:rPr>
          <w:rStyle w:val="apple-converted-space"/>
          <w:color w:val="000000" w:themeColor="text1"/>
        </w:rPr>
        <w:t> </w:t>
      </w:r>
      <w:r w:rsidRPr="00B813F6">
        <w:rPr>
          <w:i/>
          <w:iCs/>
          <w:color w:val="000000" w:themeColor="text1"/>
        </w:rPr>
        <w:t>Breast cancer statistics</w:t>
      </w:r>
      <w:r w:rsidRPr="00B813F6">
        <w:rPr>
          <w:color w:val="000000" w:themeColor="text1"/>
        </w:rPr>
        <w:t>. [online]</w:t>
      </w:r>
      <w:r w:rsidRPr="00B813F6">
        <w:rPr>
          <w:rStyle w:val="apple-converted-space"/>
          <w:color w:val="000000" w:themeColor="text1"/>
        </w:rPr>
        <w:t> </w:t>
      </w:r>
      <w:r w:rsidRPr="00B813F6">
        <w:rPr>
          <w:i/>
          <w:iCs/>
          <w:color w:val="000000" w:themeColor="text1"/>
        </w:rPr>
        <w:t>Cancer Research UK</w:t>
      </w:r>
      <w:r w:rsidRPr="00B813F6">
        <w:rPr>
          <w:color w:val="000000" w:themeColor="text1"/>
        </w:rPr>
        <w:t>. Cancer Research UK. Available at: https://www.cancerresearchuk.org/health-professional/cancer-statistics/statistics-by-cancer-type/breast-cancer [Accessed 16 Aug. 2026].</w:t>
      </w:r>
    </w:p>
    <w:p w14:paraId="416735DD"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CASP (2024).</w:t>
      </w:r>
      <w:r w:rsidRPr="00B813F6">
        <w:rPr>
          <w:rStyle w:val="apple-converted-space"/>
          <w:color w:val="000000" w:themeColor="text1"/>
        </w:rPr>
        <w:t> </w:t>
      </w:r>
      <w:r w:rsidRPr="00B813F6">
        <w:rPr>
          <w:i/>
          <w:iCs/>
          <w:color w:val="000000" w:themeColor="text1"/>
        </w:rPr>
        <w:t>Critical Appraisal Checklists</w:t>
      </w:r>
      <w:r w:rsidRPr="00B813F6">
        <w:rPr>
          <w:color w:val="000000" w:themeColor="text1"/>
        </w:rPr>
        <w:t>. [online]</w:t>
      </w:r>
      <w:r w:rsidRPr="00B813F6">
        <w:rPr>
          <w:rStyle w:val="apple-converted-space"/>
          <w:color w:val="000000" w:themeColor="text1"/>
        </w:rPr>
        <w:t> </w:t>
      </w:r>
      <w:r w:rsidRPr="00B813F6">
        <w:rPr>
          <w:i/>
          <w:iCs/>
          <w:color w:val="000000" w:themeColor="text1"/>
        </w:rPr>
        <w:t>Critical Appraisal Skills Programme</w:t>
      </w:r>
      <w:r w:rsidRPr="00B813F6">
        <w:rPr>
          <w:color w:val="000000" w:themeColor="text1"/>
        </w:rPr>
        <w:t>. Available at: https://casp-uk.net/casp-tools-checklists/ [Accessed 16 Aug. 2026].</w:t>
      </w:r>
    </w:p>
    <w:p w14:paraId="2F8A24AC"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Cochrane (2024).</w:t>
      </w:r>
      <w:r w:rsidRPr="00B813F6">
        <w:rPr>
          <w:rStyle w:val="apple-converted-space"/>
          <w:color w:val="000000" w:themeColor="text1"/>
        </w:rPr>
        <w:t> </w:t>
      </w:r>
      <w:r w:rsidRPr="00B813F6">
        <w:rPr>
          <w:i/>
          <w:iCs/>
          <w:color w:val="000000" w:themeColor="text1"/>
        </w:rPr>
        <w:t>Cochrane Handbook for Systematic Reviews of Interventions | Cochrane</w:t>
      </w:r>
      <w:r w:rsidRPr="00B813F6">
        <w:rPr>
          <w:color w:val="000000" w:themeColor="text1"/>
        </w:rPr>
        <w:t>. [online]</w:t>
      </w:r>
      <w:r w:rsidRPr="00B813F6">
        <w:rPr>
          <w:rStyle w:val="apple-converted-space"/>
          <w:color w:val="000000" w:themeColor="text1"/>
        </w:rPr>
        <w:t> </w:t>
      </w:r>
      <w:r w:rsidRPr="00B813F6">
        <w:rPr>
          <w:i/>
          <w:iCs/>
          <w:color w:val="000000" w:themeColor="text1"/>
        </w:rPr>
        <w:t>Cochrane.org</w:t>
      </w:r>
      <w:r w:rsidRPr="00B813F6">
        <w:rPr>
          <w:color w:val="000000" w:themeColor="text1"/>
        </w:rPr>
        <w:t>. Available at: https://www.cochrane.org/authors/handbooks-and-manuals/handbook [Accessed 16 Aug. 2026].</w:t>
      </w:r>
    </w:p>
    <w:p w14:paraId="61ADAC9B"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 xml:space="preserve">Coleman, M., Forman, D., Bryant, H., Butler, J., Rachet, B., </w:t>
      </w:r>
      <w:proofErr w:type="spellStart"/>
      <w:r w:rsidRPr="00B813F6">
        <w:rPr>
          <w:color w:val="000000" w:themeColor="text1"/>
        </w:rPr>
        <w:t>Maringe</w:t>
      </w:r>
      <w:proofErr w:type="spellEnd"/>
      <w:r w:rsidRPr="00B813F6">
        <w:rPr>
          <w:color w:val="000000" w:themeColor="text1"/>
        </w:rPr>
        <w:t xml:space="preserve">, C., Nur, U., Tracey, E., </w:t>
      </w:r>
      <w:proofErr w:type="spellStart"/>
      <w:r w:rsidRPr="00B813F6">
        <w:rPr>
          <w:color w:val="000000" w:themeColor="text1"/>
        </w:rPr>
        <w:t>Coory</w:t>
      </w:r>
      <w:proofErr w:type="spellEnd"/>
      <w:r w:rsidRPr="00B813F6">
        <w:rPr>
          <w:color w:val="000000" w:themeColor="text1"/>
        </w:rPr>
        <w:t>, M., Hatcher, J., McGahan, C., Turner, D., Marrett, L., Gjerstorff, M., Johannesen, T., Adolfsson, J., Lambe, M., Lawrence, G., Meechan, D., Morris, E., Middleton, R., Steward, J. and Richards, M. (2011). Cancer survival in Australia, Canada, Denmark, Norway, Sweden, and the UK, 1995–2007 (the International Cancer Benchmarking Partnership): An analysis of population-based cancer registry data.</w:t>
      </w:r>
      <w:r w:rsidRPr="00B813F6">
        <w:rPr>
          <w:rStyle w:val="apple-converted-space"/>
          <w:color w:val="000000" w:themeColor="text1"/>
        </w:rPr>
        <w:t> </w:t>
      </w:r>
      <w:r w:rsidRPr="00B813F6">
        <w:rPr>
          <w:i/>
          <w:iCs/>
          <w:color w:val="000000" w:themeColor="text1"/>
        </w:rPr>
        <w:t>The Lancet</w:t>
      </w:r>
      <w:r w:rsidRPr="00B813F6">
        <w:rPr>
          <w:color w:val="000000" w:themeColor="text1"/>
        </w:rPr>
        <w:t>, 377(9760), pp.127–138. doi:10.1016/s0140-6736(10)62231-3.</w:t>
      </w:r>
    </w:p>
    <w:p w14:paraId="5EC39325"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 xml:space="preserve">Forbes, L.J.L., Simon, A.E., Warburton, F., Boniface, D., Brain, K.E., </w:t>
      </w:r>
      <w:proofErr w:type="spellStart"/>
      <w:r w:rsidRPr="00B813F6">
        <w:rPr>
          <w:color w:val="000000" w:themeColor="text1"/>
        </w:rPr>
        <w:t>Dessaix</w:t>
      </w:r>
      <w:proofErr w:type="spellEnd"/>
      <w:r w:rsidRPr="00B813F6">
        <w:rPr>
          <w:color w:val="000000" w:themeColor="text1"/>
        </w:rPr>
        <w:t xml:space="preserve">, A., Donnelly, C., Haynes, K., Hvidberg, L., </w:t>
      </w:r>
      <w:proofErr w:type="spellStart"/>
      <w:r w:rsidRPr="00B813F6">
        <w:rPr>
          <w:color w:val="000000" w:themeColor="text1"/>
        </w:rPr>
        <w:t>Lagerlund</w:t>
      </w:r>
      <w:proofErr w:type="spellEnd"/>
      <w:r w:rsidRPr="00B813F6">
        <w:rPr>
          <w:color w:val="000000" w:themeColor="text1"/>
        </w:rPr>
        <w:t xml:space="preserve">, M., Lockwood, G., Tishelman, C., Vedsted, P., </w:t>
      </w:r>
      <w:proofErr w:type="spellStart"/>
      <w:r w:rsidRPr="00B813F6">
        <w:rPr>
          <w:color w:val="000000" w:themeColor="text1"/>
        </w:rPr>
        <w:lastRenderedPageBreak/>
        <w:t>Vigmostad</w:t>
      </w:r>
      <w:proofErr w:type="spellEnd"/>
      <w:r w:rsidRPr="00B813F6">
        <w:rPr>
          <w:color w:val="000000" w:themeColor="text1"/>
        </w:rPr>
        <w:t>, M.N., Ramirez, A.J. and Wardle, J. (2013). Differences in cancer awareness and beliefs between Australia, Canada, Denmark, Norway, Sweden and the UK (the International Cancer Benchmarking Partnership): Do they contribute to differences in cancer survival?</w:t>
      </w:r>
      <w:r w:rsidRPr="00B813F6">
        <w:rPr>
          <w:rStyle w:val="apple-converted-space"/>
          <w:color w:val="000000" w:themeColor="text1"/>
        </w:rPr>
        <w:t> </w:t>
      </w:r>
      <w:r w:rsidRPr="00B813F6">
        <w:rPr>
          <w:i/>
          <w:iCs/>
          <w:color w:val="000000" w:themeColor="text1"/>
        </w:rPr>
        <w:t>British Journal of Cancer</w:t>
      </w:r>
      <w:r w:rsidRPr="00B813F6">
        <w:rPr>
          <w:color w:val="000000" w:themeColor="text1"/>
        </w:rPr>
        <w:t>, 108(2), pp.292–300. doi:10.1038/bjc.2012.542.</w:t>
      </w:r>
    </w:p>
    <w:p w14:paraId="0FF0CE4F" w14:textId="77777777" w:rsidR="00B813F6" w:rsidRPr="00B813F6" w:rsidRDefault="00B813F6" w:rsidP="000349E7">
      <w:pPr>
        <w:pStyle w:val="NormalWeb"/>
        <w:spacing w:before="0" w:beforeAutospacing="0" w:after="240" w:afterAutospacing="0" w:line="360" w:lineRule="auto"/>
        <w:jc w:val="both"/>
        <w:rPr>
          <w:color w:val="000000" w:themeColor="text1"/>
        </w:rPr>
      </w:pPr>
      <w:proofErr w:type="spellStart"/>
      <w:r w:rsidRPr="00B813F6">
        <w:rPr>
          <w:color w:val="000000" w:themeColor="text1"/>
        </w:rPr>
        <w:t>Gathani</w:t>
      </w:r>
      <w:proofErr w:type="spellEnd"/>
      <w:r w:rsidRPr="00B813F6">
        <w:rPr>
          <w:color w:val="000000" w:themeColor="text1"/>
        </w:rPr>
        <w:t>, T., Clayton, G., MacInnes, E. and Horgan, K. (2020). The COVID-19 pandemic and impact on breast cancer diagnoses: What happened in England in the first half of 2020.</w:t>
      </w:r>
      <w:r w:rsidRPr="00B813F6">
        <w:rPr>
          <w:rStyle w:val="apple-converted-space"/>
          <w:color w:val="000000" w:themeColor="text1"/>
        </w:rPr>
        <w:t> </w:t>
      </w:r>
      <w:r w:rsidRPr="00B813F6">
        <w:rPr>
          <w:i/>
          <w:iCs/>
          <w:color w:val="000000" w:themeColor="text1"/>
        </w:rPr>
        <w:t>British Journal of Cancer</w:t>
      </w:r>
      <w:r w:rsidRPr="00B813F6">
        <w:rPr>
          <w:color w:val="000000" w:themeColor="text1"/>
        </w:rPr>
        <w:t>, [online] 124(4), pp.1–3. doi:10.1038/s41416-020-01182-z.</w:t>
      </w:r>
    </w:p>
    <w:p w14:paraId="24275457"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 xml:space="preserve">Hanna, T.P., King, W.D., Thibodeau, S., </w:t>
      </w:r>
      <w:proofErr w:type="spellStart"/>
      <w:r w:rsidRPr="00B813F6">
        <w:rPr>
          <w:color w:val="000000" w:themeColor="text1"/>
        </w:rPr>
        <w:t>Jalink</w:t>
      </w:r>
      <w:proofErr w:type="spellEnd"/>
      <w:r w:rsidRPr="00B813F6">
        <w:rPr>
          <w:color w:val="000000" w:themeColor="text1"/>
        </w:rPr>
        <w:t>, M., Paulin, G.A., Harvey-Jones, E., O’Sullivan, D.E., Booth, C.M., Sullivan, R. and Aggarwal, A. (2020). Mortality due to cancer treatment delay: Systematic review and meta-analysis.</w:t>
      </w:r>
      <w:r w:rsidRPr="00B813F6">
        <w:rPr>
          <w:rStyle w:val="apple-converted-space"/>
          <w:color w:val="000000" w:themeColor="text1"/>
        </w:rPr>
        <w:t> </w:t>
      </w:r>
      <w:r w:rsidRPr="00B813F6">
        <w:rPr>
          <w:i/>
          <w:iCs/>
          <w:color w:val="000000" w:themeColor="text1"/>
        </w:rPr>
        <w:t>BMJ</w:t>
      </w:r>
      <w:r w:rsidRPr="00B813F6">
        <w:rPr>
          <w:color w:val="000000" w:themeColor="text1"/>
        </w:rPr>
        <w:t>, [online] 371. doi:10.1136/bmj.m4087.</w:t>
      </w:r>
    </w:p>
    <w:p w14:paraId="13DB4475"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Health Research Authority (2023).</w:t>
      </w:r>
      <w:r w:rsidRPr="00B813F6">
        <w:rPr>
          <w:rStyle w:val="apple-converted-space"/>
          <w:color w:val="000000" w:themeColor="text1"/>
        </w:rPr>
        <w:t> </w:t>
      </w:r>
      <w:r w:rsidRPr="00B813F6">
        <w:rPr>
          <w:i/>
          <w:iCs/>
          <w:color w:val="000000" w:themeColor="text1"/>
        </w:rPr>
        <w:t>UK Policy Framework for Health and Social Care Research</w:t>
      </w:r>
      <w:r w:rsidRPr="00B813F6">
        <w:rPr>
          <w:color w:val="000000" w:themeColor="text1"/>
        </w:rPr>
        <w:t>. [online]</w:t>
      </w:r>
      <w:r w:rsidRPr="00B813F6">
        <w:rPr>
          <w:rStyle w:val="apple-converted-space"/>
          <w:color w:val="000000" w:themeColor="text1"/>
        </w:rPr>
        <w:t> </w:t>
      </w:r>
      <w:r w:rsidRPr="00B813F6">
        <w:rPr>
          <w:i/>
          <w:iCs/>
          <w:color w:val="000000" w:themeColor="text1"/>
        </w:rPr>
        <w:t>Health Research Authority</w:t>
      </w:r>
      <w:r w:rsidRPr="00B813F6">
        <w:rPr>
          <w:color w:val="000000" w:themeColor="text1"/>
        </w:rPr>
        <w:t>. Available at: https://www.hra.nhs.uk/planning-and-improving-research/policies-standards-legislation/uk-policy-framework-health-social-care-research/uk-policy-framework-health-and-social-care-research/ [Accessed 16 Aug. 2026].</w:t>
      </w:r>
    </w:p>
    <w:p w14:paraId="5DDDEE7B"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Higgins, J.P.T. and Thompson, S.G. (2002). Quantifying heterogeneity in a meta-analysis.</w:t>
      </w:r>
      <w:r w:rsidRPr="00B813F6">
        <w:rPr>
          <w:rStyle w:val="apple-converted-space"/>
          <w:color w:val="000000" w:themeColor="text1"/>
        </w:rPr>
        <w:t> </w:t>
      </w:r>
      <w:r w:rsidRPr="00B813F6">
        <w:rPr>
          <w:i/>
          <w:iCs/>
          <w:color w:val="000000" w:themeColor="text1"/>
        </w:rPr>
        <w:t>Statistics in medicine</w:t>
      </w:r>
      <w:r w:rsidRPr="00B813F6">
        <w:rPr>
          <w:color w:val="000000" w:themeColor="text1"/>
        </w:rPr>
        <w:t>, 21(11), pp.1539–58. doi:10.1002/sim.1186.</w:t>
      </w:r>
    </w:p>
    <w:p w14:paraId="2612C472"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Joanna Briggs Institute (2021).</w:t>
      </w:r>
      <w:r w:rsidRPr="00B813F6">
        <w:rPr>
          <w:rStyle w:val="apple-converted-space"/>
          <w:color w:val="000000" w:themeColor="text1"/>
        </w:rPr>
        <w:t> </w:t>
      </w:r>
      <w:r w:rsidRPr="00B813F6">
        <w:rPr>
          <w:i/>
          <w:iCs/>
          <w:color w:val="000000" w:themeColor="text1"/>
        </w:rPr>
        <w:t>JBI Manual for Evidence Synthesis</w:t>
      </w:r>
      <w:r w:rsidRPr="00B813F6">
        <w:rPr>
          <w:color w:val="000000" w:themeColor="text1"/>
        </w:rPr>
        <w:t>. [online]</w:t>
      </w:r>
      <w:r w:rsidRPr="00B813F6">
        <w:rPr>
          <w:rStyle w:val="apple-converted-space"/>
          <w:color w:val="000000" w:themeColor="text1"/>
        </w:rPr>
        <w:t> </w:t>
      </w:r>
      <w:proofErr w:type="spellStart"/>
      <w:r w:rsidRPr="00B813F6">
        <w:rPr>
          <w:i/>
          <w:iCs/>
          <w:color w:val="000000" w:themeColor="text1"/>
        </w:rPr>
        <w:t>Refined.site</w:t>
      </w:r>
      <w:proofErr w:type="spellEnd"/>
      <w:r w:rsidRPr="00B813F6">
        <w:rPr>
          <w:color w:val="000000" w:themeColor="text1"/>
        </w:rPr>
        <w:t>. Available at: https://jbi-global-wiki.refined.site/space/MANUAL [Accessed 16 Aug. 2026].</w:t>
      </w:r>
    </w:p>
    <w:p w14:paraId="39070223" w14:textId="77777777" w:rsidR="00B813F6" w:rsidRPr="00B813F6" w:rsidRDefault="00B813F6" w:rsidP="000349E7">
      <w:pPr>
        <w:pStyle w:val="NormalWeb"/>
        <w:spacing w:before="0" w:beforeAutospacing="0" w:after="240" w:afterAutospacing="0" w:line="360" w:lineRule="auto"/>
        <w:jc w:val="both"/>
        <w:rPr>
          <w:color w:val="000000" w:themeColor="text1"/>
        </w:rPr>
      </w:pPr>
      <w:proofErr w:type="spellStart"/>
      <w:r w:rsidRPr="00B813F6">
        <w:rPr>
          <w:color w:val="000000" w:themeColor="text1"/>
        </w:rPr>
        <w:t>Maringe</w:t>
      </w:r>
      <w:proofErr w:type="spellEnd"/>
      <w:r w:rsidRPr="00B813F6">
        <w:rPr>
          <w:color w:val="000000" w:themeColor="text1"/>
        </w:rPr>
        <w:t xml:space="preserve">, C., Spicer, J., Morris, M., </w:t>
      </w:r>
      <w:proofErr w:type="spellStart"/>
      <w:r w:rsidRPr="00B813F6">
        <w:rPr>
          <w:color w:val="000000" w:themeColor="text1"/>
        </w:rPr>
        <w:t>Purushotham</w:t>
      </w:r>
      <w:proofErr w:type="spellEnd"/>
      <w:r w:rsidRPr="00B813F6">
        <w:rPr>
          <w:color w:val="000000" w:themeColor="text1"/>
        </w:rPr>
        <w:t>, A., Nolte, E., Sullivan, R., Rachet, B. and Aggarwal, A. (2020). The impact of the COVID-19 pandemic on cancer deaths due to delays in diagnosis in England, UK: A national, population-based, modelling study.</w:t>
      </w:r>
      <w:r w:rsidRPr="00B813F6">
        <w:rPr>
          <w:rStyle w:val="apple-converted-space"/>
          <w:color w:val="000000" w:themeColor="text1"/>
        </w:rPr>
        <w:t> </w:t>
      </w:r>
      <w:r w:rsidRPr="00B813F6">
        <w:rPr>
          <w:i/>
          <w:iCs/>
          <w:color w:val="000000" w:themeColor="text1"/>
        </w:rPr>
        <w:t>The Lancet Oncology</w:t>
      </w:r>
      <w:r w:rsidRPr="00B813F6">
        <w:rPr>
          <w:color w:val="000000" w:themeColor="text1"/>
        </w:rPr>
        <w:t>, [online] 21(8), pp.1023–1034. doi:10.1016/S1470-2045(20)30388-0.</w:t>
      </w:r>
    </w:p>
    <w:p w14:paraId="5CE9BF72"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Monaghan, P.P., Shrestha, A., Barrett, E. and Absar, M.S. (2024). Tumour biology and survival outcomes in young women with breast cancer: Single-centre retrospective analysis.</w:t>
      </w:r>
      <w:r w:rsidRPr="00B813F6">
        <w:rPr>
          <w:rStyle w:val="apple-converted-space"/>
          <w:color w:val="000000" w:themeColor="text1"/>
        </w:rPr>
        <w:t> </w:t>
      </w:r>
      <w:r w:rsidRPr="00B813F6">
        <w:rPr>
          <w:i/>
          <w:iCs/>
          <w:color w:val="000000" w:themeColor="text1"/>
        </w:rPr>
        <w:t>BJS Open</w:t>
      </w:r>
      <w:r w:rsidRPr="00B813F6">
        <w:rPr>
          <w:color w:val="000000" w:themeColor="text1"/>
        </w:rPr>
        <w:t>, [online] 8(6). Available at: https://doi.org/10.1093/bjsopen/zrae138 [Accessed 17 Aug. 2026].</w:t>
      </w:r>
    </w:p>
    <w:p w14:paraId="0E62643D"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 xml:space="preserve">Munn, Z., Peters, M., Stern, C., Tufanaru, C., McArthur, A. and </w:t>
      </w:r>
      <w:proofErr w:type="spellStart"/>
      <w:r w:rsidRPr="00B813F6">
        <w:rPr>
          <w:color w:val="000000" w:themeColor="text1"/>
        </w:rPr>
        <w:t>Aromataris</w:t>
      </w:r>
      <w:proofErr w:type="spellEnd"/>
      <w:r w:rsidRPr="00B813F6">
        <w:rPr>
          <w:color w:val="000000" w:themeColor="text1"/>
        </w:rPr>
        <w:t xml:space="preserve">, E. (2018). Systematic Review or Scoping review? Guidance for Authors When Choosing between a </w:t>
      </w:r>
      <w:r w:rsidRPr="00B813F6">
        <w:rPr>
          <w:color w:val="000000" w:themeColor="text1"/>
        </w:rPr>
        <w:lastRenderedPageBreak/>
        <w:t>Systematic or Scoping Review Approach.</w:t>
      </w:r>
      <w:r w:rsidRPr="00B813F6">
        <w:rPr>
          <w:rStyle w:val="apple-converted-space"/>
          <w:color w:val="000000" w:themeColor="text1"/>
        </w:rPr>
        <w:t> </w:t>
      </w:r>
      <w:r w:rsidRPr="00B813F6">
        <w:rPr>
          <w:i/>
          <w:iCs/>
          <w:color w:val="000000" w:themeColor="text1"/>
        </w:rPr>
        <w:t>BMC Medical Research Methodology</w:t>
      </w:r>
      <w:r w:rsidRPr="00B813F6">
        <w:rPr>
          <w:color w:val="000000" w:themeColor="text1"/>
        </w:rPr>
        <w:t>, 18(1), pp.1–7. doi:10.1186/s12874-018-0611-x.</w:t>
      </w:r>
    </w:p>
    <w:p w14:paraId="6FAC3A3F"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National institute for health and care excellence (2018).</w:t>
      </w:r>
      <w:r w:rsidRPr="00B813F6">
        <w:rPr>
          <w:rStyle w:val="apple-converted-space"/>
          <w:color w:val="000000" w:themeColor="text1"/>
        </w:rPr>
        <w:t> </w:t>
      </w:r>
      <w:r w:rsidRPr="00B813F6">
        <w:rPr>
          <w:i/>
          <w:iCs/>
          <w:color w:val="000000" w:themeColor="text1"/>
        </w:rPr>
        <w:t>Overview | Early and locally advanced breast cancer: Diagnosis and management | Guidance | NICE</w:t>
      </w:r>
      <w:r w:rsidRPr="00B813F6">
        <w:rPr>
          <w:color w:val="000000" w:themeColor="text1"/>
        </w:rPr>
        <w:t>. [online]</w:t>
      </w:r>
      <w:r w:rsidRPr="00B813F6">
        <w:rPr>
          <w:rStyle w:val="apple-converted-space"/>
          <w:color w:val="000000" w:themeColor="text1"/>
        </w:rPr>
        <w:t> </w:t>
      </w:r>
      <w:r w:rsidRPr="00B813F6">
        <w:rPr>
          <w:i/>
          <w:iCs/>
          <w:color w:val="000000" w:themeColor="text1"/>
        </w:rPr>
        <w:t>Nice.org.uk</w:t>
      </w:r>
      <w:r w:rsidRPr="00B813F6">
        <w:rPr>
          <w:color w:val="000000" w:themeColor="text1"/>
        </w:rPr>
        <w:t>. NICE. Available at: https://www.nice.org.uk/guidance/ng101 [Accessed 16 Aug. 2026].</w:t>
      </w:r>
    </w:p>
    <w:p w14:paraId="3D4364AB"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Newcastle-Ottawa Scale (NOS) | Ottawa Hospital Research Institute. (2025). [online]</w:t>
      </w:r>
      <w:r w:rsidRPr="00B813F6">
        <w:rPr>
          <w:rStyle w:val="apple-converted-space"/>
          <w:color w:val="000000" w:themeColor="text1"/>
        </w:rPr>
        <w:t> </w:t>
      </w:r>
      <w:r w:rsidRPr="00B813F6">
        <w:rPr>
          <w:i/>
          <w:iCs/>
          <w:color w:val="000000" w:themeColor="text1"/>
        </w:rPr>
        <w:t>Ohri.ca</w:t>
      </w:r>
      <w:r w:rsidRPr="00B813F6">
        <w:rPr>
          <w:color w:val="000000" w:themeColor="text1"/>
        </w:rPr>
        <w:t>. Available at: https://ohri.ca/en/who-we-are/core-facilities-and-platforms/ottawa-methods-centre/newcastle-ottawa-scale [Accessed 17 Aug. 2026].</w:t>
      </w:r>
    </w:p>
    <w:p w14:paraId="5D79CF9B"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NHS England (2016). ACHIEVING WORLD-CLASS CANCER OUTCOMES: A STRATEGY FOR ENGLAND 2015 -2020 ONE YEAR ON 2015-16 ACHIEVING WORLD-CLASS CANCER OUTCOMES: A STRATEGY FOR ENGLAND 2015 -2020 -ONE YEAR ON 2015-16. [online] Available at: https://www.england.nhs.uk/wp-content/uploads/2016/10/cancer-one-year-on.pdf [Accessed 16 Aug. 2026].</w:t>
      </w:r>
    </w:p>
    <w:p w14:paraId="251E6532"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NHS England (2023).</w:t>
      </w:r>
      <w:r w:rsidRPr="00B813F6">
        <w:rPr>
          <w:rStyle w:val="apple-converted-space"/>
          <w:color w:val="000000" w:themeColor="text1"/>
        </w:rPr>
        <w:t> </w:t>
      </w:r>
      <w:r w:rsidRPr="00B813F6">
        <w:rPr>
          <w:i/>
          <w:iCs/>
          <w:color w:val="000000" w:themeColor="text1"/>
        </w:rPr>
        <w:t>Statistics » Cancer waiting times</w:t>
      </w:r>
      <w:r w:rsidRPr="00B813F6">
        <w:rPr>
          <w:color w:val="000000" w:themeColor="text1"/>
        </w:rPr>
        <w:t>. [online]</w:t>
      </w:r>
      <w:r w:rsidRPr="00B813F6">
        <w:rPr>
          <w:rStyle w:val="apple-converted-space"/>
          <w:color w:val="000000" w:themeColor="text1"/>
        </w:rPr>
        <w:t> </w:t>
      </w:r>
      <w:r w:rsidRPr="00B813F6">
        <w:rPr>
          <w:i/>
          <w:iCs/>
          <w:color w:val="000000" w:themeColor="text1"/>
        </w:rPr>
        <w:t>England.nhs.uk</w:t>
      </w:r>
      <w:r w:rsidRPr="00B813F6">
        <w:rPr>
          <w:color w:val="000000" w:themeColor="text1"/>
        </w:rPr>
        <w:t>. Available at: https://www.england.nhs.uk/statistics/statistical-work-areas/cancer-waiting-times/ [Accessed 16 Aug. 2026].</w:t>
      </w:r>
    </w:p>
    <w:p w14:paraId="1A1CFA9F"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NHS England (2024).</w:t>
      </w:r>
      <w:r w:rsidRPr="00B813F6">
        <w:rPr>
          <w:rStyle w:val="apple-converted-space"/>
          <w:color w:val="000000" w:themeColor="text1"/>
        </w:rPr>
        <w:t> </w:t>
      </w:r>
      <w:r w:rsidRPr="00B813F6">
        <w:rPr>
          <w:i/>
          <w:iCs/>
          <w:color w:val="000000" w:themeColor="text1"/>
        </w:rPr>
        <w:t>Statistics » Cancer Waiting Times for July 2024 – 25 (Provisional)</w:t>
      </w:r>
      <w:r w:rsidRPr="00B813F6">
        <w:rPr>
          <w:color w:val="000000" w:themeColor="text1"/>
        </w:rPr>
        <w:t>. [online] England.nhs.uk. Available at: https://www.england.nhs.uk/statistics/statistical-work-areas/cancer-waiting-times/monthly-data-and-summaries/2024-25-monthly-cancer-waiting-times-statistics/cancer-waiting-times-for-july-2024-25-provisional/ [Accessed 16 Aug. 2026].</w:t>
      </w:r>
    </w:p>
    <w:p w14:paraId="64C755DD"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Nuffield Trust (2026).</w:t>
      </w:r>
      <w:r w:rsidRPr="00B813F6">
        <w:rPr>
          <w:rStyle w:val="apple-converted-space"/>
          <w:color w:val="000000" w:themeColor="text1"/>
        </w:rPr>
        <w:t> </w:t>
      </w:r>
      <w:r w:rsidRPr="00B813F6">
        <w:rPr>
          <w:i/>
          <w:iCs/>
          <w:color w:val="000000" w:themeColor="text1"/>
        </w:rPr>
        <w:t>Cancer waiting times</w:t>
      </w:r>
      <w:r w:rsidRPr="00B813F6">
        <w:rPr>
          <w:color w:val="000000" w:themeColor="text1"/>
        </w:rPr>
        <w:t>. [online]</w:t>
      </w:r>
      <w:r w:rsidRPr="00B813F6">
        <w:rPr>
          <w:rStyle w:val="apple-converted-space"/>
          <w:color w:val="000000" w:themeColor="text1"/>
        </w:rPr>
        <w:t> </w:t>
      </w:r>
      <w:r w:rsidRPr="00B813F6">
        <w:rPr>
          <w:i/>
          <w:iCs/>
          <w:color w:val="000000" w:themeColor="text1"/>
        </w:rPr>
        <w:t>The Nuffield Trust</w:t>
      </w:r>
      <w:r w:rsidRPr="00B813F6">
        <w:rPr>
          <w:color w:val="000000" w:themeColor="text1"/>
        </w:rPr>
        <w:t>. Available at: https://www.nuffieldtrust.org.uk/resource/cancer-waiting-time-targets [Accessed 16 Aug. 2026].</w:t>
      </w:r>
    </w:p>
    <w:p w14:paraId="4E35F0A7"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Office for National Statistics (2023).</w:t>
      </w:r>
      <w:r w:rsidRPr="00B813F6">
        <w:rPr>
          <w:rStyle w:val="apple-converted-space"/>
          <w:color w:val="000000" w:themeColor="text1"/>
        </w:rPr>
        <w:t> </w:t>
      </w:r>
      <w:r w:rsidRPr="00B813F6">
        <w:rPr>
          <w:i/>
          <w:iCs/>
          <w:color w:val="000000" w:themeColor="text1"/>
        </w:rPr>
        <w:t>Death registration summary statistics, England and Wales - Office for National Statistics</w:t>
      </w:r>
      <w:r w:rsidRPr="00B813F6">
        <w:rPr>
          <w:color w:val="000000" w:themeColor="text1"/>
        </w:rPr>
        <w:t>. [online]</w:t>
      </w:r>
      <w:r w:rsidRPr="00B813F6">
        <w:rPr>
          <w:rStyle w:val="apple-converted-space"/>
          <w:color w:val="000000" w:themeColor="text1"/>
        </w:rPr>
        <w:t> </w:t>
      </w:r>
      <w:r w:rsidRPr="00B813F6">
        <w:rPr>
          <w:i/>
          <w:iCs/>
          <w:color w:val="000000" w:themeColor="text1"/>
        </w:rPr>
        <w:t>Www.ons.gov.uk</w:t>
      </w:r>
      <w:r w:rsidRPr="00B813F6">
        <w:rPr>
          <w:color w:val="000000" w:themeColor="text1"/>
        </w:rPr>
        <w:t>. Available at: https://www.ons.gov.uk/peoplepopulationandcommunity/birthsdeathsandmarriages/deaths/bulletins/deathregistrationsummarystatisticsenglandandwales/2023 [Accessed 16 Aug. 2026].</w:t>
      </w:r>
    </w:p>
    <w:p w14:paraId="065E09B1"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 xml:space="preserve">Page, M.J., McKenzie, J.E., Bossuyt, P.M., </w:t>
      </w:r>
      <w:proofErr w:type="spellStart"/>
      <w:r w:rsidRPr="00B813F6">
        <w:rPr>
          <w:color w:val="000000" w:themeColor="text1"/>
        </w:rPr>
        <w:t>Boutron</w:t>
      </w:r>
      <w:proofErr w:type="spellEnd"/>
      <w:r w:rsidRPr="00B813F6">
        <w:rPr>
          <w:color w:val="000000" w:themeColor="text1"/>
        </w:rPr>
        <w:t xml:space="preserve">, I., Hoffmann, T.C., Mulrow, C. D, </w:t>
      </w:r>
      <w:proofErr w:type="spellStart"/>
      <w:r w:rsidRPr="00B813F6">
        <w:rPr>
          <w:color w:val="000000" w:themeColor="text1"/>
        </w:rPr>
        <w:t>Shamseer</w:t>
      </w:r>
      <w:proofErr w:type="spellEnd"/>
      <w:r w:rsidRPr="00B813F6">
        <w:rPr>
          <w:color w:val="000000" w:themeColor="text1"/>
        </w:rPr>
        <w:t xml:space="preserve">, L., Tetzlaff, J.M., Akl, E.A., Brennan, S.E., Chou, R., Glanville, J., Grimshaw, J.M., </w:t>
      </w:r>
      <w:r w:rsidRPr="00B813F6">
        <w:rPr>
          <w:color w:val="000000" w:themeColor="text1"/>
        </w:rPr>
        <w:lastRenderedPageBreak/>
        <w:t xml:space="preserve">Hróbjartsson, A., Lalu, M.M., Li, T., Loder, E.W., Mayo-Wilson, E., McDonald, S., McGuinness, L.A., Stewart, L.A., Thomas, J., </w:t>
      </w:r>
      <w:proofErr w:type="spellStart"/>
      <w:r w:rsidRPr="00B813F6">
        <w:rPr>
          <w:color w:val="000000" w:themeColor="text1"/>
        </w:rPr>
        <w:t>Tricco</w:t>
      </w:r>
      <w:proofErr w:type="spellEnd"/>
      <w:r w:rsidRPr="00B813F6">
        <w:rPr>
          <w:color w:val="000000" w:themeColor="text1"/>
        </w:rPr>
        <w:t>, A.C., Welch, V.A., Whiting, P. and Moher, D. (2021). The PRISMA 2020 statement: An updated guideline for reporting systematic reviews.</w:t>
      </w:r>
      <w:r w:rsidRPr="00B813F6">
        <w:rPr>
          <w:rStyle w:val="apple-converted-space"/>
          <w:color w:val="000000" w:themeColor="text1"/>
        </w:rPr>
        <w:t> </w:t>
      </w:r>
      <w:r w:rsidRPr="00B813F6">
        <w:rPr>
          <w:i/>
          <w:iCs/>
          <w:color w:val="000000" w:themeColor="text1"/>
        </w:rPr>
        <w:t>British Medical Journal</w:t>
      </w:r>
      <w:r w:rsidRPr="00B813F6">
        <w:rPr>
          <w:color w:val="000000" w:themeColor="text1"/>
        </w:rPr>
        <w:t>, [online] 372(71). doi:10.1136/</w:t>
      </w:r>
      <w:proofErr w:type="gramStart"/>
      <w:r w:rsidRPr="00B813F6">
        <w:rPr>
          <w:color w:val="000000" w:themeColor="text1"/>
        </w:rPr>
        <w:t>bmj.n</w:t>
      </w:r>
      <w:proofErr w:type="gramEnd"/>
      <w:r w:rsidRPr="00B813F6">
        <w:rPr>
          <w:color w:val="000000" w:themeColor="text1"/>
        </w:rPr>
        <w:t>71.</w:t>
      </w:r>
    </w:p>
    <w:p w14:paraId="60A688AA"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 xml:space="preserve">Richards, M., </w:t>
      </w:r>
      <w:proofErr w:type="spellStart"/>
      <w:r w:rsidRPr="00B813F6">
        <w:rPr>
          <w:color w:val="000000" w:themeColor="text1"/>
        </w:rPr>
        <w:t>Westcombe</w:t>
      </w:r>
      <w:proofErr w:type="spellEnd"/>
      <w:r w:rsidRPr="00B813F6">
        <w:rPr>
          <w:color w:val="000000" w:themeColor="text1"/>
        </w:rPr>
        <w:t xml:space="preserve">, A., Love, S., </w:t>
      </w:r>
      <w:proofErr w:type="spellStart"/>
      <w:r w:rsidRPr="00B813F6">
        <w:rPr>
          <w:color w:val="000000" w:themeColor="text1"/>
        </w:rPr>
        <w:t>Littlejohns</w:t>
      </w:r>
      <w:proofErr w:type="spellEnd"/>
      <w:r w:rsidRPr="00B813F6">
        <w:rPr>
          <w:color w:val="000000" w:themeColor="text1"/>
        </w:rPr>
        <w:t>, P. and Ramirez, A. (1999). Influence of delay on survival in patients with breast cancer: A systematic review.</w:t>
      </w:r>
      <w:r w:rsidRPr="00B813F6">
        <w:rPr>
          <w:rStyle w:val="apple-converted-space"/>
          <w:color w:val="000000" w:themeColor="text1"/>
        </w:rPr>
        <w:t> </w:t>
      </w:r>
      <w:r w:rsidRPr="00B813F6">
        <w:rPr>
          <w:i/>
          <w:iCs/>
          <w:color w:val="000000" w:themeColor="text1"/>
        </w:rPr>
        <w:t>The Lancet</w:t>
      </w:r>
      <w:r w:rsidRPr="00B813F6">
        <w:rPr>
          <w:color w:val="000000" w:themeColor="text1"/>
        </w:rPr>
        <w:t>, 353(9159), pp.1119–1126. doi:10.1016/s0140-6736(99)02143-1.</w:t>
      </w:r>
    </w:p>
    <w:p w14:paraId="6FD5D8E4" w14:textId="77777777" w:rsidR="00B813F6" w:rsidRPr="00B813F6" w:rsidRDefault="00B813F6" w:rsidP="000349E7">
      <w:pPr>
        <w:pStyle w:val="NormalWeb"/>
        <w:spacing w:before="0" w:beforeAutospacing="0" w:after="240" w:afterAutospacing="0" w:line="360" w:lineRule="auto"/>
        <w:jc w:val="both"/>
        <w:rPr>
          <w:color w:val="000000" w:themeColor="text1"/>
        </w:rPr>
      </w:pPr>
      <w:proofErr w:type="spellStart"/>
      <w:r w:rsidRPr="00B813F6">
        <w:rPr>
          <w:color w:val="000000" w:themeColor="text1"/>
        </w:rPr>
        <w:t>Soomers</w:t>
      </w:r>
      <w:proofErr w:type="spellEnd"/>
      <w:r w:rsidRPr="00B813F6">
        <w:rPr>
          <w:color w:val="000000" w:themeColor="text1"/>
        </w:rPr>
        <w:t xml:space="preserve">, V.L.M.N., Lidington, E., </w:t>
      </w:r>
      <w:proofErr w:type="spellStart"/>
      <w:r w:rsidRPr="00B813F6">
        <w:rPr>
          <w:color w:val="000000" w:themeColor="text1"/>
        </w:rPr>
        <w:t>Sirohi</w:t>
      </w:r>
      <w:proofErr w:type="spellEnd"/>
      <w:r w:rsidRPr="00B813F6">
        <w:rPr>
          <w:color w:val="000000" w:themeColor="text1"/>
        </w:rPr>
        <w:t>, B., Gonzalez, M.A., Darlington, A.-S., van der Graaf, W.T.A. and Husson, O. (2021). The Prolonged Diagnostic Pathway of Young Adults (Aged 25–39) with Cancer in the United Kingdom: Results from the Young Adult Cancer Patient Journey Study.</w:t>
      </w:r>
      <w:r w:rsidRPr="00B813F6">
        <w:rPr>
          <w:rStyle w:val="apple-converted-space"/>
          <w:color w:val="000000" w:themeColor="text1"/>
        </w:rPr>
        <w:t> </w:t>
      </w:r>
      <w:r w:rsidRPr="00B813F6">
        <w:rPr>
          <w:i/>
          <w:iCs/>
          <w:color w:val="000000" w:themeColor="text1"/>
        </w:rPr>
        <w:t>Journal of Clinical Medicine</w:t>
      </w:r>
      <w:r w:rsidRPr="00B813F6">
        <w:rPr>
          <w:color w:val="000000" w:themeColor="text1"/>
        </w:rPr>
        <w:t>, 10(20), p.4646. doi:10.3390/jcm10204646.</w:t>
      </w:r>
    </w:p>
    <w:p w14:paraId="79EE9BAF"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 xml:space="preserve">Sterne, J.A., Hernán, M.A., Reeves, B.C., Savović, J., Berkman, N. D, Viswanathan, M., Henry, D., Altman, D.G., Ansari, M.T., Boutron, I., Carpenter, J.R., Chan, A.-W., Churchill, R., Deeks, J.J., Hróbjartsson, A., Kirkham, J., </w:t>
      </w:r>
      <w:proofErr w:type="spellStart"/>
      <w:r w:rsidRPr="00B813F6">
        <w:rPr>
          <w:color w:val="000000" w:themeColor="text1"/>
        </w:rPr>
        <w:t>Jüni</w:t>
      </w:r>
      <w:proofErr w:type="spellEnd"/>
      <w:r w:rsidRPr="00B813F6">
        <w:rPr>
          <w:color w:val="000000" w:themeColor="text1"/>
        </w:rPr>
        <w:t>, P., Loke, Y.K., Pigott, T. D, Ramsay, C.R., Regidor, D., Rothstein, H.R., Sandhu, L., Santaguida, P.L., Schünemann, H.J., Shea, B., Shrier, I., Tugwell, P., Turner, L., Valentine, J.C., Waddington, H., Waters, E., Wells, G.A., Whiting, P.F. and Higgins, J.P. (2016). ROBINS-I: A tool for assessing risk of bias in non-randomised studies of interventions.</w:t>
      </w:r>
      <w:r w:rsidRPr="00B813F6">
        <w:rPr>
          <w:rStyle w:val="apple-converted-space"/>
          <w:color w:val="000000" w:themeColor="text1"/>
        </w:rPr>
        <w:t> </w:t>
      </w:r>
      <w:r w:rsidRPr="00B813F6">
        <w:rPr>
          <w:i/>
          <w:iCs/>
          <w:color w:val="000000" w:themeColor="text1"/>
        </w:rPr>
        <w:t>BMJ</w:t>
      </w:r>
      <w:r w:rsidRPr="00B813F6">
        <w:rPr>
          <w:color w:val="000000" w:themeColor="text1"/>
        </w:rPr>
        <w:t>, [online] 355(355), p.i4919. doi:10.1136/</w:t>
      </w:r>
      <w:proofErr w:type="gramStart"/>
      <w:r w:rsidRPr="00B813F6">
        <w:rPr>
          <w:color w:val="000000" w:themeColor="text1"/>
        </w:rPr>
        <w:t>bmj.i</w:t>
      </w:r>
      <w:proofErr w:type="gramEnd"/>
      <w:r w:rsidRPr="00B813F6">
        <w:rPr>
          <w:color w:val="000000" w:themeColor="text1"/>
        </w:rPr>
        <w:t>4919.</w:t>
      </w:r>
    </w:p>
    <w:p w14:paraId="51D78854"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Walter, F., Webster, A., Scott, S. and Emery, J. (2012). The Andersen Model of Total Patient Delay: A Systematic Review of Its Application in Cancer Diagnosis.</w:t>
      </w:r>
      <w:r w:rsidRPr="00B813F6">
        <w:rPr>
          <w:rStyle w:val="apple-converted-space"/>
          <w:color w:val="000000" w:themeColor="text1"/>
        </w:rPr>
        <w:t> </w:t>
      </w:r>
      <w:r w:rsidRPr="00B813F6">
        <w:rPr>
          <w:i/>
          <w:iCs/>
          <w:color w:val="000000" w:themeColor="text1"/>
        </w:rPr>
        <w:t>Journal of Health Services Research &amp; Policy</w:t>
      </w:r>
      <w:r w:rsidRPr="00B813F6">
        <w:rPr>
          <w:color w:val="000000" w:themeColor="text1"/>
        </w:rPr>
        <w:t>, [online] 17(2), pp.110–118. doi:10.1258/jhsrp.2011.010113.</w:t>
      </w:r>
    </w:p>
    <w:p w14:paraId="5495CCD1" w14:textId="77777777" w:rsidR="00B813F6" w:rsidRPr="00B813F6" w:rsidRDefault="00B813F6" w:rsidP="000349E7">
      <w:pPr>
        <w:pStyle w:val="NormalWeb"/>
        <w:spacing w:before="0" w:beforeAutospacing="0" w:after="240" w:afterAutospacing="0" w:line="360" w:lineRule="auto"/>
        <w:jc w:val="both"/>
        <w:rPr>
          <w:color w:val="000000" w:themeColor="text1"/>
        </w:rPr>
      </w:pPr>
      <w:r w:rsidRPr="00B813F6">
        <w:rPr>
          <w:color w:val="000000" w:themeColor="text1"/>
        </w:rPr>
        <w:t>Woods, L.M., Rachet, B., O’Connell, D., Lawrence, G. and Coleman, M.P. (2016). Impact of deprivation on breast cancer survival among women eligible for mammographic screening in the West Midlands (&lt;</w:t>
      </w:r>
      <w:proofErr w:type="spellStart"/>
      <w:r w:rsidRPr="00B813F6">
        <w:rPr>
          <w:color w:val="000000" w:themeColor="text1"/>
        </w:rPr>
        <w:t>scp</w:t>
      </w:r>
      <w:proofErr w:type="spellEnd"/>
      <w:r w:rsidRPr="00B813F6">
        <w:rPr>
          <w:color w:val="000000" w:themeColor="text1"/>
        </w:rPr>
        <w:t>&gt;UK&lt;/</w:t>
      </w:r>
      <w:proofErr w:type="spellStart"/>
      <w:r w:rsidRPr="00B813F6">
        <w:rPr>
          <w:color w:val="000000" w:themeColor="text1"/>
        </w:rPr>
        <w:t>scp</w:t>
      </w:r>
      <w:proofErr w:type="spellEnd"/>
      <w:r w:rsidRPr="00B813F6">
        <w:rPr>
          <w:color w:val="000000" w:themeColor="text1"/>
        </w:rPr>
        <w:t>&gt;) and New South Wales (Australia): Women diagnosed 1997–2006.</w:t>
      </w:r>
      <w:r w:rsidRPr="00B813F6">
        <w:rPr>
          <w:rStyle w:val="apple-converted-space"/>
          <w:color w:val="000000" w:themeColor="text1"/>
        </w:rPr>
        <w:t> </w:t>
      </w:r>
      <w:r w:rsidRPr="00B813F6">
        <w:rPr>
          <w:i/>
          <w:iCs/>
          <w:color w:val="000000" w:themeColor="text1"/>
        </w:rPr>
        <w:t>International Journal of Cancer</w:t>
      </w:r>
      <w:r w:rsidRPr="00B813F6">
        <w:rPr>
          <w:color w:val="000000" w:themeColor="text1"/>
        </w:rPr>
        <w:t>, 138(10), pp.2396–2403. doi:10.1002/ijc.29983.</w:t>
      </w:r>
    </w:p>
    <w:p w14:paraId="11DF40A6" w14:textId="77777777" w:rsidR="00B813F6" w:rsidRPr="00B813F6" w:rsidRDefault="00B813F6" w:rsidP="000349E7">
      <w:pPr>
        <w:pStyle w:val="NormalWeb"/>
        <w:spacing w:before="0" w:beforeAutospacing="0" w:after="240" w:afterAutospacing="0" w:line="360" w:lineRule="auto"/>
        <w:rPr>
          <w:color w:val="000000" w:themeColor="text1"/>
          <w:sz w:val="28"/>
          <w:szCs w:val="28"/>
        </w:rPr>
      </w:pPr>
      <w:r w:rsidRPr="00B813F6">
        <w:rPr>
          <w:color w:val="000000" w:themeColor="text1"/>
        </w:rPr>
        <w:t xml:space="preserve">World Medical Association (2013). World Medical Association Declaration of Helsinki: Ethical Principles for Medical Research Involving Human </w:t>
      </w:r>
      <w:r w:rsidRPr="00B813F6">
        <w:rPr>
          <w:color w:val="000000" w:themeColor="text1"/>
          <w:sz w:val="28"/>
          <w:szCs w:val="28"/>
        </w:rPr>
        <w:t>Subjects.</w:t>
      </w:r>
      <w:r w:rsidRPr="00B813F6">
        <w:rPr>
          <w:rStyle w:val="apple-converted-space"/>
          <w:color w:val="000000" w:themeColor="text1"/>
          <w:sz w:val="28"/>
          <w:szCs w:val="28"/>
        </w:rPr>
        <w:t> </w:t>
      </w:r>
      <w:r w:rsidRPr="00B813F6">
        <w:rPr>
          <w:i/>
          <w:iCs/>
          <w:color w:val="000000" w:themeColor="text1"/>
          <w:sz w:val="28"/>
          <w:szCs w:val="28"/>
        </w:rPr>
        <w:t>JAMA</w:t>
      </w:r>
      <w:r w:rsidRPr="00B813F6">
        <w:rPr>
          <w:color w:val="000000" w:themeColor="text1"/>
          <w:sz w:val="28"/>
          <w:szCs w:val="28"/>
        </w:rPr>
        <w:t>, [online] 310(20), pp.2191–2194. doi:10.1001/jama.2013.281053.</w:t>
      </w:r>
    </w:p>
    <w:p w14:paraId="137849DE" w14:textId="0C121C5A" w:rsidR="007454DB" w:rsidRDefault="007454DB" w:rsidP="005851DC">
      <w:pPr>
        <w:spacing w:after="160" w:line="264" w:lineRule="auto"/>
      </w:pPr>
    </w:p>
    <w:sectPr w:rsidR="007454DB">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7CF72" w14:textId="77777777" w:rsidR="00CD26D9" w:rsidRDefault="00CD26D9">
      <w:r>
        <w:separator/>
      </w:r>
    </w:p>
  </w:endnote>
  <w:endnote w:type="continuationSeparator" w:id="0">
    <w:p w14:paraId="52995F66" w14:textId="77777777" w:rsidR="00CD26D9" w:rsidRDefault="00CD2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B1651" w14:textId="77777777" w:rsidR="007454DB" w:rsidRDefault="00000000">
    <w:pPr>
      <w:jc w:val="center"/>
    </w:pPr>
    <w:r>
      <w:fldChar w:fldCharType="begin"/>
    </w:r>
    <w:r>
      <w:instrText>PAGE</w:instrText>
    </w:r>
    <w:r>
      <w:fldChar w:fldCharType="separate"/>
    </w:r>
    <w:r w:rsidR="00960B4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C2AC6" w14:textId="77777777" w:rsidR="00CD26D9" w:rsidRDefault="00CD26D9">
      <w:r>
        <w:separator/>
      </w:r>
    </w:p>
  </w:footnote>
  <w:footnote w:type="continuationSeparator" w:id="0">
    <w:p w14:paraId="5754379E" w14:textId="77777777" w:rsidR="00CD26D9" w:rsidRDefault="00CD2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062B0"/>
    <w:multiLevelType w:val="hybridMultilevel"/>
    <w:tmpl w:val="77E89E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7B0911"/>
    <w:multiLevelType w:val="hybridMultilevel"/>
    <w:tmpl w:val="FDDA3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1E357B"/>
    <w:multiLevelType w:val="hybridMultilevel"/>
    <w:tmpl w:val="E59E97A2"/>
    <w:lvl w:ilvl="0" w:tplc="B23E6DC6">
      <w:start w:val="1"/>
      <w:numFmt w:val="bullet"/>
      <w:lvlText w:val="●"/>
      <w:lvlJc w:val="left"/>
      <w:pPr>
        <w:ind w:left="720" w:hanging="360"/>
      </w:pPr>
    </w:lvl>
    <w:lvl w:ilvl="1" w:tplc="C99E2520">
      <w:start w:val="1"/>
      <w:numFmt w:val="bullet"/>
      <w:lvlText w:val="○"/>
      <w:lvlJc w:val="left"/>
      <w:pPr>
        <w:ind w:left="1440" w:hanging="360"/>
      </w:pPr>
    </w:lvl>
    <w:lvl w:ilvl="2" w:tplc="962ECFC8">
      <w:start w:val="1"/>
      <w:numFmt w:val="bullet"/>
      <w:lvlText w:val="■"/>
      <w:lvlJc w:val="left"/>
      <w:pPr>
        <w:ind w:left="2160" w:hanging="360"/>
      </w:pPr>
    </w:lvl>
    <w:lvl w:ilvl="3" w:tplc="D96462FE">
      <w:start w:val="1"/>
      <w:numFmt w:val="bullet"/>
      <w:lvlText w:val="●"/>
      <w:lvlJc w:val="left"/>
      <w:pPr>
        <w:ind w:left="2880" w:hanging="360"/>
      </w:pPr>
    </w:lvl>
    <w:lvl w:ilvl="4" w:tplc="2468097C">
      <w:start w:val="1"/>
      <w:numFmt w:val="bullet"/>
      <w:lvlText w:val="○"/>
      <w:lvlJc w:val="left"/>
      <w:pPr>
        <w:ind w:left="3600" w:hanging="360"/>
      </w:pPr>
    </w:lvl>
    <w:lvl w:ilvl="5" w:tplc="59C67C92">
      <w:start w:val="1"/>
      <w:numFmt w:val="bullet"/>
      <w:lvlText w:val="■"/>
      <w:lvlJc w:val="left"/>
      <w:pPr>
        <w:ind w:left="4320" w:hanging="360"/>
      </w:pPr>
    </w:lvl>
    <w:lvl w:ilvl="6" w:tplc="847622F0">
      <w:start w:val="1"/>
      <w:numFmt w:val="bullet"/>
      <w:lvlText w:val="●"/>
      <w:lvlJc w:val="left"/>
      <w:pPr>
        <w:ind w:left="5040" w:hanging="360"/>
      </w:pPr>
    </w:lvl>
    <w:lvl w:ilvl="7" w:tplc="D2189222">
      <w:start w:val="1"/>
      <w:numFmt w:val="bullet"/>
      <w:lvlText w:val="●"/>
      <w:lvlJc w:val="left"/>
      <w:pPr>
        <w:ind w:left="5760" w:hanging="360"/>
      </w:pPr>
    </w:lvl>
    <w:lvl w:ilvl="8" w:tplc="A3880B64">
      <w:start w:val="1"/>
      <w:numFmt w:val="bullet"/>
      <w:lvlText w:val="●"/>
      <w:lvlJc w:val="left"/>
      <w:pPr>
        <w:ind w:left="6480" w:hanging="360"/>
      </w:pPr>
    </w:lvl>
  </w:abstractNum>
  <w:num w:numId="1" w16cid:durableId="63067650">
    <w:abstractNumId w:val="2"/>
    <w:lvlOverride w:ilvl="0">
      <w:startOverride w:val="1"/>
    </w:lvlOverride>
  </w:num>
  <w:num w:numId="2" w16cid:durableId="1411536502">
    <w:abstractNumId w:val="1"/>
  </w:num>
  <w:num w:numId="3" w16cid:durableId="1350836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4DB"/>
    <w:rsid w:val="000349E7"/>
    <w:rsid w:val="003154B5"/>
    <w:rsid w:val="00531848"/>
    <w:rsid w:val="005851DC"/>
    <w:rsid w:val="007454DB"/>
    <w:rsid w:val="00771009"/>
    <w:rsid w:val="0095017F"/>
    <w:rsid w:val="00960B4E"/>
    <w:rsid w:val="009F019F"/>
    <w:rsid w:val="00A620D9"/>
    <w:rsid w:val="00AD0ACD"/>
    <w:rsid w:val="00AD2F5F"/>
    <w:rsid w:val="00B813F6"/>
    <w:rsid w:val="00BD4589"/>
    <w:rsid w:val="00C94852"/>
    <w:rsid w:val="00CD26D9"/>
    <w:rsid w:val="00CF0080"/>
    <w:rsid w:val="00D66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F472D"/>
  <w15:docId w15:val="{AE0D9C96-7699-B54F-8592-5D25501BF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D66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B813F6"/>
    <w:pPr>
      <w:spacing w:before="100" w:beforeAutospacing="1" w:after="100" w:afterAutospacing="1"/>
    </w:pPr>
    <w:rPr>
      <w:sz w:val="24"/>
      <w:szCs w:val="24"/>
    </w:rPr>
  </w:style>
  <w:style w:type="paragraph" w:styleId="NormalWeb">
    <w:name w:val="Normal (Web)"/>
    <w:basedOn w:val="Normal"/>
    <w:uiPriority w:val="99"/>
    <w:semiHidden/>
    <w:unhideWhenUsed/>
    <w:rsid w:val="00B813F6"/>
    <w:pPr>
      <w:spacing w:before="100" w:beforeAutospacing="1" w:after="100" w:afterAutospacing="1"/>
    </w:pPr>
    <w:rPr>
      <w:sz w:val="24"/>
      <w:szCs w:val="24"/>
    </w:rPr>
  </w:style>
  <w:style w:type="character" w:customStyle="1" w:styleId="apple-converted-space">
    <w:name w:val="apple-converted-space"/>
    <w:basedOn w:val="DefaultParagraphFont"/>
    <w:rsid w:val="00B813F6"/>
  </w:style>
  <w:style w:type="character" w:styleId="Strong">
    <w:name w:val="Strong"/>
    <w:basedOn w:val="DefaultParagraphFont"/>
    <w:uiPriority w:val="22"/>
    <w:qFormat/>
    <w:rsid w:val="009F01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4486</Words>
  <Characters>25575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Amit Tiwari (2526931)</cp:lastModifiedBy>
  <cp:revision>2</cp:revision>
  <dcterms:created xsi:type="dcterms:W3CDTF">2026-08-18T10:30:00Z</dcterms:created>
  <dcterms:modified xsi:type="dcterms:W3CDTF">2026-08-18T10:30:00Z</dcterms:modified>
</cp:coreProperties>
</file>