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4ABC6" w14:textId="77777777" w:rsidR="00956EC8" w:rsidRDefault="00956EC8" w:rsidP="00956EC8">
      <w:pPr>
        <w:pStyle w:val="Title"/>
        <w:spacing w:line="360" w:lineRule="auto"/>
        <w:jc w:val="center"/>
        <w:rPr>
          <w:sz w:val="32"/>
        </w:rPr>
      </w:pPr>
      <w:r w:rsidRPr="00A962A9">
        <w:rPr>
          <w:sz w:val="32"/>
        </w:rPr>
        <w:t>HOW TO ENGAGE EMPLOYEES (GENERATION YS OR GENERATION ZS) THROUGHOUT THE EMPLOYEE LIFECYCLE?</w:t>
      </w:r>
    </w:p>
    <w:p w14:paraId="763EAF08" w14:textId="77777777" w:rsidR="00956EC8" w:rsidRDefault="00956EC8" w:rsidP="00956EC8">
      <w:pPr>
        <w:rPr>
          <w:shd w:val="clear" w:color="auto" w:fill="FFFFFF"/>
        </w:rPr>
      </w:pPr>
    </w:p>
    <w:p w14:paraId="5DCDB985" w14:textId="77777777" w:rsidR="00956EC8" w:rsidRDefault="00956EC8" w:rsidP="00956EC8">
      <w:pPr>
        <w:rPr>
          <w:shd w:val="clear" w:color="auto" w:fill="FFFFFF"/>
        </w:rPr>
      </w:pPr>
    </w:p>
    <w:p w14:paraId="385307A5" w14:textId="77777777" w:rsidR="00956EC8" w:rsidRDefault="00956EC8" w:rsidP="00956EC8">
      <w:pPr>
        <w:rPr>
          <w:shd w:val="clear" w:color="auto" w:fill="FFFFFF"/>
        </w:rPr>
      </w:pPr>
    </w:p>
    <w:p w14:paraId="64592718" w14:textId="0FA93F09" w:rsidR="00956EC8" w:rsidRPr="00A962A9" w:rsidRDefault="00956EC8" w:rsidP="00956EC8">
      <w:pPr>
        <w:rPr>
          <w:b/>
          <w:shd w:val="clear" w:color="auto" w:fill="FFFFFF"/>
        </w:rPr>
      </w:pPr>
      <w:r w:rsidRPr="00A962A9">
        <w:rPr>
          <w:b/>
          <w:shd w:val="clear" w:color="auto" w:fill="FFFFFF"/>
        </w:rPr>
        <w:t>STUDENT NAME:</w:t>
      </w:r>
      <w:r w:rsidR="00EF22D1">
        <w:rPr>
          <w:b/>
          <w:shd w:val="clear" w:color="auto" w:fill="FFFFFF"/>
        </w:rPr>
        <w:t xml:space="preserve"> Ionela Beatrice Hulub</w:t>
      </w:r>
    </w:p>
    <w:p w14:paraId="4B3DC1F9" w14:textId="4B603DC4" w:rsidR="00956EC8" w:rsidRPr="00A962A9" w:rsidRDefault="00956EC8" w:rsidP="00956EC8">
      <w:pPr>
        <w:rPr>
          <w:b/>
          <w:shd w:val="clear" w:color="auto" w:fill="FFFFFF"/>
        </w:rPr>
      </w:pPr>
      <w:r w:rsidRPr="00A962A9">
        <w:rPr>
          <w:b/>
          <w:shd w:val="clear" w:color="auto" w:fill="FFFFFF"/>
        </w:rPr>
        <w:t>MODULE TITLE:</w:t>
      </w:r>
      <w:r w:rsidR="00EF22D1">
        <w:rPr>
          <w:b/>
          <w:shd w:val="clear" w:color="auto" w:fill="FFFFFF"/>
        </w:rPr>
        <w:t xml:space="preserve"> </w:t>
      </w:r>
      <w:r w:rsidR="005E7B7C">
        <w:rPr>
          <w:b/>
          <w:shd w:val="clear" w:color="auto" w:fill="FFFFFF"/>
        </w:rPr>
        <w:t xml:space="preserve">Personal Resourcing and </w:t>
      </w:r>
      <w:r w:rsidR="00346113">
        <w:rPr>
          <w:b/>
          <w:shd w:val="clear" w:color="auto" w:fill="FFFFFF"/>
        </w:rPr>
        <w:t xml:space="preserve">Development </w:t>
      </w:r>
    </w:p>
    <w:p w14:paraId="1B4749C5" w14:textId="5FF6D33E" w:rsidR="00956EC8" w:rsidRPr="00A962A9" w:rsidRDefault="00956EC8" w:rsidP="00956EC8">
      <w:pPr>
        <w:rPr>
          <w:b/>
          <w:shd w:val="clear" w:color="auto" w:fill="FFFFFF"/>
        </w:rPr>
      </w:pPr>
      <w:r w:rsidRPr="00A962A9">
        <w:rPr>
          <w:b/>
          <w:shd w:val="clear" w:color="auto" w:fill="FFFFFF"/>
        </w:rPr>
        <w:t>MODULE CODE:</w:t>
      </w:r>
      <w:r w:rsidR="00A30A0A">
        <w:rPr>
          <w:b/>
          <w:shd w:val="clear" w:color="auto" w:fill="FFFFFF"/>
        </w:rPr>
        <w:t xml:space="preserve"> </w:t>
      </w:r>
      <w:r w:rsidR="00346113">
        <w:rPr>
          <w:b/>
          <w:shd w:val="clear" w:color="auto" w:fill="FFFFFF"/>
        </w:rPr>
        <w:t xml:space="preserve">BMIH </w:t>
      </w:r>
      <w:r w:rsidR="00A30A0A">
        <w:rPr>
          <w:b/>
          <w:shd w:val="clear" w:color="auto" w:fill="FFFFFF"/>
        </w:rPr>
        <w:t>5005</w:t>
      </w:r>
    </w:p>
    <w:p w14:paraId="18E5DC04" w14:textId="08342B2D" w:rsidR="00956EC8" w:rsidRPr="00A962A9" w:rsidRDefault="00956EC8" w:rsidP="00956EC8">
      <w:pPr>
        <w:rPr>
          <w:shd w:val="clear" w:color="auto" w:fill="FFFFFF"/>
        </w:rPr>
      </w:pPr>
      <w:r w:rsidRPr="00A962A9">
        <w:rPr>
          <w:b/>
          <w:shd w:val="clear" w:color="auto" w:fill="FFFFFF"/>
        </w:rPr>
        <w:t>LECTURER’S NAME:</w:t>
      </w:r>
      <w:r w:rsidR="00A633E7">
        <w:rPr>
          <w:b/>
          <w:shd w:val="clear" w:color="auto" w:fill="FFFFFF"/>
        </w:rPr>
        <w:t xml:space="preserve"> Helen Lee</w:t>
      </w:r>
      <w:r w:rsidRPr="00A962A9">
        <w:rPr>
          <w:shd w:val="clear" w:color="auto" w:fill="FFFFFF"/>
        </w:rPr>
        <w:br w:type="page"/>
      </w:r>
    </w:p>
    <w:p w14:paraId="453649F0" w14:textId="77777777" w:rsidR="00956EC8" w:rsidRPr="00A962A9" w:rsidRDefault="00956EC8" w:rsidP="00956EC8">
      <w:pPr>
        <w:pStyle w:val="Heading1"/>
        <w:spacing w:line="360" w:lineRule="auto"/>
        <w:jc w:val="both"/>
        <w:rPr>
          <w:rFonts w:ascii="Arial" w:hAnsi="Arial" w:cs="Arial"/>
          <w:sz w:val="24"/>
          <w:szCs w:val="24"/>
        </w:rPr>
      </w:pPr>
      <w:r w:rsidRPr="00A962A9">
        <w:rPr>
          <w:rFonts w:ascii="Arial" w:hAnsi="Arial" w:cs="Arial"/>
          <w:sz w:val="24"/>
          <w:szCs w:val="24"/>
        </w:rPr>
        <w:lastRenderedPageBreak/>
        <w:t xml:space="preserve">INTRODUCTION </w:t>
      </w:r>
    </w:p>
    <w:p w14:paraId="4EBF56C6"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Employee engagement has emerged as a key factor in the success of </w:t>
      </w:r>
      <w:proofErr w:type="spellStart"/>
      <w:r w:rsidRPr="00A962A9">
        <w:rPr>
          <w:rFonts w:ascii="Arial" w:hAnsi="Arial" w:cs="Arial"/>
          <w:color w:val="000000" w:themeColor="text1"/>
          <w:sz w:val="24"/>
          <w:szCs w:val="24"/>
        </w:rPr>
        <w:t>organisations</w:t>
      </w:r>
      <w:proofErr w:type="spellEnd"/>
      <w:r w:rsidRPr="00A962A9">
        <w:rPr>
          <w:rFonts w:ascii="Arial" w:hAnsi="Arial" w:cs="Arial"/>
          <w:color w:val="000000" w:themeColor="text1"/>
          <w:sz w:val="24"/>
          <w:szCs w:val="24"/>
        </w:rPr>
        <w:t xml:space="preserve"> in today's dynamic and fiercely competitive business environment. It has become clear that a workforce's dedication and passion are key factors in productivity, innovation, and customer pleasure. Human resource departments are essential to defining and fostering employee engagement as </w:t>
      </w:r>
      <w:proofErr w:type="spellStart"/>
      <w:r w:rsidRPr="00A962A9">
        <w:rPr>
          <w:rFonts w:ascii="Arial" w:hAnsi="Arial" w:cs="Arial"/>
          <w:color w:val="000000" w:themeColor="text1"/>
          <w:sz w:val="24"/>
          <w:szCs w:val="24"/>
        </w:rPr>
        <w:t>organisations</w:t>
      </w:r>
      <w:proofErr w:type="spellEnd"/>
      <w:r w:rsidRPr="00A962A9">
        <w:rPr>
          <w:rFonts w:ascii="Arial" w:hAnsi="Arial" w:cs="Arial"/>
          <w:color w:val="000000" w:themeColor="text1"/>
          <w:sz w:val="24"/>
          <w:szCs w:val="24"/>
        </w:rPr>
        <w:t xml:space="preserve"> work to succeed and adjust to changing market conditions. The importance of employee engagement is particularly notable in the context of Generation Z, the youngest generation to enter the workforce. In the workplace, Generation Z members who were born and reared in the age of technology offer special qualities, needs, and expectations. Human resource professionals now have the crucial problem of comprehending and engaging this generation. In order to captivate and maintain the involvement of Generation Z employees within the vast environment of a large hotel, this essay will explore the varied tactics that human resource departments must use. We will examine the crucial function of human resources in fostering employee engagement, delve into the distinctive traits that </w:t>
      </w:r>
      <w:proofErr w:type="spellStart"/>
      <w:r w:rsidRPr="00A962A9">
        <w:rPr>
          <w:rFonts w:ascii="Arial" w:hAnsi="Arial" w:cs="Arial"/>
          <w:color w:val="000000" w:themeColor="text1"/>
          <w:sz w:val="24"/>
          <w:szCs w:val="24"/>
        </w:rPr>
        <w:t>characterise</w:t>
      </w:r>
      <w:proofErr w:type="spellEnd"/>
      <w:r w:rsidRPr="00A962A9">
        <w:rPr>
          <w:rFonts w:ascii="Arial" w:hAnsi="Arial" w:cs="Arial"/>
          <w:color w:val="000000" w:themeColor="text1"/>
          <w:sz w:val="24"/>
          <w:szCs w:val="24"/>
        </w:rPr>
        <w:t xml:space="preserve"> Generation Z, suggest creative solutions to maintain their engagement, and travel through the various stages of the employee lifecycle, including attraction, recruitment, onboarding, growth, retention, and separation.</w:t>
      </w:r>
      <w:r w:rsidRPr="00A962A9">
        <w:rPr>
          <w:rFonts w:ascii="Arial" w:hAnsi="Arial" w:cs="Arial"/>
          <w:b/>
          <w:color w:val="000000" w:themeColor="text1"/>
          <w:sz w:val="24"/>
          <w:szCs w:val="24"/>
        </w:rPr>
        <w:br w:type="page"/>
      </w:r>
    </w:p>
    <w:p w14:paraId="1D70DAED" w14:textId="77777777" w:rsidR="00956EC8" w:rsidRPr="00A962A9" w:rsidRDefault="00956EC8" w:rsidP="00956EC8">
      <w:pPr>
        <w:spacing w:line="360" w:lineRule="auto"/>
        <w:jc w:val="both"/>
        <w:rPr>
          <w:rFonts w:ascii="Arial" w:hAnsi="Arial" w:cs="Arial"/>
          <w:b/>
          <w:color w:val="000000" w:themeColor="text1"/>
          <w:sz w:val="24"/>
          <w:szCs w:val="24"/>
        </w:rPr>
      </w:pPr>
      <w:r w:rsidRPr="00A962A9">
        <w:rPr>
          <w:rFonts w:ascii="Arial" w:hAnsi="Arial" w:cs="Arial"/>
          <w:b/>
          <w:color w:val="000000" w:themeColor="text1"/>
          <w:sz w:val="24"/>
          <w:szCs w:val="24"/>
        </w:rPr>
        <w:lastRenderedPageBreak/>
        <w:t>MAIN BODY</w:t>
      </w:r>
    </w:p>
    <w:p w14:paraId="0D8B6648" w14:textId="77777777" w:rsidR="00956EC8" w:rsidRPr="00A962A9" w:rsidRDefault="00956EC8" w:rsidP="00956EC8">
      <w:pPr>
        <w:spacing w:line="360" w:lineRule="auto"/>
        <w:jc w:val="both"/>
        <w:rPr>
          <w:rFonts w:ascii="Arial" w:hAnsi="Arial" w:cs="Arial"/>
          <w:b/>
          <w:color w:val="000000" w:themeColor="text1"/>
          <w:sz w:val="24"/>
          <w:szCs w:val="24"/>
        </w:rPr>
      </w:pPr>
      <w:r w:rsidRPr="00A962A9">
        <w:rPr>
          <w:rFonts w:ascii="Arial" w:hAnsi="Arial" w:cs="Arial"/>
          <w:b/>
          <w:color w:val="000000" w:themeColor="text1"/>
          <w:sz w:val="24"/>
          <w:szCs w:val="24"/>
        </w:rPr>
        <w:t>The Role of Human Resources in Engaging Employees</w:t>
      </w:r>
    </w:p>
    <w:p w14:paraId="37DF83C4" w14:textId="6945B195"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The Human Resources (HR) division of every </w:t>
      </w:r>
      <w:proofErr w:type="spellStart"/>
      <w:r w:rsidRPr="00A962A9">
        <w:rPr>
          <w:rFonts w:ascii="Arial" w:hAnsi="Arial" w:cs="Arial"/>
          <w:color w:val="000000" w:themeColor="text1"/>
          <w:sz w:val="24"/>
          <w:szCs w:val="24"/>
        </w:rPr>
        <w:t>organisation</w:t>
      </w:r>
      <w:proofErr w:type="spellEnd"/>
      <w:r w:rsidRPr="00A962A9">
        <w:rPr>
          <w:rFonts w:ascii="Arial" w:hAnsi="Arial" w:cs="Arial"/>
          <w:color w:val="000000" w:themeColor="text1"/>
          <w:sz w:val="24"/>
          <w:szCs w:val="24"/>
        </w:rPr>
        <w:t xml:space="preserve"> holds a crucial and fundamental position in the area of employee engagement. The main goal of this department is to create a work atmosphere where people aren't simply present but also actively involved, inspired, and committed to their jobs. Employee engagement refers to the connection that the individual has on a mental and emotional level with their job, fellow employees, and the business as a whole. HR is important to achieving this it helps to promote the sense of commitment, fulfilment, among the employees. With the rise of the Generation Z in the workforce, HR has the greater role to play in promote employee engagement. The term "Generation Z" refers to a generation that grown up in the digital era and is marked by continuous connectivity, rapid technological advancements, and the unique set of values and the expectations. Most members of this generation were born around the middle of 1990s and the beginning of the 2010s (Stahl et al., 2020).</w:t>
      </w:r>
    </w:p>
    <w:p w14:paraId="14CEC51B"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This necessitates the change in approach from the HR professionals. It entails developing workplace cultures that place a high value on inclusion and diversity, offering chances for meaningful employment and skill development, and </w:t>
      </w:r>
      <w:proofErr w:type="spellStart"/>
      <w:r w:rsidRPr="00A962A9">
        <w:rPr>
          <w:rFonts w:ascii="Arial" w:hAnsi="Arial" w:cs="Arial"/>
          <w:color w:val="000000" w:themeColor="text1"/>
          <w:sz w:val="24"/>
          <w:szCs w:val="24"/>
        </w:rPr>
        <w:t>utilising</w:t>
      </w:r>
      <w:proofErr w:type="spellEnd"/>
      <w:r w:rsidRPr="00A962A9">
        <w:rPr>
          <w:rFonts w:ascii="Arial" w:hAnsi="Arial" w:cs="Arial"/>
          <w:color w:val="000000" w:themeColor="text1"/>
          <w:sz w:val="24"/>
          <w:szCs w:val="24"/>
        </w:rPr>
        <w:t xml:space="preserve"> technology to simplify HR procedures like hiring and onboarding. In order to motivate and keep Generation Z workers, it's also necessary to </w:t>
      </w:r>
      <w:proofErr w:type="spellStart"/>
      <w:r w:rsidRPr="00A962A9">
        <w:rPr>
          <w:rFonts w:ascii="Arial" w:hAnsi="Arial" w:cs="Arial"/>
          <w:color w:val="000000" w:themeColor="text1"/>
          <w:sz w:val="24"/>
          <w:szCs w:val="24"/>
        </w:rPr>
        <w:t>recognise</w:t>
      </w:r>
      <w:proofErr w:type="spellEnd"/>
      <w:r w:rsidRPr="00A962A9">
        <w:rPr>
          <w:rFonts w:ascii="Arial" w:hAnsi="Arial" w:cs="Arial"/>
          <w:color w:val="000000" w:themeColor="text1"/>
          <w:sz w:val="24"/>
          <w:szCs w:val="24"/>
        </w:rPr>
        <w:t xml:space="preserve"> the value of feedback, mentorship, and acknowledgment.</w:t>
      </w:r>
    </w:p>
    <w:p w14:paraId="5B6C5A8C" w14:textId="77777777" w:rsidR="00956EC8" w:rsidRPr="00A962A9" w:rsidRDefault="00956EC8" w:rsidP="00956EC8">
      <w:pPr>
        <w:spacing w:line="360" w:lineRule="auto"/>
        <w:jc w:val="both"/>
        <w:rPr>
          <w:rFonts w:ascii="Arial" w:hAnsi="Arial" w:cs="Arial"/>
          <w:b/>
          <w:color w:val="000000" w:themeColor="text1"/>
          <w:sz w:val="24"/>
          <w:szCs w:val="24"/>
        </w:rPr>
      </w:pPr>
      <w:r w:rsidRPr="00A962A9">
        <w:rPr>
          <w:rFonts w:ascii="Arial" w:hAnsi="Arial" w:cs="Arial"/>
          <w:b/>
          <w:color w:val="000000" w:themeColor="text1"/>
          <w:sz w:val="24"/>
          <w:szCs w:val="24"/>
        </w:rPr>
        <w:t xml:space="preserve">Characteristics of Generation Z </w:t>
      </w:r>
    </w:p>
    <w:p w14:paraId="66DAA079"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The internet era has had a huge impact on Generation Z, also referred to as the post-Millennials. They are truly digital natives, having grown up in a society dominated by technology, having been born between the middle of the 1990s and the beginning of the 2010. Due to their tech-savvy upbringing, they are extremely at ease using digital technologies, anticipate easy online interactions, and frequently </w:t>
      </w:r>
      <w:proofErr w:type="spellStart"/>
      <w:r w:rsidRPr="00A962A9">
        <w:rPr>
          <w:rFonts w:ascii="Arial" w:hAnsi="Arial" w:cs="Arial"/>
          <w:color w:val="000000" w:themeColor="text1"/>
          <w:sz w:val="24"/>
          <w:szCs w:val="24"/>
        </w:rPr>
        <w:t>favour</w:t>
      </w:r>
      <w:proofErr w:type="spellEnd"/>
      <w:r w:rsidRPr="00A962A9">
        <w:rPr>
          <w:rFonts w:ascii="Arial" w:hAnsi="Arial" w:cs="Arial"/>
          <w:color w:val="000000" w:themeColor="text1"/>
          <w:sz w:val="24"/>
          <w:szCs w:val="24"/>
        </w:rPr>
        <w:t xml:space="preserve"> texting and social media for communication (Saeed et al., 2019). Diversity and inclusivity are highly valued by Generation Z. They welcome variations in racial, cultural, and ideological perspectives, and they anticipate that businesses would do the same. Their expectations of a workplace </w:t>
      </w:r>
      <w:r w:rsidRPr="00A962A9">
        <w:rPr>
          <w:rFonts w:ascii="Arial" w:hAnsi="Arial" w:cs="Arial"/>
          <w:color w:val="000000" w:themeColor="text1"/>
          <w:sz w:val="24"/>
          <w:szCs w:val="24"/>
        </w:rPr>
        <w:lastRenderedPageBreak/>
        <w:t>that values and supports a varied and inclusive atmosphere are influenced by this variety, as are their personal relationships.</w:t>
      </w:r>
    </w:p>
    <w:p w14:paraId="6C4B2635"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Importantly, they are motivated by a desire for fulfilling employment. Instead of looking for jobs that merely provide financial security, Generation Z prefers to work in fields that support their ideals and give them a feeling of purpose. The demand for technology integration, variety, and a sense of fulfilment must all be acknowledged by HR departments as they develop engagement initiatives. In order to effectively engage and retain Generation Z employees in the modern workforce, it is imperative to </w:t>
      </w:r>
      <w:proofErr w:type="spellStart"/>
      <w:r w:rsidRPr="00A962A9">
        <w:rPr>
          <w:rFonts w:ascii="Arial" w:hAnsi="Arial" w:cs="Arial"/>
          <w:color w:val="000000" w:themeColor="text1"/>
          <w:sz w:val="24"/>
          <w:szCs w:val="24"/>
        </w:rPr>
        <w:t>recognise</w:t>
      </w:r>
      <w:proofErr w:type="spellEnd"/>
      <w:r w:rsidRPr="00A962A9">
        <w:rPr>
          <w:rFonts w:ascii="Arial" w:hAnsi="Arial" w:cs="Arial"/>
          <w:color w:val="000000" w:themeColor="text1"/>
          <w:sz w:val="24"/>
          <w:szCs w:val="24"/>
        </w:rPr>
        <w:t xml:space="preserve"> and address these traits (Barhate and Dirani, 2022).</w:t>
      </w:r>
    </w:p>
    <w:p w14:paraId="1A05C0CF" w14:textId="77777777" w:rsidR="00956EC8" w:rsidRPr="00A962A9" w:rsidRDefault="00956EC8" w:rsidP="00956EC8">
      <w:pPr>
        <w:spacing w:line="360" w:lineRule="auto"/>
        <w:jc w:val="both"/>
        <w:rPr>
          <w:rFonts w:ascii="Arial" w:hAnsi="Arial" w:cs="Arial"/>
          <w:b/>
          <w:color w:val="000000" w:themeColor="text1"/>
          <w:sz w:val="24"/>
          <w:szCs w:val="24"/>
        </w:rPr>
      </w:pPr>
      <w:r w:rsidRPr="00A962A9">
        <w:rPr>
          <w:rFonts w:ascii="Arial" w:hAnsi="Arial" w:cs="Arial"/>
          <w:b/>
          <w:color w:val="000000" w:themeColor="text1"/>
          <w:sz w:val="24"/>
          <w:szCs w:val="24"/>
        </w:rPr>
        <w:t xml:space="preserve">Engagement Strategies for Generation Z </w:t>
      </w:r>
    </w:p>
    <w:p w14:paraId="69C27AEC"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Engaging Generation Z workers is a dynamic, multifaceted </w:t>
      </w:r>
      <w:proofErr w:type="spellStart"/>
      <w:r w:rsidRPr="00A962A9">
        <w:rPr>
          <w:rFonts w:ascii="Arial" w:hAnsi="Arial" w:cs="Arial"/>
          <w:color w:val="000000" w:themeColor="text1"/>
          <w:sz w:val="24"/>
          <w:szCs w:val="24"/>
        </w:rPr>
        <w:t>endeavour</w:t>
      </w:r>
      <w:proofErr w:type="spellEnd"/>
      <w:r w:rsidRPr="00A962A9">
        <w:rPr>
          <w:rFonts w:ascii="Arial" w:hAnsi="Arial" w:cs="Arial"/>
          <w:color w:val="000000" w:themeColor="text1"/>
          <w:sz w:val="24"/>
          <w:szCs w:val="24"/>
        </w:rPr>
        <w:t xml:space="preserve"> that demands careful consideration. </w:t>
      </w:r>
      <w:proofErr w:type="spellStart"/>
      <w:r w:rsidRPr="00A962A9">
        <w:rPr>
          <w:rFonts w:ascii="Arial" w:hAnsi="Arial" w:cs="Arial"/>
          <w:color w:val="000000" w:themeColor="text1"/>
          <w:sz w:val="24"/>
          <w:szCs w:val="24"/>
        </w:rPr>
        <w:t>Organisations</w:t>
      </w:r>
      <w:proofErr w:type="spellEnd"/>
      <w:r w:rsidRPr="00A962A9">
        <w:rPr>
          <w:rFonts w:ascii="Arial" w:hAnsi="Arial" w:cs="Arial"/>
          <w:color w:val="000000" w:themeColor="text1"/>
          <w:sz w:val="24"/>
          <w:szCs w:val="24"/>
        </w:rPr>
        <w:t xml:space="preserve"> and HR departments should think about a number of tactics to interact with this generation effectively. Developing an encouraging workplace culture comes first and foremost. Inclusion, respect, and a sense of belonging are important to Generation Z. Businesses that promote diversity and foster an atmosphere where every worker is treated with respect are able to engage this group (Ismail et al., 2021).</w:t>
      </w:r>
    </w:p>
    <w:p w14:paraId="64F292A3"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Another important factor is the development of skills. It is crucial to offer continuing training and opportunity for Generation Z to pick up new skills because they are eager to learn and develop. With the use of workshops, classes, and mentorship </w:t>
      </w:r>
      <w:proofErr w:type="spellStart"/>
      <w:r w:rsidRPr="00A962A9">
        <w:rPr>
          <w:rFonts w:ascii="Arial" w:hAnsi="Arial" w:cs="Arial"/>
          <w:color w:val="000000" w:themeColor="text1"/>
          <w:sz w:val="24"/>
          <w:szCs w:val="24"/>
        </w:rPr>
        <w:t>programmes</w:t>
      </w:r>
      <w:proofErr w:type="spellEnd"/>
      <w:r w:rsidRPr="00A962A9">
        <w:rPr>
          <w:rFonts w:ascii="Arial" w:hAnsi="Arial" w:cs="Arial"/>
          <w:color w:val="000000" w:themeColor="text1"/>
          <w:sz w:val="24"/>
          <w:szCs w:val="24"/>
        </w:rPr>
        <w:t xml:space="preserve">, HR can promote ongoing learning. Also important are acknowledgment and feedback. Generation Z benefits from regular, helpful criticism that clarifies their accomplishments and places for growth. </w:t>
      </w:r>
      <w:proofErr w:type="spellStart"/>
      <w:r w:rsidRPr="00A962A9">
        <w:rPr>
          <w:rFonts w:ascii="Arial" w:hAnsi="Arial" w:cs="Arial"/>
          <w:color w:val="000000" w:themeColor="text1"/>
          <w:sz w:val="24"/>
          <w:szCs w:val="24"/>
        </w:rPr>
        <w:t>Recognising</w:t>
      </w:r>
      <w:proofErr w:type="spellEnd"/>
      <w:r w:rsidRPr="00A962A9">
        <w:rPr>
          <w:rFonts w:ascii="Arial" w:hAnsi="Arial" w:cs="Arial"/>
          <w:color w:val="000000" w:themeColor="text1"/>
          <w:sz w:val="24"/>
          <w:szCs w:val="24"/>
        </w:rPr>
        <w:t xml:space="preserve"> their accomplishments and contributions also strengthens their dedication and motivation.</w:t>
      </w:r>
    </w:p>
    <w:p w14:paraId="48F06E6D"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Generation Z is particularly drawn to work-life balance because they value their personal lives as much as their employment. It is in line with their expectations and encourages engagement to offer flexible work choices, such as remote work options. Technology may be used to streamline operations and raise involvement in HR procedures, from hiring to </w:t>
      </w:r>
      <w:r w:rsidRPr="00A962A9">
        <w:rPr>
          <w:rFonts w:ascii="Arial" w:hAnsi="Arial" w:cs="Arial"/>
          <w:color w:val="000000" w:themeColor="text1"/>
          <w:sz w:val="24"/>
          <w:szCs w:val="24"/>
        </w:rPr>
        <w:lastRenderedPageBreak/>
        <w:t xml:space="preserve">performance management. This tech-savvy generation is interested in </w:t>
      </w:r>
      <w:proofErr w:type="spellStart"/>
      <w:r w:rsidRPr="00A962A9">
        <w:rPr>
          <w:rFonts w:ascii="Arial" w:hAnsi="Arial" w:cs="Arial"/>
          <w:color w:val="000000" w:themeColor="text1"/>
          <w:sz w:val="24"/>
          <w:szCs w:val="24"/>
        </w:rPr>
        <w:t>utilising</w:t>
      </w:r>
      <w:proofErr w:type="spellEnd"/>
      <w:r w:rsidRPr="00A962A9">
        <w:rPr>
          <w:rFonts w:ascii="Arial" w:hAnsi="Arial" w:cs="Arial"/>
          <w:color w:val="000000" w:themeColor="text1"/>
          <w:sz w:val="24"/>
          <w:szCs w:val="24"/>
        </w:rPr>
        <w:t xml:space="preserve"> technology for interaction and teamwork.</w:t>
      </w:r>
    </w:p>
    <w:p w14:paraId="4AC92510" w14:textId="77777777" w:rsidR="00956EC8" w:rsidRPr="00A962A9" w:rsidRDefault="00956EC8" w:rsidP="00956EC8">
      <w:pPr>
        <w:spacing w:line="360" w:lineRule="auto"/>
        <w:jc w:val="both"/>
        <w:rPr>
          <w:rFonts w:ascii="Arial" w:hAnsi="Arial" w:cs="Arial"/>
          <w:b/>
          <w:color w:val="000000" w:themeColor="text1"/>
          <w:sz w:val="24"/>
          <w:szCs w:val="24"/>
        </w:rPr>
      </w:pPr>
      <w:r w:rsidRPr="00A962A9">
        <w:rPr>
          <w:rFonts w:ascii="Arial" w:hAnsi="Arial" w:cs="Arial"/>
          <w:b/>
          <w:color w:val="000000" w:themeColor="text1"/>
          <w:sz w:val="24"/>
          <w:szCs w:val="24"/>
        </w:rPr>
        <w:t>The Employee Lifecycle</w:t>
      </w:r>
    </w:p>
    <w:p w14:paraId="219FAC02" w14:textId="77777777" w:rsidR="00956EC8" w:rsidRPr="00A962A9" w:rsidRDefault="00956EC8" w:rsidP="00956EC8">
      <w:pPr>
        <w:tabs>
          <w:tab w:val="left" w:pos="6415"/>
        </w:tabs>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The employee lifecycle is a thorough structure that directs an employee's path within an </w:t>
      </w:r>
      <w:proofErr w:type="spellStart"/>
      <w:r w:rsidRPr="00A962A9">
        <w:rPr>
          <w:rFonts w:ascii="Arial" w:hAnsi="Arial" w:cs="Arial"/>
          <w:color w:val="000000" w:themeColor="text1"/>
          <w:sz w:val="24"/>
          <w:szCs w:val="24"/>
        </w:rPr>
        <w:t>organisation</w:t>
      </w:r>
      <w:proofErr w:type="spellEnd"/>
      <w:r w:rsidRPr="00A962A9">
        <w:rPr>
          <w:rFonts w:ascii="Arial" w:hAnsi="Arial" w:cs="Arial"/>
          <w:color w:val="000000" w:themeColor="text1"/>
          <w:sz w:val="24"/>
          <w:szCs w:val="24"/>
        </w:rPr>
        <w:t>, and it is especially important for integrating Generation Z in the hotel industry:</w:t>
      </w:r>
    </w:p>
    <w:p w14:paraId="0596905D" w14:textId="77777777" w:rsidR="00956EC8" w:rsidRPr="00A962A9" w:rsidRDefault="00956EC8" w:rsidP="00956EC8">
      <w:pPr>
        <w:tabs>
          <w:tab w:val="left" w:pos="6415"/>
        </w:tabs>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Attraction: HR needs to build a strong online presence in order to appeal to Generation Z. </w:t>
      </w:r>
      <w:proofErr w:type="spellStart"/>
      <w:r w:rsidRPr="00A962A9">
        <w:rPr>
          <w:rFonts w:ascii="Arial" w:hAnsi="Arial" w:cs="Arial"/>
          <w:color w:val="000000" w:themeColor="text1"/>
          <w:sz w:val="24"/>
          <w:szCs w:val="24"/>
        </w:rPr>
        <w:t>Utilising</w:t>
      </w:r>
      <w:proofErr w:type="spellEnd"/>
      <w:r w:rsidRPr="00A962A9">
        <w:rPr>
          <w:rFonts w:ascii="Arial" w:hAnsi="Arial" w:cs="Arial"/>
          <w:color w:val="000000" w:themeColor="text1"/>
          <w:sz w:val="24"/>
          <w:szCs w:val="24"/>
        </w:rPr>
        <w:t xml:space="preserve"> social media and job-related websites is essential. The importance of </w:t>
      </w:r>
      <w:proofErr w:type="spellStart"/>
      <w:r w:rsidRPr="00A962A9">
        <w:rPr>
          <w:rFonts w:ascii="Arial" w:hAnsi="Arial" w:cs="Arial"/>
          <w:color w:val="000000" w:themeColor="text1"/>
          <w:sz w:val="24"/>
          <w:szCs w:val="24"/>
        </w:rPr>
        <w:t>emphasising</w:t>
      </w:r>
      <w:proofErr w:type="spellEnd"/>
      <w:r w:rsidRPr="00A962A9">
        <w:rPr>
          <w:rFonts w:ascii="Arial" w:hAnsi="Arial" w:cs="Arial"/>
          <w:color w:val="000000" w:themeColor="text1"/>
          <w:sz w:val="24"/>
          <w:szCs w:val="24"/>
        </w:rPr>
        <w:t xml:space="preserve"> the hotel's basic principles, culture, and areas for expansion and development cannot be overstated. Having grown up in the digital age, Generation Z looks for purpose and community online. Their ideals and objectives are aligned with the hotel's vision by having a strong web presence (Cattermole, 2019).</w:t>
      </w:r>
    </w:p>
    <w:p w14:paraId="7C2CE5C5" w14:textId="77777777" w:rsidR="00956EC8" w:rsidRPr="00A962A9" w:rsidRDefault="00956EC8" w:rsidP="00956EC8">
      <w:pPr>
        <w:tabs>
          <w:tab w:val="left" w:pos="6415"/>
        </w:tabs>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Recruitment: From attraction to onboarding, streamlined recruitment serves as a link. It is consistent with Generation Z's value of effectiveness and openness. This phase is defined by prompt decision-making and unambiguous communication, setting the standard for a business that values efficiency and clarity.</w:t>
      </w:r>
    </w:p>
    <w:p w14:paraId="6177BA4A" w14:textId="77777777" w:rsidR="00956EC8" w:rsidRPr="00A962A9" w:rsidRDefault="00956EC8" w:rsidP="00956EC8">
      <w:pPr>
        <w:tabs>
          <w:tab w:val="left" w:pos="6415"/>
        </w:tabs>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Onboarding: The engagement journey of Generation Z begins with the onboarding phase. Effective onboarding should involve in-depth training, mentorship </w:t>
      </w:r>
      <w:proofErr w:type="spellStart"/>
      <w:r w:rsidRPr="00A962A9">
        <w:rPr>
          <w:rFonts w:ascii="Arial" w:hAnsi="Arial" w:cs="Arial"/>
          <w:color w:val="000000" w:themeColor="text1"/>
          <w:sz w:val="24"/>
          <w:szCs w:val="24"/>
        </w:rPr>
        <w:t>programmes</w:t>
      </w:r>
      <w:proofErr w:type="spellEnd"/>
      <w:r w:rsidRPr="00A962A9">
        <w:rPr>
          <w:rFonts w:ascii="Arial" w:hAnsi="Arial" w:cs="Arial"/>
          <w:color w:val="000000" w:themeColor="text1"/>
          <w:sz w:val="24"/>
          <w:szCs w:val="24"/>
        </w:rPr>
        <w:t>, and a thorough introduction to the hotel's vision and values. With interactive modules, virtual tours, and online resources, technology becomes a pillar in creating an engaging phase. By fostering a supportive environment, mentoring helps employees on their career paths.</w:t>
      </w:r>
    </w:p>
    <w:p w14:paraId="49328F4F" w14:textId="77777777" w:rsidR="00956EC8" w:rsidRPr="00A962A9" w:rsidRDefault="00956EC8" w:rsidP="00956EC8">
      <w:pPr>
        <w:tabs>
          <w:tab w:val="left" w:pos="6415"/>
        </w:tabs>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Development: Through continual learning opportunities, Generation Z's desire for skill growth is satisfied. Online learning opportunities and mentoring satisfy the desire for new skills and job advancement. They are not only entertained by this, but it also gives them the tools they need to adapt to changing market needs (Singh, 2019).</w:t>
      </w:r>
    </w:p>
    <w:p w14:paraId="33B0AF27" w14:textId="77777777" w:rsidR="00956EC8" w:rsidRPr="00A962A9" w:rsidRDefault="00956EC8" w:rsidP="00956EC8">
      <w:pPr>
        <w:tabs>
          <w:tab w:val="left" w:pos="6415"/>
        </w:tabs>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Retention: For employees to stay on board, engagement must be maintained. The desire for career progress and motivation are aligned with the provision of opportunities for skill </w:t>
      </w:r>
      <w:r w:rsidRPr="00A962A9">
        <w:rPr>
          <w:rFonts w:ascii="Arial" w:hAnsi="Arial" w:cs="Arial"/>
          <w:color w:val="000000" w:themeColor="text1"/>
          <w:sz w:val="24"/>
          <w:szCs w:val="24"/>
        </w:rPr>
        <w:lastRenderedPageBreak/>
        <w:t>development, frequent feedback, and acknowledgment. These strengthen their dedication to the group.</w:t>
      </w:r>
    </w:p>
    <w:p w14:paraId="1C3C42C3" w14:textId="77777777" w:rsidR="00956EC8" w:rsidRPr="00A962A9" w:rsidRDefault="00956EC8" w:rsidP="00956EC8">
      <w:pPr>
        <w:tabs>
          <w:tab w:val="left" w:pos="6415"/>
        </w:tabs>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Separation: Maintaining good ties is essential, even when employees depart. Exit interviews and feedback systems offer suggestions for process improvement and raise employee satisfaction. Positive terminations help to build a positive employer brand, which in turn draws new employees and clients.</w:t>
      </w:r>
    </w:p>
    <w:p w14:paraId="4ED9F347" w14:textId="77777777" w:rsidR="00956EC8" w:rsidRPr="00A962A9" w:rsidRDefault="00956EC8" w:rsidP="00956EC8">
      <w:pPr>
        <w:tabs>
          <w:tab w:val="left" w:pos="6415"/>
        </w:tabs>
        <w:spacing w:line="360" w:lineRule="auto"/>
        <w:jc w:val="both"/>
        <w:rPr>
          <w:rFonts w:ascii="Arial" w:hAnsi="Arial" w:cs="Arial"/>
          <w:b/>
          <w:color w:val="000000" w:themeColor="text1"/>
          <w:sz w:val="24"/>
          <w:szCs w:val="24"/>
        </w:rPr>
      </w:pPr>
      <w:r w:rsidRPr="00A962A9">
        <w:rPr>
          <w:rFonts w:ascii="Arial" w:hAnsi="Arial" w:cs="Arial"/>
          <w:b/>
          <w:color w:val="000000" w:themeColor="text1"/>
          <w:sz w:val="24"/>
          <w:szCs w:val="24"/>
        </w:rPr>
        <w:t>Incorporating an Employee Engagement Model</w:t>
      </w:r>
    </w:p>
    <w:p w14:paraId="1A56CCBA"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Incorporating the Zinger Model: The Zinger model, a comprehensive strategy for increasing employee engagement that places a focus on the interaction of four crucial components: employee, manager, </w:t>
      </w:r>
      <w:proofErr w:type="spellStart"/>
      <w:r w:rsidRPr="00A962A9">
        <w:rPr>
          <w:rFonts w:ascii="Arial" w:hAnsi="Arial" w:cs="Arial"/>
          <w:color w:val="000000" w:themeColor="text1"/>
          <w:sz w:val="24"/>
          <w:szCs w:val="24"/>
        </w:rPr>
        <w:t>organisation</w:t>
      </w:r>
      <w:proofErr w:type="spellEnd"/>
      <w:r w:rsidRPr="00A962A9">
        <w:rPr>
          <w:rFonts w:ascii="Arial" w:hAnsi="Arial" w:cs="Arial"/>
          <w:color w:val="000000" w:themeColor="text1"/>
          <w:sz w:val="24"/>
          <w:szCs w:val="24"/>
        </w:rPr>
        <w:t>, and work. Every component contributes differently to establishing and sustaining engagement.</w:t>
      </w:r>
    </w:p>
    <w:p w14:paraId="0EF8BE8F"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Employee: Engagement begins with the individual employee, according to the Zinger model. They are essential elements, as are their attitudes, motivation, and personal wellbeing. </w:t>
      </w:r>
      <w:proofErr w:type="spellStart"/>
      <w:r w:rsidRPr="00A962A9">
        <w:rPr>
          <w:rFonts w:ascii="Arial" w:hAnsi="Arial" w:cs="Arial"/>
          <w:color w:val="000000" w:themeColor="text1"/>
          <w:sz w:val="24"/>
          <w:szCs w:val="24"/>
        </w:rPr>
        <w:t>Organisations</w:t>
      </w:r>
      <w:proofErr w:type="spellEnd"/>
      <w:r w:rsidRPr="00A962A9">
        <w:rPr>
          <w:rFonts w:ascii="Arial" w:hAnsi="Arial" w:cs="Arial"/>
          <w:color w:val="000000" w:themeColor="text1"/>
          <w:sz w:val="24"/>
          <w:szCs w:val="24"/>
        </w:rPr>
        <w:t xml:space="preserve"> should actively encourage employees to manage their own engagement if they want to include this component. Self-evaluations, creating personal objectives, and figuring out how to contribute more effectively are a few examples of this (Men et al., 2020).</w:t>
      </w:r>
    </w:p>
    <w:p w14:paraId="77B33642"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Manager: The Zinger model heavily </w:t>
      </w:r>
      <w:proofErr w:type="spellStart"/>
      <w:r w:rsidRPr="00A962A9">
        <w:rPr>
          <w:rFonts w:ascii="Arial" w:hAnsi="Arial" w:cs="Arial"/>
          <w:color w:val="000000" w:themeColor="text1"/>
          <w:sz w:val="24"/>
          <w:szCs w:val="24"/>
        </w:rPr>
        <w:t>emphasises</w:t>
      </w:r>
      <w:proofErr w:type="spellEnd"/>
      <w:r w:rsidRPr="00A962A9">
        <w:rPr>
          <w:rFonts w:ascii="Arial" w:hAnsi="Arial" w:cs="Arial"/>
          <w:color w:val="000000" w:themeColor="text1"/>
          <w:sz w:val="24"/>
          <w:szCs w:val="24"/>
        </w:rPr>
        <w:t xml:space="preserve"> the function of managers. They are in charge of establishing a supportive environment for engagement. </w:t>
      </w:r>
      <w:proofErr w:type="spellStart"/>
      <w:r w:rsidRPr="00A962A9">
        <w:rPr>
          <w:rFonts w:ascii="Arial" w:hAnsi="Arial" w:cs="Arial"/>
          <w:color w:val="000000" w:themeColor="text1"/>
          <w:sz w:val="24"/>
          <w:szCs w:val="24"/>
        </w:rPr>
        <w:t>Organisations</w:t>
      </w:r>
      <w:proofErr w:type="spellEnd"/>
      <w:r w:rsidRPr="00A962A9">
        <w:rPr>
          <w:rFonts w:ascii="Arial" w:hAnsi="Arial" w:cs="Arial"/>
          <w:color w:val="000000" w:themeColor="text1"/>
          <w:sz w:val="24"/>
          <w:szCs w:val="24"/>
        </w:rPr>
        <w:t xml:space="preserve"> should give managers mentoring and leadership training to help them incorporate this component by enabling them to motivate others and lead by example. Understanding and addressing difficulties with employee engagement requires open and honest communication between managers and staff.</w:t>
      </w:r>
    </w:p>
    <w:p w14:paraId="313578AA" w14:textId="3A66EC0E" w:rsidR="00956EC8" w:rsidRPr="00A962A9" w:rsidRDefault="00956EC8" w:rsidP="00956EC8">
      <w:pPr>
        <w:spacing w:line="360" w:lineRule="auto"/>
        <w:jc w:val="both"/>
        <w:rPr>
          <w:rFonts w:ascii="Arial" w:hAnsi="Arial" w:cs="Arial"/>
          <w:color w:val="000000" w:themeColor="text1"/>
          <w:sz w:val="24"/>
          <w:szCs w:val="24"/>
        </w:rPr>
      </w:pPr>
      <w:proofErr w:type="spellStart"/>
      <w:r w:rsidRPr="00A962A9">
        <w:rPr>
          <w:rFonts w:ascii="Arial" w:hAnsi="Arial" w:cs="Arial"/>
          <w:color w:val="000000" w:themeColor="text1"/>
          <w:sz w:val="24"/>
          <w:szCs w:val="24"/>
        </w:rPr>
        <w:t>Organi</w:t>
      </w:r>
      <w:r w:rsidR="004664DD">
        <w:rPr>
          <w:rFonts w:ascii="Arial" w:hAnsi="Arial" w:cs="Arial"/>
          <w:color w:val="000000" w:themeColor="text1"/>
          <w:sz w:val="24"/>
          <w:szCs w:val="24"/>
        </w:rPr>
        <w:t>s</w:t>
      </w:r>
      <w:r w:rsidRPr="00A962A9">
        <w:rPr>
          <w:rFonts w:ascii="Arial" w:hAnsi="Arial" w:cs="Arial"/>
          <w:color w:val="000000" w:themeColor="text1"/>
          <w:sz w:val="24"/>
          <w:szCs w:val="24"/>
        </w:rPr>
        <w:t>ation</w:t>
      </w:r>
      <w:proofErr w:type="spellEnd"/>
      <w:r w:rsidRPr="00A962A9">
        <w:rPr>
          <w:rFonts w:ascii="Arial" w:hAnsi="Arial" w:cs="Arial"/>
          <w:color w:val="000000" w:themeColor="text1"/>
          <w:sz w:val="24"/>
          <w:szCs w:val="24"/>
        </w:rPr>
        <w:t xml:space="preserve">: The </w:t>
      </w:r>
      <w:proofErr w:type="spellStart"/>
      <w:r w:rsidR="00AA664E" w:rsidRPr="00A962A9">
        <w:rPr>
          <w:rFonts w:ascii="Arial" w:hAnsi="Arial" w:cs="Arial"/>
          <w:color w:val="000000" w:themeColor="text1"/>
          <w:sz w:val="24"/>
          <w:szCs w:val="24"/>
        </w:rPr>
        <w:t>organi</w:t>
      </w:r>
      <w:r w:rsidR="004664DD">
        <w:rPr>
          <w:rFonts w:ascii="Arial" w:hAnsi="Arial" w:cs="Arial"/>
          <w:color w:val="000000" w:themeColor="text1"/>
          <w:sz w:val="24"/>
          <w:szCs w:val="24"/>
        </w:rPr>
        <w:t>s</w:t>
      </w:r>
      <w:r w:rsidR="00AA664E" w:rsidRPr="00A962A9">
        <w:rPr>
          <w:rFonts w:ascii="Arial" w:hAnsi="Arial" w:cs="Arial"/>
          <w:color w:val="000000" w:themeColor="text1"/>
          <w:sz w:val="24"/>
          <w:szCs w:val="24"/>
        </w:rPr>
        <w:t>ational</w:t>
      </w:r>
      <w:proofErr w:type="spellEnd"/>
      <w:r w:rsidRPr="00A962A9">
        <w:rPr>
          <w:rFonts w:ascii="Arial" w:hAnsi="Arial" w:cs="Arial"/>
          <w:color w:val="000000" w:themeColor="text1"/>
          <w:sz w:val="24"/>
          <w:szCs w:val="24"/>
        </w:rPr>
        <w:t xml:space="preserve"> component entails developing a culture that encourages engagement. Establishing principles, guidelines, and routines that support engagement is part of this. </w:t>
      </w:r>
      <w:proofErr w:type="spellStart"/>
      <w:r w:rsidR="00AA664E" w:rsidRPr="00A962A9">
        <w:rPr>
          <w:rFonts w:ascii="Arial" w:hAnsi="Arial" w:cs="Arial"/>
          <w:color w:val="000000" w:themeColor="text1"/>
          <w:sz w:val="24"/>
          <w:szCs w:val="24"/>
        </w:rPr>
        <w:t>Organi</w:t>
      </w:r>
      <w:r w:rsidR="004664DD">
        <w:rPr>
          <w:rFonts w:ascii="Arial" w:hAnsi="Arial" w:cs="Arial"/>
          <w:color w:val="000000" w:themeColor="text1"/>
          <w:sz w:val="24"/>
          <w:szCs w:val="24"/>
        </w:rPr>
        <w:t>s</w:t>
      </w:r>
      <w:r w:rsidR="00AA664E" w:rsidRPr="00A962A9">
        <w:rPr>
          <w:rFonts w:ascii="Arial" w:hAnsi="Arial" w:cs="Arial"/>
          <w:color w:val="000000" w:themeColor="text1"/>
          <w:sz w:val="24"/>
          <w:szCs w:val="24"/>
        </w:rPr>
        <w:t>ations</w:t>
      </w:r>
      <w:proofErr w:type="spellEnd"/>
      <w:r w:rsidRPr="00A962A9">
        <w:rPr>
          <w:rFonts w:ascii="Arial" w:hAnsi="Arial" w:cs="Arial"/>
          <w:color w:val="000000" w:themeColor="text1"/>
          <w:sz w:val="24"/>
          <w:szCs w:val="24"/>
        </w:rPr>
        <w:t xml:space="preserve"> should </w:t>
      </w:r>
      <w:r w:rsidR="00AA664E" w:rsidRPr="00A962A9">
        <w:rPr>
          <w:rFonts w:ascii="Arial" w:hAnsi="Arial" w:cs="Arial"/>
          <w:color w:val="000000" w:themeColor="text1"/>
          <w:sz w:val="24"/>
          <w:szCs w:val="24"/>
        </w:rPr>
        <w:t>analyze</w:t>
      </w:r>
      <w:r w:rsidRPr="00A962A9">
        <w:rPr>
          <w:rFonts w:ascii="Arial" w:hAnsi="Arial" w:cs="Arial"/>
          <w:color w:val="000000" w:themeColor="text1"/>
          <w:sz w:val="24"/>
          <w:szCs w:val="24"/>
        </w:rPr>
        <w:t xml:space="preserve"> their cultures and create activities that advance inclusion, esteem, and wellbeing in order to embrace this factor. As a strategic objective, leaders should promote engagement (Farrukh et al., 2020).</w:t>
      </w:r>
    </w:p>
    <w:p w14:paraId="6B62E0CE"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lastRenderedPageBreak/>
        <w:t xml:space="preserve">Work: Engagement is greatly influenced by the work itself. Employees must find their work relevant and fulfilling in order for it to be successful. </w:t>
      </w:r>
      <w:proofErr w:type="spellStart"/>
      <w:r w:rsidRPr="00A962A9">
        <w:rPr>
          <w:rFonts w:ascii="Arial" w:hAnsi="Arial" w:cs="Arial"/>
          <w:color w:val="000000" w:themeColor="text1"/>
          <w:sz w:val="24"/>
          <w:szCs w:val="24"/>
        </w:rPr>
        <w:t>Organisations</w:t>
      </w:r>
      <w:proofErr w:type="spellEnd"/>
      <w:r w:rsidRPr="00A962A9">
        <w:rPr>
          <w:rFonts w:ascii="Arial" w:hAnsi="Arial" w:cs="Arial"/>
          <w:color w:val="000000" w:themeColor="text1"/>
          <w:sz w:val="24"/>
          <w:szCs w:val="24"/>
        </w:rPr>
        <w:t xml:space="preserve"> should make sure that job duties are clearly defined, that employees have the freedom to make their own decisions, and that the work they do is in line with their interests and skills. Employees that have some control over their roles can benefit from job creating.</w:t>
      </w:r>
    </w:p>
    <w:p w14:paraId="4B5730E0" w14:textId="77777777" w:rsidR="00956EC8" w:rsidRPr="00A962A9" w:rsidRDefault="00956EC8" w:rsidP="00956EC8">
      <w:pPr>
        <w:spacing w:line="360" w:lineRule="auto"/>
        <w:jc w:val="both"/>
        <w:rPr>
          <w:rFonts w:ascii="Arial" w:hAnsi="Arial" w:cs="Arial"/>
          <w:b/>
          <w:color w:val="000000" w:themeColor="text1"/>
          <w:sz w:val="24"/>
          <w:szCs w:val="24"/>
        </w:rPr>
      </w:pPr>
      <w:r w:rsidRPr="00A962A9">
        <w:rPr>
          <w:rFonts w:ascii="Arial" w:hAnsi="Arial" w:cs="Arial"/>
          <w:b/>
          <w:color w:val="000000" w:themeColor="text1"/>
          <w:sz w:val="24"/>
          <w:szCs w:val="24"/>
        </w:rPr>
        <w:t>Implementing the Zinger Model:</w:t>
      </w:r>
    </w:p>
    <w:p w14:paraId="6AFAECE5"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Assessment: Start by doing an assessment to determine the level of employee engagement that already exists within the company. The four facets of the Zinger model should be taken into account in this evaluation. One-on-one interviews with staff members, supervisors, and executives as well as surveys and focus groups can yield insightful information.</w:t>
      </w:r>
    </w:p>
    <w:p w14:paraId="375F0022" w14:textId="2B76C9E8"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Managerial Training: Managers should receive training on the ethics and standards of employee involvement. Give them the tools they need to spot and solve problems with employee </w:t>
      </w:r>
      <w:r w:rsidR="00F459AD" w:rsidRPr="00A962A9">
        <w:rPr>
          <w:rFonts w:ascii="Arial" w:hAnsi="Arial" w:cs="Arial"/>
          <w:color w:val="000000" w:themeColor="text1"/>
          <w:sz w:val="24"/>
          <w:szCs w:val="24"/>
        </w:rPr>
        <w:t>engagement and</w:t>
      </w:r>
      <w:r w:rsidRPr="00A962A9">
        <w:rPr>
          <w:rFonts w:ascii="Arial" w:hAnsi="Arial" w:cs="Arial"/>
          <w:color w:val="000000" w:themeColor="text1"/>
          <w:sz w:val="24"/>
          <w:szCs w:val="24"/>
        </w:rPr>
        <w:t xml:space="preserve"> encourage them to take the lead on this issue within their teams (</w:t>
      </w:r>
      <w:proofErr w:type="spellStart"/>
      <w:r w:rsidRPr="00A962A9">
        <w:rPr>
          <w:rFonts w:ascii="Arial" w:hAnsi="Arial" w:cs="Arial"/>
          <w:color w:val="000000" w:themeColor="text1"/>
          <w:sz w:val="24"/>
          <w:szCs w:val="24"/>
        </w:rPr>
        <w:t>Langenhuizen</w:t>
      </w:r>
      <w:proofErr w:type="spellEnd"/>
      <w:r w:rsidRPr="00A962A9">
        <w:rPr>
          <w:rFonts w:ascii="Arial" w:hAnsi="Arial" w:cs="Arial"/>
          <w:color w:val="000000" w:themeColor="text1"/>
          <w:sz w:val="24"/>
          <w:szCs w:val="24"/>
        </w:rPr>
        <w:t xml:space="preserve"> et al., 2020).</w:t>
      </w:r>
    </w:p>
    <w:p w14:paraId="5294E467"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Individual Development Plans: Encourage workers to make personal development plans. These plans ought to incorporate individual objectives for their participation and professional advancement. In this process, managers can offer direction and assistance.</w:t>
      </w:r>
    </w:p>
    <w:p w14:paraId="350B2B45"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Culture and Policy Alignment: Make sure the organization's culture and policies support engagement by evaluating them. Make the required modifications, such as implementing flexible work schedules, recognition </w:t>
      </w:r>
      <w:proofErr w:type="spellStart"/>
      <w:r w:rsidRPr="00A962A9">
        <w:rPr>
          <w:rFonts w:ascii="Arial" w:hAnsi="Arial" w:cs="Arial"/>
          <w:color w:val="000000" w:themeColor="text1"/>
          <w:sz w:val="24"/>
          <w:szCs w:val="24"/>
        </w:rPr>
        <w:t>programmes</w:t>
      </w:r>
      <w:proofErr w:type="spellEnd"/>
      <w:r w:rsidRPr="00A962A9">
        <w:rPr>
          <w:rFonts w:ascii="Arial" w:hAnsi="Arial" w:cs="Arial"/>
          <w:color w:val="000000" w:themeColor="text1"/>
          <w:sz w:val="24"/>
          <w:szCs w:val="24"/>
        </w:rPr>
        <w:t xml:space="preserve">, and staff wellness </w:t>
      </w:r>
      <w:proofErr w:type="spellStart"/>
      <w:r w:rsidRPr="00A962A9">
        <w:rPr>
          <w:rFonts w:ascii="Arial" w:hAnsi="Arial" w:cs="Arial"/>
          <w:color w:val="000000" w:themeColor="text1"/>
          <w:sz w:val="24"/>
          <w:szCs w:val="24"/>
        </w:rPr>
        <w:t>programmes</w:t>
      </w:r>
      <w:proofErr w:type="spellEnd"/>
      <w:r w:rsidRPr="00A962A9">
        <w:rPr>
          <w:rFonts w:ascii="Arial" w:hAnsi="Arial" w:cs="Arial"/>
          <w:color w:val="000000" w:themeColor="text1"/>
          <w:sz w:val="24"/>
          <w:szCs w:val="24"/>
        </w:rPr>
        <w:t>.</w:t>
      </w:r>
    </w:p>
    <w:p w14:paraId="0887C678" w14:textId="7740CB42"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Communication: Establish clear lines of communication between management and staff. To resolve issues, </w:t>
      </w:r>
      <w:r w:rsidR="00C9668F" w:rsidRPr="00A962A9">
        <w:rPr>
          <w:rFonts w:ascii="Arial" w:hAnsi="Arial" w:cs="Arial"/>
          <w:color w:val="000000" w:themeColor="text1"/>
          <w:sz w:val="24"/>
          <w:szCs w:val="24"/>
        </w:rPr>
        <w:t>recognize</w:t>
      </w:r>
      <w:r w:rsidRPr="00A962A9">
        <w:rPr>
          <w:rFonts w:ascii="Arial" w:hAnsi="Arial" w:cs="Arial"/>
          <w:color w:val="000000" w:themeColor="text1"/>
          <w:sz w:val="24"/>
          <w:szCs w:val="24"/>
        </w:rPr>
        <w:t xml:space="preserve"> achievements, and jointly develop engagement solutions, regular feedback and discussion should be encouraged.</w:t>
      </w:r>
    </w:p>
    <w:p w14:paraId="5BD5993F"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Regular Evaluation: Keep track of and assess the success of engagement activities. Make wise decisions for continuing improvement using employee feedback and performance analytics.</w:t>
      </w:r>
    </w:p>
    <w:p w14:paraId="2C64F3CF"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lastRenderedPageBreak/>
        <w:t>Leadership Commitment: Ascertain the commitment of senior leaders to the organization's engagement initiatives. The effectiveness of the Zinger model implementation depends on their open support and endorsement.</w:t>
      </w:r>
    </w:p>
    <w:p w14:paraId="37EA1195" w14:textId="77777777" w:rsidR="00956EC8" w:rsidRPr="00A962A9" w:rsidRDefault="00956EC8" w:rsidP="00956EC8">
      <w:pPr>
        <w:spacing w:line="360" w:lineRule="auto"/>
        <w:jc w:val="both"/>
        <w:rPr>
          <w:rFonts w:ascii="Arial" w:hAnsi="Arial" w:cs="Arial"/>
          <w:b/>
          <w:color w:val="000000" w:themeColor="text1"/>
          <w:sz w:val="24"/>
          <w:szCs w:val="24"/>
        </w:rPr>
      </w:pPr>
      <w:r w:rsidRPr="00A962A9">
        <w:rPr>
          <w:rFonts w:ascii="Arial" w:hAnsi="Arial" w:cs="Arial"/>
          <w:b/>
          <w:color w:val="000000" w:themeColor="text1"/>
          <w:sz w:val="24"/>
          <w:szCs w:val="24"/>
        </w:rPr>
        <w:t xml:space="preserve">Industry Examples </w:t>
      </w:r>
    </w:p>
    <w:p w14:paraId="29B1629D" w14:textId="48AC68BA"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The hotel sector is a great example of how to engage employees, with Marriott International standing out as a leading example. The dedication of Marriott to cultivating a highly engaged staff has resulted in observable success. By putting a strong emphasis on diversity and inclusion, the company has created a welcoming and encouraging workplace where workers from all backgrounds feel respected and appreciated. This dedication appeals to visitors looking for diverse and inclusive experiences in addition to enhancing the </w:t>
      </w:r>
      <w:r w:rsidR="00C9668F" w:rsidRPr="00A962A9">
        <w:rPr>
          <w:rFonts w:ascii="Arial" w:hAnsi="Arial" w:cs="Arial"/>
          <w:color w:val="000000" w:themeColor="text1"/>
          <w:sz w:val="24"/>
          <w:szCs w:val="24"/>
        </w:rPr>
        <w:t>organizational</w:t>
      </w:r>
      <w:r w:rsidRPr="00A962A9">
        <w:rPr>
          <w:rFonts w:ascii="Arial" w:hAnsi="Arial" w:cs="Arial"/>
          <w:color w:val="000000" w:themeColor="text1"/>
          <w:sz w:val="24"/>
          <w:szCs w:val="24"/>
        </w:rPr>
        <w:t xml:space="preserve"> culture. Another important component of Marriott's engagement strategy is recognition, which raises spirits and drive. Employees are motivated to continually give their best work by being </w:t>
      </w:r>
      <w:r w:rsidR="00C9668F" w:rsidRPr="00A962A9">
        <w:rPr>
          <w:rFonts w:ascii="Arial" w:hAnsi="Arial" w:cs="Arial"/>
          <w:color w:val="000000" w:themeColor="text1"/>
          <w:sz w:val="24"/>
          <w:szCs w:val="24"/>
        </w:rPr>
        <w:t>recognized</w:t>
      </w:r>
      <w:r w:rsidRPr="00A962A9">
        <w:rPr>
          <w:rFonts w:ascii="Arial" w:hAnsi="Arial" w:cs="Arial"/>
          <w:color w:val="000000" w:themeColor="text1"/>
          <w:sz w:val="24"/>
          <w:szCs w:val="24"/>
        </w:rPr>
        <w:t xml:space="preserve"> for their efforts (Peng et al., 2020). The benefits, such as higher staff retention and satisfaction, illustrate the significant influence of good engagement </w:t>
      </w:r>
      <w:r w:rsidR="00C9668F" w:rsidRPr="00A962A9">
        <w:rPr>
          <w:rFonts w:ascii="Arial" w:hAnsi="Arial" w:cs="Arial"/>
          <w:color w:val="000000" w:themeColor="text1"/>
          <w:sz w:val="24"/>
          <w:szCs w:val="24"/>
        </w:rPr>
        <w:t>practices</w:t>
      </w:r>
      <w:r w:rsidRPr="00A962A9">
        <w:rPr>
          <w:rFonts w:ascii="Arial" w:hAnsi="Arial" w:cs="Arial"/>
          <w:color w:val="000000" w:themeColor="text1"/>
          <w:sz w:val="24"/>
          <w:szCs w:val="24"/>
        </w:rPr>
        <w:t xml:space="preserve"> in the hotel sector. The accomplishments of Marriott International in these areas highlight the vital importance of employee involvement in increasing the working environment and the guest experience, eventually boosting the performance of the company.</w:t>
      </w:r>
    </w:p>
    <w:p w14:paraId="1520E094"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br w:type="page"/>
      </w:r>
    </w:p>
    <w:p w14:paraId="29544271" w14:textId="77777777" w:rsidR="00956EC8" w:rsidRPr="00A962A9" w:rsidRDefault="00956EC8" w:rsidP="00956EC8">
      <w:pPr>
        <w:pStyle w:val="Heading1"/>
        <w:spacing w:line="360" w:lineRule="auto"/>
        <w:jc w:val="both"/>
        <w:rPr>
          <w:rFonts w:ascii="Arial" w:hAnsi="Arial" w:cs="Arial"/>
          <w:sz w:val="24"/>
          <w:szCs w:val="24"/>
        </w:rPr>
      </w:pPr>
      <w:r w:rsidRPr="00A962A9">
        <w:rPr>
          <w:rFonts w:ascii="Arial" w:hAnsi="Arial" w:cs="Arial"/>
          <w:sz w:val="24"/>
          <w:szCs w:val="24"/>
        </w:rPr>
        <w:lastRenderedPageBreak/>
        <w:t xml:space="preserve">CONCLUSION </w:t>
      </w:r>
    </w:p>
    <w:p w14:paraId="2085B721"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t xml:space="preserve">Getting Generation Z employees involved in a big hotel is a vital and dynamic task. The human resources division plays a crucial part in creating an atmosphere that not only satisfies but also coincides with the special traits and demands of this generation. Hotels may build a workforce that is motivated, content, and resolute in their commitment by following a planned employee lifecycle approach that covers attraction, recruitment, onboarding, growth, retention, and even separation. </w:t>
      </w:r>
      <w:proofErr w:type="spellStart"/>
      <w:r w:rsidRPr="00A962A9">
        <w:rPr>
          <w:rFonts w:ascii="Arial" w:hAnsi="Arial" w:cs="Arial"/>
          <w:color w:val="000000" w:themeColor="text1"/>
          <w:sz w:val="24"/>
          <w:szCs w:val="24"/>
        </w:rPr>
        <w:t>Customised</w:t>
      </w:r>
      <w:proofErr w:type="spellEnd"/>
      <w:r w:rsidRPr="00A962A9">
        <w:rPr>
          <w:rFonts w:ascii="Arial" w:hAnsi="Arial" w:cs="Arial"/>
          <w:color w:val="000000" w:themeColor="text1"/>
          <w:sz w:val="24"/>
          <w:szCs w:val="24"/>
        </w:rPr>
        <w:t xml:space="preserve"> approaches are required since Generation Z has certain values, such as the desire for fulfilling work and a hunger for skill development. In the highly competitive hotel industry, these methods, when properly applied, result in improved performance and higher customer satisfaction. Employee engagement is more than just a theoretical idea; it is a crucial strategic objective that establishes the framework for a company's long-term viability and demonstrates that a committed staff not only meets but also exceeds the expectations of stakeholders and guests.</w:t>
      </w:r>
    </w:p>
    <w:p w14:paraId="44CF2ACE" w14:textId="77777777" w:rsidR="00956EC8" w:rsidRPr="00A962A9" w:rsidRDefault="00956EC8" w:rsidP="00956EC8">
      <w:pPr>
        <w:spacing w:line="360" w:lineRule="auto"/>
        <w:jc w:val="both"/>
        <w:rPr>
          <w:rFonts w:ascii="Arial" w:hAnsi="Arial" w:cs="Arial"/>
          <w:color w:val="000000" w:themeColor="text1"/>
          <w:sz w:val="24"/>
          <w:szCs w:val="24"/>
        </w:rPr>
      </w:pPr>
      <w:r w:rsidRPr="00A962A9">
        <w:rPr>
          <w:rFonts w:ascii="Arial" w:hAnsi="Arial" w:cs="Arial"/>
          <w:color w:val="000000" w:themeColor="text1"/>
          <w:sz w:val="24"/>
          <w:szCs w:val="24"/>
        </w:rPr>
        <w:br w:type="page"/>
      </w:r>
    </w:p>
    <w:p w14:paraId="5AA9F50E" w14:textId="77777777" w:rsidR="00956EC8" w:rsidRPr="00A962A9" w:rsidRDefault="00956EC8" w:rsidP="00956EC8">
      <w:pPr>
        <w:pStyle w:val="Heading1"/>
        <w:spacing w:line="360" w:lineRule="auto"/>
        <w:jc w:val="both"/>
        <w:rPr>
          <w:rFonts w:ascii="Arial" w:hAnsi="Arial" w:cs="Arial"/>
          <w:sz w:val="24"/>
          <w:szCs w:val="24"/>
        </w:rPr>
      </w:pPr>
      <w:r w:rsidRPr="00A962A9">
        <w:rPr>
          <w:rFonts w:ascii="Arial" w:hAnsi="Arial" w:cs="Arial"/>
          <w:sz w:val="24"/>
          <w:szCs w:val="24"/>
        </w:rPr>
        <w:lastRenderedPageBreak/>
        <w:t>References</w:t>
      </w:r>
    </w:p>
    <w:p w14:paraId="452AFA38" w14:textId="77777777" w:rsidR="00956EC8" w:rsidRPr="00A962A9" w:rsidRDefault="00956EC8" w:rsidP="00956EC8">
      <w:pPr>
        <w:spacing w:line="360" w:lineRule="auto"/>
        <w:jc w:val="both"/>
        <w:rPr>
          <w:rFonts w:ascii="Arial" w:hAnsi="Arial" w:cs="Arial"/>
          <w:color w:val="222222"/>
          <w:sz w:val="24"/>
          <w:szCs w:val="24"/>
          <w:shd w:val="clear" w:color="auto" w:fill="FFFFFF"/>
        </w:rPr>
      </w:pPr>
      <w:r w:rsidRPr="00A962A9">
        <w:rPr>
          <w:rFonts w:ascii="Arial" w:hAnsi="Arial" w:cs="Arial"/>
          <w:color w:val="222222"/>
          <w:sz w:val="24"/>
          <w:szCs w:val="24"/>
          <w:shd w:val="clear" w:color="auto" w:fill="FFFFFF"/>
        </w:rPr>
        <w:t>Barhate, B. and Dirani, K.M., 2022. Career aspirations of generation Z: a systematic literature review. </w:t>
      </w:r>
      <w:r w:rsidRPr="00A962A9">
        <w:rPr>
          <w:rFonts w:ascii="Arial" w:hAnsi="Arial" w:cs="Arial"/>
          <w:i/>
          <w:iCs/>
          <w:color w:val="222222"/>
          <w:sz w:val="24"/>
          <w:szCs w:val="24"/>
          <w:shd w:val="clear" w:color="auto" w:fill="FFFFFF"/>
        </w:rPr>
        <w:t>European Journal of Training and Development</w:t>
      </w:r>
      <w:r w:rsidRPr="00A962A9">
        <w:rPr>
          <w:rFonts w:ascii="Arial" w:hAnsi="Arial" w:cs="Arial"/>
          <w:color w:val="222222"/>
          <w:sz w:val="24"/>
          <w:szCs w:val="24"/>
          <w:shd w:val="clear" w:color="auto" w:fill="FFFFFF"/>
        </w:rPr>
        <w:t>, </w:t>
      </w:r>
      <w:r w:rsidRPr="00A962A9">
        <w:rPr>
          <w:rFonts w:ascii="Arial" w:hAnsi="Arial" w:cs="Arial"/>
          <w:i/>
          <w:iCs/>
          <w:color w:val="222222"/>
          <w:sz w:val="24"/>
          <w:szCs w:val="24"/>
          <w:shd w:val="clear" w:color="auto" w:fill="FFFFFF"/>
        </w:rPr>
        <w:t>46</w:t>
      </w:r>
      <w:r w:rsidRPr="00A962A9">
        <w:rPr>
          <w:rFonts w:ascii="Arial" w:hAnsi="Arial" w:cs="Arial"/>
          <w:color w:val="222222"/>
          <w:sz w:val="24"/>
          <w:szCs w:val="24"/>
          <w:shd w:val="clear" w:color="auto" w:fill="FFFFFF"/>
        </w:rPr>
        <w:t>(1/2), pp.139-157.</w:t>
      </w:r>
    </w:p>
    <w:p w14:paraId="1CCE11E9" w14:textId="77777777" w:rsidR="00956EC8" w:rsidRPr="00A962A9" w:rsidRDefault="00956EC8" w:rsidP="00956EC8">
      <w:pPr>
        <w:spacing w:line="360" w:lineRule="auto"/>
        <w:jc w:val="both"/>
        <w:rPr>
          <w:rFonts w:ascii="Arial" w:hAnsi="Arial" w:cs="Arial"/>
          <w:color w:val="222222"/>
          <w:sz w:val="24"/>
          <w:szCs w:val="24"/>
          <w:shd w:val="clear" w:color="auto" w:fill="FFFFFF"/>
        </w:rPr>
      </w:pPr>
      <w:r w:rsidRPr="00A962A9">
        <w:rPr>
          <w:rFonts w:ascii="Arial" w:hAnsi="Arial" w:cs="Arial"/>
          <w:color w:val="222222"/>
          <w:sz w:val="24"/>
          <w:szCs w:val="24"/>
          <w:shd w:val="clear" w:color="auto" w:fill="FFFFFF"/>
        </w:rPr>
        <w:t>Cattermole, G., 2019. Developing the employee lifecycle to keep top talent. </w:t>
      </w:r>
      <w:r w:rsidRPr="00A962A9">
        <w:rPr>
          <w:rFonts w:ascii="Arial" w:hAnsi="Arial" w:cs="Arial"/>
          <w:i/>
          <w:iCs/>
          <w:color w:val="222222"/>
          <w:sz w:val="24"/>
          <w:szCs w:val="24"/>
          <w:shd w:val="clear" w:color="auto" w:fill="FFFFFF"/>
        </w:rPr>
        <w:t>Strategic HR review</w:t>
      </w:r>
      <w:r w:rsidRPr="00A962A9">
        <w:rPr>
          <w:rFonts w:ascii="Arial" w:hAnsi="Arial" w:cs="Arial"/>
          <w:color w:val="222222"/>
          <w:sz w:val="24"/>
          <w:szCs w:val="24"/>
          <w:shd w:val="clear" w:color="auto" w:fill="FFFFFF"/>
        </w:rPr>
        <w:t>, </w:t>
      </w:r>
      <w:r w:rsidRPr="00A962A9">
        <w:rPr>
          <w:rFonts w:ascii="Arial" w:hAnsi="Arial" w:cs="Arial"/>
          <w:i/>
          <w:iCs/>
          <w:color w:val="222222"/>
          <w:sz w:val="24"/>
          <w:szCs w:val="24"/>
          <w:shd w:val="clear" w:color="auto" w:fill="FFFFFF"/>
        </w:rPr>
        <w:t>18</w:t>
      </w:r>
      <w:r w:rsidRPr="00A962A9">
        <w:rPr>
          <w:rFonts w:ascii="Arial" w:hAnsi="Arial" w:cs="Arial"/>
          <w:color w:val="222222"/>
          <w:sz w:val="24"/>
          <w:szCs w:val="24"/>
          <w:shd w:val="clear" w:color="auto" w:fill="FFFFFF"/>
        </w:rPr>
        <w:t>(6), pp.258-262.</w:t>
      </w:r>
    </w:p>
    <w:p w14:paraId="2891C9C6" w14:textId="77777777" w:rsidR="00956EC8" w:rsidRPr="00A962A9" w:rsidRDefault="00956EC8" w:rsidP="00956EC8">
      <w:pPr>
        <w:spacing w:line="360" w:lineRule="auto"/>
        <w:jc w:val="both"/>
        <w:rPr>
          <w:rFonts w:ascii="Arial" w:hAnsi="Arial" w:cs="Arial"/>
          <w:color w:val="222222"/>
          <w:sz w:val="24"/>
          <w:szCs w:val="24"/>
          <w:shd w:val="clear" w:color="auto" w:fill="FFFFFF"/>
        </w:rPr>
      </w:pPr>
      <w:r w:rsidRPr="00A962A9">
        <w:rPr>
          <w:rFonts w:ascii="Arial" w:hAnsi="Arial" w:cs="Arial"/>
          <w:color w:val="222222"/>
          <w:sz w:val="24"/>
          <w:szCs w:val="24"/>
          <w:shd w:val="clear" w:color="auto" w:fill="FFFFFF"/>
        </w:rPr>
        <w:t>Farrukh, M., Sajid, M., Lee, J.W.C. and Shahzad, I.A., 2020. The perception of corporate social responsibility and employee engagement: Examining the underlying mechanism. </w:t>
      </w:r>
      <w:r w:rsidRPr="00A962A9">
        <w:rPr>
          <w:rFonts w:ascii="Arial" w:hAnsi="Arial" w:cs="Arial"/>
          <w:i/>
          <w:iCs/>
          <w:color w:val="222222"/>
          <w:sz w:val="24"/>
          <w:szCs w:val="24"/>
          <w:shd w:val="clear" w:color="auto" w:fill="FFFFFF"/>
        </w:rPr>
        <w:t>Corporate Social Responsibility and Environmental Management</w:t>
      </w:r>
      <w:r w:rsidRPr="00A962A9">
        <w:rPr>
          <w:rFonts w:ascii="Arial" w:hAnsi="Arial" w:cs="Arial"/>
          <w:color w:val="222222"/>
          <w:sz w:val="24"/>
          <w:szCs w:val="24"/>
          <w:shd w:val="clear" w:color="auto" w:fill="FFFFFF"/>
        </w:rPr>
        <w:t>, </w:t>
      </w:r>
      <w:r w:rsidRPr="00A962A9">
        <w:rPr>
          <w:rFonts w:ascii="Arial" w:hAnsi="Arial" w:cs="Arial"/>
          <w:i/>
          <w:iCs/>
          <w:color w:val="222222"/>
          <w:sz w:val="24"/>
          <w:szCs w:val="24"/>
          <w:shd w:val="clear" w:color="auto" w:fill="FFFFFF"/>
        </w:rPr>
        <w:t>27</w:t>
      </w:r>
      <w:r w:rsidRPr="00A962A9">
        <w:rPr>
          <w:rFonts w:ascii="Arial" w:hAnsi="Arial" w:cs="Arial"/>
          <w:color w:val="222222"/>
          <w:sz w:val="24"/>
          <w:szCs w:val="24"/>
          <w:shd w:val="clear" w:color="auto" w:fill="FFFFFF"/>
        </w:rPr>
        <w:t>(2), pp.760-768.</w:t>
      </w:r>
    </w:p>
    <w:p w14:paraId="7BF67842" w14:textId="77777777" w:rsidR="00956EC8" w:rsidRPr="00A962A9" w:rsidRDefault="00956EC8" w:rsidP="00956EC8">
      <w:pPr>
        <w:spacing w:line="360" w:lineRule="auto"/>
        <w:jc w:val="both"/>
        <w:rPr>
          <w:rFonts w:ascii="Arial" w:hAnsi="Arial" w:cs="Arial"/>
          <w:color w:val="222222"/>
          <w:sz w:val="24"/>
          <w:szCs w:val="24"/>
          <w:shd w:val="clear" w:color="auto" w:fill="FFFFFF"/>
        </w:rPr>
      </w:pPr>
      <w:r w:rsidRPr="00A962A9">
        <w:rPr>
          <w:rFonts w:ascii="Arial" w:hAnsi="Arial" w:cs="Arial"/>
          <w:color w:val="222222"/>
          <w:sz w:val="24"/>
          <w:szCs w:val="24"/>
          <w:shd w:val="clear" w:color="auto" w:fill="FFFFFF"/>
        </w:rPr>
        <w:t>Ismail, A.R., Nguyen, B., Chen, J., Melewar, T.C. and Mohamad, B., 2021. Brand engagement in self-concept (BESC), value consciousness and brand loyalty: a study of generation Z consumers in Malaysia. </w:t>
      </w:r>
      <w:r w:rsidRPr="00A962A9">
        <w:rPr>
          <w:rFonts w:ascii="Arial" w:hAnsi="Arial" w:cs="Arial"/>
          <w:i/>
          <w:iCs/>
          <w:color w:val="222222"/>
          <w:sz w:val="24"/>
          <w:szCs w:val="24"/>
          <w:shd w:val="clear" w:color="auto" w:fill="FFFFFF"/>
        </w:rPr>
        <w:t>Young Consumers</w:t>
      </w:r>
      <w:r w:rsidRPr="00A962A9">
        <w:rPr>
          <w:rFonts w:ascii="Arial" w:hAnsi="Arial" w:cs="Arial"/>
          <w:color w:val="222222"/>
          <w:sz w:val="24"/>
          <w:szCs w:val="24"/>
          <w:shd w:val="clear" w:color="auto" w:fill="FFFFFF"/>
        </w:rPr>
        <w:t>, </w:t>
      </w:r>
      <w:r w:rsidRPr="00A962A9">
        <w:rPr>
          <w:rFonts w:ascii="Arial" w:hAnsi="Arial" w:cs="Arial"/>
          <w:i/>
          <w:iCs/>
          <w:color w:val="222222"/>
          <w:sz w:val="24"/>
          <w:szCs w:val="24"/>
          <w:shd w:val="clear" w:color="auto" w:fill="FFFFFF"/>
        </w:rPr>
        <w:t>22</w:t>
      </w:r>
      <w:r w:rsidRPr="00A962A9">
        <w:rPr>
          <w:rFonts w:ascii="Arial" w:hAnsi="Arial" w:cs="Arial"/>
          <w:color w:val="222222"/>
          <w:sz w:val="24"/>
          <w:szCs w:val="24"/>
          <w:shd w:val="clear" w:color="auto" w:fill="FFFFFF"/>
        </w:rPr>
        <w:t>(1), pp.112-130.</w:t>
      </w:r>
    </w:p>
    <w:p w14:paraId="3970792F" w14:textId="77777777" w:rsidR="00956EC8" w:rsidRPr="00A962A9" w:rsidRDefault="00956EC8" w:rsidP="00956EC8">
      <w:pPr>
        <w:spacing w:line="360" w:lineRule="auto"/>
        <w:jc w:val="both"/>
        <w:rPr>
          <w:rFonts w:ascii="Arial" w:hAnsi="Arial" w:cs="Arial"/>
          <w:color w:val="222222"/>
          <w:sz w:val="24"/>
          <w:szCs w:val="24"/>
          <w:shd w:val="clear" w:color="auto" w:fill="FFFFFF"/>
        </w:rPr>
      </w:pPr>
      <w:proofErr w:type="spellStart"/>
      <w:r w:rsidRPr="00A962A9">
        <w:rPr>
          <w:rFonts w:ascii="Arial" w:hAnsi="Arial" w:cs="Arial"/>
          <w:color w:val="222222"/>
          <w:sz w:val="24"/>
          <w:szCs w:val="24"/>
          <w:shd w:val="clear" w:color="auto" w:fill="FFFFFF"/>
        </w:rPr>
        <w:t>Langenhuizen</w:t>
      </w:r>
      <w:proofErr w:type="spellEnd"/>
      <w:r w:rsidRPr="00A962A9">
        <w:rPr>
          <w:rFonts w:ascii="Arial" w:hAnsi="Arial" w:cs="Arial"/>
          <w:color w:val="222222"/>
          <w:sz w:val="24"/>
          <w:szCs w:val="24"/>
          <w:shd w:val="clear" w:color="auto" w:fill="FFFFFF"/>
        </w:rPr>
        <w:t xml:space="preserve">, P.P., </w:t>
      </w:r>
      <w:proofErr w:type="spellStart"/>
      <w:r w:rsidRPr="00A962A9">
        <w:rPr>
          <w:rFonts w:ascii="Arial" w:hAnsi="Arial" w:cs="Arial"/>
          <w:color w:val="222222"/>
          <w:sz w:val="24"/>
          <w:szCs w:val="24"/>
          <w:shd w:val="clear" w:color="auto" w:fill="FFFFFF"/>
        </w:rPr>
        <w:t>Sebregts</w:t>
      </w:r>
      <w:proofErr w:type="spellEnd"/>
      <w:r w:rsidRPr="00A962A9">
        <w:rPr>
          <w:rFonts w:ascii="Arial" w:hAnsi="Arial" w:cs="Arial"/>
          <w:color w:val="222222"/>
          <w:sz w:val="24"/>
          <w:szCs w:val="24"/>
          <w:shd w:val="clear" w:color="auto" w:fill="FFFFFF"/>
        </w:rPr>
        <w:t>, S.H., Zinger, S., Leenstra, S., Verheul, J.B. and de With, P.H., 2020. Prediction of transient tumor enlargement using MRI tumor texture after radiosurgery on vestibular schwannoma. </w:t>
      </w:r>
      <w:r w:rsidRPr="00A962A9">
        <w:rPr>
          <w:rFonts w:ascii="Arial" w:hAnsi="Arial" w:cs="Arial"/>
          <w:i/>
          <w:iCs/>
          <w:color w:val="222222"/>
          <w:sz w:val="24"/>
          <w:szCs w:val="24"/>
          <w:shd w:val="clear" w:color="auto" w:fill="FFFFFF"/>
        </w:rPr>
        <w:t>Medical physics</w:t>
      </w:r>
      <w:r w:rsidRPr="00A962A9">
        <w:rPr>
          <w:rFonts w:ascii="Arial" w:hAnsi="Arial" w:cs="Arial"/>
          <w:color w:val="222222"/>
          <w:sz w:val="24"/>
          <w:szCs w:val="24"/>
          <w:shd w:val="clear" w:color="auto" w:fill="FFFFFF"/>
        </w:rPr>
        <w:t>, </w:t>
      </w:r>
      <w:r w:rsidRPr="00A962A9">
        <w:rPr>
          <w:rFonts w:ascii="Arial" w:hAnsi="Arial" w:cs="Arial"/>
          <w:i/>
          <w:iCs/>
          <w:color w:val="222222"/>
          <w:sz w:val="24"/>
          <w:szCs w:val="24"/>
          <w:shd w:val="clear" w:color="auto" w:fill="FFFFFF"/>
        </w:rPr>
        <w:t>47</w:t>
      </w:r>
      <w:r w:rsidRPr="00A962A9">
        <w:rPr>
          <w:rFonts w:ascii="Arial" w:hAnsi="Arial" w:cs="Arial"/>
          <w:color w:val="222222"/>
          <w:sz w:val="24"/>
          <w:szCs w:val="24"/>
          <w:shd w:val="clear" w:color="auto" w:fill="FFFFFF"/>
        </w:rPr>
        <w:t>(4), pp.1692-1701.</w:t>
      </w:r>
    </w:p>
    <w:p w14:paraId="2AE5C7A2" w14:textId="77777777" w:rsidR="00956EC8" w:rsidRPr="00A962A9" w:rsidRDefault="00956EC8" w:rsidP="00956EC8">
      <w:pPr>
        <w:spacing w:line="360" w:lineRule="auto"/>
        <w:jc w:val="both"/>
        <w:rPr>
          <w:rFonts w:ascii="Arial" w:hAnsi="Arial" w:cs="Arial"/>
          <w:color w:val="222222"/>
          <w:sz w:val="24"/>
          <w:szCs w:val="24"/>
          <w:shd w:val="clear" w:color="auto" w:fill="FFFFFF"/>
        </w:rPr>
      </w:pPr>
      <w:r w:rsidRPr="00A962A9">
        <w:rPr>
          <w:rFonts w:ascii="Arial" w:hAnsi="Arial" w:cs="Arial"/>
          <w:color w:val="222222"/>
          <w:sz w:val="24"/>
          <w:szCs w:val="24"/>
          <w:shd w:val="clear" w:color="auto" w:fill="FFFFFF"/>
        </w:rPr>
        <w:t>Men, L.R., O’Neil, J. and Ewing, M., 2020. Examining the effects of internal social media usage on employee engagement. </w:t>
      </w:r>
      <w:r w:rsidRPr="00A962A9">
        <w:rPr>
          <w:rFonts w:ascii="Arial" w:hAnsi="Arial" w:cs="Arial"/>
          <w:i/>
          <w:iCs/>
          <w:color w:val="222222"/>
          <w:sz w:val="24"/>
          <w:szCs w:val="24"/>
          <w:shd w:val="clear" w:color="auto" w:fill="FFFFFF"/>
        </w:rPr>
        <w:t>Public Relations Review</w:t>
      </w:r>
      <w:r w:rsidRPr="00A962A9">
        <w:rPr>
          <w:rFonts w:ascii="Arial" w:hAnsi="Arial" w:cs="Arial"/>
          <w:color w:val="222222"/>
          <w:sz w:val="24"/>
          <w:szCs w:val="24"/>
          <w:shd w:val="clear" w:color="auto" w:fill="FFFFFF"/>
        </w:rPr>
        <w:t>, </w:t>
      </w:r>
      <w:r w:rsidRPr="00A962A9">
        <w:rPr>
          <w:rFonts w:ascii="Arial" w:hAnsi="Arial" w:cs="Arial"/>
          <w:i/>
          <w:iCs/>
          <w:color w:val="222222"/>
          <w:sz w:val="24"/>
          <w:szCs w:val="24"/>
          <w:shd w:val="clear" w:color="auto" w:fill="FFFFFF"/>
        </w:rPr>
        <w:t>46</w:t>
      </w:r>
      <w:r w:rsidRPr="00A962A9">
        <w:rPr>
          <w:rFonts w:ascii="Arial" w:hAnsi="Arial" w:cs="Arial"/>
          <w:color w:val="222222"/>
          <w:sz w:val="24"/>
          <w:szCs w:val="24"/>
          <w:shd w:val="clear" w:color="auto" w:fill="FFFFFF"/>
        </w:rPr>
        <w:t>(2), p.101880.</w:t>
      </w:r>
    </w:p>
    <w:p w14:paraId="4C28573C" w14:textId="77777777" w:rsidR="00956EC8" w:rsidRPr="00A962A9" w:rsidRDefault="00956EC8" w:rsidP="00956EC8">
      <w:pPr>
        <w:spacing w:line="360" w:lineRule="auto"/>
        <w:jc w:val="both"/>
        <w:rPr>
          <w:rFonts w:ascii="Arial" w:hAnsi="Arial" w:cs="Arial"/>
          <w:color w:val="222222"/>
          <w:sz w:val="24"/>
          <w:szCs w:val="24"/>
          <w:shd w:val="clear" w:color="auto" w:fill="FFFFFF"/>
        </w:rPr>
      </w:pPr>
      <w:r w:rsidRPr="00A962A9">
        <w:rPr>
          <w:rFonts w:ascii="Arial" w:hAnsi="Arial" w:cs="Arial"/>
          <w:color w:val="222222"/>
          <w:sz w:val="24"/>
          <w:szCs w:val="24"/>
          <w:shd w:val="clear" w:color="auto" w:fill="FFFFFF"/>
        </w:rPr>
        <w:t>Peng, X., Lee, S. and Lu, Z., 2020. Employees' perceived job performance, organizational identification, and pro-environmental behaviors in the hotel industry. </w:t>
      </w:r>
      <w:r w:rsidRPr="00A962A9">
        <w:rPr>
          <w:rFonts w:ascii="Arial" w:hAnsi="Arial" w:cs="Arial"/>
          <w:i/>
          <w:iCs/>
          <w:color w:val="222222"/>
          <w:sz w:val="24"/>
          <w:szCs w:val="24"/>
          <w:shd w:val="clear" w:color="auto" w:fill="FFFFFF"/>
        </w:rPr>
        <w:t>International Journal of Hospitality Management</w:t>
      </w:r>
      <w:r w:rsidRPr="00A962A9">
        <w:rPr>
          <w:rFonts w:ascii="Arial" w:hAnsi="Arial" w:cs="Arial"/>
          <w:color w:val="222222"/>
          <w:sz w:val="24"/>
          <w:szCs w:val="24"/>
          <w:shd w:val="clear" w:color="auto" w:fill="FFFFFF"/>
        </w:rPr>
        <w:t>, </w:t>
      </w:r>
      <w:r w:rsidRPr="00A962A9">
        <w:rPr>
          <w:rFonts w:ascii="Arial" w:hAnsi="Arial" w:cs="Arial"/>
          <w:i/>
          <w:iCs/>
          <w:color w:val="222222"/>
          <w:sz w:val="24"/>
          <w:szCs w:val="24"/>
          <w:shd w:val="clear" w:color="auto" w:fill="FFFFFF"/>
        </w:rPr>
        <w:t>90</w:t>
      </w:r>
      <w:r w:rsidRPr="00A962A9">
        <w:rPr>
          <w:rFonts w:ascii="Arial" w:hAnsi="Arial" w:cs="Arial"/>
          <w:color w:val="222222"/>
          <w:sz w:val="24"/>
          <w:szCs w:val="24"/>
          <w:shd w:val="clear" w:color="auto" w:fill="FFFFFF"/>
        </w:rPr>
        <w:t>, p.102632.</w:t>
      </w:r>
    </w:p>
    <w:p w14:paraId="42A77A47" w14:textId="77777777" w:rsidR="00956EC8" w:rsidRPr="00A962A9" w:rsidRDefault="00956EC8" w:rsidP="00956EC8">
      <w:pPr>
        <w:spacing w:line="360" w:lineRule="auto"/>
        <w:jc w:val="both"/>
        <w:rPr>
          <w:rFonts w:ascii="Arial" w:hAnsi="Arial" w:cs="Arial"/>
          <w:color w:val="222222"/>
          <w:sz w:val="24"/>
          <w:szCs w:val="24"/>
          <w:shd w:val="clear" w:color="auto" w:fill="FFFFFF"/>
        </w:rPr>
      </w:pPr>
      <w:r w:rsidRPr="00A962A9">
        <w:rPr>
          <w:rFonts w:ascii="Arial" w:hAnsi="Arial" w:cs="Arial"/>
          <w:color w:val="222222"/>
          <w:sz w:val="24"/>
          <w:szCs w:val="24"/>
          <w:shd w:val="clear" w:color="auto" w:fill="FFFFFF"/>
        </w:rPr>
        <w:t xml:space="preserve">Saeed, B.B., Afsar, B., Hafeez, S., Khan, I., Tahir, M. and Afridi, M.A., 2019. Promoting employee's </w:t>
      </w:r>
      <w:proofErr w:type="spellStart"/>
      <w:r w:rsidRPr="00A962A9">
        <w:rPr>
          <w:rFonts w:ascii="Arial" w:hAnsi="Arial" w:cs="Arial"/>
          <w:color w:val="222222"/>
          <w:sz w:val="24"/>
          <w:szCs w:val="24"/>
          <w:shd w:val="clear" w:color="auto" w:fill="FFFFFF"/>
        </w:rPr>
        <w:t>proenvironmental</w:t>
      </w:r>
      <w:proofErr w:type="spellEnd"/>
      <w:r w:rsidRPr="00A962A9">
        <w:rPr>
          <w:rFonts w:ascii="Arial" w:hAnsi="Arial" w:cs="Arial"/>
          <w:color w:val="222222"/>
          <w:sz w:val="24"/>
          <w:szCs w:val="24"/>
          <w:shd w:val="clear" w:color="auto" w:fill="FFFFFF"/>
        </w:rPr>
        <w:t xml:space="preserve"> behavior through green human resource management practices. </w:t>
      </w:r>
      <w:r w:rsidRPr="00A962A9">
        <w:rPr>
          <w:rFonts w:ascii="Arial" w:hAnsi="Arial" w:cs="Arial"/>
          <w:i/>
          <w:iCs/>
          <w:color w:val="222222"/>
          <w:sz w:val="24"/>
          <w:szCs w:val="24"/>
          <w:shd w:val="clear" w:color="auto" w:fill="FFFFFF"/>
        </w:rPr>
        <w:t>Corporate Social Responsibility and Environmental Management</w:t>
      </w:r>
      <w:r w:rsidRPr="00A962A9">
        <w:rPr>
          <w:rFonts w:ascii="Arial" w:hAnsi="Arial" w:cs="Arial"/>
          <w:color w:val="222222"/>
          <w:sz w:val="24"/>
          <w:szCs w:val="24"/>
          <w:shd w:val="clear" w:color="auto" w:fill="FFFFFF"/>
        </w:rPr>
        <w:t>, </w:t>
      </w:r>
      <w:r w:rsidRPr="00A962A9">
        <w:rPr>
          <w:rFonts w:ascii="Arial" w:hAnsi="Arial" w:cs="Arial"/>
          <w:i/>
          <w:iCs/>
          <w:color w:val="222222"/>
          <w:sz w:val="24"/>
          <w:szCs w:val="24"/>
          <w:shd w:val="clear" w:color="auto" w:fill="FFFFFF"/>
        </w:rPr>
        <w:t>26</w:t>
      </w:r>
      <w:r w:rsidRPr="00A962A9">
        <w:rPr>
          <w:rFonts w:ascii="Arial" w:hAnsi="Arial" w:cs="Arial"/>
          <w:color w:val="222222"/>
          <w:sz w:val="24"/>
          <w:szCs w:val="24"/>
          <w:shd w:val="clear" w:color="auto" w:fill="FFFFFF"/>
        </w:rPr>
        <w:t>(2), pp.424-438.</w:t>
      </w:r>
    </w:p>
    <w:p w14:paraId="2E0ADBB2" w14:textId="77777777" w:rsidR="00956EC8" w:rsidRPr="00A962A9" w:rsidRDefault="00956EC8" w:rsidP="00956EC8">
      <w:pPr>
        <w:spacing w:line="360" w:lineRule="auto"/>
        <w:jc w:val="both"/>
        <w:rPr>
          <w:rFonts w:ascii="Arial" w:hAnsi="Arial" w:cs="Arial"/>
          <w:color w:val="222222"/>
          <w:sz w:val="24"/>
          <w:szCs w:val="24"/>
          <w:shd w:val="clear" w:color="auto" w:fill="FFFFFF"/>
        </w:rPr>
      </w:pPr>
      <w:r w:rsidRPr="00A962A9">
        <w:rPr>
          <w:rFonts w:ascii="Arial" w:hAnsi="Arial" w:cs="Arial"/>
          <w:color w:val="222222"/>
          <w:sz w:val="24"/>
          <w:szCs w:val="24"/>
          <w:shd w:val="clear" w:color="auto" w:fill="FFFFFF"/>
        </w:rPr>
        <w:t>Singh, D., 2019. A literature review on employee retention with focus on recent trends. </w:t>
      </w:r>
      <w:r w:rsidRPr="00A962A9">
        <w:rPr>
          <w:rFonts w:ascii="Arial" w:hAnsi="Arial" w:cs="Arial"/>
          <w:i/>
          <w:iCs/>
          <w:color w:val="222222"/>
          <w:sz w:val="24"/>
          <w:szCs w:val="24"/>
          <w:shd w:val="clear" w:color="auto" w:fill="FFFFFF"/>
        </w:rPr>
        <w:t>International Journal of Scientific Research in Science and Technology</w:t>
      </w:r>
      <w:r w:rsidRPr="00A962A9">
        <w:rPr>
          <w:rFonts w:ascii="Arial" w:hAnsi="Arial" w:cs="Arial"/>
          <w:color w:val="222222"/>
          <w:sz w:val="24"/>
          <w:szCs w:val="24"/>
          <w:shd w:val="clear" w:color="auto" w:fill="FFFFFF"/>
        </w:rPr>
        <w:t>, </w:t>
      </w:r>
      <w:r w:rsidRPr="00A962A9">
        <w:rPr>
          <w:rFonts w:ascii="Arial" w:hAnsi="Arial" w:cs="Arial"/>
          <w:i/>
          <w:iCs/>
          <w:color w:val="222222"/>
          <w:sz w:val="24"/>
          <w:szCs w:val="24"/>
          <w:shd w:val="clear" w:color="auto" w:fill="FFFFFF"/>
        </w:rPr>
        <w:t>6</w:t>
      </w:r>
      <w:r w:rsidRPr="00A962A9">
        <w:rPr>
          <w:rFonts w:ascii="Arial" w:hAnsi="Arial" w:cs="Arial"/>
          <w:color w:val="222222"/>
          <w:sz w:val="24"/>
          <w:szCs w:val="24"/>
          <w:shd w:val="clear" w:color="auto" w:fill="FFFFFF"/>
        </w:rPr>
        <w:t>(1), pp.425-431.</w:t>
      </w:r>
    </w:p>
    <w:p w14:paraId="719B16B3" w14:textId="77777777" w:rsidR="00956EC8" w:rsidRPr="00A962A9" w:rsidRDefault="00956EC8" w:rsidP="00956EC8">
      <w:pPr>
        <w:spacing w:line="360" w:lineRule="auto"/>
        <w:jc w:val="both"/>
        <w:rPr>
          <w:rFonts w:ascii="Arial" w:hAnsi="Arial" w:cs="Arial"/>
          <w:b/>
          <w:color w:val="222222"/>
          <w:sz w:val="24"/>
          <w:szCs w:val="24"/>
          <w:shd w:val="clear" w:color="auto" w:fill="FFFFFF"/>
        </w:rPr>
      </w:pPr>
      <w:r w:rsidRPr="00A962A9">
        <w:rPr>
          <w:rFonts w:ascii="Arial" w:hAnsi="Arial" w:cs="Arial"/>
          <w:color w:val="222222"/>
          <w:sz w:val="24"/>
          <w:szCs w:val="24"/>
          <w:shd w:val="clear" w:color="auto" w:fill="FFFFFF"/>
        </w:rPr>
        <w:lastRenderedPageBreak/>
        <w:t xml:space="preserve">Stahl, G.K., Brewster, C.J., Collings, D.G. and </w:t>
      </w:r>
      <w:proofErr w:type="spellStart"/>
      <w:r w:rsidRPr="00A962A9">
        <w:rPr>
          <w:rFonts w:ascii="Arial" w:hAnsi="Arial" w:cs="Arial"/>
          <w:color w:val="222222"/>
          <w:sz w:val="24"/>
          <w:szCs w:val="24"/>
          <w:shd w:val="clear" w:color="auto" w:fill="FFFFFF"/>
        </w:rPr>
        <w:t>Hajro</w:t>
      </w:r>
      <w:proofErr w:type="spellEnd"/>
      <w:r w:rsidRPr="00A962A9">
        <w:rPr>
          <w:rFonts w:ascii="Arial" w:hAnsi="Arial" w:cs="Arial"/>
          <w:color w:val="222222"/>
          <w:sz w:val="24"/>
          <w:szCs w:val="24"/>
          <w:shd w:val="clear" w:color="auto" w:fill="FFFFFF"/>
        </w:rPr>
        <w:t>, A., 2020. Enhancing the role of human resource management in corporate sustainability and social responsibility: A multi-stakeholder, multidimensional approach to HRM. </w:t>
      </w:r>
      <w:r w:rsidRPr="00A962A9">
        <w:rPr>
          <w:rFonts w:ascii="Arial" w:hAnsi="Arial" w:cs="Arial"/>
          <w:i/>
          <w:iCs/>
          <w:color w:val="222222"/>
          <w:sz w:val="24"/>
          <w:szCs w:val="24"/>
          <w:shd w:val="clear" w:color="auto" w:fill="FFFFFF"/>
        </w:rPr>
        <w:t>Human Resource Management Review</w:t>
      </w:r>
      <w:r w:rsidRPr="00A962A9">
        <w:rPr>
          <w:rFonts w:ascii="Arial" w:hAnsi="Arial" w:cs="Arial"/>
          <w:color w:val="222222"/>
          <w:sz w:val="24"/>
          <w:szCs w:val="24"/>
          <w:shd w:val="clear" w:color="auto" w:fill="FFFFFF"/>
        </w:rPr>
        <w:t>, </w:t>
      </w:r>
      <w:r w:rsidRPr="00A962A9">
        <w:rPr>
          <w:rFonts w:ascii="Arial" w:hAnsi="Arial" w:cs="Arial"/>
          <w:i/>
          <w:iCs/>
          <w:color w:val="222222"/>
          <w:sz w:val="24"/>
          <w:szCs w:val="24"/>
          <w:shd w:val="clear" w:color="auto" w:fill="FFFFFF"/>
        </w:rPr>
        <w:t>30</w:t>
      </w:r>
      <w:r w:rsidRPr="00A962A9">
        <w:rPr>
          <w:rFonts w:ascii="Arial" w:hAnsi="Arial" w:cs="Arial"/>
          <w:color w:val="222222"/>
          <w:sz w:val="24"/>
          <w:szCs w:val="24"/>
          <w:shd w:val="clear" w:color="auto" w:fill="FFFFFF"/>
        </w:rPr>
        <w:t>(3), p.100708.</w:t>
      </w:r>
    </w:p>
    <w:p w14:paraId="4083AE2D" w14:textId="1423FD94" w:rsidR="00CD03F9" w:rsidRDefault="00CD03F9"/>
    <w:sectPr w:rsidR="00CD03F9" w:rsidSect="006304D2">
      <w:footerReference w:type="default" r:id="rId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9375066"/>
      <w:docPartObj>
        <w:docPartGallery w:val="Page Numbers (Bottom of Page)"/>
        <w:docPartUnique/>
      </w:docPartObj>
    </w:sdtPr>
    <w:sdtContent>
      <w:p w14:paraId="65C2C577" w14:textId="77777777" w:rsidR="00000000" w:rsidRDefault="00000000">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7C1E4A8E"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424"/>
    <w:rsid w:val="00346113"/>
    <w:rsid w:val="003D36EB"/>
    <w:rsid w:val="004664DD"/>
    <w:rsid w:val="005E7B7C"/>
    <w:rsid w:val="006570B8"/>
    <w:rsid w:val="00956EC8"/>
    <w:rsid w:val="00A30A0A"/>
    <w:rsid w:val="00A633E7"/>
    <w:rsid w:val="00AA664E"/>
    <w:rsid w:val="00C9668F"/>
    <w:rsid w:val="00CA2424"/>
    <w:rsid w:val="00CD03F9"/>
    <w:rsid w:val="00EF22D1"/>
    <w:rsid w:val="00F459AD"/>
    <w:rsid w:val="00F81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6195F"/>
  <w15:chartTrackingRefBased/>
  <w15:docId w15:val="{84B2EE5D-BD7D-4DF8-9073-A0F77BD08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6EC8"/>
    <w:pPr>
      <w:spacing w:after="200" w:line="276" w:lineRule="auto"/>
    </w:pPr>
    <w:rPr>
      <w:kern w:val="0"/>
      <w:lang w:val="en-US"/>
      <w14:ligatures w14:val="none"/>
    </w:rPr>
  </w:style>
  <w:style w:type="paragraph" w:styleId="Heading1">
    <w:name w:val="heading 1"/>
    <w:basedOn w:val="Normal"/>
    <w:next w:val="Normal"/>
    <w:link w:val="Heading1Char"/>
    <w:uiPriority w:val="9"/>
    <w:qFormat/>
    <w:rsid w:val="00956EC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EC8"/>
    <w:rPr>
      <w:rFonts w:asciiTheme="majorHAnsi" w:eastAsiaTheme="majorEastAsia" w:hAnsiTheme="majorHAnsi" w:cstheme="majorBidi"/>
      <w:b/>
      <w:bCs/>
      <w:color w:val="2F5496" w:themeColor="accent1" w:themeShade="BF"/>
      <w:kern w:val="0"/>
      <w:sz w:val="28"/>
      <w:szCs w:val="28"/>
      <w:lang w:val="en-US"/>
      <w14:ligatures w14:val="none"/>
    </w:rPr>
  </w:style>
  <w:style w:type="paragraph" w:styleId="Title">
    <w:name w:val="Title"/>
    <w:basedOn w:val="Normal"/>
    <w:next w:val="Normal"/>
    <w:link w:val="TitleChar"/>
    <w:uiPriority w:val="10"/>
    <w:qFormat/>
    <w:rsid w:val="00956EC8"/>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956EC8"/>
    <w:rPr>
      <w:rFonts w:asciiTheme="majorHAnsi" w:eastAsiaTheme="majorEastAsia" w:hAnsiTheme="majorHAnsi" w:cstheme="majorBidi"/>
      <w:color w:val="323E4F" w:themeColor="text2" w:themeShade="BF"/>
      <w:spacing w:val="5"/>
      <w:kern w:val="28"/>
      <w:sz w:val="52"/>
      <w:szCs w:val="52"/>
      <w:lang w:val="en-US"/>
      <w14:ligatures w14:val="none"/>
    </w:rPr>
  </w:style>
  <w:style w:type="paragraph" w:styleId="Footer">
    <w:name w:val="footer"/>
    <w:basedOn w:val="Normal"/>
    <w:link w:val="FooterChar"/>
    <w:uiPriority w:val="99"/>
    <w:unhideWhenUsed/>
    <w:rsid w:val="00956E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6EC8"/>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688</TotalTime>
  <Pages>11</Pages>
  <Words>2510</Words>
  <Characters>14312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Hulub</dc:creator>
  <cp:keywords/>
  <dc:description/>
  <cp:lastModifiedBy>Beatrice Hulub</cp:lastModifiedBy>
  <cp:revision>14</cp:revision>
  <dcterms:created xsi:type="dcterms:W3CDTF">2023-10-20T08:28:00Z</dcterms:created>
  <dcterms:modified xsi:type="dcterms:W3CDTF">2023-10-23T17:03:00Z</dcterms:modified>
</cp:coreProperties>
</file>