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Times New Roman" w:cs="Times New Roman" w:hAnsi="Times New Roman" w:eastAsia="Times New Roman"/>
          <w:b w:val="1"/>
          <w:bCs w:val="1"/>
          <w:sz w:val="24"/>
          <w:szCs w:val="24"/>
          <w:u w:val="single"/>
        </w:rPr>
      </w:pPr>
      <w:r>
        <w:rPr>
          <w:rFonts w:ascii="Times New Roman" w:hAnsi="Times New Roman"/>
          <w:b w:val="1"/>
          <w:bCs w:val="1"/>
          <w:sz w:val="24"/>
          <w:szCs w:val="24"/>
          <w:u w:val="single"/>
          <w:rtl w:val="0"/>
          <w:lang w:val="en-US"/>
        </w:rPr>
        <w:t xml:space="preserve">Dissertation Proposal </w:t>
      </w:r>
      <w:r>
        <w:rPr>
          <w:rFonts w:ascii="Times New Roman" w:hAnsi="Times New Roman"/>
          <w:b w:val="0"/>
          <w:bCs w:val="0"/>
          <w:sz w:val="24"/>
          <w:szCs w:val="24"/>
          <w:u w:val="none"/>
          <w:rtl w:val="0"/>
          <w:lang w:val="en-US"/>
        </w:rPr>
        <w:t xml:space="preserve">      Rachel Walker   2004213   28th October 2022</w:t>
      </w: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 xml:space="preserve">Statement of research question </w:t>
      </w:r>
    </w:p>
    <w:p>
      <w:pPr>
        <w:pStyle w:val="Body"/>
        <w:rPr>
          <w:rFonts w:ascii="Times New Roman" w:cs="Times New Roman" w:hAnsi="Times New Roman" w:eastAsia="Times New Roman"/>
          <w:sz w:val="24"/>
          <w:szCs w:val="24"/>
          <w:u w:val="single"/>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What are Outdoor Adventure Education students</w:t>
      </w:r>
      <w:r>
        <w:rPr>
          <w:rFonts w:ascii="Times New Roman" w:hAnsi="Times New Roman" w:hint="default"/>
          <w:sz w:val="24"/>
          <w:szCs w:val="24"/>
          <w:rtl w:val="0"/>
          <w:lang w:val="en-US"/>
        </w:rPr>
        <w:t xml:space="preserve">’ </w:t>
      </w:r>
      <w:r>
        <w:rPr>
          <w:rFonts w:ascii="Times New Roman" w:hAnsi="Times New Roman"/>
          <w:sz w:val="24"/>
          <w:szCs w:val="24"/>
          <w:rtl w:val="0"/>
          <w:lang w:val="en-US"/>
        </w:rPr>
        <w:t>gendered experiences and attitudes as participants, students and prospective leaders in the sector?</w:t>
      </w:r>
    </w:p>
    <w:p>
      <w:pPr>
        <w:pStyle w:val="Body"/>
        <w:rPr>
          <w:rFonts w:ascii="Times New Roman" w:cs="Times New Roman" w:hAnsi="Times New Roman" w:eastAsia="Times New Roman"/>
          <w:b w:val="1"/>
          <w:bCs w:val="1"/>
          <w:sz w:val="24"/>
          <w:szCs w:val="24"/>
          <w:u w:val="single"/>
        </w:rPr>
      </w:pPr>
    </w:p>
    <w:p>
      <w:pPr>
        <w:pStyle w:val="Body"/>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 xml:space="preserve">Introduction and Rationale </w:t>
      </w:r>
    </w:p>
    <w:p>
      <w:pPr>
        <w:pStyle w:val="Body"/>
        <w:rPr>
          <w:rFonts w:ascii="Times New Roman" w:cs="Times New Roman" w:hAnsi="Times New Roman" w:eastAsia="Times New Roman"/>
          <w:sz w:val="24"/>
          <w:szCs w:val="24"/>
          <w:u w:val="single"/>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The outdoors has been regarded as a male dominated and heteronormative domain that presents many challenges for people who identify as women, trans, non binary and gender nonconforming (Allen-Craig </w:t>
      </w:r>
      <w:r>
        <w:rPr>
          <w:rFonts w:ascii="Times New Roman" w:hAnsi="Times New Roman"/>
          <w:i w:val="1"/>
          <w:iCs w:val="1"/>
          <w:sz w:val="24"/>
          <w:szCs w:val="24"/>
          <w:rtl w:val="0"/>
          <w:lang w:val="en-US"/>
        </w:rPr>
        <w:t xml:space="preserve">et al, </w:t>
      </w:r>
      <w:r>
        <w:rPr>
          <w:rFonts w:ascii="Times New Roman" w:hAnsi="Times New Roman"/>
          <w:sz w:val="24"/>
          <w:szCs w:val="24"/>
          <w:rtl w:val="0"/>
          <w:lang w:val="en-US"/>
        </w:rPr>
        <w:t xml:space="preserve">2020; Bren and Prince, 2022; </w:t>
      </w:r>
      <w:r>
        <w:rPr>
          <w:rFonts w:ascii="Times New Roman" w:hAnsi="Times New Roman"/>
          <w:sz w:val="24"/>
          <w:szCs w:val="24"/>
          <w:rtl w:val="0"/>
          <w:lang w:val="de-DE"/>
        </w:rPr>
        <w:t>Warren, Risinger and Loeffler, 2018</w:t>
      </w:r>
      <w:r>
        <w:rPr>
          <w:rFonts w:ascii="Times New Roman" w:hAnsi="Times New Roman"/>
          <w:sz w:val="24"/>
          <w:szCs w:val="24"/>
          <w:rtl w:val="0"/>
          <w:lang w:val="en-US"/>
        </w:rPr>
        <w:t xml:space="preserve">). Despite there being better opportunity for women to access the outdoors, the culture surrounding it still remains a heteronormative masculine space that marginalises alternative masculinities and femininity (Kennedy and Russell, 2021). The evidence base of the impacts this culture has on women in the outdoors is substantial, and recent studies are beginning to explore the experiences of  those who are transgender, non binary, gender fluid, agender and gender nonconforming (Bren and Prince, 2022).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Existing literature brings to light the </w:t>
      </w:r>
      <w:r>
        <w:rPr>
          <w:rFonts w:ascii="Times New Roman" w:hAnsi="Times New Roman"/>
          <w:sz w:val="24"/>
          <w:szCs w:val="24"/>
          <w:rtl w:val="0"/>
          <w:lang w:val="en-US"/>
        </w:rPr>
        <w:t xml:space="preserve">pervasive culture of hegemonic masculinity </w:t>
      </w:r>
      <w:r>
        <w:rPr>
          <w:rFonts w:ascii="Times New Roman" w:hAnsi="Times New Roman"/>
          <w:sz w:val="24"/>
          <w:szCs w:val="24"/>
          <w:rtl w:val="0"/>
          <w:lang w:val="en-US"/>
        </w:rPr>
        <w:t>in the outdoors as well as implications for gender construction and traditional gender roles in the outdoors (Kennedy and  Russell, 2021; Humberstone, 2000; Warren, n.d). The traditional elements of outdoor adventure like risk, challenge and self-sufficiency can all be associated with traditional masculine values such toughness and emotional stoicism and can have negative impacts on men as well as women (Kennedy and Russell, 2021). Furthermore, the physical nature of outdoor adventurous activities can make it a difficult space to challenge hegemonic masculinity since it currently champions strength, athleticism and proficiency in technical skills (Humberstone, 2000).</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There is however literature that highlights that the outdoors can be a space for change; detailing positive experiences regarding young girls perceptions of femininity (Whittington, 2006) and explorations of gender and sexual identity in the outdoors (Argus, 2018). It is worth noting that these reports are from womens-only outdoor programmes where hegemonic masculinity may not be as present.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So far, the large majority of gendered experiences and issues that have been explored and studied in the outdoor industry, have been that of cisgendered women (</w:t>
      </w:r>
      <w:r>
        <w:rPr>
          <w:rFonts w:ascii="Times New Roman" w:hAnsi="Times New Roman"/>
          <w:sz w:val="24"/>
          <w:szCs w:val="24"/>
          <w:rtl w:val="0"/>
        </w:rPr>
        <w:t>Gray, 2016</w:t>
      </w:r>
      <w:r>
        <w:rPr>
          <w:rFonts w:ascii="Times New Roman" w:hAnsi="Times New Roman"/>
          <w:sz w:val="24"/>
          <w:szCs w:val="24"/>
          <w:rtl w:val="0"/>
          <w:lang w:val="en-US"/>
        </w:rPr>
        <w:t xml:space="preserve">; Henderson, 1996; </w:t>
      </w:r>
      <w:r>
        <w:rPr>
          <w:rFonts w:ascii="Times New Roman" w:hAnsi="Times New Roman"/>
          <w:sz w:val="24"/>
          <w:szCs w:val="24"/>
          <w:rtl w:val="0"/>
          <w:lang w:val="en-US"/>
        </w:rPr>
        <w:t>Rogers &amp; Rose, 2019</w:t>
      </w:r>
      <w:r>
        <w:rPr>
          <w:rFonts w:ascii="Times New Roman" w:hAnsi="Times New Roman"/>
          <w:sz w:val="24"/>
          <w:szCs w:val="24"/>
          <w:rtl w:val="0"/>
          <w:lang w:val="en-US"/>
        </w:rPr>
        <w:t>). These studies are essential to challenging the male-dominated discourse in the outdoor industry by ensuring that women</w:t>
      </w:r>
      <w:r>
        <w:rPr>
          <w:rFonts w:ascii="Times New Roman" w:hAnsi="Times New Roman" w:hint="default"/>
          <w:sz w:val="24"/>
          <w:szCs w:val="24"/>
          <w:rtl w:val="0"/>
          <w:lang w:val="en-US"/>
        </w:rPr>
        <w:t>’</w:t>
      </w:r>
      <w:r>
        <w:rPr>
          <w:rFonts w:ascii="Times New Roman" w:hAnsi="Times New Roman"/>
          <w:sz w:val="24"/>
          <w:szCs w:val="24"/>
          <w:rtl w:val="0"/>
          <w:lang w:val="en-US"/>
        </w:rPr>
        <w:t>s voices are heard, however there are calls to move beyond the binary concept of gender in order to hear everyone</w:t>
      </w:r>
      <w:r>
        <w:rPr>
          <w:rFonts w:ascii="Times New Roman" w:hAnsi="Times New Roman" w:hint="default"/>
          <w:sz w:val="24"/>
          <w:szCs w:val="24"/>
          <w:rtl w:val="0"/>
          <w:lang w:val="en-US"/>
        </w:rPr>
        <w:t>’</w:t>
      </w:r>
      <w:r>
        <w:rPr>
          <w:rFonts w:ascii="Times New Roman" w:hAnsi="Times New Roman"/>
          <w:sz w:val="24"/>
          <w:szCs w:val="24"/>
          <w:rtl w:val="0"/>
          <w:lang w:val="en-US"/>
        </w:rPr>
        <w:t xml:space="preserve">s voices (Bren and Prince, 2022). </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Furthermore, Kennedy and Russell (2021) identify that more research needs to be done regarding students experiences of hegemonic masculinity in the outdoors since most studies focus on leaders experiences.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My study will therefore the address the call to explore the experiences of students of Outdoor Adventure Education to gain a better insight into how the gendered domain of the outdoors has influenced their experiences and attitudes across multiple gender identities, if at all. </w:t>
      </w:r>
      <w:r>
        <w:rPr>
          <w:rFonts w:ascii="Times New Roman" w:hAnsi="Times New Roman"/>
          <w:sz w:val="24"/>
          <w:szCs w:val="24"/>
          <w:rtl w:val="0"/>
          <w:lang w:val="en-US"/>
        </w:rPr>
        <w:t xml:space="preserve">Higher education OAE students are in a unique position of experiencing the outdoor industry through a variety of perspectives at the same time in their degree; participants, students and </w:t>
      </w:r>
      <w:r>
        <w:rPr>
          <w:rFonts w:ascii="Times New Roman" w:hAnsi="Times New Roman"/>
          <w:sz w:val="24"/>
          <w:szCs w:val="24"/>
          <w:rtl w:val="0"/>
          <w:lang w:val="en-US"/>
        </w:rPr>
        <w:t xml:space="preserve">observers of practice, and </w:t>
      </w:r>
      <w:r>
        <w:rPr>
          <w:rFonts w:ascii="Times New Roman" w:hAnsi="Times New Roman"/>
          <w:sz w:val="24"/>
          <w:szCs w:val="24"/>
          <w:rtl w:val="0"/>
          <w:lang w:val="en-US"/>
        </w:rPr>
        <w:t xml:space="preserve">prospective or current practitioners. These different perspectives may give </w:t>
      </w:r>
      <w:r>
        <w:rPr>
          <w:rFonts w:ascii="Times New Roman" w:hAnsi="Times New Roman"/>
          <w:sz w:val="24"/>
          <w:szCs w:val="24"/>
          <w:rtl w:val="0"/>
          <w:lang w:val="en-US"/>
        </w:rPr>
        <w:t xml:space="preserve">unique </w:t>
      </w:r>
      <w:r>
        <w:rPr>
          <w:rFonts w:ascii="Times New Roman" w:hAnsi="Times New Roman"/>
          <w:sz w:val="24"/>
          <w:szCs w:val="24"/>
          <w:rtl w:val="0"/>
          <w:lang w:val="en-US"/>
        </w:rPr>
        <w:t>insight into how their gender and/or gender performance may impact their experiences</w:t>
      </w:r>
      <w:r>
        <w:rPr>
          <w:rFonts w:ascii="Times New Roman" w:hAnsi="Times New Roman"/>
          <w:sz w:val="24"/>
          <w:szCs w:val="24"/>
          <w:rtl w:val="0"/>
          <w:lang w:val="en-US"/>
        </w:rPr>
        <w:t xml:space="preserve"> in the outdoors from multiple angles. My study will be beneficial for diversifying the voices that are heard within the industry and will hopefully be able to provide implications for improving outdoor practice. It will also provide insight  from a different demographic of those involved in the outdoor industry; students as opposed to experienced leaders.</w:t>
      </w:r>
    </w:p>
    <w:p>
      <w:pPr>
        <w:pStyle w:val="Body"/>
        <w:rPr>
          <w:rFonts w:ascii="Times New Roman" w:cs="Times New Roman" w:hAnsi="Times New Roman" w:eastAsia="Times New Roman"/>
          <w:sz w:val="24"/>
          <w:szCs w:val="24"/>
          <w:u w:val="single"/>
        </w:rPr>
      </w:pPr>
    </w:p>
    <w:p>
      <w:pPr>
        <w:pStyle w:val="Body"/>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 xml:space="preserve">Aims </w:t>
      </w:r>
    </w:p>
    <w:p>
      <w:pPr>
        <w:pStyle w:val="Body"/>
        <w:rPr>
          <w:rFonts w:ascii="Times New Roman" w:cs="Times New Roman" w:hAnsi="Times New Roman" w:eastAsia="Times New Roman"/>
          <w:sz w:val="24"/>
          <w:szCs w:val="24"/>
          <w:u w:val="single"/>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The main aim of this study is to generally explore </w:t>
      </w:r>
      <w:r>
        <w:rPr>
          <w:rFonts w:ascii="Times New Roman" w:hAnsi="Times New Roman"/>
          <w:sz w:val="24"/>
          <w:szCs w:val="24"/>
          <w:rtl w:val="0"/>
          <w:lang w:val="en-US"/>
        </w:rPr>
        <w:t>the gendered stories, experiences and attitudes of higher education OAE students in the context of the outdoors industry.</w:t>
      </w:r>
      <w:r>
        <w:rPr>
          <w:rFonts w:ascii="Times New Roman" w:hAnsi="Times New Roman"/>
          <w:sz w:val="24"/>
          <w:szCs w:val="24"/>
          <w:rtl w:val="0"/>
          <w:lang w:val="en-US"/>
        </w:rPr>
        <w:t xml:space="preserve"> A more specific sub-aim is to </w:t>
      </w:r>
      <w:r>
        <w:rPr>
          <w:rFonts w:ascii="Times New Roman" w:hAnsi="Times New Roman"/>
          <w:sz w:val="24"/>
          <w:szCs w:val="24"/>
          <w:rtl w:val="0"/>
          <w:lang w:val="en-US"/>
        </w:rPr>
        <w:t>gain insight into their experiences of masculinity and femininity regardless of their gender, and how this</w:t>
      </w:r>
      <w:r>
        <w:rPr>
          <w:rFonts w:ascii="Times New Roman" w:hAnsi="Times New Roman"/>
          <w:sz w:val="24"/>
          <w:szCs w:val="24"/>
          <w:rtl w:val="0"/>
          <w:lang w:val="en-US"/>
        </w:rPr>
        <w:t xml:space="preserve"> may have</w:t>
      </w:r>
      <w:r>
        <w:rPr>
          <w:rFonts w:ascii="Times New Roman" w:hAnsi="Times New Roman"/>
          <w:sz w:val="24"/>
          <w:szCs w:val="24"/>
          <w:rtl w:val="0"/>
          <w:lang w:val="en-US"/>
        </w:rPr>
        <w:t xml:space="preserve"> impacted their experience of the outdoors and vice versa. From their experiences, I aim to gather common themes to discuss and explore implications and theory in </w:t>
      </w:r>
      <w:r>
        <w:rPr>
          <w:rFonts w:ascii="Times New Roman" w:hAnsi="Times New Roman"/>
          <w:sz w:val="24"/>
          <w:szCs w:val="24"/>
          <w:rtl w:val="0"/>
          <w:lang w:val="en-US"/>
        </w:rPr>
        <w:t xml:space="preserve">outdoor </w:t>
      </w:r>
      <w:r>
        <w:rPr>
          <w:rFonts w:ascii="Times New Roman" w:hAnsi="Times New Roman"/>
          <w:sz w:val="24"/>
          <w:szCs w:val="24"/>
          <w:rtl w:val="0"/>
          <w:lang w:val="en-US"/>
        </w:rPr>
        <w:t>practice</w:t>
      </w:r>
      <w:r>
        <w:rPr>
          <w:rFonts w:ascii="Times New Roman" w:hAnsi="Times New Roman"/>
          <w:sz w:val="24"/>
          <w:szCs w:val="24"/>
          <w:rtl w:val="0"/>
          <w:lang w:val="en-US"/>
        </w:rPr>
        <w:t xml:space="preserve"> regarding gender and if applicable, compare results to similar studies to see if the demographic has provided any new/different insight.</w:t>
      </w:r>
      <w:r>
        <w:rPr>
          <w:rFonts w:ascii="Times New Roman" w:hAnsi="Times New Roman"/>
          <w:sz w:val="24"/>
          <w:szCs w:val="24"/>
          <w:rtl w:val="0"/>
          <w:lang w:val="en-US"/>
        </w:rPr>
        <w:t xml:space="preserve"> By </w:t>
      </w:r>
      <w:r>
        <w:rPr>
          <w:rFonts w:ascii="Times New Roman" w:hAnsi="Times New Roman"/>
          <w:sz w:val="24"/>
          <w:szCs w:val="24"/>
          <w:rtl w:val="0"/>
          <w:lang w:val="en-US"/>
        </w:rPr>
        <w:t xml:space="preserve">exploring a range of </w:t>
      </w:r>
      <w:r>
        <w:rPr>
          <w:rFonts w:ascii="Times New Roman" w:hAnsi="Times New Roman"/>
          <w:sz w:val="24"/>
          <w:szCs w:val="24"/>
          <w:rtl w:val="0"/>
          <w:lang w:val="en-US"/>
        </w:rPr>
        <w:t xml:space="preserve">gender identities I hope to help shift the literature </w:t>
      </w:r>
      <w:r>
        <w:rPr>
          <w:rFonts w:ascii="Times New Roman" w:hAnsi="Times New Roman"/>
          <w:sz w:val="24"/>
          <w:szCs w:val="24"/>
          <w:rtl w:val="0"/>
          <w:lang w:val="en-US"/>
        </w:rPr>
        <w:t xml:space="preserve">in the area </w:t>
      </w:r>
      <w:r>
        <w:rPr>
          <w:rFonts w:ascii="Times New Roman" w:hAnsi="Times New Roman"/>
          <w:sz w:val="24"/>
          <w:szCs w:val="24"/>
          <w:rtl w:val="0"/>
          <w:lang w:val="en-US"/>
        </w:rPr>
        <w:t>beyond the binary and dualistic concept of gender.</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 xml:space="preserve">Method </w:t>
      </w:r>
    </w:p>
    <w:p>
      <w:pPr>
        <w:pStyle w:val="Body"/>
        <w:rPr>
          <w:rFonts w:ascii="Times New Roman" w:cs="Times New Roman" w:hAnsi="Times New Roman" w:eastAsia="Times New Roman"/>
          <w:sz w:val="24"/>
          <w:szCs w:val="24"/>
          <w:u w:val="single"/>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The method for this study will be qualitative since I require an in-depth understanding of the problem and wish to develop a bigger picture through exploring multiple perspectives. The study will be based in narrative inquiry as I aim to gain insight into lived experiences and learn about the problem from the participants of the study </w:t>
      </w:r>
      <w:r>
        <w:rPr>
          <w:rFonts w:ascii="Times New Roman" w:hAnsi="Times New Roman"/>
          <w:sz w:val="24"/>
          <w:szCs w:val="24"/>
          <w:rtl w:val="0"/>
          <w:lang w:val="en-US"/>
        </w:rPr>
        <w:t>(Creswell &amp; Poth, 2018)</w:t>
      </w:r>
      <w:r>
        <w:rPr>
          <w:rFonts w:ascii="Times New Roman" w:hAnsi="Times New Roman"/>
          <w:sz w:val="24"/>
          <w:szCs w:val="24"/>
          <w:rtl w:val="0"/>
          <w:lang w:val="en-US"/>
        </w:rPr>
        <w:t xml:space="preserve">.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The participants for this study will be from the Outdoor Adventure Education course from the University of Wales Trinity Saint David. I will send out an initial online survey among students to inform them of the aims of the study and invite people to participate. In this initial survey of people who are interested I will ask for prospective participants to share their gender identities. This is so that they can consider whether they wish to share their gender identity in their own time and do not feel put on the spot to disclose this information when it comes to the interview. Allen-Craig </w:t>
      </w:r>
      <w:r>
        <w:rPr>
          <w:rFonts w:ascii="Times New Roman" w:hAnsi="Times New Roman"/>
          <w:i w:val="1"/>
          <w:iCs w:val="1"/>
          <w:sz w:val="24"/>
          <w:szCs w:val="24"/>
          <w:rtl w:val="0"/>
          <w:lang w:val="en-US"/>
        </w:rPr>
        <w:t xml:space="preserve">et al </w:t>
      </w:r>
      <w:r>
        <w:rPr>
          <w:rFonts w:ascii="Times New Roman" w:hAnsi="Times New Roman"/>
          <w:sz w:val="24"/>
          <w:szCs w:val="24"/>
          <w:rtl w:val="0"/>
          <w:lang w:val="en-US"/>
        </w:rPr>
        <w:t xml:space="preserve">(2020) noted that they did not ask participants for their gender identity during the workshop to avoid putting people on the spot as it can be an area of sensitivity for some people. However they go on to mention that this was a limitation of their study and they recognised that they may have inadvertently erased non binary identities. In asking my participants for their gender identities I aim to avoid potentially erasing minority identities by misgendering them based on appearance and perpetuating a binary notion of gender.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This initial survey will allow me to reach a greater number of students who may be willing to participate. From students who express interest I will select 3 - 4 participants of varying gender identities so I can collect stories and experiences from multiple perspectives (Creswell &amp; Poth, 2018). </w:t>
      </w:r>
      <w:r>
        <w:rPr>
          <w:rFonts w:ascii="Times New Roman" w:hAnsi="Times New Roman"/>
          <w:sz w:val="24"/>
          <w:szCs w:val="24"/>
          <w:rtl w:val="0"/>
          <w:lang w:val="en-US"/>
        </w:rPr>
        <w:t>It is worth mentioning that I may not be able to sample participants who are non-binary or gender nonconforming since they are a minority in the student population and further may not want to participate in the study.</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I will conduct in-depth, semi-structured interviews with participants so that I can gather rich data about experiences, opinions, emotions and attitudes. Semi-structured interviews will enable me to follow a framework so that I can give context for participants but leave room for spontaneity and authenticity in their responses (Cohen, 2018). Interviews are an appropriate method for the aims of my study because they enable multi-sensory channels of communication to be interpreted including verbal and non-verbal. They enable discussions to be had about complex issues such as gendered experiences and I will be able to use prompts and probes to delve deeper into participant responses to elicit more detailed and in-depth answers </w:t>
      </w:r>
      <w:r>
        <w:rPr>
          <w:rFonts w:ascii="Times New Roman" w:hAnsi="Times New Roman"/>
          <w:sz w:val="24"/>
          <w:szCs w:val="24"/>
          <w:rtl w:val="0"/>
          <w:lang w:val="de-DE"/>
        </w:rPr>
        <w:t>(Cohen, 2018)</w:t>
      </w:r>
      <w:r>
        <w:rPr>
          <w:rFonts w:ascii="Times New Roman" w:hAnsi="Times New Roman"/>
          <w:sz w:val="24"/>
          <w:szCs w:val="24"/>
          <w:rtl w:val="0"/>
          <w:lang w:val="en-US"/>
        </w:rPr>
        <w:t xml:space="preserve">. </w:t>
      </w:r>
    </w:p>
    <w:p>
      <w:pPr>
        <w:pStyle w:val="Body"/>
        <w:rPr>
          <w:rFonts w:ascii="Times New Roman" w:cs="Times New Roman" w:hAnsi="Times New Roman" w:eastAsia="Times New Roman"/>
          <w:sz w:val="24"/>
          <w:szCs w:val="24"/>
          <w:u w:val="single"/>
        </w:rPr>
      </w:pPr>
    </w:p>
    <w:p>
      <w:pPr>
        <w:pStyle w:val="Body"/>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 xml:space="preserve">Data Analysis </w:t>
      </w:r>
    </w:p>
    <w:p>
      <w:pPr>
        <w:pStyle w:val="Body"/>
        <w:rPr>
          <w:rFonts w:ascii="Times New Roman" w:cs="Times New Roman" w:hAnsi="Times New Roman" w:eastAsia="Times New Roman"/>
          <w:sz w:val="24"/>
          <w:szCs w:val="24"/>
          <w:u w:val="single"/>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Having recorded my interviews, I will then endeavour to create transcripts for them so that I can code and gather common themes within the experiences. Creating a written transcript to analyse from audio recordings will be more time effective than trying to code from the recording and it will make it easier to retrieve any information once its been coded (Gibbs, 2018). I aim to use thematic analysis as opposed to developing a narrative in my results as it will enable me to identify main themes from my interpretations of  participants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meaning </w:t>
      </w:r>
      <w:r>
        <w:rPr>
          <w:rFonts w:ascii="Times New Roman" w:hAnsi="Times New Roman"/>
          <w:sz w:val="24"/>
          <w:szCs w:val="24"/>
          <w:rtl w:val="0"/>
        </w:rPr>
        <w:t>(Gray, 2022)</w:t>
      </w:r>
      <w:r>
        <w:rPr>
          <w:rFonts w:ascii="Times New Roman" w:hAnsi="Times New Roman"/>
          <w:sz w:val="24"/>
          <w:szCs w:val="24"/>
          <w:rtl w:val="0"/>
          <w:lang w:val="en-US"/>
        </w:rPr>
        <w:t xml:space="preserve"> to discuss theory and concepts that may align with current literature. I will also take an inductive approach so that the themes emerge from participant responses and are data driven (Gray, 2022). </w:t>
      </w:r>
    </w:p>
    <w:p>
      <w:pPr>
        <w:pStyle w:val="Body"/>
        <w:rPr>
          <w:rFonts w:ascii="Times New Roman" w:cs="Times New Roman" w:hAnsi="Times New Roman" w:eastAsia="Times New Roman"/>
          <w:sz w:val="24"/>
          <w:szCs w:val="24"/>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Once I have a transcript for the interviews I will follow Braun and Clark</w:t>
      </w:r>
      <w:r>
        <w:rPr>
          <w:rFonts w:ascii="Times New Roman" w:hAnsi="Times New Roman" w:hint="default"/>
          <w:sz w:val="24"/>
          <w:szCs w:val="24"/>
          <w:rtl w:val="0"/>
          <w:lang w:val="en-US"/>
        </w:rPr>
        <w:t>’</w:t>
      </w:r>
      <w:r>
        <w:rPr>
          <w:rFonts w:ascii="Times New Roman" w:hAnsi="Times New Roman"/>
          <w:sz w:val="24"/>
          <w:szCs w:val="24"/>
          <w:rtl w:val="0"/>
          <w:lang w:val="en-US"/>
        </w:rPr>
        <w:t>s six step process of thematic analysis detailed in Gray (2022). I will start by reading through the transcripts thoroughly and ensure that I understand the meaning of participants</w:t>
      </w:r>
      <w:r>
        <w:rPr>
          <w:rFonts w:ascii="Times New Roman" w:hAnsi="Times New Roman" w:hint="default"/>
          <w:sz w:val="24"/>
          <w:szCs w:val="24"/>
          <w:rtl w:val="0"/>
          <w:lang w:val="en-US"/>
        </w:rPr>
        <w:t xml:space="preserve">’ </w:t>
      </w:r>
      <w:r>
        <w:rPr>
          <w:rFonts w:ascii="Times New Roman" w:hAnsi="Times New Roman"/>
          <w:sz w:val="24"/>
          <w:szCs w:val="24"/>
          <w:rtl w:val="0"/>
          <w:lang w:val="en-US"/>
        </w:rPr>
        <w:t xml:space="preserve">responses. From there I can begin to generate codes ensuring that I keep surrounding data for context. Coding the themes I find will allow me to count how many times they appear in the interview in order to identify more prevalent themes (Kumar, 2014). From these initial codes I will be able to find larger themes and group the coded sets of data into them. I will then review the themes before defining and naming them ensuring that they are relevant to the overall story that the theme conveys. In the final step I will select extracts and themes that provide insight into answering my research question and that can be comparable to other literature </w:t>
      </w:r>
      <w:r>
        <w:rPr>
          <w:rFonts w:ascii="Times New Roman" w:hAnsi="Times New Roman"/>
          <w:sz w:val="24"/>
          <w:szCs w:val="24"/>
          <w:rtl w:val="0"/>
        </w:rPr>
        <w:t>(Gray, 2022)</w:t>
      </w:r>
      <w:r>
        <w:rPr>
          <w:rFonts w:ascii="Times New Roman" w:hAnsi="Times New Roman"/>
          <w:sz w:val="24"/>
          <w:szCs w:val="24"/>
          <w:rtl w:val="0"/>
          <w:lang w:val="en-US"/>
        </w:rPr>
        <w:t xml:space="preserve"> in the field of gender in the outdoors. In my report I plan to include some verbatim responses in my work to </w:t>
      </w:r>
      <w:r>
        <w:rPr>
          <w:rFonts w:ascii="Times New Roman" w:hAnsi="Times New Roman" w:hint="default"/>
          <w:sz w:val="24"/>
          <w:szCs w:val="24"/>
          <w:rtl w:val="0"/>
          <w:lang w:val="en-US"/>
        </w:rPr>
        <w:t>“</w:t>
      </w:r>
      <w:r>
        <w:rPr>
          <w:rFonts w:ascii="Times New Roman" w:hAnsi="Times New Roman"/>
          <w:sz w:val="24"/>
          <w:szCs w:val="24"/>
          <w:rtl w:val="0"/>
          <w:lang w:val="en-US"/>
        </w:rPr>
        <w:t xml:space="preserve">keep the </w:t>
      </w:r>
      <w:r>
        <w:rPr>
          <w:rFonts w:ascii="Times New Roman" w:hAnsi="Times New Roman" w:hint="default"/>
          <w:sz w:val="24"/>
          <w:szCs w:val="24"/>
          <w:rtl w:val="0"/>
          <w:lang w:val="en-US"/>
        </w:rPr>
        <w:t>‘</w:t>
      </w:r>
      <w:r>
        <w:rPr>
          <w:rFonts w:ascii="Times New Roman" w:hAnsi="Times New Roman"/>
          <w:sz w:val="24"/>
          <w:szCs w:val="24"/>
          <w:rtl w:val="0"/>
          <w:lang w:val="en-US"/>
        </w:rPr>
        <w:t>feel</w:t>
      </w:r>
      <w:r>
        <w:rPr>
          <w:rFonts w:ascii="Times New Roman" w:hAnsi="Times New Roman" w:hint="default"/>
          <w:sz w:val="24"/>
          <w:szCs w:val="24"/>
          <w:rtl w:val="0"/>
          <w:lang w:val="en-US"/>
        </w:rPr>
        <w:t xml:space="preserve">’ </w:t>
      </w:r>
      <w:r>
        <w:rPr>
          <w:rFonts w:ascii="Times New Roman" w:hAnsi="Times New Roman"/>
          <w:sz w:val="24"/>
          <w:szCs w:val="24"/>
          <w:rtl w:val="0"/>
          <w:lang w:val="en-US"/>
        </w:rPr>
        <w:t>of the responses</w:t>
      </w:r>
      <w:r>
        <w:rPr>
          <w:rFonts w:ascii="Times New Roman" w:hAnsi="Times New Roman" w:hint="default"/>
          <w:sz w:val="24"/>
          <w:szCs w:val="24"/>
          <w:rtl w:val="0"/>
          <w:lang w:val="en-US"/>
        </w:rPr>
        <w:t xml:space="preserve">” </w:t>
      </w:r>
      <w:r>
        <w:rPr>
          <w:rFonts w:ascii="Times New Roman" w:hAnsi="Times New Roman"/>
          <w:sz w:val="24"/>
          <w:szCs w:val="24"/>
          <w:rtl w:val="0"/>
          <w:lang w:val="en-US"/>
        </w:rPr>
        <w:t>(</w:t>
      </w:r>
      <w:r>
        <w:rPr>
          <w:rFonts w:ascii="Times New Roman" w:hAnsi="Times New Roman"/>
          <w:sz w:val="24"/>
          <w:szCs w:val="24"/>
          <w:rtl w:val="0"/>
        </w:rPr>
        <w:t>Kumar, 2014</w:t>
      </w:r>
      <w:r>
        <w:rPr>
          <w:rFonts w:ascii="Times New Roman" w:hAnsi="Times New Roman"/>
          <w:sz w:val="24"/>
          <w:szCs w:val="24"/>
          <w:rtl w:val="0"/>
          <w:lang w:val="en-US"/>
        </w:rPr>
        <w:t xml:space="preserve">, p318) since I want my research to remain as personal and human as possible. </w:t>
      </w:r>
    </w:p>
    <w:p>
      <w:pPr>
        <w:pStyle w:val="Body"/>
        <w:rPr>
          <w:rFonts w:ascii="Times New Roman" w:cs="Times New Roman" w:hAnsi="Times New Roman" w:eastAsia="Times New Roman"/>
          <w:sz w:val="24"/>
          <w:szCs w:val="24"/>
          <w:u w:val="single"/>
        </w:rPr>
      </w:pPr>
    </w:p>
    <w:p>
      <w:pPr>
        <w:pStyle w:val="Body"/>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 xml:space="preserve">Word count </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1487</w:t>
      </w:r>
    </w:p>
    <w:p>
      <w:pPr>
        <w:pStyle w:val="Body"/>
        <w:rPr>
          <w:rFonts w:ascii="Times New Roman" w:cs="Times New Roman" w:hAnsi="Times New Roman" w:eastAsia="Times New Roman"/>
          <w:sz w:val="24"/>
          <w:szCs w:val="24"/>
          <w:u w:val="single"/>
        </w:rPr>
      </w:pPr>
    </w:p>
    <w:p>
      <w:pPr>
        <w:pStyle w:val="Body"/>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 xml:space="preserve">Research Timetable </w:t>
      </w:r>
    </w:p>
    <w:p>
      <w:pPr>
        <w:pStyle w:val="Body"/>
        <w:rPr>
          <w:rFonts w:ascii="Times New Roman" w:cs="Times New Roman" w:hAnsi="Times New Roman" w:eastAsia="Times New Roman"/>
          <w:sz w:val="24"/>
          <w:szCs w:val="24"/>
          <w:u w:val="single"/>
        </w:rPr>
      </w:pPr>
    </w:p>
    <w:p>
      <w:pPr>
        <w:pStyle w:val="Body"/>
        <w:numPr>
          <w:ilvl w:val="0"/>
          <w:numId w:val="2"/>
        </w:numPr>
        <w:rPr>
          <w:rFonts w:ascii="Times New Roman" w:hAnsi="Times New Roman"/>
          <w:outline w:val="0"/>
          <w:color w:val="004c7f"/>
          <w:sz w:val="24"/>
          <w:szCs w:val="24"/>
          <w:lang w:val="en-US"/>
          <w14:textFill>
            <w14:solidFill>
              <w14:srgbClr w14:val="004D80"/>
            </w14:solidFill>
          </w14:textFill>
        </w:rPr>
      </w:pPr>
      <w:r>
        <w:rPr>
          <w:rFonts w:ascii="Times New Roman" w:hAnsi="Times New Roman"/>
          <w:outline w:val="0"/>
          <w:color w:val="004c7f"/>
          <w:sz w:val="24"/>
          <w:szCs w:val="24"/>
          <w:rtl w:val="0"/>
          <w:lang w:val="en-US"/>
          <w14:textFill>
            <w14:solidFill>
              <w14:srgbClr w14:val="004D80"/>
            </w14:solidFill>
          </w14:textFill>
        </w:rPr>
        <w:t xml:space="preserve">Dissertation work </w:t>
      </w:r>
    </w:p>
    <w:p>
      <w:pPr>
        <w:pStyle w:val="Body"/>
        <w:numPr>
          <w:ilvl w:val="0"/>
          <w:numId w:val="2"/>
        </w:numPr>
        <w:rPr>
          <w:rFonts w:ascii="Times New Roman" w:hAnsi="Times New Roman"/>
          <w:outline w:val="0"/>
          <w:color w:val="017000"/>
          <w:sz w:val="24"/>
          <w:szCs w:val="24"/>
          <w:lang w:val="en-US"/>
          <w14:textFill>
            <w14:solidFill>
              <w14:srgbClr w14:val="017100"/>
            </w14:solidFill>
          </w14:textFill>
        </w:rPr>
      </w:pPr>
      <w:r>
        <w:rPr>
          <w:rFonts w:ascii="Times New Roman" w:hAnsi="Times New Roman"/>
          <w:outline w:val="0"/>
          <w:color w:val="017000"/>
          <w:sz w:val="24"/>
          <w:szCs w:val="24"/>
          <w:rtl w:val="0"/>
          <w:lang w:val="en-US"/>
          <w14:textFill>
            <w14:solidFill>
              <w14:srgbClr w14:val="017100"/>
            </w14:solidFill>
          </w14:textFill>
        </w:rPr>
        <w:t xml:space="preserve">Conducting research </w:t>
      </w:r>
    </w:p>
    <w:p>
      <w:pPr>
        <w:pStyle w:val="Body"/>
        <w:numPr>
          <w:ilvl w:val="0"/>
          <w:numId w:val="2"/>
        </w:numPr>
        <w:rPr>
          <w:rFonts w:ascii="Times New Roman" w:hAnsi="Times New Roman"/>
          <w:outline w:val="0"/>
          <w:color w:val="960d52"/>
          <w:sz w:val="24"/>
          <w:szCs w:val="24"/>
          <w:lang w:val="en-US"/>
          <w14:textFill>
            <w14:solidFill>
              <w14:srgbClr w14:val="970E53"/>
            </w14:solidFill>
          </w14:textFill>
        </w:rPr>
      </w:pPr>
      <w:r>
        <w:rPr>
          <w:rFonts w:ascii="Times New Roman" w:hAnsi="Times New Roman"/>
          <w:outline w:val="0"/>
          <w:color w:val="960d52"/>
          <w:sz w:val="24"/>
          <w:szCs w:val="24"/>
          <w:rtl w:val="0"/>
          <w:lang w:val="en-US"/>
          <w14:textFill>
            <w14:solidFill>
              <w14:srgbClr w14:val="970E53"/>
            </w14:solidFill>
          </w14:textFill>
        </w:rPr>
        <w:t xml:space="preserve">Other module assignments </w:t>
      </w:r>
    </w:p>
    <w:p>
      <w:pPr>
        <w:pStyle w:val="Body"/>
        <w:numPr>
          <w:ilvl w:val="0"/>
          <w:numId w:val="2"/>
        </w:numPr>
        <w:rPr>
          <w:rFonts w:ascii="Times New Roman" w:hAnsi="Times New Roman"/>
          <w:outline w:val="0"/>
          <w:color w:val="f27100"/>
          <w:sz w:val="24"/>
          <w:szCs w:val="24"/>
          <w:lang w:val="en-US"/>
          <w14:textFill>
            <w14:solidFill>
              <w14:srgbClr w14:val="F27200"/>
            </w14:solidFill>
          </w14:textFill>
        </w:rPr>
      </w:pPr>
      <w:r>
        <w:rPr>
          <w:rFonts w:ascii="Times New Roman" w:hAnsi="Times New Roman"/>
          <w:outline w:val="0"/>
          <w:color w:val="f27100"/>
          <w:sz w:val="24"/>
          <w:szCs w:val="24"/>
          <w:rtl w:val="0"/>
          <w:lang w:val="en-US"/>
          <w14:textFill>
            <w14:solidFill>
              <w14:srgbClr w14:val="F27200"/>
            </w14:solidFill>
          </w14:textFill>
        </w:rPr>
        <w:t xml:space="preserve">Other commitments </w:t>
      </w:r>
    </w:p>
    <w:p>
      <w:pPr>
        <w:pStyle w:val="Body"/>
        <w:rPr>
          <w:rFonts w:ascii="Times New Roman" w:cs="Times New Roman" w:hAnsi="Times New Roman" w:eastAsia="Times New Roman"/>
          <w:outline w:val="0"/>
          <w:color w:val="960d52"/>
          <w:sz w:val="24"/>
          <w:szCs w:val="24"/>
          <w14:textFill>
            <w14:solidFill>
              <w14:srgbClr w14:val="970E53"/>
            </w14:solidFill>
          </w14:textFill>
        </w:rPr>
      </w:pPr>
    </w:p>
    <w:tbl>
      <w:tblPr>
        <w:tblW w:w="9627" w:type="dxa"/>
        <w:jc w:val="left"/>
        <w:tblInd w:w="108" w:type="dxa"/>
        <w:tblBorders>
          <w:top w:val="single" w:color="929292" w:sz="4" w:space="0" w:shadow="0" w:frame="0"/>
          <w:left w:val="single" w:color="929292" w:sz="4" w:space="0" w:shadow="0" w:frame="0"/>
          <w:bottom w:val="single" w:color="929292" w:sz="4" w:space="0" w:shadow="0" w:frame="0"/>
          <w:right w:val="single" w:color="929292" w:sz="4" w:space="0" w:shadow="0" w:frame="0"/>
          <w:insideH w:val="single" w:color="929292" w:sz="4" w:space="0" w:shadow="0" w:frame="0"/>
          <w:insideV w:val="single" w:color="929292" w:sz="4" w:space="0" w:shadow="0" w:frame="0"/>
        </w:tblBorders>
        <w:shd w:val="clear" w:color="auto" w:fill="auto"/>
        <w:tblLayout w:type="fixed"/>
      </w:tblPr>
      <w:tblGrid>
        <w:gridCol w:w="3209"/>
        <w:gridCol w:w="3209"/>
        <w:gridCol w:w="3209"/>
      </w:tblGrid>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 xml:space="preserve">Tasks to complete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Date due</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Completed</w:t>
            </w: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outline w:val="0"/>
                <w:color w:val="004c7f"/>
                <w:sz w:val="24"/>
                <w:szCs w:val="24"/>
                <w:rtl w:val="0"/>
                <w14:textFill>
                  <w14:solidFill>
                    <w14:srgbClr w14:val="004D80"/>
                  </w14:solidFill>
                </w14:textFill>
              </w:rPr>
              <w:t xml:space="preserve">Proposal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sz w:val="24"/>
                <w:szCs w:val="24"/>
                <w:rtl w:val="0"/>
              </w:rPr>
              <w:t xml:space="preserve">October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outline w:val="0"/>
                <w:color w:val="004c7f"/>
                <w:sz w:val="24"/>
                <w:szCs w:val="24"/>
                <w:rtl w:val="0"/>
                <w14:textFill>
                  <w14:solidFill>
                    <w14:srgbClr w14:val="004D80"/>
                  </w14:solidFill>
                </w14:textFill>
              </w:rPr>
              <w:t xml:space="preserve">Ethics form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 xml:space="preserve">October/November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outline w:val="0"/>
                <w:color w:val="017000"/>
                <w:sz w:val="24"/>
                <w:szCs w:val="24"/>
                <w:rtl w:val="0"/>
                <w:lang w:val="en-US"/>
                <w14:textFill>
                  <w14:solidFill>
                    <w14:srgbClr w14:val="017100"/>
                  </w14:solidFill>
                </w14:textFill>
              </w:rPr>
              <w:t>Send out initial interest survey</w:t>
            </w:r>
            <w:r>
              <w:rPr>
                <w:rFonts w:ascii="Times New Roman" w:hAnsi="Times New Roman"/>
                <w:outline w:val="0"/>
                <w:color w:val="004c7f"/>
                <w:sz w:val="24"/>
                <w:szCs w:val="24"/>
                <w:rtl w:val="0"/>
                <w14:textFill>
                  <w14:solidFill>
                    <w14:srgbClr w14:val="004D80"/>
                  </w14:solidFill>
                </w14:textFill>
              </w:rPr>
              <w:t xml:space="preserve">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sz w:val="24"/>
                <w:szCs w:val="24"/>
                <w:rtl w:val="0"/>
              </w:rPr>
              <w:t xml:space="preserve">November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outline w:val="0"/>
                <w:color w:val="017000"/>
                <w:sz w:val="24"/>
                <w:szCs w:val="24"/>
                <w:rtl w:val="0"/>
                <w14:textFill>
                  <w14:solidFill>
                    <w14:srgbClr w14:val="017100"/>
                  </w14:solidFill>
                </w14:textFill>
              </w:rPr>
              <w:t xml:space="preserve">Select participants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 xml:space="preserve">November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bidi w:val="0"/>
            </w:pPr>
            <w:r>
              <w:rPr>
                <w:rFonts w:ascii="Times New Roman" w:hAnsi="Times New Roman"/>
                <w:outline w:val="0"/>
                <w:color w:val="960d52"/>
                <w:sz w:val="24"/>
                <w:szCs w:val="24"/>
                <w:rtl w:val="0"/>
                <w:lang w:val="fr-FR"/>
                <w14:textFill>
                  <w14:solidFill>
                    <w14:srgbClr w14:val="970E53"/>
                  </w14:solidFill>
                </w14:textFill>
              </w:rPr>
              <w:t>Academic Interview</w:t>
            </w:r>
            <w:r>
              <w:rPr>
                <w:rFonts w:cs="Arial Unicode MS" w:eastAsia="Arial Unicode MS"/>
                <w:rtl w:val="0"/>
              </w:rPr>
              <w:t xml:space="preserve">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sz w:val="24"/>
                <w:szCs w:val="24"/>
                <w:rtl w:val="0"/>
              </w:rPr>
              <w:t xml:space="preserve">November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outline w:val="0"/>
                <w:color w:val="004c7f"/>
                <w:sz w:val="24"/>
                <w:szCs w:val="24"/>
                <w:rtl w:val="0"/>
                <w14:textFill>
                  <w14:solidFill>
                    <w14:srgbClr w14:val="004D80"/>
                  </w14:solidFill>
                </w14:textFill>
              </w:rPr>
              <w:t xml:space="preserve">Literature review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 xml:space="preserve">November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outline w:val="0"/>
                <w:color w:val="960d52"/>
                <w:sz w:val="24"/>
                <w:szCs w:val="24"/>
                <w:rtl w:val="0"/>
                <w14:textFill>
                  <w14:solidFill>
                    <w14:srgbClr w14:val="970E53"/>
                  </w14:solidFill>
                </w14:textFill>
              </w:rPr>
              <w:t xml:space="preserve">Curriculum Adventure paper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sz w:val="24"/>
                <w:szCs w:val="24"/>
                <w:rtl w:val="0"/>
              </w:rPr>
              <w:t xml:space="preserve">December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outline w:val="0"/>
                <w:color w:val="004c7f"/>
                <w:sz w:val="24"/>
                <w:szCs w:val="24"/>
                <w:rtl w:val="0"/>
                <w14:textFill>
                  <w14:solidFill>
                    <w14:srgbClr w14:val="004D80"/>
                  </w14:solidFill>
                </w14:textFill>
              </w:rPr>
              <w:t xml:space="preserve">Methodology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 xml:space="preserve">December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outline w:val="0"/>
                <w:color w:val="960d52"/>
                <w:sz w:val="24"/>
                <w:szCs w:val="24"/>
                <w:rtl w:val="0"/>
                <w14:textFill>
                  <w14:solidFill>
                    <w14:srgbClr w14:val="970E53"/>
                  </w14:solidFill>
                </w14:textFill>
              </w:rPr>
              <w:t xml:space="preserve">Critical Incidents essay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sz w:val="24"/>
                <w:szCs w:val="24"/>
                <w:rtl w:val="0"/>
              </w:rPr>
              <w:t xml:space="preserve">December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outline w:val="0"/>
                <w:color w:val="004c7f"/>
                <w:sz w:val="24"/>
                <w:szCs w:val="24"/>
                <w:rtl w:val="0"/>
                <w14:textFill>
                  <w14:solidFill>
                    <w14:srgbClr w14:val="004D80"/>
                  </w14:solidFill>
                </w14:textFill>
              </w:rPr>
              <w:t xml:space="preserve">Introduction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 xml:space="preserve">December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outline w:val="0"/>
                <w:color w:val="f27100"/>
                <w:sz w:val="24"/>
                <w:szCs w:val="24"/>
                <w:rtl w:val="0"/>
                <w14:textFill>
                  <w14:solidFill>
                    <w14:srgbClr w14:val="F27200"/>
                  </w14:solidFill>
                </w14:textFill>
              </w:rPr>
              <w:t xml:space="preserve">Hot Rock Expedition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sz w:val="24"/>
                <w:szCs w:val="24"/>
                <w:rtl w:val="0"/>
              </w:rPr>
              <w:t xml:space="preserve">January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bidi w:val="0"/>
            </w:pPr>
            <w:r>
              <w:rPr>
                <w:rFonts w:ascii="Times New Roman" w:hAnsi="Times New Roman"/>
                <w:outline w:val="0"/>
                <w:color w:val="960d52"/>
                <w:sz w:val="24"/>
                <w:szCs w:val="24"/>
                <w:rtl w:val="0"/>
                <w:lang w:val="it-IT"/>
                <w14:textFill>
                  <w14:solidFill>
                    <w14:srgbClr w14:val="970E53"/>
                  </w14:solidFill>
                </w14:textFill>
              </w:rPr>
              <w:t>CA presentation</w:t>
            </w:r>
            <w:r>
              <w:rPr>
                <w:rFonts w:cs="Arial Unicode MS" w:eastAsia="Arial Unicode MS"/>
                <w:rtl w:val="0"/>
              </w:rPr>
              <w:t xml:space="preserve">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 xml:space="preserve">January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outline w:val="0"/>
                <w:color w:val="960d52"/>
                <w:sz w:val="24"/>
                <w:szCs w:val="24"/>
                <w:rtl w:val="0"/>
                <w:lang w:val="fr-FR"/>
                <w14:textFill>
                  <w14:solidFill>
                    <w14:srgbClr w14:val="970E53"/>
                  </w14:solidFill>
                </w14:textFill>
              </w:rPr>
              <w:t>POE essay</w:t>
            </w:r>
            <w:r>
              <w:rPr>
                <w:outline w:val="0"/>
                <w:color w:val="960d52"/>
                <w:rtl w:val="0"/>
                <w14:textFill>
                  <w14:solidFill>
                    <w14:srgbClr w14:val="970E53"/>
                  </w14:solidFill>
                </w14:textFill>
              </w:rPr>
              <w:t xml:space="preserve">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sz w:val="24"/>
                <w:szCs w:val="24"/>
                <w:rtl w:val="0"/>
              </w:rPr>
              <w:t xml:space="preserve">January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outline w:val="0"/>
                <w:color w:val="960d52"/>
                <w:sz w:val="24"/>
                <w:szCs w:val="24"/>
                <w:rtl w:val="0"/>
                <w14:textFill>
                  <w14:solidFill>
                    <w14:srgbClr w14:val="970E53"/>
                  </w14:solidFill>
                </w14:textFill>
              </w:rPr>
              <w:t xml:space="preserve">CI portfolio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 xml:space="preserve">January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outline w:val="0"/>
                <w:color w:val="017000"/>
                <w:sz w:val="24"/>
                <w:szCs w:val="24"/>
                <w:rtl w:val="0"/>
                <w14:textFill>
                  <w14:solidFill>
                    <w14:srgbClr w14:val="017100"/>
                  </w14:solidFill>
                </w14:textFill>
              </w:rPr>
              <w:t xml:space="preserve">Conduct Interviews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sz w:val="24"/>
                <w:szCs w:val="24"/>
                <w:rtl w:val="0"/>
              </w:rPr>
              <w:t xml:space="preserve">February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outline w:val="0"/>
                <w:color w:val="004c7f"/>
                <w:sz w:val="24"/>
                <w:szCs w:val="24"/>
                <w:rtl w:val="0"/>
                <w14:textFill>
                  <w14:solidFill>
                    <w14:srgbClr w14:val="004D80"/>
                  </w14:solidFill>
                </w14:textFill>
              </w:rPr>
              <w:t xml:space="preserve">Data Analysis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 xml:space="preserve">February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outline w:val="0"/>
                <w:color w:val="004c7f"/>
                <w:sz w:val="24"/>
                <w:szCs w:val="24"/>
                <w:rtl w:val="0"/>
                <w14:textFill>
                  <w14:solidFill>
                    <w14:srgbClr w14:val="004D80"/>
                  </w14:solidFill>
                </w14:textFill>
              </w:rPr>
              <w:t xml:space="preserve">Discussion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sz w:val="24"/>
                <w:szCs w:val="24"/>
                <w:rtl w:val="0"/>
              </w:rPr>
              <w:t xml:space="preserve">March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outline w:val="0"/>
                <w:color w:val="004c7f"/>
                <w:sz w:val="24"/>
                <w:szCs w:val="24"/>
                <w:rtl w:val="0"/>
                <w14:textFill>
                  <w14:solidFill>
                    <w14:srgbClr w14:val="004D80"/>
                  </w14:solidFill>
                </w14:textFill>
              </w:rPr>
              <w:t xml:space="preserve">Conclusion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 xml:space="preserve">March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bidi w:val="0"/>
            </w:pPr>
            <w:r>
              <w:rPr>
                <w:rFonts w:ascii="Times New Roman" w:hAnsi="Times New Roman"/>
                <w:outline w:val="0"/>
                <w:color w:val="004c7f"/>
                <w:sz w:val="24"/>
                <w:szCs w:val="24"/>
                <w:rtl w:val="0"/>
                <w:lang w:val="en-US"/>
                <w14:textFill>
                  <w14:solidFill>
                    <w14:srgbClr w14:val="004D80"/>
                  </w14:solidFill>
                </w14:textFill>
              </w:rPr>
              <w:t>Completed Dissertation</w:t>
            </w:r>
            <w:r>
              <w:rPr>
                <w:rFonts w:cs="Arial Unicode MS" w:eastAsia="Arial Unicode MS"/>
                <w:rtl w:val="0"/>
              </w:rPr>
              <w:t xml:space="preserve">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pPr>
              <w:pStyle w:val="Table Style 2"/>
            </w:pPr>
            <w:r>
              <w:rPr>
                <w:rFonts w:ascii="Times New Roman" w:hAnsi="Times New Roman"/>
                <w:sz w:val="24"/>
                <w:szCs w:val="24"/>
                <w:rtl w:val="0"/>
              </w:rPr>
              <w:t xml:space="preserve">April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f7f7f6"/>
            <w:tcMar>
              <w:top w:type="dxa" w:w="80"/>
              <w:left w:type="dxa" w:w="80"/>
              <w:bottom w:type="dxa" w:w="80"/>
              <w:right w:type="dxa" w:w="80"/>
            </w:tcMar>
            <w:vAlign w:val="top"/>
          </w:tcPr>
          <w:p/>
        </w:tc>
      </w:tr>
      <w:tr>
        <w:tblPrEx>
          <w:shd w:val="clear" w:color="auto" w:fill="auto"/>
        </w:tblPrEx>
        <w:trPr>
          <w:trHeight w:val="300" w:hRule="atLeast"/>
        </w:trPr>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outline w:val="0"/>
                <w:color w:val="004c7f"/>
                <w:sz w:val="24"/>
                <w:szCs w:val="24"/>
                <w:rtl w:val="0"/>
                <w14:textFill>
                  <w14:solidFill>
                    <w14:srgbClr w14:val="004D80"/>
                  </w14:solidFill>
                </w14:textFill>
              </w:rPr>
              <w:t xml:space="preserve">Abstract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pPr>
              <w:pStyle w:val="Table Style 2"/>
            </w:pPr>
            <w:r>
              <w:rPr>
                <w:rFonts w:ascii="Times New Roman" w:hAnsi="Times New Roman"/>
                <w:sz w:val="24"/>
                <w:szCs w:val="24"/>
                <w:rtl w:val="0"/>
              </w:rPr>
              <w:t xml:space="preserve">May </w:t>
            </w:r>
          </w:p>
        </w:tc>
        <w:tc>
          <w:tcPr>
            <w:tcW w:type="dxa" w:w="3209"/>
            <w:tcBorders>
              <w:top w:val="single" w:color="929292" w:sz="4" w:space="0" w:shadow="0" w:frame="0"/>
              <w:left w:val="single" w:color="929292" w:sz="4" w:space="0" w:shadow="0" w:frame="0"/>
              <w:bottom w:val="single" w:color="929292" w:sz="4" w:space="0" w:shadow="0" w:frame="0"/>
              <w:right w:val="single" w:color="929292" w:sz="4" w:space="0" w:shadow="0" w:frame="0"/>
            </w:tcBorders>
            <w:shd w:val="clear" w:color="auto" w:fill="auto"/>
            <w:tcMar>
              <w:top w:type="dxa" w:w="80"/>
              <w:left w:type="dxa" w:w="80"/>
              <w:bottom w:type="dxa" w:w="80"/>
              <w:right w:type="dxa" w:w="80"/>
            </w:tcMar>
            <w:vAlign w:val="top"/>
          </w:tcPr>
          <w:p/>
        </w:tc>
      </w:tr>
    </w:tbl>
    <w:p>
      <w:pPr>
        <w:pStyle w:val="Body"/>
        <w:rPr>
          <w:rFonts w:ascii="Times New Roman" w:cs="Times New Roman" w:hAnsi="Times New Roman" w:eastAsia="Times New Roman"/>
          <w:sz w:val="24"/>
          <w:szCs w:val="24"/>
          <w:u w:val="single"/>
        </w:rPr>
      </w:pPr>
    </w:p>
    <w:p>
      <w:pPr>
        <w:pStyle w:val="Body"/>
        <w:rPr>
          <w:rFonts w:ascii="Times New Roman" w:cs="Times New Roman" w:hAnsi="Times New Roman" w:eastAsia="Times New Roman"/>
          <w:sz w:val="24"/>
          <w:szCs w:val="24"/>
          <w:u w:val="single"/>
        </w:rPr>
      </w:pPr>
    </w:p>
    <w:p>
      <w:pPr>
        <w:pStyle w:val="Body"/>
        <w:rPr>
          <w:rFonts w:ascii="Times New Roman" w:cs="Times New Roman" w:hAnsi="Times New Roman" w:eastAsia="Times New Roman"/>
          <w:sz w:val="24"/>
          <w:szCs w:val="24"/>
          <w:u w:val="single"/>
        </w:rPr>
      </w:pPr>
    </w:p>
    <w:p>
      <w:pPr>
        <w:pStyle w:val="Body"/>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References</w:t>
      </w:r>
    </w:p>
    <w:p>
      <w:pPr>
        <w:pStyle w:val="Body"/>
        <w:rPr>
          <w:rFonts w:ascii="Times New Roman" w:cs="Times New Roman" w:hAnsi="Times New Roman" w:eastAsia="Times New Roman"/>
          <w:sz w:val="24"/>
          <w:szCs w:val="24"/>
          <w:u w:val="single"/>
        </w:rPr>
      </w:pPr>
      <w:r>
        <w:rPr>
          <w:rFonts w:ascii="Times New Roman" w:hAnsi="Times New Roman"/>
          <w:sz w:val="24"/>
          <w:szCs w:val="24"/>
          <w:u w:val="single"/>
          <w:rtl w:val="0"/>
          <w:lang w:val="en-US"/>
        </w:rPr>
        <w:t xml:space="preserve"> </w:t>
      </w:r>
    </w:p>
    <w:p>
      <w:pPr>
        <w:pStyle w:val="Default"/>
        <w:bidi w:val="0"/>
        <w:spacing w:before="0" w:after="160" w:line="259" w:lineRule="auto"/>
        <w:ind w:left="0" w:right="278" w:firstLine="0"/>
        <w:jc w:val="left"/>
        <w:rPr>
          <w:rFonts w:ascii="Times New Roman" w:cs="Times New Roman" w:hAnsi="Times New Roman" w:eastAsia="Times New Roman"/>
          <w:rtl w:val="0"/>
        </w:rPr>
      </w:pPr>
      <w:r>
        <w:rPr>
          <w:rFonts w:ascii="Times New Roman" w:hAnsi="Times New Roman"/>
          <w:rtl w:val="0"/>
          <w:lang w:val="en-US"/>
        </w:rPr>
        <w:t xml:space="preserve">Allen-Craig, S., Gray, T. and Charles, R. </w:t>
      </w:r>
      <w:r>
        <w:rPr>
          <w:rFonts w:ascii="Times New Roman" w:hAnsi="Times New Roman"/>
          <w:i w:val="1"/>
          <w:iCs w:val="1"/>
          <w:rtl w:val="0"/>
          <w:lang w:val="nl-NL"/>
        </w:rPr>
        <w:t xml:space="preserve">et al </w:t>
      </w:r>
      <w:r>
        <w:rPr>
          <w:rFonts w:ascii="Times New Roman" w:hAnsi="Times New Roman"/>
          <w:rtl w:val="0"/>
        </w:rPr>
        <w:t>(2020)</w:t>
      </w:r>
      <w:r>
        <w:rPr>
          <w:rFonts w:ascii="Times New Roman" w:hAnsi="Times New Roman"/>
          <w:rtl w:val="0"/>
          <w:lang w:val="en-US"/>
        </w:rPr>
        <w:t>.</w:t>
      </w:r>
      <w:r>
        <w:rPr>
          <w:rFonts w:ascii="Times New Roman" w:hAnsi="Times New Roman"/>
          <w:rtl w:val="0"/>
        </w:rPr>
        <w:t xml:space="preserve"> </w:t>
      </w:r>
      <w:r>
        <w:rPr>
          <w:rFonts w:ascii="Times New Roman" w:hAnsi="Times New Roman" w:hint="default"/>
          <w:i w:val="1"/>
          <w:iCs w:val="1"/>
          <w:rtl w:val="1"/>
        </w:rPr>
        <w:t>‘</w:t>
      </w:r>
      <w:r>
        <w:rPr>
          <w:rFonts w:ascii="Times New Roman" w:hAnsi="Times New Roman"/>
          <w:i w:val="1"/>
          <w:iCs w:val="1"/>
          <w:rtl w:val="0"/>
          <w:lang w:val="en-US"/>
        </w:rPr>
        <w:t>Together we have impact: Exploring Gendered Experiences in Outdoor Leadership</w:t>
      </w:r>
      <w:r>
        <w:rPr>
          <w:rFonts w:ascii="Times New Roman" w:hAnsi="Times New Roman" w:hint="default"/>
          <w:i w:val="1"/>
          <w:iCs w:val="1"/>
          <w:rtl w:val="1"/>
        </w:rPr>
        <w:t xml:space="preserve">’ </w:t>
      </w:r>
      <w:r>
        <w:rPr>
          <w:rFonts w:ascii="Times New Roman" w:hAnsi="Times New Roman"/>
          <w:rtl w:val="0"/>
          <w:lang w:val="en-US"/>
        </w:rPr>
        <w:t>Journal of Outdoor Recreation, Education and Leadership Vol. 12, No 1, pp.121-139</w:t>
      </w:r>
      <w:r>
        <w:rPr>
          <w:rFonts w:ascii="Times New Roman" w:hAnsi="Times New Roman"/>
          <w:rtl w:val="0"/>
          <w:lang w:val="en-US"/>
        </w:rPr>
        <w:t xml:space="preserve"> </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Argus, S.M., (2018) </w:t>
      </w:r>
      <w:r>
        <w:rPr>
          <w:rFonts w:ascii="Times New Roman" w:hAnsi="Times New Roman"/>
          <w:i w:val="1"/>
          <w:iCs w:val="1"/>
          <w:sz w:val="24"/>
          <w:szCs w:val="24"/>
          <w:rtl w:val="0"/>
          <w:lang w:val="en-US"/>
        </w:rPr>
        <w:t xml:space="preserve">LGBTQ Girl Scouts Reflect on Their Outdoor Experiences </w:t>
      </w:r>
      <w:r>
        <w:rPr>
          <w:rFonts w:ascii="Times New Roman" w:hAnsi="Times New Roman"/>
          <w:sz w:val="24"/>
          <w:szCs w:val="24"/>
          <w:rtl w:val="0"/>
          <w:lang w:val="en-US"/>
        </w:rPr>
        <w:t>T. Gray, D. Mitten (eds.), The Palgrave International Handbook</w:t>
      </w:r>
      <w:r>
        <w:rPr>
          <w:rFonts w:ascii="Times New Roman" w:hAnsi="Times New Roman"/>
          <w:sz w:val="24"/>
          <w:szCs w:val="24"/>
          <w:rtl w:val="0"/>
          <w:lang w:val="en-US"/>
        </w:rPr>
        <w:t xml:space="preserve"> </w:t>
      </w:r>
      <w:r>
        <w:rPr>
          <w:rFonts w:ascii="Times New Roman" w:hAnsi="Times New Roman"/>
          <w:sz w:val="24"/>
          <w:szCs w:val="24"/>
          <w:rtl w:val="0"/>
          <w:lang w:val="en-US"/>
        </w:rPr>
        <w:t>of Women and Outdoor Learning, Palgrave Studies in Gender and</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Education,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"https://doi.org/10.1007/978-3-319-53550-0_35"</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https://doi.org/10.1007/978-3-319-53550-0_35</w:t>
      </w:r>
      <w:r>
        <w:rPr>
          <w:rFonts w:ascii="Times New Roman" w:cs="Times New Roman" w:hAnsi="Times New Roman" w:eastAsia="Times New Roman"/>
          <w:sz w:val="24"/>
          <w:szCs w:val="24"/>
        </w:rPr>
        <w:fldChar w:fldCharType="end" w:fldLock="0"/>
      </w:r>
    </w:p>
    <w:p>
      <w:pPr>
        <w:pStyle w:val="Body"/>
        <w:rPr>
          <w:rFonts w:ascii="Times New Roman" w:cs="Times New Roman" w:hAnsi="Times New Roman" w:eastAsia="Times New Roman"/>
          <w:sz w:val="24"/>
          <w:szCs w:val="24"/>
        </w:rPr>
      </w:pPr>
    </w:p>
    <w:p>
      <w:pPr>
        <w:pStyle w:val="Default"/>
        <w:bidi w:val="0"/>
        <w:spacing w:before="0" w:after="160" w:line="259" w:lineRule="auto"/>
        <w:ind w:left="0" w:right="278" w:firstLine="0"/>
        <w:jc w:val="left"/>
        <w:rPr>
          <w:rFonts w:ascii="Times New Roman" w:cs="Times New Roman" w:hAnsi="Times New Roman" w:eastAsia="Times New Roman"/>
          <w:rtl w:val="0"/>
        </w:rPr>
      </w:pPr>
      <w:r>
        <w:rPr>
          <w:rFonts w:ascii="Times New Roman" w:hAnsi="Times New Roman"/>
          <w:rtl w:val="0"/>
          <w:lang w:val="en-US"/>
        </w:rPr>
        <w:t xml:space="preserve">Bren, C., and Prince, H. E., (2022). </w:t>
      </w:r>
      <w:r>
        <w:rPr>
          <w:rFonts w:ascii="Times New Roman" w:hAnsi="Times New Roman"/>
          <w:i w:val="1"/>
          <w:iCs w:val="1"/>
          <w:rtl w:val="0"/>
          <w:lang w:val="en-US"/>
        </w:rPr>
        <w:t>The experiences of trans and non</w:t>
      </w:r>
      <w:r>
        <w:rPr>
          <w:rFonts w:ascii="Arial Unicode MS" w:cs="Arial Unicode MS" w:hAnsi="Arial Unicode MS" w:eastAsia="Arial Unicode MS" w:hint="default"/>
          <w:b w:val="0"/>
          <w:bCs w:val="0"/>
          <w:i w:val="0"/>
          <w:iCs w:val="0"/>
          <w:rtl w:val="0"/>
        </w:rPr>
        <w:t>‐</w:t>
      </w:r>
      <w:r>
        <w:rPr>
          <w:rFonts w:ascii="Times New Roman" w:hAnsi="Times New Roman"/>
          <w:i w:val="1"/>
          <w:iCs w:val="1"/>
          <w:rtl w:val="0"/>
          <w:lang w:val="en-US"/>
        </w:rPr>
        <w:t>binary participants in residential and non</w:t>
      </w:r>
      <w:r>
        <w:rPr>
          <w:rFonts w:ascii="Arial Unicode MS" w:cs="Arial Unicode MS" w:hAnsi="Arial Unicode MS" w:eastAsia="Arial Unicode MS" w:hint="default"/>
          <w:b w:val="0"/>
          <w:bCs w:val="0"/>
          <w:i w:val="0"/>
          <w:iCs w:val="0"/>
          <w:rtl w:val="0"/>
        </w:rPr>
        <w:t>‐</w:t>
      </w:r>
      <w:r>
        <w:rPr>
          <w:rFonts w:ascii="Times New Roman" w:hAnsi="Times New Roman"/>
          <w:i w:val="1"/>
          <w:iCs w:val="1"/>
          <w:rtl w:val="0"/>
          <w:lang w:val="en-US"/>
        </w:rPr>
        <w:t>residential outdoor programmes</w:t>
      </w:r>
      <w:r>
        <w:rPr>
          <w:rFonts w:ascii="Times New Roman" w:hAnsi="Times New Roman"/>
          <w:i w:val="1"/>
          <w:iCs w:val="1"/>
          <w:rtl w:val="0"/>
          <w:lang w:val="en-US"/>
        </w:rPr>
        <w:t xml:space="preserve">. </w:t>
      </w:r>
      <w:r>
        <w:rPr>
          <w:rFonts w:ascii="Times New Roman" w:hAnsi="Times New Roman"/>
          <w:rtl w:val="0"/>
          <w:lang w:val="en-US"/>
        </w:rPr>
        <w:t>Journal of Outdoor and Environmental Education (2022) 25:27</w:t>
      </w:r>
      <w:r>
        <w:rPr>
          <w:rFonts w:ascii="Times New Roman" w:hAnsi="Times New Roman" w:hint="default"/>
          <w:rtl w:val="0"/>
        </w:rPr>
        <w:t>–</w:t>
      </w:r>
      <w:r>
        <w:rPr>
          <w:rFonts w:ascii="Times New Roman" w:hAnsi="Times New Roman"/>
          <w:rtl w:val="0"/>
          <w:lang w:val="en-US"/>
        </w:rPr>
        <w:t xml:space="preserve">45 https://doi.org/10.1007/s42322-021-00092-9 </w:t>
      </w:r>
    </w:p>
    <w:p>
      <w:pPr>
        <w:pStyle w:val="Default"/>
        <w:bidi w:val="0"/>
        <w:spacing w:before="0" w:line="24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de-DE"/>
        </w:rPr>
        <w:t>Cohen, L. (2018)</w:t>
      </w:r>
      <w:r>
        <w:rPr>
          <w:rFonts w:ascii="Times New Roman" w:hAnsi="Times New Roman"/>
          <w:shd w:val="clear" w:color="auto" w:fill="ffffff"/>
          <w:rtl w:val="0"/>
          <w:lang w:val="en-US"/>
        </w:rPr>
        <w:t>.</w:t>
      </w:r>
      <w:r>
        <w:rPr>
          <w:rFonts w:ascii="Times New Roman" w:hAnsi="Times New Roman"/>
          <w:shd w:val="clear" w:color="auto" w:fill="ffffff"/>
          <w:rtl w:val="0"/>
        </w:rPr>
        <w:t xml:space="preserve"> </w:t>
      </w:r>
      <w:r>
        <w:rPr>
          <w:rFonts w:ascii="Times New Roman" w:hAnsi="Times New Roman"/>
          <w:i w:val="1"/>
          <w:iCs w:val="1"/>
          <w:shd w:val="clear" w:color="auto" w:fill="ffffff"/>
          <w:rtl w:val="0"/>
          <w:lang w:val="en-US"/>
        </w:rPr>
        <w:t xml:space="preserve">Research methods in education </w:t>
      </w:r>
      <w:r>
        <w:rPr>
          <w:rFonts w:ascii="Times New Roman" w:hAnsi="Times New Roman"/>
          <w:shd w:val="clear" w:color="auto" w:fill="ffffff"/>
          <w:rtl w:val="0"/>
          <w:lang w:val="en-US"/>
        </w:rPr>
        <w:t>. Eighth edition. London</w:t>
      </w:r>
      <w:r>
        <w:rPr>
          <w:rFonts w:ascii="Times New Roman" w:hAnsi="Times New Roman" w:hint="default"/>
          <w:shd w:val="clear" w:color="auto" w:fill="ffffff"/>
          <w:rtl w:val="0"/>
          <w:lang w:val="fr-FR"/>
        </w:rPr>
        <w:t> </w:t>
      </w:r>
      <w:r>
        <w:rPr>
          <w:rFonts w:ascii="Times New Roman" w:hAnsi="Times New Roman"/>
          <w:shd w:val="clear" w:color="auto" w:fill="ffffff"/>
          <w:rtl w:val="0"/>
          <w:lang w:val="en-US"/>
        </w:rPr>
        <w:t>:, Routledge</w:t>
      </w:r>
    </w:p>
    <w:p>
      <w:pPr>
        <w:pStyle w:val="Default"/>
        <w:bidi w:val="0"/>
        <w:spacing w:before="0" w:line="240" w:lineRule="auto"/>
        <w:ind w:left="0" w:right="0" w:firstLine="0"/>
        <w:jc w:val="left"/>
        <w:rPr>
          <w:rFonts w:ascii="Times New Roman" w:cs="Times New Roman" w:hAnsi="Times New Roman" w:eastAsia="Times New Roman"/>
          <w:shd w:val="clear" w:color="auto" w:fill="ffffff"/>
          <w:rtl w:val="0"/>
        </w:rPr>
      </w:pPr>
    </w:p>
    <w:p>
      <w:pPr>
        <w:pStyle w:val="Default"/>
        <w:bidi w:val="0"/>
        <w:spacing w:before="0" w:line="24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 xml:space="preserve">Creswell, J., and Poth, C.N., (2018). </w:t>
      </w:r>
      <w:r>
        <w:rPr>
          <w:rFonts w:ascii="Times New Roman" w:hAnsi="Times New Roman"/>
          <w:i w:val="1"/>
          <w:iCs w:val="1"/>
          <w:shd w:val="clear" w:color="auto" w:fill="ffffff"/>
          <w:rtl w:val="0"/>
          <w:lang w:val="en-US"/>
        </w:rPr>
        <w:t xml:space="preserve">Qualitative inquiry and research design; Choosing among five approaches. </w:t>
      </w:r>
      <w:r>
        <w:rPr>
          <w:rFonts w:ascii="Times New Roman" w:hAnsi="Times New Roman"/>
          <w:shd w:val="clear" w:color="auto" w:fill="ffffff"/>
          <w:rtl w:val="0"/>
          <w:lang w:val="en-US"/>
        </w:rPr>
        <w:t>Fourth Edition. Great Britain: SAGE Publications, Inc.</w:t>
      </w:r>
    </w:p>
    <w:p>
      <w:pPr>
        <w:pStyle w:val="Default"/>
        <w:bidi w:val="0"/>
        <w:spacing w:before="0" w:line="240" w:lineRule="auto"/>
        <w:ind w:left="0" w:right="0" w:firstLine="0"/>
        <w:jc w:val="left"/>
        <w:rPr>
          <w:rFonts w:ascii="Times New Roman" w:cs="Times New Roman" w:hAnsi="Times New Roman" w:eastAsia="Times New Roman"/>
          <w:shd w:val="clear" w:color="auto" w:fill="ffffff"/>
          <w:rtl w:val="0"/>
        </w:rPr>
      </w:pPr>
    </w:p>
    <w:p>
      <w:pPr>
        <w:pStyle w:val="Default"/>
        <w:bidi w:val="0"/>
        <w:spacing w:before="0" w:line="240" w:lineRule="auto"/>
        <w:ind w:left="0" w:right="0" w:firstLine="0"/>
        <w:jc w:val="left"/>
        <w:rPr>
          <w:rFonts w:ascii="Times New Roman" w:cs="Times New Roman" w:hAnsi="Times New Roman" w:eastAsia="Times New Roman"/>
          <w:i w:val="1"/>
          <w:iCs w:val="1"/>
          <w:shd w:val="clear" w:color="auto" w:fill="ffffff"/>
          <w:rtl w:val="0"/>
        </w:rPr>
      </w:pPr>
      <w:r>
        <w:rPr>
          <w:rFonts w:ascii="Times New Roman" w:hAnsi="Times New Roman"/>
          <w:shd w:val="clear" w:color="auto" w:fill="ffffff"/>
          <w:rtl w:val="0"/>
          <w:lang w:val="en-US"/>
        </w:rPr>
        <w:t xml:space="preserve">Gibbs, G.R. (2018). </w:t>
      </w:r>
      <w:r>
        <w:rPr>
          <w:rFonts w:ascii="Times New Roman" w:hAnsi="Times New Roman"/>
          <w:i w:val="1"/>
          <w:iCs w:val="1"/>
          <w:shd w:val="clear" w:color="auto" w:fill="ffffff"/>
          <w:rtl w:val="0"/>
          <w:lang w:val="en-US"/>
        </w:rPr>
        <w:t>Analyzing Qualitative Data</w:t>
      </w:r>
      <w:r>
        <w:rPr>
          <w:rFonts w:ascii="Times New Roman" w:hAnsi="Times New Roman"/>
          <w:shd w:val="clear" w:color="auto" w:fill="ffffff"/>
          <w:rtl w:val="0"/>
          <w:lang w:val="en-US"/>
        </w:rPr>
        <w:t xml:space="preserve">. Second Edition. London: SAGE Publications Ltd. </w:t>
      </w:r>
      <w:r>
        <w:rPr>
          <w:rFonts w:ascii="Times New Roman" w:hAnsi="Times New Roman"/>
          <w:i w:val="1"/>
          <w:iCs w:val="1"/>
          <w:shd w:val="clear" w:color="auto" w:fill="ffffff"/>
          <w:rtl w:val="0"/>
          <w:lang w:val="en-US"/>
        </w:rPr>
        <w:t xml:space="preserve"> </w:t>
      </w:r>
    </w:p>
    <w:p>
      <w:pPr>
        <w:pStyle w:val="Default"/>
        <w:bidi w:val="0"/>
        <w:spacing w:before="0" w:line="240" w:lineRule="auto"/>
        <w:ind w:left="0" w:right="0" w:firstLine="0"/>
        <w:jc w:val="left"/>
        <w:rPr>
          <w:rFonts w:ascii="Times New Roman" w:cs="Times New Roman" w:hAnsi="Times New Roman" w:eastAsia="Times New Roman"/>
          <w:i w:val="1"/>
          <w:iCs w:val="1"/>
          <w:shd w:val="clear" w:color="auto" w:fill="ffffff"/>
          <w:rtl w:val="0"/>
        </w:rPr>
      </w:pPr>
    </w:p>
    <w:p>
      <w:pPr>
        <w:pStyle w:val="Default"/>
        <w:bidi w:val="0"/>
        <w:spacing w:before="0" w:line="24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 xml:space="preserve">Gray, D.E. (2022). </w:t>
      </w:r>
      <w:r>
        <w:rPr>
          <w:rFonts w:ascii="Times New Roman" w:hAnsi="Times New Roman"/>
          <w:i w:val="1"/>
          <w:iCs w:val="1"/>
          <w:shd w:val="clear" w:color="auto" w:fill="ffffff"/>
          <w:rtl w:val="0"/>
          <w:lang w:val="en-US"/>
        </w:rPr>
        <w:t xml:space="preserve">Doing Research in the Real World. </w:t>
      </w:r>
      <w:r>
        <w:rPr>
          <w:rFonts w:ascii="Times New Roman" w:hAnsi="Times New Roman"/>
          <w:shd w:val="clear" w:color="auto" w:fill="ffffff"/>
          <w:rtl w:val="0"/>
          <w:lang w:val="en-US"/>
        </w:rPr>
        <w:t xml:space="preserve">Fifth Edition. </w:t>
      </w:r>
      <w:r>
        <w:rPr>
          <w:rFonts w:ascii="Times New Roman" w:hAnsi="Times New Roman"/>
          <w:shd w:val="clear" w:color="auto" w:fill="ffffff"/>
          <w:rtl w:val="0"/>
          <w:lang w:val="en-US"/>
        </w:rPr>
        <w:t>London: SAGE Publications Ltd.</w:t>
      </w:r>
    </w:p>
    <w:p>
      <w:pPr>
        <w:pStyle w:val="Default"/>
        <w:bidi w:val="0"/>
        <w:spacing w:before="0" w:line="240" w:lineRule="auto"/>
        <w:ind w:left="0" w:right="0" w:firstLine="0"/>
        <w:jc w:val="left"/>
        <w:rPr>
          <w:rFonts w:ascii="Times New Roman" w:cs="Times New Roman" w:hAnsi="Times New Roman" w:eastAsia="Times New Roman"/>
          <w:shd w:val="clear" w:color="auto" w:fill="ffffff"/>
          <w:rtl w:val="0"/>
        </w:rPr>
      </w:pPr>
    </w:p>
    <w:p>
      <w:pPr>
        <w:pStyle w:val="Default"/>
        <w:bidi w:val="0"/>
        <w:spacing w:before="0" w:after="160" w:line="259" w:lineRule="auto"/>
        <w:ind w:left="0" w:right="278" w:firstLine="0"/>
        <w:jc w:val="left"/>
        <w:rPr>
          <w:rFonts w:ascii="Times New Roman" w:cs="Times New Roman" w:hAnsi="Times New Roman" w:eastAsia="Times New Roman"/>
          <w:rtl w:val="0"/>
        </w:rPr>
      </w:pPr>
      <w:r>
        <w:rPr>
          <w:rFonts w:ascii="Times New Roman" w:hAnsi="Times New Roman"/>
          <w:rtl w:val="0"/>
          <w:lang w:val="en-US"/>
        </w:rPr>
        <w:t xml:space="preserve">Gray, T. (2016) </w:t>
      </w:r>
      <w:r>
        <w:rPr>
          <w:rFonts w:ascii="Times New Roman" w:hAnsi="Times New Roman"/>
          <w:i w:val="1"/>
          <w:iCs w:val="1"/>
          <w:rtl w:val="0"/>
          <w:lang w:val="en-US"/>
        </w:rPr>
        <w:t xml:space="preserve">The </w:t>
      </w:r>
      <w:r>
        <w:rPr>
          <w:rFonts w:ascii="Times New Roman" w:hAnsi="Times New Roman" w:hint="default"/>
          <w:i w:val="1"/>
          <w:iCs w:val="1"/>
          <w:rtl w:val="1"/>
          <w:lang w:val="ar-SA" w:bidi="ar-SA"/>
        </w:rPr>
        <w:t>“</w:t>
      </w:r>
      <w:r>
        <w:rPr>
          <w:rFonts w:ascii="Times New Roman" w:hAnsi="Times New Roman"/>
          <w:i w:val="1"/>
          <w:iCs w:val="1"/>
          <w:rtl w:val="0"/>
        </w:rPr>
        <w:t>F</w:t>
      </w:r>
      <w:r>
        <w:rPr>
          <w:rFonts w:ascii="Times New Roman" w:hAnsi="Times New Roman" w:hint="default"/>
          <w:i w:val="1"/>
          <w:iCs w:val="1"/>
          <w:rtl w:val="0"/>
        </w:rPr>
        <w:t xml:space="preserve">” </w:t>
      </w:r>
      <w:r>
        <w:rPr>
          <w:rFonts w:ascii="Times New Roman" w:hAnsi="Times New Roman"/>
          <w:i w:val="1"/>
          <w:iCs w:val="1"/>
          <w:rtl w:val="0"/>
          <w:lang w:val="en-US"/>
        </w:rPr>
        <w:t>word: Feminism in outdoor education</w:t>
      </w:r>
      <w:r>
        <w:rPr>
          <w:rFonts w:ascii="Times New Roman" w:hAnsi="Times New Roman"/>
          <w:i w:val="1"/>
          <w:iCs w:val="1"/>
          <w:rtl w:val="0"/>
          <w:lang w:val="en-US"/>
        </w:rPr>
        <w:t xml:space="preserve">. </w:t>
      </w:r>
      <w:r>
        <w:rPr>
          <w:rFonts w:ascii="Times New Roman" w:hAnsi="Times New Roman"/>
          <w:rtl w:val="0"/>
          <w:lang w:val="en-US"/>
        </w:rPr>
        <w:t xml:space="preserve">Journal of Outdoor and Environmental Education, 19(2), </w:t>
      </w:r>
      <w:r>
        <w:rPr>
          <w:rFonts w:ascii="Arial Unicode MS" w:cs="Arial Unicode MS" w:hAnsi="Arial Unicode MS" w:eastAsia="Arial Unicode MS" w:hint="eastAsia"/>
          <w:b w:val="0"/>
          <w:bCs w:val="0"/>
          <w:i w:val="0"/>
          <w:iCs w:val="0"/>
          <w:rtl w:val="0"/>
        </w:rPr>
        <w:t>􏰖􏱄􏰘􏱅􏰙􏰵</w:t>
      </w:r>
      <w:r>
        <w:rPr>
          <w:rFonts w:ascii="Times New Roman" w:hAnsi="Times New Roman"/>
          <w:rtl w:val="0"/>
          <w:lang w:val="en-US"/>
        </w:rPr>
        <w:t>25-41</w:t>
      </w:r>
    </w:p>
    <w:p>
      <w:pPr>
        <w:pStyle w:val="Default"/>
        <w:bidi w:val="0"/>
        <w:spacing w:before="0" w:after="160" w:line="259" w:lineRule="auto"/>
        <w:ind w:left="0" w:right="278" w:firstLine="0"/>
        <w:jc w:val="left"/>
        <w:rPr>
          <w:rFonts w:ascii="Times New Roman" w:cs="Times New Roman" w:hAnsi="Times New Roman" w:eastAsia="Times New Roman"/>
          <w:rtl w:val="0"/>
        </w:rPr>
      </w:pPr>
      <w:r>
        <w:rPr>
          <w:rFonts w:ascii="Times New Roman" w:hAnsi="Times New Roman"/>
          <w:rtl w:val="0"/>
          <w:lang w:val="en-US"/>
        </w:rPr>
        <w:t xml:space="preserve">Henderson, K. (1996). </w:t>
      </w:r>
      <w:r>
        <w:rPr>
          <w:rFonts w:ascii="Times New Roman" w:hAnsi="Times New Roman"/>
          <w:i w:val="1"/>
          <w:iCs w:val="1"/>
          <w:rtl w:val="0"/>
          <w:lang w:val="en-US"/>
        </w:rPr>
        <w:t xml:space="preserve">Feminist Perspectives on Outdoor Leadership. </w:t>
      </w:r>
      <w:r>
        <w:rPr>
          <w:rFonts w:ascii="Times New Roman" w:hAnsi="Times New Roman"/>
          <w:rtl w:val="0"/>
          <w:lang w:val="en-US"/>
        </w:rPr>
        <w:t>Women</w:t>
      </w:r>
      <w:r>
        <w:rPr>
          <w:rFonts w:ascii="Times New Roman" w:hAnsi="Times New Roman" w:hint="default"/>
          <w:rtl w:val="0"/>
          <w:lang w:val="en-US"/>
        </w:rPr>
        <w:t>’</w:t>
      </w:r>
      <w:r>
        <w:rPr>
          <w:rFonts w:ascii="Times New Roman" w:hAnsi="Times New Roman"/>
          <w:rtl w:val="0"/>
          <w:lang w:val="en-US"/>
        </w:rPr>
        <w:t xml:space="preserve">s Voices in Experiential Education </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Humberstone</w:t>
      </w:r>
      <w:r>
        <w:rPr>
          <w:rFonts w:ascii="Times New Roman" w:hAnsi="Times New Roman"/>
          <w:sz w:val="24"/>
          <w:szCs w:val="24"/>
          <w:rtl w:val="0"/>
          <w:lang w:val="en-US"/>
        </w:rPr>
        <w:t>, B.</w:t>
      </w:r>
      <w:r>
        <w:rPr>
          <w:rFonts w:ascii="Times New Roman" w:hAnsi="Times New Roman"/>
          <w:sz w:val="24"/>
          <w:szCs w:val="24"/>
          <w:rtl w:val="0"/>
        </w:rPr>
        <w:t xml:space="preserve"> (2000)</w:t>
      </w:r>
      <w:r>
        <w:rPr>
          <w:rFonts w:ascii="Times New Roman" w:hAnsi="Times New Roman"/>
          <w:sz w:val="24"/>
          <w:szCs w:val="24"/>
          <w:rtl w:val="0"/>
          <w:lang w:val="en-US"/>
        </w:rPr>
        <w:t>.</w:t>
      </w:r>
      <w:r>
        <w:rPr>
          <w:rFonts w:ascii="Times New Roman" w:hAnsi="Times New Roman"/>
          <w:sz w:val="24"/>
          <w:szCs w:val="24"/>
          <w:rtl w:val="0"/>
        </w:rPr>
        <w:t xml:space="preserve"> </w:t>
      </w:r>
      <w:r>
        <w:rPr>
          <w:rFonts w:ascii="Times New Roman" w:hAnsi="Times New Roman"/>
          <w:i w:val="1"/>
          <w:iCs w:val="1"/>
          <w:sz w:val="24"/>
          <w:szCs w:val="24"/>
          <w:rtl w:val="0"/>
          <w:lang w:val="en-US"/>
        </w:rPr>
        <w:t xml:space="preserve">The </w:t>
      </w:r>
      <w:r>
        <w:rPr>
          <w:rFonts w:ascii="Times New Roman" w:hAnsi="Times New Roman" w:hint="default"/>
          <w:i w:val="1"/>
          <w:iCs w:val="1"/>
          <w:sz w:val="24"/>
          <w:szCs w:val="24"/>
          <w:rtl w:val="1"/>
        </w:rPr>
        <w:t>‘</w:t>
      </w:r>
      <w:r>
        <w:rPr>
          <w:rFonts w:ascii="Times New Roman" w:hAnsi="Times New Roman"/>
          <w:i w:val="1"/>
          <w:iCs w:val="1"/>
          <w:sz w:val="24"/>
          <w:szCs w:val="24"/>
          <w:rtl w:val="0"/>
          <w:lang w:val="en-US"/>
        </w:rPr>
        <w:t>outdoor industry</w:t>
      </w:r>
      <w:r>
        <w:rPr>
          <w:rFonts w:ascii="Times New Roman" w:hAnsi="Times New Roman" w:hint="default"/>
          <w:i w:val="1"/>
          <w:iCs w:val="1"/>
          <w:sz w:val="24"/>
          <w:szCs w:val="24"/>
          <w:rtl w:val="1"/>
        </w:rPr>
        <w:t xml:space="preserve">’ </w:t>
      </w:r>
      <w:r>
        <w:rPr>
          <w:rFonts w:ascii="Times New Roman" w:hAnsi="Times New Roman"/>
          <w:i w:val="1"/>
          <w:iCs w:val="1"/>
          <w:sz w:val="24"/>
          <w:szCs w:val="24"/>
          <w:rtl w:val="0"/>
          <w:lang w:val="en-US"/>
        </w:rPr>
        <w:t>as social and educational phenomena: Gender and outdoor adventure/education,</w:t>
      </w:r>
      <w:r>
        <w:rPr>
          <w:rFonts w:ascii="Times New Roman" w:hAnsi="Times New Roman"/>
          <w:sz w:val="24"/>
          <w:szCs w:val="24"/>
          <w:rtl w:val="0"/>
          <w:lang w:val="en-US"/>
        </w:rPr>
        <w:t xml:space="preserve"> Journal of Adventure Education &amp; Outdoor Learning, 1:1, 21-35, DOI: 10.1080/14729670085200041</w:t>
      </w:r>
    </w:p>
    <w:p>
      <w:pPr>
        <w:pStyle w:val="Body"/>
        <w:rPr>
          <w:rFonts w:ascii="Times New Roman" w:cs="Times New Roman" w:hAnsi="Times New Roman" w:eastAsia="Times New Roman"/>
          <w:sz w:val="24"/>
          <w:szCs w:val="24"/>
        </w:rPr>
      </w:pPr>
    </w:p>
    <w:p>
      <w:pPr>
        <w:pStyle w:val="Default"/>
        <w:bidi w:val="0"/>
        <w:spacing w:before="0" w:after="160" w:line="259" w:lineRule="auto"/>
        <w:ind w:left="0" w:right="278" w:firstLine="0"/>
        <w:jc w:val="left"/>
        <w:rPr>
          <w:rFonts w:ascii="Times New Roman" w:cs="Times New Roman" w:hAnsi="Times New Roman" w:eastAsia="Times New Roman"/>
          <w:rtl w:val="0"/>
        </w:rPr>
      </w:pPr>
      <w:r>
        <w:rPr>
          <w:rFonts w:ascii="Times New Roman" w:hAnsi="Times New Roman"/>
          <w:rtl w:val="0"/>
          <w:lang w:val="en-US"/>
        </w:rPr>
        <w:t xml:space="preserve">Kennedy, J. and Russell, C. (2021). </w:t>
      </w:r>
      <w:r>
        <w:rPr>
          <w:rFonts w:ascii="Times New Roman" w:hAnsi="Times New Roman" w:hint="default"/>
          <w:rtl w:val="0"/>
          <w:lang w:val="en-US"/>
        </w:rPr>
        <w:t>‘</w:t>
      </w:r>
      <w:r>
        <w:rPr>
          <w:rFonts w:ascii="Times New Roman" w:hAnsi="Times New Roman"/>
          <w:i w:val="1"/>
          <w:iCs w:val="1"/>
          <w:rtl w:val="0"/>
          <w:lang w:val="en-US"/>
        </w:rPr>
        <w:t>Hegemonic masculinity in outdoor education</w:t>
      </w:r>
      <w:r>
        <w:rPr>
          <w:rFonts w:ascii="Times New Roman" w:hAnsi="Times New Roman" w:hint="default"/>
          <w:i w:val="1"/>
          <w:iCs w:val="1"/>
          <w:rtl w:val="0"/>
          <w:lang w:val="en-US"/>
        </w:rPr>
        <w:t>’</w:t>
      </w:r>
      <w:r>
        <w:rPr>
          <w:rFonts w:ascii="Times New Roman" w:hAnsi="Times New Roman"/>
          <w:rtl w:val="0"/>
          <w:lang w:val="en-US"/>
        </w:rPr>
        <w:t xml:space="preserve"> </w:t>
      </w:r>
      <w:r>
        <w:rPr>
          <w:rFonts w:ascii="Times New Roman" w:hAnsi="Times New Roman"/>
          <w:rtl w:val="0"/>
          <w:lang w:val="en-US"/>
        </w:rPr>
        <w:t>Journal of Adventure Education and Outdoor Learning, 21:2, 162-171, DOI: 10.1080/14729679.2020.1755706</w:t>
      </w:r>
    </w:p>
    <w:p>
      <w:pPr>
        <w:pStyle w:val="Default"/>
        <w:bidi w:val="0"/>
        <w:spacing w:before="0" w:after="160" w:line="259" w:lineRule="auto"/>
        <w:ind w:left="0" w:right="278" w:firstLine="0"/>
        <w:jc w:val="left"/>
        <w:rPr>
          <w:rFonts w:ascii="Times New Roman" w:cs="Times New Roman" w:hAnsi="Times New Roman" w:eastAsia="Times New Roman"/>
          <w:rtl w:val="0"/>
        </w:rPr>
      </w:pPr>
      <w:r>
        <w:rPr>
          <w:rFonts w:ascii="Times New Roman" w:hAnsi="Times New Roman"/>
          <w:rtl w:val="0"/>
          <w:lang w:val="en-US"/>
        </w:rPr>
        <w:t xml:space="preserve">Kumar, R. (2014) </w:t>
      </w:r>
      <w:r>
        <w:rPr>
          <w:rFonts w:ascii="Times New Roman" w:hAnsi="Times New Roman"/>
          <w:i w:val="1"/>
          <w:iCs w:val="1"/>
          <w:rtl w:val="0"/>
          <w:lang w:val="en-US"/>
        </w:rPr>
        <w:t xml:space="preserve">Research Methodology; a step by step process for beginners. </w:t>
      </w:r>
      <w:r>
        <w:rPr>
          <w:rFonts w:ascii="Times New Roman" w:hAnsi="Times New Roman"/>
          <w:rtl w:val="0"/>
          <w:lang w:val="en-US"/>
        </w:rPr>
        <w:t xml:space="preserve">Fourth Edition. London: SAGE publications Ltd. </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Rogers, E.B. and Rose, J. (2019). </w:t>
      </w:r>
      <w:r>
        <w:rPr>
          <w:rFonts w:ascii="Times New Roman" w:hAnsi="Times New Roman"/>
          <w:i w:val="1"/>
          <w:iCs w:val="1"/>
          <w:sz w:val="24"/>
          <w:szCs w:val="24"/>
          <w:rtl w:val="0"/>
          <w:lang w:val="en-US"/>
        </w:rPr>
        <w:t>A Critical Exploration of Women</w:t>
      </w:r>
      <w:r>
        <w:rPr>
          <w:rFonts w:ascii="Times New Roman" w:hAnsi="Times New Roman" w:hint="default"/>
          <w:i w:val="1"/>
          <w:iCs w:val="1"/>
          <w:sz w:val="24"/>
          <w:szCs w:val="24"/>
          <w:rtl w:val="1"/>
        </w:rPr>
        <w:t>’</w:t>
      </w:r>
      <w:r>
        <w:rPr>
          <w:rFonts w:ascii="Times New Roman" w:hAnsi="Times New Roman"/>
          <w:i w:val="1"/>
          <w:iCs w:val="1"/>
          <w:sz w:val="24"/>
          <w:szCs w:val="24"/>
          <w:rtl w:val="0"/>
          <w:lang w:val="en-US"/>
        </w:rPr>
        <w:t>s Gendered Experiences in Outdoor Leadership</w:t>
      </w:r>
      <w:r>
        <w:rPr>
          <w:rFonts w:ascii="Times New Roman" w:hAnsi="Times New Roman"/>
          <w:i w:val="1"/>
          <w:iCs w:val="1"/>
          <w:sz w:val="24"/>
          <w:szCs w:val="24"/>
          <w:rtl w:val="0"/>
          <w:lang w:val="en-US"/>
        </w:rPr>
        <w:t xml:space="preserve">. </w:t>
      </w:r>
      <w:r>
        <w:rPr>
          <w:rFonts w:ascii="Times New Roman" w:hAnsi="Times New Roman"/>
          <w:sz w:val="24"/>
          <w:szCs w:val="24"/>
          <w:rtl w:val="0"/>
          <w:lang w:val="en-US"/>
        </w:rPr>
        <w:t>Journal of Experiential Education 2019, Vol. 42(1) 37</w:t>
      </w:r>
      <w:r>
        <w:rPr>
          <w:rFonts w:ascii="Times New Roman" w:hAnsi="Times New Roman" w:hint="default"/>
          <w:sz w:val="24"/>
          <w:szCs w:val="24"/>
          <w:rtl w:val="0"/>
        </w:rPr>
        <w:t>–</w:t>
      </w:r>
      <w:r>
        <w:rPr>
          <w:rFonts w:ascii="Times New Roman" w:hAnsi="Times New Roman"/>
          <w:sz w:val="24"/>
          <w:szCs w:val="24"/>
          <w:rtl w:val="0"/>
        </w:rPr>
        <w:t>50</w:t>
      </w:r>
    </w:p>
    <w:p>
      <w:pPr>
        <w:pStyle w:val="Default"/>
        <w:bidi w:val="0"/>
        <w:spacing w:before="0" w:after="160" w:line="259" w:lineRule="auto"/>
        <w:ind w:left="0" w:right="278" w:firstLine="0"/>
        <w:jc w:val="left"/>
        <w:rPr>
          <w:rFonts w:ascii="Times New Roman" w:cs="Times New Roman" w:hAnsi="Times New Roman" w:eastAsia="Times New Roman"/>
          <w:rtl w:val="0"/>
        </w:rPr>
      </w:pP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 xml:space="preserve">Warren, K., Risinger, S and Loeffler, TA (2018). </w:t>
      </w:r>
      <w:r>
        <w:rPr>
          <w:rFonts w:ascii="Times New Roman" w:hAnsi="Times New Roman"/>
          <w:i w:val="1"/>
          <w:iCs w:val="1"/>
          <w:sz w:val="24"/>
          <w:szCs w:val="24"/>
          <w:rtl w:val="0"/>
          <w:lang w:val="en-US"/>
        </w:rPr>
        <w:t xml:space="preserve">Challenges faced by women outdoor leaders </w:t>
      </w:r>
    </w:p>
    <w:p>
      <w:pPr>
        <w:pStyle w:val="Body"/>
        <w:rPr>
          <w:rFonts w:ascii="Times New Roman" w:cs="Times New Roman" w:hAnsi="Times New Roman" w:eastAsia="Times New Roman"/>
          <w:sz w:val="24"/>
          <w:szCs w:val="24"/>
        </w:rPr>
      </w:pPr>
      <w:r>
        <w:rPr>
          <w:rFonts w:ascii="Times New Roman" w:hAnsi="Times New Roman"/>
          <w:sz w:val="24"/>
          <w:szCs w:val="24"/>
          <w:rtl w:val="0"/>
          <w:lang w:val="en-US"/>
        </w:rPr>
        <w:t>The Palgrave International Handbook</w:t>
      </w:r>
      <w:r>
        <w:rPr>
          <w:rFonts w:ascii="Times New Roman" w:hAnsi="Times New Roman"/>
          <w:sz w:val="24"/>
          <w:szCs w:val="24"/>
          <w:rtl w:val="0"/>
          <w:lang w:val="en-US"/>
        </w:rPr>
        <w:t xml:space="preserve"> </w:t>
      </w:r>
      <w:r>
        <w:rPr>
          <w:rFonts w:ascii="Times New Roman" w:hAnsi="Times New Roman"/>
          <w:sz w:val="24"/>
          <w:szCs w:val="24"/>
          <w:rtl w:val="0"/>
          <w:lang w:val="en-US"/>
        </w:rPr>
        <w:t>of Women and Outdoor Learning, Palgrave Studies in Gender and</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Education, </w:t>
      </w:r>
      <w:r>
        <w:rPr>
          <w:rStyle w:val="Hyperlink.0"/>
          <w:rFonts w:ascii="Times New Roman" w:cs="Times New Roman" w:hAnsi="Times New Roman" w:eastAsia="Times New Roman"/>
          <w:sz w:val="24"/>
          <w:szCs w:val="24"/>
        </w:rPr>
        <w:fldChar w:fldCharType="begin" w:fldLock="0"/>
      </w:r>
      <w:r>
        <w:rPr>
          <w:rStyle w:val="Hyperlink.0"/>
          <w:rFonts w:ascii="Times New Roman" w:cs="Times New Roman" w:hAnsi="Times New Roman" w:eastAsia="Times New Roman"/>
          <w:sz w:val="24"/>
          <w:szCs w:val="24"/>
        </w:rPr>
        <w:instrText xml:space="preserve"> HYPERLINK "https://doi.org/10.1007/978-3-319-53550-0_15"</w:instrText>
      </w:r>
      <w:r>
        <w:rPr>
          <w:rStyle w:val="Hyperlink.0"/>
          <w:rFonts w:ascii="Times New Roman" w:cs="Times New Roman" w:hAnsi="Times New Roman" w:eastAsia="Times New Roman"/>
          <w:sz w:val="24"/>
          <w:szCs w:val="24"/>
        </w:rPr>
        <w:fldChar w:fldCharType="separate" w:fldLock="0"/>
      </w:r>
      <w:r>
        <w:rPr>
          <w:rStyle w:val="Hyperlink.0"/>
          <w:rFonts w:ascii="Times New Roman" w:hAnsi="Times New Roman"/>
          <w:sz w:val="24"/>
          <w:szCs w:val="24"/>
          <w:rtl w:val="0"/>
          <w:lang w:val="en-US"/>
        </w:rPr>
        <w:t>https://doi.org/10.1007/978-3-319-53550-0_15</w:t>
      </w:r>
      <w:r>
        <w:rPr>
          <w:rFonts w:ascii="Times New Roman" w:cs="Times New Roman" w:hAnsi="Times New Roman" w:eastAsia="Times New Roman"/>
          <w:sz w:val="24"/>
          <w:szCs w:val="24"/>
        </w:rPr>
        <w:fldChar w:fldCharType="end" w:fldLock="0"/>
      </w:r>
    </w:p>
    <w:p>
      <w:pPr>
        <w:pStyle w:val="Body"/>
        <w:rPr>
          <w:rFonts w:ascii="Times New Roman" w:cs="Times New Roman" w:hAnsi="Times New Roman" w:eastAsia="Times New Roman"/>
          <w:sz w:val="24"/>
          <w:szCs w:val="24"/>
        </w:rPr>
      </w:pPr>
    </w:p>
    <w:p>
      <w:pPr>
        <w:pStyle w:val="Default"/>
        <w:bidi w:val="0"/>
        <w:spacing w:before="0" w:line="240" w:lineRule="auto"/>
        <w:ind w:left="0" w:right="0" w:firstLine="0"/>
        <w:jc w:val="left"/>
        <w:rPr>
          <w:rFonts w:ascii="Times New Roman" w:cs="Times New Roman" w:hAnsi="Times New Roman" w:eastAsia="Times New Roman"/>
          <w:shd w:val="clear" w:color="auto" w:fill="ffffff"/>
          <w:rtl w:val="0"/>
        </w:rPr>
      </w:pPr>
      <w:r>
        <w:rPr>
          <w:rFonts w:ascii="Times New Roman" w:hAnsi="Times New Roman"/>
          <w:shd w:val="clear" w:color="auto" w:fill="ffffff"/>
          <w:rtl w:val="0"/>
          <w:lang w:val="en-US"/>
        </w:rPr>
        <w:t xml:space="preserve">Warren. (n.d.). Gender in outdoor studies. In </w:t>
      </w:r>
      <w:r>
        <w:rPr>
          <w:rFonts w:ascii="Times New Roman" w:hAnsi="Times New Roman"/>
          <w:i w:val="1"/>
          <w:iCs w:val="1"/>
          <w:shd w:val="clear" w:color="auto" w:fill="ffffff"/>
          <w:rtl w:val="0"/>
          <w:lang w:val="en-US"/>
        </w:rPr>
        <w:t>Routledge international handbook of outdoor studies /</w:t>
      </w:r>
      <w:r>
        <w:rPr>
          <w:rFonts w:ascii="Times New Roman" w:hAnsi="Times New Roman"/>
          <w:shd w:val="clear" w:color="auto" w:fill="ffffff"/>
          <w:rtl w:val="0"/>
        </w:rPr>
        <w:t xml:space="preserve"> (pp. 360</w:t>
      </w:r>
      <w:r>
        <w:rPr>
          <w:rFonts w:ascii="Times New Roman" w:hAnsi="Times New Roman" w:hint="default"/>
          <w:shd w:val="clear" w:color="auto" w:fill="ffffff"/>
          <w:rtl w:val="0"/>
        </w:rPr>
        <w:t>–</w:t>
      </w:r>
      <w:r>
        <w:rPr>
          <w:rFonts w:ascii="Times New Roman" w:hAnsi="Times New Roman"/>
          <w:shd w:val="clear" w:color="auto" w:fill="ffffff"/>
          <w:rtl w:val="0"/>
          <w:lang w:val="en-US"/>
        </w:rPr>
        <w:t xml:space="preserve">368). Routledge,. </w:t>
      </w:r>
      <w:r>
        <w:rPr>
          <w:rStyle w:val="Hyperlink.0"/>
          <w:rFonts w:ascii="Times New Roman" w:cs="Times New Roman" w:hAnsi="Times New Roman" w:eastAsia="Times New Roman"/>
          <w:shd w:val="clear" w:color="auto" w:fill="ffffff"/>
          <w:rtl w:val="0"/>
        </w:rPr>
        <w:fldChar w:fldCharType="begin" w:fldLock="0"/>
      </w:r>
      <w:r>
        <w:rPr>
          <w:rStyle w:val="Hyperlink.0"/>
          <w:rFonts w:ascii="Times New Roman" w:cs="Times New Roman" w:hAnsi="Times New Roman" w:eastAsia="Times New Roman"/>
          <w:shd w:val="clear" w:color="auto" w:fill="ffffff"/>
          <w:rtl w:val="0"/>
        </w:rPr>
        <w:instrText xml:space="preserve"> HYPERLINK "https://doi.org/10.4324/9781315768465-41"</w:instrText>
      </w:r>
      <w:r>
        <w:rPr>
          <w:rStyle w:val="Hyperlink.0"/>
          <w:rFonts w:ascii="Times New Roman" w:cs="Times New Roman" w:hAnsi="Times New Roman" w:eastAsia="Times New Roman"/>
          <w:shd w:val="clear" w:color="auto" w:fill="ffffff"/>
          <w:rtl w:val="0"/>
        </w:rPr>
        <w:fldChar w:fldCharType="separate" w:fldLock="0"/>
      </w:r>
      <w:r>
        <w:rPr>
          <w:rStyle w:val="Hyperlink.0"/>
          <w:rFonts w:ascii="Times New Roman" w:hAnsi="Times New Roman"/>
          <w:shd w:val="clear" w:color="auto" w:fill="ffffff"/>
          <w:rtl w:val="0"/>
          <w:lang w:val="en-US"/>
        </w:rPr>
        <w:t>https://doi.org/10.4324/9781315768465-41</w:t>
      </w:r>
      <w:r>
        <w:rPr>
          <w:rFonts w:ascii="Times New Roman" w:cs="Times New Roman" w:hAnsi="Times New Roman" w:eastAsia="Times New Roman"/>
          <w:shd w:val="clear" w:color="auto" w:fill="ffffff"/>
          <w:rtl w:val="0"/>
        </w:rPr>
        <w:fldChar w:fldCharType="end" w:fldLock="0"/>
      </w:r>
    </w:p>
    <w:p>
      <w:pPr>
        <w:pStyle w:val="Default"/>
        <w:bidi w:val="0"/>
        <w:spacing w:before="0" w:line="240" w:lineRule="auto"/>
        <w:ind w:left="0" w:right="0" w:firstLine="0"/>
        <w:jc w:val="left"/>
        <w:rPr>
          <w:rFonts w:ascii="Times New Roman" w:cs="Times New Roman" w:hAnsi="Times New Roman" w:eastAsia="Times New Roman"/>
          <w:shd w:val="clear" w:color="auto" w:fill="ffffff"/>
          <w:rtl w:val="0"/>
        </w:rPr>
      </w:pPr>
    </w:p>
    <w:p>
      <w:pPr>
        <w:pStyle w:val="Body"/>
      </w:pPr>
      <w:r>
        <w:rPr>
          <w:rFonts w:ascii="Times New Roman" w:hAnsi="Times New Roman"/>
          <w:sz w:val="24"/>
          <w:szCs w:val="24"/>
          <w:rtl w:val="0"/>
          <w:lang w:val="en-US"/>
        </w:rPr>
        <w:t xml:space="preserve">Whittington, A. (2006) </w:t>
      </w:r>
      <w:r>
        <w:rPr>
          <w:rFonts w:ascii="Times New Roman" w:hAnsi="Times New Roman"/>
          <w:i w:val="1"/>
          <w:iCs w:val="1"/>
          <w:sz w:val="24"/>
          <w:szCs w:val="24"/>
          <w:rtl w:val="0"/>
          <w:lang w:val="en-US"/>
        </w:rPr>
        <w:t>Challenging Girls</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Constructions of Femininity in the Outdoors.</w:t>
      </w:r>
      <w:r>
        <w:rPr>
          <w:rFonts w:ascii="Times New Roman" w:hAnsi="Times New Roman"/>
          <w:sz w:val="24"/>
          <w:szCs w:val="24"/>
          <w:rtl w:val="0"/>
          <w:lang w:val="en-US"/>
        </w:rPr>
        <w:t xml:space="preserve"> Journal of Experiential Education. Volume 28, No 3 pp.205-221</w:t>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96" w:hanging="196"/>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numbering" w:styleId="Bullet">
    <w:name w:val="Bullet"/>
    <w:pPr>
      <w:numPr>
        <w:numId w:val="1"/>
      </w:numPr>
    </w:p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0"/>
      <w:szCs w:val="20"/>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